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一、建设项目基本情况</w:t>
      </w:r>
    </w:p>
    <w:tbl>
      <w:tblPr>
        <w:tblStyle w:val="26"/>
        <w:tblW w:w="926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93"/>
        <w:gridCol w:w="2126"/>
        <w:gridCol w:w="2212"/>
        <w:gridCol w:w="3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3" w:type="dxa"/>
            <w:tcMar>
              <w:top w:w="16" w:type="dxa"/>
              <w:left w:w="16" w:type="dxa"/>
              <w:right w:w="16" w:type="dxa"/>
            </w:tcMar>
            <w:vAlign w:val="center"/>
          </w:tcPr>
          <w:p>
            <w:pPr>
              <w:adjustRightInd w:val="0"/>
              <w:snapToGrid w:val="0"/>
              <w:jc w:val="center"/>
              <w:rPr>
                <w:color w:val="auto"/>
                <w:sz w:val="24"/>
              </w:rPr>
            </w:pPr>
            <w:r>
              <w:rPr>
                <w:color w:val="auto"/>
                <w:sz w:val="24"/>
              </w:rPr>
              <w:t>建设项目名称</w:t>
            </w:r>
          </w:p>
        </w:tc>
        <w:tc>
          <w:tcPr>
            <w:tcW w:w="7373" w:type="dxa"/>
            <w:gridSpan w:val="3"/>
            <w:vAlign w:val="center"/>
          </w:tcPr>
          <w:p>
            <w:pPr>
              <w:adjustRightInd w:val="0"/>
              <w:snapToGrid w:val="0"/>
              <w:jc w:val="center"/>
              <w:rPr>
                <w:color w:val="auto"/>
                <w:sz w:val="24"/>
              </w:rPr>
            </w:pPr>
            <w:r>
              <w:rPr>
                <w:rFonts w:hint="eastAsia"/>
                <w:color w:val="auto"/>
                <w:sz w:val="24"/>
              </w:rPr>
              <w:t>年产洗衣机冲压件200万件、热水器冲压件300万件、模具40副建设项目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3" w:type="dxa"/>
            <w:tcMar>
              <w:top w:w="16" w:type="dxa"/>
              <w:left w:w="16" w:type="dxa"/>
              <w:right w:w="16" w:type="dxa"/>
            </w:tcMar>
            <w:vAlign w:val="center"/>
          </w:tcPr>
          <w:p>
            <w:pPr>
              <w:adjustRightInd w:val="0"/>
              <w:snapToGrid w:val="0"/>
              <w:jc w:val="center"/>
              <w:rPr>
                <w:color w:val="auto"/>
                <w:sz w:val="24"/>
              </w:rPr>
            </w:pPr>
            <w:r>
              <w:rPr>
                <w:color w:val="auto"/>
                <w:sz w:val="24"/>
              </w:rPr>
              <w:t>项目代码</w:t>
            </w:r>
          </w:p>
        </w:tc>
        <w:tc>
          <w:tcPr>
            <w:tcW w:w="7373" w:type="dxa"/>
            <w:gridSpan w:val="3"/>
            <w:vAlign w:val="center"/>
          </w:tcPr>
          <w:p>
            <w:pPr>
              <w:adjustRightInd w:val="0"/>
              <w:snapToGrid w:val="0"/>
              <w:jc w:val="center"/>
              <w:rPr>
                <w:color w:val="auto"/>
                <w:sz w:val="24"/>
              </w:rPr>
            </w:pPr>
            <w:r>
              <w:rPr>
                <w:color w:val="auto"/>
                <w:sz w:val="24"/>
              </w:rPr>
              <w:t>2211-320214-89-05-770624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3" w:type="dxa"/>
            <w:tcMar>
              <w:top w:w="16" w:type="dxa"/>
              <w:left w:w="16" w:type="dxa"/>
              <w:right w:w="16" w:type="dxa"/>
            </w:tcMar>
            <w:vAlign w:val="center"/>
          </w:tcPr>
          <w:p>
            <w:pPr>
              <w:adjustRightInd w:val="0"/>
              <w:snapToGrid w:val="0"/>
              <w:jc w:val="center"/>
              <w:rPr>
                <w:color w:val="auto"/>
                <w:sz w:val="24"/>
              </w:rPr>
            </w:pPr>
            <w:r>
              <w:rPr>
                <w:color w:val="auto"/>
                <w:sz w:val="24"/>
              </w:rPr>
              <w:t>建设单位联系人</w:t>
            </w:r>
          </w:p>
        </w:tc>
        <w:tc>
          <w:tcPr>
            <w:tcW w:w="2126" w:type="dxa"/>
            <w:vAlign w:val="center"/>
          </w:tcPr>
          <w:p>
            <w:pPr>
              <w:adjustRightInd w:val="0"/>
              <w:snapToGrid w:val="0"/>
              <w:jc w:val="center"/>
              <w:rPr>
                <w:color w:val="auto"/>
                <w:sz w:val="24"/>
              </w:rPr>
            </w:pPr>
            <w:r>
              <w:rPr>
                <w:color w:val="auto"/>
                <w:sz w:val="24"/>
              </w:rPr>
              <w:t>陆丰富</w:t>
            </w:r>
          </w:p>
        </w:tc>
        <w:tc>
          <w:tcPr>
            <w:tcW w:w="2212" w:type="dxa"/>
            <w:vAlign w:val="center"/>
          </w:tcPr>
          <w:p>
            <w:pPr>
              <w:adjustRightInd w:val="0"/>
              <w:snapToGrid w:val="0"/>
              <w:jc w:val="center"/>
              <w:rPr>
                <w:color w:val="auto"/>
                <w:sz w:val="24"/>
              </w:rPr>
            </w:pPr>
            <w:r>
              <w:rPr>
                <w:color w:val="auto"/>
                <w:sz w:val="24"/>
              </w:rPr>
              <w:t>联系方式</w:t>
            </w:r>
          </w:p>
        </w:tc>
        <w:tc>
          <w:tcPr>
            <w:tcW w:w="3035" w:type="dxa"/>
            <w:vAlign w:val="center"/>
          </w:tcPr>
          <w:p>
            <w:pPr>
              <w:adjustRightInd w:val="0"/>
              <w:snapToGrid w:val="0"/>
              <w:jc w:val="center"/>
              <w:rPr>
                <w:color w:val="auto"/>
                <w:sz w:val="24"/>
              </w:rPr>
            </w:pPr>
            <w:r>
              <w:rPr>
                <w:color w:val="auto"/>
                <w:sz w:val="24"/>
              </w:rPr>
              <w:t>13915346951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3" w:type="dxa"/>
            <w:tcMar>
              <w:top w:w="16" w:type="dxa"/>
              <w:left w:w="16" w:type="dxa"/>
              <w:right w:w="16" w:type="dxa"/>
            </w:tcMar>
            <w:vAlign w:val="center"/>
          </w:tcPr>
          <w:p>
            <w:pPr>
              <w:adjustRightInd w:val="0"/>
              <w:snapToGrid w:val="0"/>
              <w:jc w:val="center"/>
              <w:rPr>
                <w:color w:val="auto"/>
                <w:sz w:val="24"/>
              </w:rPr>
            </w:pPr>
            <w:r>
              <w:rPr>
                <w:color w:val="auto"/>
                <w:sz w:val="24"/>
              </w:rPr>
              <w:t>建设地点</w:t>
            </w:r>
          </w:p>
        </w:tc>
        <w:tc>
          <w:tcPr>
            <w:tcW w:w="7373" w:type="dxa"/>
            <w:gridSpan w:val="3"/>
            <w:vAlign w:val="center"/>
          </w:tcPr>
          <w:p>
            <w:pPr>
              <w:adjustRightInd w:val="0"/>
              <w:snapToGrid w:val="0"/>
              <w:jc w:val="center"/>
              <w:rPr>
                <w:color w:val="auto"/>
                <w:sz w:val="24"/>
              </w:rPr>
            </w:pPr>
            <w:r>
              <w:rPr>
                <w:color w:val="auto"/>
                <w:sz w:val="24"/>
              </w:rPr>
              <w:t>无锡市新吴区新风路69号</w:t>
            </w:r>
            <w:bookmarkStart w:id="6" w:name="_GoBack"/>
            <w:bookmarkEnd w:id="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3" w:type="dxa"/>
            <w:tcMar>
              <w:top w:w="16" w:type="dxa"/>
              <w:left w:w="16" w:type="dxa"/>
              <w:right w:w="16" w:type="dxa"/>
            </w:tcMar>
            <w:vAlign w:val="center"/>
          </w:tcPr>
          <w:p>
            <w:pPr>
              <w:adjustRightInd w:val="0"/>
              <w:snapToGrid w:val="0"/>
              <w:jc w:val="center"/>
              <w:rPr>
                <w:color w:val="auto"/>
                <w:sz w:val="24"/>
              </w:rPr>
            </w:pPr>
            <w:r>
              <w:rPr>
                <w:color w:val="auto"/>
                <w:sz w:val="24"/>
              </w:rPr>
              <w:t>地理坐标</w:t>
            </w:r>
          </w:p>
        </w:tc>
        <w:tc>
          <w:tcPr>
            <w:tcW w:w="7373" w:type="dxa"/>
            <w:gridSpan w:val="3"/>
            <w:vAlign w:val="center"/>
          </w:tcPr>
          <w:p>
            <w:pPr>
              <w:jc w:val="center"/>
              <w:rPr>
                <w:color w:val="auto"/>
                <w:sz w:val="24"/>
              </w:rPr>
            </w:pPr>
            <w:r>
              <w:rPr>
                <w:color w:val="auto"/>
                <w:sz w:val="24"/>
              </w:rPr>
              <w:t>（</w:t>
            </w:r>
            <w:r>
              <w:rPr>
                <w:color w:val="auto"/>
                <w:sz w:val="24"/>
                <w:u w:val="single"/>
              </w:rPr>
              <w:t xml:space="preserve"> 120 </w:t>
            </w:r>
            <w:r>
              <w:rPr>
                <w:color w:val="auto"/>
                <w:sz w:val="24"/>
              </w:rPr>
              <w:t>度</w:t>
            </w:r>
            <w:r>
              <w:rPr>
                <w:color w:val="auto"/>
                <w:sz w:val="24"/>
                <w:u w:val="single"/>
              </w:rPr>
              <w:t xml:space="preserve"> 2</w:t>
            </w:r>
            <w:r>
              <w:rPr>
                <w:rFonts w:hint="eastAsia"/>
                <w:color w:val="auto"/>
                <w:sz w:val="24"/>
                <w:u w:val="single"/>
              </w:rPr>
              <w:t>4</w:t>
            </w:r>
            <w:r>
              <w:rPr>
                <w:color w:val="auto"/>
                <w:sz w:val="24"/>
                <w:u w:val="single"/>
              </w:rPr>
              <w:t xml:space="preserve"> </w:t>
            </w:r>
            <w:r>
              <w:rPr>
                <w:color w:val="auto"/>
                <w:sz w:val="24"/>
              </w:rPr>
              <w:t>分</w:t>
            </w:r>
            <w:r>
              <w:rPr>
                <w:rFonts w:hint="eastAsia"/>
                <w:color w:val="auto"/>
                <w:sz w:val="24"/>
                <w:u w:val="single"/>
              </w:rPr>
              <w:t>43.6</w:t>
            </w:r>
            <w:r>
              <w:rPr>
                <w:color w:val="auto"/>
                <w:sz w:val="24"/>
                <w:u w:val="single"/>
              </w:rPr>
              <w:t xml:space="preserve"> </w:t>
            </w:r>
            <w:r>
              <w:rPr>
                <w:color w:val="auto"/>
                <w:sz w:val="24"/>
              </w:rPr>
              <w:t>秒，</w:t>
            </w:r>
            <w:r>
              <w:rPr>
                <w:color w:val="auto"/>
                <w:sz w:val="24"/>
                <w:u w:val="single"/>
              </w:rPr>
              <w:t xml:space="preserve"> 31 </w:t>
            </w:r>
            <w:r>
              <w:rPr>
                <w:color w:val="auto"/>
                <w:sz w:val="24"/>
              </w:rPr>
              <w:t>度</w:t>
            </w:r>
            <w:r>
              <w:rPr>
                <w:color w:val="auto"/>
                <w:sz w:val="24"/>
                <w:u w:val="single"/>
              </w:rPr>
              <w:t xml:space="preserve"> 3</w:t>
            </w:r>
            <w:r>
              <w:rPr>
                <w:rFonts w:hint="eastAsia"/>
                <w:color w:val="auto"/>
                <w:sz w:val="24"/>
                <w:u w:val="single"/>
              </w:rPr>
              <w:t>4</w:t>
            </w:r>
            <w:r>
              <w:rPr>
                <w:color w:val="auto"/>
                <w:sz w:val="24"/>
                <w:u w:val="single"/>
              </w:rPr>
              <w:t xml:space="preserve"> </w:t>
            </w:r>
            <w:r>
              <w:rPr>
                <w:color w:val="auto"/>
                <w:sz w:val="24"/>
              </w:rPr>
              <w:t>分</w:t>
            </w:r>
            <w:r>
              <w:rPr>
                <w:color w:val="auto"/>
                <w:sz w:val="24"/>
                <w:u w:val="single"/>
              </w:rPr>
              <w:t xml:space="preserve"> 29.</w:t>
            </w:r>
            <w:r>
              <w:rPr>
                <w:rFonts w:hint="eastAsia"/>
                <w:color w:val="auto"/>
                <w:sz w:val="24"/>
                <w:u w:val="single"/>
              </w:rPr>
              <w:t>3</w:t>
            </w:r>
            <w:r>
              <w:rPr>
                <w:color w:val="auto"/>
                <w:sz w:val="24"/>
                <w:u w:val="single"/>
              </w:rPr>
              <w:t xml:space="preserve"> </w:t>
            </w:r>
            <w:r>
              <w:rPr>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93" w:type="dxa"/>
            <w:tcMar>
              <w:top w:w="16" w:type="dxa"/>
              <w:left w:w="16" w:type="dxa"/>
              <w:right w:w="16" w:type="dxa"/>
            </w:tcMar>
            <w:vAlign w:val="center"/>
          </w:tcPr>
          <w:p>
            <w:pPr>
              <w:adjustRightInd w:val="0"/>
              <w:snapToGrid w:val="0"/>
              <w:jc w:val="center"/>
              <w:rPr>
                <w:color w:val="auto"/>
                <w:sz w:val="24"/>
              </w:rPr>
            </w:pPr>
            <w:r>
              <w:rPr>
                <w:color w:val="auto"/>
                <w:sz w:val="24"/>
              </w:rPr>
              <w:t>国民经济</w:t>
            </w:r>
          </w:p>
          <w:p>
            <w:pPr>
              <w:adjustRightInd w:val="0"/>
              <w:snapToGrid w:val="0"/>
              <w:jc w:val="center"/>
              <w:rPr>
                <w:color w:val="auto"/>
                <w:sz w:val="24"/>
              </w:rPr>
            </w:pPr>
            <w:r>
              <w:rPr>
                <w:color w:val="auto"/>
                <w:sz w:val="24"/>
              </w:rPr>
              <w:t>行业类别</w:t>
            </w:r>
          </w:p>
        </w:tc>
        <w:tc>
          <w:tcPr>
            <w:tcW w:w="2126" w:type="dxa"/>
            <w:vAlign w:val="center"/>
          </w:tcPr>
          <w:p>
            <w:pPr>
              <w:adjustRightInd w:val="0"/>
              <w:snapToGrid w:val="0"/>
              <w:jc w:val="center"/>
              <w:rPr>
                <w:color w:val="auto"/>
                <w:sz w:val="24"/>
              </w:rPr>
            </w:pPr>
            <w:r>
              <w:rPr>
                <w:color w:val="auto"/>
                <w:sz w:val="24"/>
              </w:rPr>
              <w:t>金属结构制造[C3311]、模具制造[C3525]</w:t>
            </w:r>
          </w:p>
        </w:tc>
        <w:tc>
          <w:tcPr>
            <w:tcW w:w="2212" w:type="dxa"/>
            <w:vAlign w:val="center"/>
          </w:tcPr>
          <w:p>
            <w:pPr>
              <w:adjustRightInd w:val="0"/>
              <w:snapToGrid w:val="0"/>
              <w:jc w:val="center"/>
              <w:rPr>
                <w:color w:val="auto"/>
                <w:sz w:val="24"/>
              </w:rPr>
            </w:pPr>
            <w:bookmarkStart w:id="0" w:name="_Hlk49843745"/>
            <w:r>
              <w:rPr>
                <w:color w:val="auto"/>
                <w:sz w:val="24"/>
              </w:rPr>
              <w:t>建设项目</w:t>
            </w:r>
          </w:p>
          <w:p>
            <w:pPr>
              <w:adjustRightInd w:val="0"/>
              <w:snapToGrid w:val="0"/>
              <w:jc w:val="center"/>
              <w:rPr>
                <w:color w:val="auto"/>
                <w:sz w:val="24"/>
              </w:rPr>
            </w:pPr>
            <w:r>
              <w:rPr>
                <w:color w:val="auto"/>
                <w:sz w:val="24"/>
              </w:rPr>
              <w:t>行业类别</w:t>
            </w:r>
            <w:bookmarkEnd w:id="0"/>
          </w:p>
        </w:tc>
        <w:tc>
          <w:tcPr>
            <w:tcW w:w="3035" w:type="dxa"/>
            <w:vAlign w:val="center"/>
          </w:tcPr>
          <w:p>
            <w:pPr>
              <w:adjustRightInd w:val="0"/>
              <w:snapToGrid w:val="0"/>
              <w:jc w:val="center"/>
              <w:rPr>
                <w:color w:val="auto"/>
                <w:sz w:val="24"/>
              </w:rPr>
            </w:pPr>
            <w:r>
              <w:rPr>
                <w:color w:val="auto"/>
                <w:sz w:val="24"/>
              </w:rPr>
              <w:t>三十、金属制</w:t>
            </w:r>
            <w:r>
              <w:rPr>
                <w:rFonts w:hint="eastAsia"/>
                <w:color w:val="auto"/>
                <w:sz w:val="24"/>
              </w:rPr>
              <w:t>品</w:t>
            </w:r>
            <w:r>
              <w:rPr>
                <w:color w:val="auto"/>
                <w:sz w:val="24"/>
              </w:rPr>
              <w:t>业33-6</w:t>
            </w:r>
            <w:r>
              <w:rPr>
                <w:rFonts w:hint="eastAsia"/>
                <w:color w:val="auto"/>
                <w:sz w:val="24"/>
              </w:rPr>
              <w:t>6结构性金属制品制造331</w:t>
            </w:r>
            <w:r>
              <w:rPr>
                <w:color w:val="auto"/>
                <w:sz w:val="24"/>
              </w:rPr>
              <w:t>-其他</w:t>
            </w:r>
            <w:r>
              <w:rPr>
                <w:rFonts w:hint="eastAsia"/>
                <w:color w:val="auto"/>
                <w:sz w:val="24"/>
              </w:rPr>
              <w:t>（仅分割、焊接、组装的除外；年用非溶剂型低VOCs含量涂料10吨以下的除外）、三十二、专用设备制造业35-70化工、木材、非金属加工专用设备制造352-其他（仅分割、焊接、组装的除外；年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93" w:type="dxa"/>
            <w:tcMar>
              <w:top w:w="16" w:type="dxa"/>
              <w:left w:w="16" w:type="dxa"/>
              <w:right w:w="16" w:type="dxa"/>
            </w:tcMar>
            <w:vAlign w:val="center"/>
          </w:tcPr>
          <w:p>
            <w:pPr>
              <w:adjustRightInd w:val="0"/>
              <w:snapToGrid w:val="0"/>
              <w:jc w:val="center"/>
              <w:rPr>
                <w:color w:val="auto"/>
                <w:sz w:val="24"/>
              </w:rPr>
            </w:pPr>
            <w:r>
              <w:rPr>
                <w:color w:val="auto"/>
                <w:sz w:val="24"/>
              </w:rPr>
              <w:t>建设性质</w:t>
            </w:r>
          </w:p>
        </w:tc>
        <w:tc>
          <w:tcPr>
            <w:tcW w:w="2126" w:type="dxa"/>
            <w:vAlign w:val="center"/>
          </w:tcPr>
          <w:p>
            <w:pPr>
              <w:pStyle w:val="17"/>
              <w:snapToGrid/>
              <w:spacing w:after="0"/>
              <w:ind w:firstLine="0" w:firstLineChars="0"/>
              <w:rPr>
                <w:color w:val="auto"/>
                <w:sz w:val="24"/>
                <w:szCs w:val="24"/>
              </w:rPr>
            </w:pPr>
            <w:r>
              <w:rPr>
                <w:color w:val="auto"/>
                <w:sz w:val="24"/>
                <w:szCs w:val="24"/>
              </w:rPr>
              <w:sym w:font="Wingdings 2" w:char="0052"/>
            </w:r>
            <w:r>
              <w:rPr>
                <w:color w:val="auto"/>
                <w:sz w:val="24"/>
                <w:szCs w:val="24"/>
              </w:rPr>
              <w:t>新建（迁建）</w:t>
            </w:r>
          </w:p>
          <w:p>
            <w:pPr>
              <w:pStyle w:val="17"/>
              <w:snapToGrid/>
              <w:spacing w:after="0"/>
              <w:ind w:firstLine="0" w:firstLineChars="0"/>
              <w:rPr>
                <w:color w:val="auto"/>
                <w:sz w:val="24"/>
                <w:szCs w:val="24"/>
              </w:rPr>
            </w:pPr>
            <w:r>
              <w:rPr>
                <w:color w:val="auto"/>
                <w:sz w:val="24"/>
                <w:szCs w:val="24"/>
              </w:rPr>
              <w:t>□改建</w:t>
            </w:r>
          </w:p>
          <w:p>
            <w:pPr>
              <w:pStyle w:val="17"/>
              <w:snapToGrid/>
              <w:spacing w:after="0"/>
              <w:ind w:firstLine="0" w:firstLineChars="0"/>
              <w:rPr>
                <w:color w:val="auto"/>
                <w:sz w:val="24"/>
                <w:szCs w:val="24"/>
              </w:rPr>
            </w:pPr>
            <w:r>
              <w:rPr>
                <w:rFonts w:hint="eastAsia"/>
                <w:color w:val="auto"/>
                <w:sz w:val="24"/>
                <w:szCs w:val="24"/>
              </w:rPr>
              <w:sym w:font="Wingdings 2" w:char="00A3"/>
            </w:r>
            <w:r>
              <w:rPr>
                <w:color w:val="auto"/>
                <w:sz w:val="24"/>
                <w:szCs w:val="24"/>
              </w:rPr>
              <w:t>扩建</w:t>
            </w:r>
          </w:p>
          <w:p>
            <w:pPr>
              <w:jc w:val="left"/>
              <w:rPr>
                <w:color w:val="auto"/>
                <w:sz w:val="24"/>
              </w:rPr>
            </w:pPr>
            <w:r>
              <w:rPr>
                <w:color w:val="auto"/>
                <w:sz w:val="24"/>
              </w:rPr>
              <w:t>□技术改造</w:t>
            </w:r>
          </w:p>
        </w:tc>
        <w:tc>
          <w:tcPr>
            <w:tcW w:w="2212" w:type="dxa"/>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申报情形</w:t>
            </w:r>
          </w:p>
        </w:tc>
        <w:tc>
          <w:tcPr>
            <w:tcW w:w="3035" w:type="dxa"/>
            <w:vAlign w:val="center"/>
          </w:tcPr>
          <w:p>
            <w:pPr>
              <w:pStyle w:val="17"/>
              <w:snapToGrid/>
              <w:spacing w:after="0"/>
              <w:ind w:firstLine="0" w:firstLineChars="0"/>
              <w:rPr>
                <w:color w:val="auto"/>
                <w:sz w:val="24"/>
                <w:szCs w:val="24"/>
              </w:rPr>
            </w:pPr>
            <w:r>
              <w:rPr>
                <w:color w:val="auto"/>
                <w:sz w:val="24"/>
                <w:szCs w:val="24"/>
              </w:rPr>
              <w:t>☑首次申报项目</w:t>
            </w:r>
          </w:p>
          <w:p>
            <w:pPr>
              <w:pStyle w:val="17"/>
              <w:snapToGrid/>
              <w:spacing w:after="0"/>
              <w:ind w:firstLine="0" w:firstLineChars="0"/>
              <w:rPr>
                <w:color w:val="auto"/>
                <w:sz w:val="24"/>
                <w:szCs w:val="24"/>
              </w:rPr>
            </w:pPr>
            <w:r>
              <w:rPr>
                <w:color w:val="auto"/>
                <w:sz w:val="24"/>
                <w:szCs w:val="24"/>
              </w:rPr>
              <w:t>□不予批准后再次申报项目</w:t>
            </w:r>
          </w:p>
          <w:p>
            <w:pPr>
              <w:pStyle w:val="17"/>
              <w:snapToGrid/>
              <w:spacing w:after="0"/>
              <w:ind w:firstLine="0" w:firstLineChars="0"/>
              <w:rPr>
                <w:color w:val="auto"/>
                <w:sz w:val="24"/>
                <w:szCs w:val="24"/>
              </w:rPr>
            </w:pPr>
            <w:r>
              <w:rPr>
                <w:color w:val="auto"/>
                <w:sz w:val="24"/>
                <w:szCs w:val="24"/>
              </w:rPr>
              <w:t>□超五年重新审核项目</w:t>
            </w:r>
          </w:p>
          <w:p>
            <w:pPr>
              <w:jc w:val="left"/>
              <w:rPr>
                <w:color w:val="auto"/>
                <w:sz w:val="24"/>
              </w:rPr>
            </w:pP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893" w:type="dxa"/>
            <w:tcMar>
              <w:top w:w="16" w:type="dxa"/>
              <w:left w:w="16" w:type="dxa"/>
              <w:right w:w="16" w:type="dxa"/>
            </w:tcMar>
            <w:vAlign w:val="center"/>
          </w:tcPr>
          <w:p>
            <w:pPr>
              <w:adjustRightInd w:val="0"/>
              <w:snapToGrid w:val="0"/>
              <w:jc w:val="center"/>
              <w:rPr>
                <w:color w:val="auto"/>
                <w:sz w:val="24"/>
              </w:rPr>
            </w:pPr>
            <w:r>
              <w:rPr>
                <w:color w:val="auto"/>
                <w:sz w:val="24"/>
              </w:rPr>
              <w:t>项目审批（核准/备案）部门</w:t>
            </w:r>
          </w:p>
          <w:p>
            <w:pPr>
              <w:adjustRightInd w:val="0"/>
              <w:snapToGrid w:val="0"/>
              <w:jc w:val="center"/>
              <w:rPr>
                <w:color w:val="auto"/>
                <w:sz w:val="24"/>
              </w:rPr>
            </w:pPr>
            <w:r>
              <w:rPr>
                <w:color w:val="auto"/>
                <w:sz w:val="24"/>
              </w:rPr>
              <w:t>（选填）</w:t>
            </w:r>
          </w:p>
        </w:tc>
        <w:tc>
          <w:tcPr>
            <w:tcW w:w="2126" w:type="dxa"/>
            <w:vAlign w:val="center"/>
          </w:tcPr>
          <w:p>
            <w:pPr>
              <w:adjustRightInd w:val="0"/>
              <w:snapToGrid w:val="0"/>
              <w:jc w:val="center"/>
              <w:rPr>
                <w:color w:val="auto"/>
                <w:sz w:val="24"/>
              </w:rPr>
            </w:pPr>
            <w:r>
              <w:rPr>
                <w:color w:val="auto"/>
                <w:sz w:val="24"/>
              </w:rPr>
              <w:t>新吴区行政审批局</w:t>
            </w:r>
          </w:p>
        </w:tc>
        <w:tc>
          <w:tcPr>
            <w:tcW w:w="2212" w:type="dxa"/>
            <w:vAlign w:val="center"/>
          </w:tcPr>
          <w:p>
            <w:pPr>
              <w:jc w:val="center"/>
              <w:rPr>
                <w:color w:val="auto"/>
                <w:sz w:val="24"/>
              </w:rPr>
            </w:pPr>
            <w:r>
              <w:rPr>
                <w:color w:val="auto"/>
                <w:sz w:val="24"/>
              </w:rPr>
              <w:t>项目审批文号</w:t>
            </w:r>
          </w:p>
        </w:tc>
        <w:tc>
          <w:tcPr>
            <w:tcW w:w="3035" w:type="dxa"/>
            <w:vAlign w:val="center"/>
          </w:tcPr>
          <w:p>
            <w:pPr>
              <w:jc w:val="center"/>
              <w:rPr>
                <w:color w:val="auto"/>
                <w:sz w:val="24"/>
              </w:rPr>
            </w:pPr>
            <w:r>
              <w:rPr>
                <w:color w:val="auto"/>
                <w:sz w:val="24"/>
              </w:rPr>
              <w:t>锡新行审投备〔202</w:t>
            </w:r>
            <w:r>
              <w:rPr>
                <w:rFonts w:hint="eastAsia"/>
                <w:color w:val="auto"/>
                <w:sz w:val="24"/>
              </w:rPr>
              <w:t>3</w:t>
            </w:r>
            <w:r>
              <w:rPr>
                <w:color w:val="auto"/>
                <w:sz w:val="24"/>
              </w:rPr>
              <w:t>〕15号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1" w:hRule="atLeast"/>
          <w:jc w:val="center"/>
        </w:trPr>
        <w:tc>
          <w:tcPr>
            <w:tcW w:w="1893" w:type="dxa"/>
            <w:tcMar>
              <w:top w:w="16" w:type="dxa"/>
              <w:left w:w="16" w:type="dxa"/>
              <w:right w:w="16" w:type="dxa"/>
            </w:tcMar>
            <w:vAlign w:val="center"/>
          </w:tcPr>
          <w:p>
            <w:pPr>
              <w:adjustRightInd w:val="0"/>
              <w:snapToGrid w:val="0"/>
              <w:jc w:val="center"/>
              <w:rPr>
                <w:color w:val="auto"/>
                <w:sz w:val="24"/>
              </w:rPr>
            </w:pPr>
            <w:r>
              <w:rPr>
                <w:color w:val="auto"/>
                <w:sz w:val="24"/>
              </w:rPr>
              <w:t>总投资（万元）</w:t>
            </w:r>
          </w:p>
        </w:tc>
        <w:tc>
          <w:tcPr>
            <w:tcW w:w="2126" w:type="dxa"/>
            <w:vAlign w:val="center"/>
          </w:tcPr>
          <w:p>
            <w:pPr>
              <w:adjustRightInd w:val="0"/>
              <w:snapToGrid w:val="0"/>
              <w:jc w:val="center"/>
              <w:rPr>
                <w:color w:val="auto"/>
                <w:sz w:val="24"/>
              </w:rPr>
            </w:pPr>
            <w:r>
              <w:rPr>
                <w:rFonts w:hint="eastAsia"/>
                <w:color w:val="auto"/>
                <w:sz w:val="24"/>
              </w:rPr>
              <w:t>5000</w:t>
            </w:r>
          </w:p>
        </w:tc>
        <w:tc>
          <w:tcPr>
            <w:tcW w:w="2212" w:type="dxa"/>
            <w:tcMar>
              <w:top w:w="16" w:type="dxa"/>
              <w:left w:w="16" w:type="dxa"/>
              <w:right w:w="16" w:type="dxa"/>
            </w:tcMar>
            <w:vAlign w:val="center"/>
          </w:tcPr>
          <w:p>
            <w:pPr>
              <w:adjustRightInd w:val="0"/>
              <w:snapToGrid w:val="0"/>
              <w:jc w:val="center"/>
              <w:rPr>
                <w:color w:val="auto"/>
                <w:sz w:val="24"/>
              </w:rPr>
            </w:pPr>
            <w:r>
              <w:rPr>
                <w:color w:val="auto"/>
                <w:sz w:val="24"/>
              </w:rPr>
              <w:t>环保投资（万元）</w:t>
            </w:r>
          </w:p>
        </w:tc>
        <w:tc>
          <w:tcPr>
            <w:tcW w:w="3035" w:type="dxa"/>
            <w:vAlign w:val="center"/>
          </w:tcPr>
          <w:p>
            <w:pPr>
              <w:adjustRightInd w:val="0"/>
              <w:snapToGrid w:val="0"/>
              <w:jc w:val="center"/>
              <w:rPr>
                <w:color w:val="auto"/>
                <w:sz w:val="24"/>
              </w:rPr>
            </w:pPr>
            <w:r>
              <w:rPr>
                <w:color w:val="auto"/>
                <w:sz w:val="24"/>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3" w:type="dxa"/>
            <w:tcMar>
              <w:top w:w="16" w:type="dxa"/>
              <w:left w:w="16" w:type="dxa"/>
              <w:right w:w="16" w:type="dxa"/>
            </w:tcMar>
            <w:vAlign w:val="center"/>
          </w:tcPr>
          <w:p>
            <w:pPr>
              <w:adjustRightInd w:val="0"/>
              <w:snapToGrid w:val="0"/>
              <w:jc w:val="center"/>
              <w:rPr>
                <w:color w:val="auto"/>
                <w:sz w:val="24"/>
              </w:rPr>
            </w:pPr>
            <w:r>
              <w:rPr>
                <w:color w:val="auto"/>
                <w:sz w:val="24"/>
              </w:rPr>
              <w:t>环保投资占比（%）</w:t>
            </w:r>
          </w:p>
        </w:tc>
        <w:tc>
          <w:tcPr>
            <w:tcW w:w="2126" w:type="dxa"/>
            <w:vAlign w:val="center"/>
          </w:tcPr>
          <w:p>
            <w:pPr>
              <w:adjustRightInd w:val="0"/>
              <w:snapToGrid w:val="0"/>
              <w:jc w:val="center"/>
              <w:rPr>
                <w:color w:val="auto"/>
                <w:sz w:val="24"/>
              </w:rPr>
            </w:pPr>
            <w:r>
              <w:rPr>
                <w:color w:val="auto"/>
                <w:sz w:val="24"/>
              </w:rPr>
              <w:t>2</w:t>
            </w:r>
          </w:p>
        </w:tc>
        <w:tc>
          <w:tcPr>
            <w:tcW w:w="2212" w:type="dxa"/>
            <w:tcMar>
              <w:top w:w="16" w:type="dxa"/>
              <w:left w:w="16" w:type="dxa"/>
              <w:right w:w="16" w:type="dxa"/>
            </w:tcMar>
            <w:vAlign w:val="center"/>
          </w:tcPr>
          <w:p>
            <w:pPr>
              <w:adjustRightInd w:val="0"/>
              <w:snapToGrid w:val="0"/>
              <w:jc w:val="center"/>
              <w:rPr>
                <w:color w:val="auto"/>
                <w:sz w:val="24"/>
              </w:rPr>
            </w:pPr>
            <w:r>
              <w:rPr>
                <w:color w:val="auto"/>
                <w:sz w:val="24"/>
              </w:rPr>
              <w:t>施工工期</w:t>
            </w:r>
          </w:p>
        </w:tc>
        <w:tc>
          <w:tcPr>
            <w:tcW w:w="3035" w:type="dxa"/>
            <w:vAlign w:val="center"/>
          </w:tcPr>
          <w:p>
            <w:pPr>
              <w:adjustRightInd w:val="0"/>
              <w:snapToGrid w:val="0"/>
              <w:jc w:val="center"/>
              <w:rPr>
                <w:color w:val="auto"/>
                <w:sz w:val="24"/>
              </w:rPr>
            </w:pPr>
            <w:r>
              <w:rPr>
                <w:color w:val="auto"/>
                <w:sz w:val="24"/>
              </w:rPr>
              <w:t>202</w:t>
            </w:r>
            <w:r>
              <w:rPr>
                <w:rFonts w:hint="eastAsia"/>
                <w:color w:val="auto"/>
                <w:sz w:val="24"/>
              </w:rPr>
              <w:t>3</w:t>
            </w:r>
            <w:r>
              <w:rPr>
                <w:color w:val="auto"/>
                <w:sz w:val="24"/>
              </w:rPr>
              <w:t>年</w:t>
            </w:r>
            <w:r>
              <w:rPr>
                <w:rFonts w:hint="eastAsia"/>
                <w:color w:val="auto"/>
                <w:sz w:val="24"/>
                <w:lang w:val="en-US" w:eastAsia="zh-CN"/>
              </w:rPr>
              <w:t>3</w:t>
            </w:r>
            <w:r>
              <w:rPr>
                <w:color w:val="auto"/>
                <w:sz w:val="24"/>
              </w:rPr>
              <w:t>月~202</w:t>
            </w:r>
            <w:r>
              <w:rPr>
                <w:rFonts w:hint="eastAsia"/>
                <w:color w:val="auto"/>
                <w:sz w:val="24"/>
              </w:rPr>
              <w:t>3</w:t>
            </w:r>
            <w:r>
              <w:rPr>
                <w:color w:val="auto"/>
                <w:sz w:val="24"/>
              </w:rPr>
              <w:t>年</w:t>
            </w:r>
            <w:r>
              <w:rPr>
                <w:rFonts w:hint="eastAsia"/>
                <w:color w:val="auto"/>
                <w:sz w:val="24"/>
                <w:lang w:val="en-US" w:eastAsia="zh-CN"/>
              </w:rPr>
              <w:t>4</w:t>
            </w:r>
            <w:r>
              <w:rPr>
                <w:color w:val="auto"/>
                <w:sz w:val="24"/>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3" w:type="dxa"/>
            <w:tcMar>
              <w:top w:w="16" w:type="dxa"/>
              <w:left w:w="16" w:type="dxa"/>
              <w:right w:w="16" w:type="dxa"/>
            </w:tcMar>
            <w:vAlign w:val="center"/>
          </w:tcPr>
          <w:p>
            <w:pPr>
              <w:adjustRightInd w:val="0"/>
              <w:snapToGrid w:val="0"/>
              <w:jc w:val="center"/>
              <w:rPr>
                <w:color w:val="auto"/>
                <w:sz w:val="24"/>
              </w:rPr>
            </w:pPr>
            <w:r>
              <w:rPr>
                <w:color w:val="auto"/>
                <w:sz w:val="24"/>
              </w:rPr>
              <w:t>是否开工建设</w:t>
            </w:r>
          </w:p>
        </w:tc>
        <w:tc>
          <w:tcPr>
            <w:tcW w:w="2126" w:type="dxa"/>
            <w:vAlign w:val="center"/>
          </w:tcPr>
          <w:p>
            <w:pPr>
              <w:adjustRightInd w:val="0"/>
              <w:snapToGrid w:val="0"/>
              <w:rPr>
                <w:color w:val="auto"/>
                <w:sz w:val="24"/>
              </w:rPr>
            </w:pPr>
            <w:r>
              <w:rPr>
                <w:color w:val="auto"/>
                <w:sz w:val="24"/>
              </w:rPr>
              <w:t>☑否</w:t>
            </w:r>
          </w:p>
          <w:p>
            <w:pPr>
              <w:adjustRightInd w:val="0"/>
              <w:snapToGrid w:val="0"/>
              <w:rPr>
                <w:color w:val="auto"/>
                <w:sz w:val="24"/>
              </w:rPr>
            </w:pPr>
            <w:r>
              <w:rPr>
                <w:color w:val="auto"/>
                <w:sz w:val="24"/>
              </w:rPr>
              <w:t>□是：</w:t>
            </w:r>
            <w:r>
              <w:rPr>
                <w:color w:val="auto"/>
                <w:sz w:val="24"/>
                <w:u w:val="single"/>
              </w:rPr>
              <w:t xml:space="preserve">             </w:t>
            </w:r>
          </w:p>
        </w:tc>
        <w:tc>
          <w:tcPr>
            <w:tcW w:w="2212" w:type="dxa"/>
            <w:tcMar>
              <w:top w:w="16" w:type="dxa"/>
              <w:left w:w="16" w:type="dxa"/>
              <w:right w:w="16" w:type="dxa"/>
            </w:tcMar>
            <w:vAlign w:val="center"/>
          </w:tcPr>
          <w:p>
            <w:pPr>
              <w:adjustRightInd w:val="0"/>
              <w:snapToGrid w:val="0"/>
              <w:jc w:val="center"/>
              <w:rPr>
                <w:color w:val="auto"/>
                <w:sz w:val="24"/>
              </w:rPr>
            </w:pPr>
            <w:r>
              <w:rPr>
                <w:color w:val="auto"/>
                <w:spacing w:val="-6"/>
                <w:sz w:val="24"/>
              </w:rPr>
              <w:t>用地面积（m</w:t>
            </w:r>
            <w:r>
              <w:rPr>
                <w:color w:val="auto"/>
                <w:spacing w:val="-6"/>
                <w:sz w:val="24"/>
                <w:vertAlign w:val="superscript"/>
              </w:rPr>
              <w:t>2</w:t>
            </w:r>
            <w:r>
              <w:rPr>
                <w:color w:val="auto"/>
                <w:spacing w:val="-6"/>
                <w:sz w:val="24"/>
              </w:rPr>
              <w:t>）</w:t>
            </w:r>
          </w:p>
        </w:tc>
        <w:tc>
          <w:tcPr>
            <w:tcW w:w="3035" w:type="dxa"/>
            <w:vAlign w:val="center"/>
          </w:tcPr>
          <w:p>
            <w:pPr>
              <w:adjustRightInd w:val="0"/>
              <w:snapToGrid w:val="0"/>
              <w:jc w:val="center"/>
              <w:rPr>
                <w:color w:val="auto"/>
                <w:sz w:val="24"/>
              </w:rPr>
            </w:pPr>
            <w:r>
              <w:rPr>
                <w:rFonts w:hint="eastAsia"/>
                <w:color w:val="auto"/>
                <w:sz w:val="24"/>
              </w:rPr>
              <w:t>租赁建筑面积11584.97，占地面积15953.56</w:t>
            </w:r>
            <w:r>
              <w:rPr>
                <w:color w:val="auto"/>
              </w:rPr>
              <w:commentReference w:id="0"/>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9" w:hRule="atLeast"/>
          <w:jc w:val="center"/>
        </w:trPr>
        <w:tc>
          <w:tcPr>
            <w:tcW w:w="1893" w:type="dxa"/>
            <w:tcBorders>
              <w:bottom w:val="single" w:color="000000" w:sz="4" w:space="0"/>
            </w:tcBorders>
            <w:vAlign w:val="center"/>
          </w:tcPr>
          <w:p>
            <w:pPr>
              <w:autoSpaceDE w:val="0"/>
              <w:autoSpaceDN w:val="0"/>
              <w:adjustRightInd w:val="0"/>
              <w:snapToGrid w:val="0"/>
              <w:jc w:val="center"/>
              <w:rPr>
                <w:color w:val="auto"/>
                <w:kern w:val="0"/>
                <w:sz w:val="24"/>
              </w:rPr>
            </w:pPr>
            <w:r>
              <w:rPr>
                <w:color w:val="auto"/>
                <w:kern w:val="0"/>
                <w:sz w:val="24"/>
              </w:rPr>
              <w:t>专项评价</w:t>
            </w:r>
          </w:p>
          <w:p>
            <w:pPr>
              <w:autoSpaceDE w:val="0"/>
              <w:autoSpaceDN w:val="0"/>
              <w:adjustRightInd w:val="0"/>
              <w:snapToGrid w:val="0"/>
              <w:jc w:val="center"/>
              <w:rPr>
                <w:color w:val="auto"/>
                <w:kern w:val="0"/>
                <w:sz w:val="24"/>
              </w:rPr>
            </w:pPr>
            <w:r>
              <w:rPr>
                <w:color w:val="auto"/>
                <w:kern w:val="0"/>
                <w:sz w:val="24"/>
              </w:rPr>
              <w:t>设置情况</w:t>
            </w:r>
          </w:p>
        </w:tc>
        <w:tc>
          <w:tcPr>
            <w:tcW w:w="7373" w:type="dxa"/>
            <w:gridSpan w:val="3"/>
            <w:tcBorders>
              <w:bottom w:val="single" w:color="000000" w:sz="4" w:space="0"/>
            </w:tcBorders>
            <w:vAlign w:val="center"/>
          </w:tcPr>
          <w:p>
            <w:pPr>
              <w:widowControl/>
              <w:spacing w:line="440" w:lineRule="exact"/>
              <w:ind w:firstLine="480" w:firstLineChars="200"/>
              <w:rPr>
                <w:color w:val="auto"/>
                <w:kern w:val="0"/>
                <w:sz w:val="24"/>
              </w:rPr>
            </w:pPr>
            <w:r>
              <w:rPr>
                <w:rFonts w:hint="eastAsia"/>
                <w:color w:val="auto"/>
                <w:sz w:val="24"/>
              </w:rPr>
              <w:t>无。</w:t>
            </w:r>
            <w:r>
              <w:rPr>
                <w:color w:val="auto"/>
                <w:sz w:val="24"/>
              </w:rPr>
              <w:t>本项目属于《建设项目环境影响评价分类管理名录》（2021年）中</w:t>
            </w:r>
            <w:r>
              <w:rPr>
                <w:rFonts w:hint="eastAsia"/>
                <w:color w:val="auto"/>
                <w:sz w:val="24"/>
              </w:rPr>
              <w:t>“</w:t>
            </w:r>
            <w:r>
              <w:rPr>
                <w:color w:val="auto"/>
                <w:sz w:val="24"/>
              </w:rPr>
              <w:t>三十、金属制</w:t>
            </w:r>
            <w:r>
              <w:rPr>
                <w:rFonts w:hint="eastAsia"/>
                <w:color w:val="auto"/>
                <w:sz w:val="24"/>
              </w:rPr>
              <w:t>品</w:t>
            </w:r>
            <w:r>
              <w:rPr>
                <w:color w:val="auto"/>
                <w:sz w:val="24"/>
              </w:rPr>
              <w:t>业33-6</w:t>
            </w:r>
            <w:r>
              <w:rPr>
                <w:rFonts w:hint="eastAsia"/>
                <w:color w:val="auto"/>
                <w:sz w:val="24"/>
              </w:rPr>
              <w:t>6结构性金属制品制造331</w:t>
            </w:r>
            <w:r>
              <w:rPr>
                <w:color w:val="auto"/>
                <w:sz w:val="24"/>
              </w:rPr>
              <w:t>-其他</w:t>
            </w:r>
            <w:r>
              <w:rPr>
                <w:rFonts w:hint="eastAsia"/>
                <w:color w:val="auto"/>
                <w:sz w:val="24"/>
              </w:rPr>
              <w:t>（仅分割、焊接、组装的除外；年用非溶剂型低VOCs含量涂料10吨以下的除外）、三十二、专用设备制造业35-70化工、木材、非金属加工专用设备制造352-其他（仅分割、焊接、组装的除外；年用非溶剂型低VOCs含量涂料10吨以下的除外）”</w:t>
            </w:r>
            <w:r>
              <w:rPr>
                <w:color w:val="auto"/>
                <w:sz w:val="24"/>
              </w:rPr>
              <w:t>类别，应编制环评报告表</w:t>
            </w:r>
            <w:r>
              <w:rPr>
                <w:rFonts w:hint="eastAsia"/>
                <w:color w:val="auto"/>
                <w:sz w:val="24"/>
              </w:rPr>
              <w:t>。</w:t>
            </w:r>
            <w:r>
              <w:rPr>
                <w:color w:val="auto"/>
                <w:kern w:val="0"/>
                <w:sz w:val="24"/>
              </w:rPr>
              <w:t>根据《建设项目环境影响报告表编制技术指南（污染影响类）（试行）》表1要求，详见表1-1。</w:t>
            </w:r>
          </w:p>
          <w:p>
            <w:pPr>
              <w:numPr>
                <w:ilvl w:val="0"/>
                <w:numId w:val="2"/>
              </w:numPr>
              <w:jc w:val="center"/>
              <w:rPr>
                <w:b/>
                <w:bCs/>
                <w:color w:val="auto"/>
                <w:sz w:val="24"/>
              </w:rPr>
            </w:pPr>
            <w:r>
              <w:rPr>
                <w:b/>
                <w:bCs/>
                <w:color w:val="auto"/>
                <w:sz w:val="24"/>
              </w:rPr>
              <w:t>专项评价设置原则表</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4629"/>
              <w:gridCol w:w="11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986" w:type="pct"/>
                  <w:tcBorders>
                    <w:tl2br w:val="nil"/>
                    <w:tr2bl w:val="nil"/>
                  </w:tcBorders>
                  <w:vAlign w:val="center"/>
                </w:tcPr>
                <w:p>
                  <w:pPr>
                    <w:autoSpaceDE w:val="0"/>
                    <w:autoSpaceDN w:val="0"/>
                    <w:adjustRightInd w:val="0"/>
                    <w:snapToGrid w:val="0"/>
                    <w:jc w:val="center"/>
                    <w:rPr>
                      <w:b/>
                      <w:bCs/>
                      <w:color w:val="auto"/>
                      <w:szCs w:val="21"/>
                    </w:rPr>
                  </w:pPr>
                  <w:r>
                    <w:rPr>
                      <w:b/>
                      <w:bCs/>
                      <w:color w:val="auto"/>
                      <w:szCs w:val="21"/>
                    </w:rPr>
                    <w:t>专项评价</w:t>
                  </w:r>
                </w:p>
                <w:p>
                  <w:pPr>
                    <w:autoSpaceDE w:val="0"/>
                    <w:autoSpaceDN w:val="0"/>
                    <w:adjustRightInd w:val="0"/>
                    <w:snapToGrid w:val="0"/>
                    <w:jc w:val="center"/>
                    <w:rPr>
                      <w:color w:val="auto"/>
                      <w:kern w:val="0"/>
                      <w:szCs w:val="21"/>
                    </w:rPr>
                  </w:pPr>
                  <w:r>
                    <w:rPr>
                      <w:b/>
                      <w:bCs/>
                      <w:color w:val="auto"/>
                      <w:szCs w:val="21"/>
                    </w:rPr>
                    <w:t>的类别</w:t>
                  </w:r>
                </w:p>
              </w:tc>
              <w:tc>
                <w:tcPr>
                  <w:tcW w:w="3233" w:type="pct"/>
                  <w:tcBorders>
                    <w:tl2br w:val="nil"/>
                    <w:tr2bl w:val="nil"/>
                  </w:tcBorders>
                  <w:tcMar>
                    <w:top w:w="0" w:type="dxa"/>
                    <w:left w:w="0" w:type="dxa"/>
                    <w:bottom w:w="0" w:type="dxa"/>
                    <w:right w:w="0" w:type="dxa"/>
                  </w:tcMar>
                  <w:vAlign w:val="center"/>
                </w:tcPr>
                <w:p>
                  <w:pPr>
                    <w:autoSpaceDE w:val="0"/>
                    <w:autoSpaceDN w:val="0"/>
                    <w:adjustRightInd w:val="0"/>
                    <w:snapToGrid w:val="0"/>
                    <w:jc w:val="center"/>
                    <w:rPr>
                      <w:color w:val="auto"/>
                      <w:kern w:val="0"/>
                      <w:szCs w:val="21"/>
                    </w:rPr>
                  </w:pPr>
                  <w:r>
                    <w:rPr>
                      <w:b/>
                      <w:bCs/>
                      <w:color w:val="auto"/>
                      <w:szCs w:val="21"/>
                    </w:rPr>
                    <w:t>设置原则</w:t>
                  </w:r>
                </w:p>
              </w:tc>
              <w:tc>
                <w:tcPr>
                  <w:tcW w:w="779" w:type="pct"/>
                  <w:tcBorders>
                    <w:tl2br w:val="nil"/>
                    <w:tr2bl w:val="nil"/>
                  </w:tcBorders>
                  <w:vAlign w:val="center"/>
                </w:tcPr>
                <w:p>
                  <w:pPr>
                    <w:autoSpaceDE w:val="0"/>
                    <w:autoSpaceDN w:val="0"/>
                    <w:adjustRightInd w:val="0"/>
                    <w:snapToGrid w:val="0"/>
                    <w:jc w:val="center"/>
                    <w:rPr>
                      <w:color w:val="auto"/>
                      <w:kern w:val="0"/>
                      <w:szCs w:val="21"/>
                    </w:rPr>
                  </w:pPr>
                  <w:r>
                    <w:rPr>
                      <w:b/>
                      <w:bCs/>
                      <w:color w:val="auto"/>
                      <w:szCs w:val="21"/>
                    </w:rPr>
                    <w:t>专项设置情况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986" w:type="pct"/>
                  <w:tcBorders>
                    <w:tl2br w:val="nil"/>
                    <w:tr2bl w:val="nil"/>
                  </w:tcBorders>
                  <w:vAlign w:val="center"/>
                </w:tcPr>
                <w:p>
                  <w:pPr>
                    <w:autoSpaceDE w:val="0"/>
                    <w:autoSpaceDN w:val="0"/>
                    <w:adjustRightInd w:val="0"/>
                    <w:snapToGrid w:val="0"/>
                    <w:jc w:val="center"/>
                    <w:rPr>
                      <w:color w:val="auto"/>
                      <w:kern w:val="0"/>
                      <w:szCs w:val="21"/>
                    </w:rPr>
                  </w:pPr>
                  <w:r>
                    <w:rPr>
                      <w:color w:val="auto"/>
                      <w:szCs w:val="21"/>
                    </w:rPr>
                    <w:t>大气</w:t>
                  </w:r>
                </w:p>
              </w:tc>
              <w:tc>
                <w:tcPr>
                  <w:tcW w:w="3233" w:type="pct"/>
                  <w:tcBorders>
                    <w:tl2br w:val="nil"/>
                    <w:tr2bl w:val="nil"/>
                  </w:tcBorders>
                  <w:tcMar>
                    <w:top w:w="0" w:type="dxa"/>
                    <w:left w:w="0" w:type="dxa"/>
                    <w:bottom w:w="0" w:type="dxa"/>
                    <w:right w:w="0" w:type="dxa"/>
                  </w:tcMar>
                  <w:vAlign w:val="center"/>
                </w:tcPr>
                <w:p>
                  <w:pPr>
                    <w:widowControl/>
                    <w:jc w:val="left"/>
                    <w:rPr>
                      <w:color w:val="auto"/>
                      <w:kern w:val="0"/>
                      <w:szCs w:val="21"/>
                    </w:rPr>
                  </w:pPr>
                  <w:r>
                    <w:rPr>
                      <w:color w:val="auto"/>
                      <w:kern w:val="0"/>
                      <w:szCs w:val="21"/>
                      <w:lang w:bidi="ar"/>
                    </w:rPr>
                    <w:t>排放废气含有毒有害污染物</w:t>
                  </w:r>
                  <w:r>
                    <w:rPr>
                      <w:color w:val="auto"/>
                      <w:kern w:val="0"/>
                      <w:szCs w:val="21"/>
                      <w:vertAlign w:val="superscript"/>
                      <w:lang w:bidi="ar"/>
                    </w:rPr>
                    <w:t>1</w:t>
                  </w:r>
                  <w:r>
                    <w:rPr>
                      <w:color w:val="auto"/>
                      <w:kern w:val="0"/>
                      <w:szCs w:val="21"/>
                      <w:lang w:bidi="ar"/>
                    </w:rPr>
                    <w:t>、二噁英、苯并[a]芘、氰化物、氯气且厂界外500米范围内有环境空气保护目标</w:t>
                  </w:r>
                  <w:r>
                    <w:rPr>
                      <w:color w:val="auto"/>
                      <w:kern w:val="0"/>
                      <w:szCs w:val="21"/>
                      <w:vertAlign w:val="superscript"/>
                      <w:lang w:bidi="ar"/>
                    </w:rPr>
                    <w:t>2</w:t>
                  </w:r>
                  <w:r>
                    <w:rPr>
                      <w:color w:val="auto"/>
                      <w:kern w:val="0"/>
                      <w:szCs w:val="21"/>
                      <w:lang w:bidi="ar"/>
                    </w:rPr>
                    <w:t>的建设项目</w:t>
                  </w:r>
                </w:p>
              </w:tc>
              <w:tc>
                <w:tcPr>
                  <w:tcW w:w="779" w:type="pct"/>
                  <w:tcBorders>
                    <w:tl2br w:val="nil"/>
                    <w:tr2bl w:val="nil"/>
                  </w:tcBorders>
                  <w:vAlign w:val="center"/>
                </w:tcPr>
                <w:p>
                  <w:pPr>
                    <w:autoSpaceDE w:val="0"/>
                    <w:autoSpaceDN w:val="0"/>
                    <w:adjustRightInd w:val="0"/>
                    <w:snapToGrid w:val="0"/>
                    <w:jc w:val="center"/>
                    <w:rPr>
                      <w:color w:val="auto"/>
                      <w:kern w:val="0"/>
                      <w:szCs w:val="21"/>
                    </w:rPr>
                  </w:pPr>
                  <w:r>
                    <w:rPr>
                      <w:color w:val="auto"/>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986" w:type="pct"/>
                  <w:tcBorders>
                    <w:tl2br w:val="nil"/>
                    <w:tr2bl w:val="nil"/>
                  </w:tcBorders>
                  <w:vAlign w:val="center"/>
                </w:tcPr>
                <w:p>
                  <w:pPr>
                    <w:autoSpaceDE w:val="0"/>
                    <w:autoSpaceDN w:val="0"/>
                    <w:adjustRightInd w:val="0"/>
                    <w:snapToGrid w:val="0"/>
                    <w:jc w:val="center"/>
                    <w:rPr>
                      <w:color w:val="auto"/>
                      <w:kern w:val="0"/>
                      <w:szCs w:val="21"/>
                    </w:rPr>
                  </w:pPr>
                  <w:r>
                    <w:rPr>
                      <w:color w:val="auto"/>
                      <w:szCs w:val="21"/>
                    </w:rPr>
                    <w:t>地表水</w:t>
                  </w:r>
                </w:p>
              </w:tc>
              <w:tc>
                <w:tcPr>
                  <w:tcW w:w="3233" w:type="pct"/>
                  <w:tcBorders>
                    <w:tl2br w:val="nil"/>
                    <w:tr2bl w:val="nil"/>
                  </w:tcBorders>
                  <w:tcMar>
                    <w:top w:w="0" w:type="dxa"/>
                    <w:left w:w="0" w:type="dxa"/>
                    <w:bottom w:w="0" w:type="dxa"/>
                    <w:right w:w="0" w:type="dxa"/>
                  </w:tcMar>
                  <w:vAlign w:val="center"/>
                </w:tcPr>
                <w:p>
                  <w:pPr>
                    <w:widowControl/>
                    <w:jc w:val="left"/>
                    <w:rPr>
                      <w:color w:val="auto"/>
                      <w:kern w:val="0"/>
                      <w:szCs w:val="21"/>
                    </w:rPr>
                  </w:pPr>
                  <w:r>
                    <w:rPr>
                      <w:color w:val="auto"/>
                      <w:kern w:val="0"/>
                      <w:szCs w:val="21"/>
                      <w:lang w:bidi="ar"/>
                    </w:rPr>
                    <w:t>新增工业废水直排建设项目（槽罐车外送污水处理厂的除外）；新增废水直排的污水集中处理厂</w:t>
                  </w:r>
                </w:p>
              </w:tc>
              <w:tc>
                <w:tcPr>
                  <w:tcW w:w="779" w:type="pct"/>
                  <w:tcBorders>
                    <w:tl2br w:val="nil"/>
                    <w:tr2bl w:val="nil"/>
                  </w:tcBorders>
                  <w:vAlign w:val="center"/>
                </w:tcPr>
                <w:p>
                  <w:pPr>
                    <w:autoSpaceDE w:val="0"/>
                    <w:autoSpaceDN w:val="0"/>
                    <w:adjustRightInd w:val="0"/>
                    <w:snapToGrid w:val="0"/>
                    <w:jc w:val="center"/>
                    <w:rPr>
                      <w:color w:val="auto"/>
                      <w:kern w:val="0"/>
                      <w:szCs w:val="21"/>
                    </w:rPr>
                  </w:pPr>
                  <w:r>
                    <w:rPr>
                      <w:color w:val="auto"/>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86" w:type="pct"/>
                  <w:tcBorders>
                    <w:tl2br w:val="nil"/>
                    <w:tr2bl w:val="nil"/>
                  </w:tcBorders>
                  <w:vAlign w:val="center"/>
                </w:tcPr>
                <w:p>
                  <w:pPr>
                    <w:autoSpaceDE w:val="0"/>
                    <w:autoSpaceDN w:val="0"/>
                    <w:adjustRightInd w:val="0"/>
                    <w:snapToGrid w:val="0"/>
                    <w:jc w:val="center"/>
                    <w:rPr>
                      <w:color w:val="auto"/>
                      <w:kern w:val="0"/>
                      <w:szCs w:val="21"/>
                    </w:rPr>
                  </w:pPr>
                  <w:r>
                    <w:rPr>
                      <w:color w:val="auto"/>
                      <w:szCs w:val="21"/>
                    </w:rPr>
                    <w:t>环境风险</w:t>
                  </w:r>
                </w:p>
              </w:tc>
              <w:tc>
                <w:tcPr>
                  <w:tcW w:w="3233" w:type="pct"/>
                  <w:tcBorders>
                    <w:tl2br w:val="nil"/>
                    <w:tr2bl w:val="nil"/>
                  </w:tcBorders>
                  <w:tcMar>
                    <w:top w:w="0" w:type="dxa"/>
                    <w:left w:w="0" w:type="dxa"/>
                    <w:bottom w:w="0" w:type="dxa"/>
                    <w:right w:w="0" w:type="dxa"/>
                  </w:tcMar>
                  <w:vAlign w:val="center"/>
                </w:tcPr>
                <w:p>
                  <w:pPr>
                    <w:autoSpaceDE w:val="0"/>
                    <w:autoSpaceDN w:val="0"/>
                    <w:adjustRightInd w:val="0"/>
                    <w:snapToGrid w:val="0"/>
                    <w:rPr>
                      <w:color w:val="auto"/>
                      <w:kern w:val="0"/>
                      <w:szCs w:val="21"/>
                    </w:rPr>
                  </w:pPr>
                  <w:r>
                    <w:rPr>
                      <w:color w:val="auto"/>
                      <w:kern w:val="0"/>
                      <w:szCs w:val="21"/>
                    </w:rPr>
                    <w:t>有毒有害和易燃易爆危险物质存储量超过临界量</w:t>
                  </w:r>
                  <w:r>
                    <w:rPr>
                      <w:color w:val="auto"/>
                      <w:kern w:val="0"/>
                      <w:szCs w:val="21"/>
                      <w:vertAlign w:val="superscript"/>
                    </w:rPr>
                    <w:t>3</w:t>
                  </w:r>
                  <w:r>
                    <w:rPr>
                      <w:color w:val="auto"/>
                      <w:kern w:val="0"/>
                      <w:szCs w:val="21"/>
                    </w:rPr>
                    <w:t>的建设项目</w:t>
                  </w:r>
                </w:p>
              </w:tc>
              <w:tc>
                <w:tcPr>
                  <w:tcW w:w="779" w:type="pct"/>
                  <w:tcBorders>
                    <w:tl2br w:val="nil"/>
                    <w:tr2bl w:val="nil"/>
                  </w:tcBorders>
                  <w:vAlign w:val="center"/>
                </w:tcPr>
                <w:p>
                  <w:pPr>
                    <w:autoSpaceDE w:val="0"/>
                    <w:autoSpaceDN w:val="0"/>
                    <w:adjustRightInd w:val="0"/>
                    <w:snapToGrid w:val="0"/>
                    <w:jc w:val="center"/>
                    <w:rPr>
                      <w:color w:val="auto"/>
                      <w:kern w:val="0"/>
                      <w:szCs w:val="21"/>
                    </w:rPr>
                  </w:pPr>
                  <w:r>
                    <w:rPr>
                      <w:rFonts w:hint="eastAsia"/>
                      <w:color w:val="auto"/>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986" w:type="pct"/>
                  <w:tcBorders>
                    <w:tl2br w:val="nil"/>
                    <w:tr2bl w:val="nil"/>
                  </w:tcBorders>
                  <w:vAlign w:val="center"/>
                </w:tcPr>
                <w:p>
                  <w:pPr>
                    <w:autoSpaceDE w:val="0"/>
                    <w:autoSpaceDN w:val="0"/>
                    <w:adjustRightInd w:val="0"/>
                    <w:snapToGrid w:val="0"/>
                    <w:jc w:val="center"/>
                    <w:rPr>
                      <w:color w:val="auto"/>
                      <w:szCs w:val="21"/>
                    </w:rPr>
                  </w:pPr>
                  <w:r>
                    <w:rPr>
                      <w:color w:val="auto"/>
                      <w:szCs w:val="21"/>
                    </w:rPr>
                    <w:t>生态</w:t>
                  </w:r>
                </w:p>
              </w:tc>
              <w:tc>
                <w:tcPr>
                  <w:tcW w:w="3233" w:type="pct"/>
                  <w:tcBorders>
                    <w:tl2br w:val="nil"/>
                    <w:tr2bl w:val="nil"/>
                  </w:tcBorders>
                  <w:tcMar>
                    <w:top w:w="0" w:type="dxa"/>
                    <w:left w:w="0" w:type="dxa"/>
                    <w:bottom w:w="0" w:type="dxa"/>
                    <w:right w:w="0" w:type="dxa"/>
                  </w:tcMar>
                  <w:vAlign w:val="center"/>
                </w:tcPr>
                <w:p>
                  <w:pPr>
                    <w:widowControl/>
                    <w:jc w:val="left"/>
                    <w:rPr>
                      <w:color w:val="auto"/>
                      <w:kern w:val="0"/>
                      <w:szCs w:val="21"/>
                    </w:rPr>
                  </w:pPr>
                  <w:r>
                    <w:rPr>
                      <w:color w:val="auto"/>
                      <w:kern w:val="0"/>
                      <w:szCs w:val="21"/>
                      <w:lang w:bidi="ar"/>
                    </w:rPr>
                    <w:t>取水口下游500米范围内有重要水生生物的自然产卵场、索饵场、越冬场和洄游通道的新增河道取水的污染类建设项目</w:t>
                  </w:r>
                </w:p>
              </w:tc>
              <w:tc>
                <w:tcPr>
                  <w:tcW w:w="779" w:type="pct"/>
                  <w:tcBorders>
                    <w:tl2br w:val="nil"/>
                    <w:tr2bl w:val="nil"/>
                  </w:tcBorders>
                  <w:vAlign w:val="center"/>
                </w:tcPr>
                <w:p>
                  <w:pPr>
                    <w:autoSpaceDE w:val="0"/>
                    <w:autoSpaceDN w:val="0"/>
                    <w:adjustRightInd w:val="0"/>
                    <w:snapToGrid w:val="0"/>
                    <w:jc w:val="center"/>
                    <w:rPr>
                      <w:color w:val="auto"/>
                      <w:szCs w:val="21"/>
                    </w:rPr>
                  </w:pPr>
                  <w:r>
                    <w:rPr>
                      <w:color w:val="auto"/>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986" w:type="pct"/>
                  <w:tcBorders>
                    <w:tl2br w:val="nil"/>
                    <w:tr2bl w:val="nil"/>
                  </w:tcBorders>
                  <w:vAlign w:val="center"/>
                </w:tcPr>
                <w:p>
                  <w:pPr>
                    <w:autoSpaceDE w:val="0"/>
                    <w:autoSpaceDN w:val="0"/>
                    <w:adjustRightInd w:val="0"/>
                    <w:snapToGrid w:val="0"/>
                    <w:jc w:val="center"/>
                    <w:rPr>
                      <w:color w:val="auto"/>
                      <w:szCs w:val="21"/>
                    </w:rPr>
                  </w:pPr>
                  <w:r>
                    <w:rPr>
                      <w:color w:val="auto"/>
                      <w:szCs w:val="21"/>
                    </w:rPr>
                    <w:t>海洋</w:t>
                  </w:r>
                </w:p>
              </w:tc>
              <w:tc>
                <w:tcPr>
                  <w:tcW w:w="3233" w:type="pct"/>
                  <w:tcBorders>
                    <w:tl2br w:val="nil"/>
                    <w:tr2bl w:val="nil"/>
                  </w:tcBorders>
                  <w:tcMar>
                    <w:top w:w="0" w:type="dxa"/>
                    <w:left w:w="0" w:type="dxa"/>
                    <w:bottom w:w="0" w:type="dxa"/>
                    <w:right w:w="0" w:type="dxa"/>
                  </w:tcMar>
                  <w:vAlign w:val="center"/>
                </w:tcPr>
                <w:p>
                  <w:pPr>
                    <w:widowControl/>
                    <w:jc w:val="left"/>
                    <w:rPr>
                      <w:color w:val="auto"/>
                      <w:kern w:val="0"/>
                      <w:szCs w:val="21"/>
                    </w:rPr>
                  </w:pPr>
                  <w:r>
                    <w:rPr>
                      <w:color w:val="auto"/>
                      <w:kern w:val="0"/>
                      <w:szCs w:val="21"/>
                      <w:lang w:bidi="ar"/>
                    </w:rPr>
                    <w:t>直接向海排放污染物的海洋工程建设项目</w:t>
                  </w:r>
                </w:p>
              </w:tc>
              <w:tc>
                <w:tcPr>
                  <w:tcW w:w="779" w:type="pct"/>
                  <w:tcBorders>
                    <w:tl2br w:val="nil"/>
                    <w:tr2bl w:val="nil"/>
                  </w:tcBorders>
                  <w:vAlign w:val="center"/>
                </w:tcPr>
                <w:p>
                  <w:pPr>
                    <w:autoSpaceDE w:val="0"/>
                    <w:autoSpaceDN w:val="0"/>
                    <w:adjustRightInd w:val="0"/>
                    <w:snapToGrid w:val="0"/>
                    <w:jc w:val="center"/>
                    <w:rPr>
                      <w:color w:val="auto"/>
                      <w:szCs w:val="21"/>
                    </w:rPr>
                  </w:pPr>
                  <w:r>
                    <w:rPr>
                      <w:color w:val="auto"/>
                      <w:szCs w:val="21"/>
                    </w:rPr>
                    <w:t>无</w:t>
                  </w:r>
                </w:p>
              </w:tc>
            </w:tr>
          </w:tbl>
          <w:p>
            <w:pPr>
              <w:autoSpaceDE w:val="0"/>
              <w:autoSpaceDN w:val="0"/>
              <w:adjustRightInd w:val="0"/>
              <w:snapToGrid w:val="0"/>
              <w:jc w:val="center"/>
              <w:rPr>
                <w:color w:val="auto"/>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3" w:hRule="atLeast"/>
          <w:jc w:val="center"/>
        </w:trPr>
        <w:tc>
          <w:tcPr>
            <w:tcW w:w="1893" w:type="dxa"/>
            <w:tcBorders>
              <w:top w:val="single" w:color="000000" w:sz="4" w:space="0"/>
              <w:bottom w:val="single" w:color="000000" w:sz="4" w:space="0"/>
            </w:tcBorders>
            <w:vAlign w:val="center"/>
          </w:tcPr>
          <w:p>
            <w:pPr>
              <w:autoSpaceDE w:val="0"/>
              <w:autoSpaceDN w:val="0"/>
              <w:adjustRightInd w:val="0"/>
              <w:snapToGrid w:val="0"/>
              <w:jc w:val="center"/>
              <w:rPr>
                <w:color w:val="auto"/>
                <w:kern w:val="0"/>
                <w:sz w:val="24"/>
              </w:rPr>
            </w:pPr>
            <w:r>
              <w:rPr>
                <w:color w:val="auto"/>
                <w:sz w:val="24"/>
              </w:rPr>
              <w:t>规划情况</w:t>
            </w:r>
          </w:p>
        </w:tc>
        <w:tc>
          <w:tcPr>
            <w:tcW w:w="7373" w:type="dxa"/>
            <w:gridSpan w:val="3"/>
            <w:tcBorders>
              <w:top w:val="single" w:color="000000" w:sz="4" w:space="0"/>
              <w:bottom w:val="single" w:color="000000" w:sz="4" w:space="0"/>
            </w:tcBorders>
            <w:vAlign w:val="center"/>
          </w:tcPr>
          <w:p>
            <w:pPr>
              <w:adjustRightInd w:val="0"/>
              <w:snapToGrid w:val="0"/>
              <w:spacing w:line="360" w:lineRule="auto"/>
              <w:rPr>
                <w:color w:val="auto"/>
                <w:sz w:val="24"/>
              </w:rPr>
            </w:pPr>
            <w:r>
              <w:rPr>
                <w:color w:val="auto"/>
                <w:sz w:val="24"/>
              </w:rPr>
              <w:t>规划名称：无锡市新吴区硕放街道鸿山街道梅村街道总体规划（2015-2030）</w:t>
            </w:r>
          </w:p>
          <w:p>
            <w:pPr>
              <w:adjustRightInd w:val="0"/>
              <w:snapToGrid w:val="0"/>
              <w:spacing w:line="360" w:lineRule="auto"/>
              <w:jc w:val="left"/>
              <w:rPr>
                <w:color w:val="auto"/>
                <w:sz w:val="24"/>
              </w:rPr>
            </w:pPr>
            <w:r>
              <w:rPr>
                <w:color w:val="auto"/>
                <w:sz w:val="24"/>
              </w:rPr>
              <w:t>审批机关：无锡市人民政府</w:t>
            </w:r>
          </w:p>
          <w:p>
            <w:pPr>
              <w:adjustRightInd w:val="0"/>
              <w:snapToGrid w:val="0"/>
              <w:spacing w:line="360" w:lineRule="auto"/>
              <w:jc w:val="left"/>
              <w:rPr>
                <w:color w:val="auto"/>
                <w:sz w:val="24"/>
              </w:rPr>
            </w:pPr>
            <w:r>
              <w:rPr>
                <w:color w:val="auto"/>
                <w:sz w:val="24"/>
              </w:rPr>
              <w:t>审批时间：2017年5月4日；</w:t>
            </w:r>
          </w:p>
          <w:p>
            <w:pPr>
              <w:autoSpaceDE w:val="0"/>
              <w:autoSpaceDN w:val="0"/>
              <w:adjustRightInd w:val="0"/>
              <w:snapToGrid w:val="0"/>
              <w:spacing w:line="360" w:lineRule="auto"/>
              <w:jc w:val="left"/>
              <w:rPr>
                <w:color w:val="auto"/>
                <w:sz w:val="24"/>
              </w:rPr>
            </w:pPr>
            <w:r>
              <w:rPr>
                <w:color w:val="auto"/>
                <w:sz w:val="24"/>
              </w:rPr>
              <w:t>批复文号：锡政复[2007]21 号。</w:t>
            </w:r>
          </w:p>
          <w:p>
            <w:pPr>
              <w:adjustRightInd w:val="0"/>
              <w:snapToGrid w:val="0"/>
              <w:spacing w:line="360" w:lineRule="auto"/>
              <w:jc w:val="left"/>
              <w:rPr>
                <w:color w:val="auto"/>
                <w:sz w:val="24"/>
              </w:rPr>
            </w:pPr>
            <w:r>
              <w:rPr>
                <w:color w:val="auto"/>
                <w:sz w:val="24"/>
              </w:rPr>
              <w:t>规划名称：《无锡新区高新区B区控制性详细规划（修编）》</w:t>
            </w:r>
          </w:p>
          <w:p>
            <w:pPr>
              <w:adjustRightInd w:val="0"/>
              <w:snapToGrid w:val="0"/>
              <w:spacing w:line="360" w:lineRule="auto"/>
              <w:jc w:val="left"/>
              <w:rPr>
                <w:color w:val="auto"/>
                <w:sz w:val="24"/>
              </w:rPr>
            </w:pPr>
            <w:r>
              <w:rPr>
                <w:color w:val="auto"/>
                <w:sz w:val="24"/>
              </w:rPr>
              <w:t>审批机关：无锡市人民政府</w:t>
            </w:r>
          </w:p>
          <w:p>
            <w:pPr>
              <w:adjustRightInd w:val="0"/>
              <w:snapToGrid w:val="0"/>
              <w:spacing w:line="360" w:lineRule="auto"/>
              <w:jc w:val="left"/>
              <w:rPr>
                <w:color w:val="auto"/>
                <w:sz w:val="24"/>
              </w:rPr>
            </w:pPr>
            <w:r>
              <w:rPr>
                <w:color w:val="auto"/>
                <w:sz w:val="24"/>
              </w:rPr>
              <w:t>审批意见：《市政府关于无锡新区高新区B区控制性详细规划（修编）的批复》</w:t>
            </w:r>
          </w:p>
          <w:p>
            <w:pPr>
              <w:autoSpaceDE w:val="0"/>
              <w:autoSpaceDN w:val="0"/>
              <w:adjustRightInd w:val="0"/>
              <w:snapToGrid w:val="0"/>
              <w:spacing w:line="360" w:lineRule="auto"/>
              <w:jc w:val="left"/>
              <w:rPr>
                <w:color w:val="auto"/>
                <w:kern w:val="0"/>
                <w:sz w:val="24"/>
              </w:rPr>
            </w:pPr>
            <w:r>
              <w:rPr>
                <w:color w:val="auto"/>
                <w:sz w:val="24"/>
              </w:rPr>
              <w:t>审批文号：</w:t>
            </w:r>
            <w:r>
              <w:rPr>
                <w:snapToGrid w:val="0"/>
                <w:color w:val="auto"/>
                <w:kern w:val="0"/>
                <w:sz w:val="24"/>
              </w:rPr>
              <w:t>锡政复[2022]4号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5" w:hRule="atLeast"/>
          <w:jc w:val="center"/>
        </w:trPr>
        <w:tc>
          <w:tcPr>
            <w:tcW w:w="1893" w:type="dxa"/>
            <w:tcBorders>
              <w:top w:val="single" w:color="000000" w:sz="4" w:space="0"/>
            </w:tcBorders>
            <w:vAlign w:val="center"/>
          </w:tcPr>
          <w:p>
            <w:pPr>
              <w:adjustRightInd w:val="0"/>
              <w:snapToGrid w:val="0"/>
              <w:jc w:val="center"/>
              <w:rPr>
                <w:color w:val="auto"/>
                <w:sz w:val="24"/>
              </w:rPr>
            </w:pPr>
            <w:r>
              <w:rPr>
                <w:color w:val="auto"/>
                <w:sz w:val="24"/>
              </w:rPr>
              <w:t>规划环境影响</w:t>
            </w:r>
          </w:p>
          <w:p>
            <w:pPr>
              <w:autoSpaceDE w:val="0"/>
              <w:autoSpaceDN w:val="0"/>
              <w:adjustRightInd w:val="0"/>
              <w:snapToGrid w:val="0"/>
              <w:jc w:val="center"/>
              <w:rPr>
                <w:color w:val="auto"/>
                <w:sz w:val="24"/>
              </w:rPr>
            </w:pPr>
            <w:r>
              <w:rPr>
                <w:color w:val="auto"/>
                <w:sz w:val="24"/>
              </w:rPr>
              <w:t>评价情况</w:t>
            </w:r>
          </w:p>
        </w:tc>
        <w:tc>
          <w:tcPr>
            <w:tcW w:w="7373" w:type="dxa"/>
            <w:gridSpan w:val="3"/>
            <w:tcBorders>
              <w:top w:val="single" w:color="000000" w:sz="4" w:space="0"/>
            </w:tcBorders>
            <w:vAlign w:val="center"/>
          </w:tcPr>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规划环评名称：《梅村镇工业集中区环境影响评价和环境保护规划报告书》</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审查机关：无锡市新区规划建设环保局</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审查文件：《关于对梅村镇工业集中区环境影响评价和环境保护规划报告书的批复》</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审查文号：锡新管建发[2007]43号</w:t>
            </w:r>
          </w:p>
          <w:p>
            <w:pPr>
              <w:autoSpaceDE w:val="0"/>
              <w:autoSpaceDN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跟踪评价名称：《无锡市新吴区梅村工业集中区规划环境影响跟踪评价报告书》</w:t>
            </w:r>
          </w:p>
          <w:p>
            <w:pPr>
              <w:autoSpaceDE w:val="0"/>
              <w:autoSpaceDN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审查机关：无锡高新区（新吴区）环境保护委员会</w:t>
            </w:r>
          </w:p>
          <w:p>
            <w:pPr>
              <w:pStyle w:val="2"/>
              <w:snapToGrid/>
              <w:spacing w:before="0" w:after="0"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审查文件：《关于无锡市新吴区梅村工业集中区规划环境影响跟踪评价报告书的审查意见》</w:t>
            </w:r>
          </w:p>
          <w:p>
            <w:pPr>
              <w:pStyle w:val="3"/>
              <w:numPr>
                <w:ilvl w:val="0"/>
                <w:numId w:val="0"/>
              </w:numPr>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审查文号：锡新环委办发[2017]11 号</w:t>
            </w:r>
          </w:p>
          <w:p>
            <w:pPr>
              <w:autoSpaceDE w:val="0"/>
              <w:autoSpaceDN w:val="0"/>
              <w:adjustRightInd w:val="0"/>
              <w:snapToGrid w:val="0"/>
              <w:spacing w:line="360" w:lineRule="auto"/>
              <w:jc w:val="left"/>
              <w:rPr>
                <w:color w:val="auto"/>
              </w:rPr>
            </w:pPr>
          </w:p>
          <w:p>
            <w:pPr>
              <w:pStyle w:val="2"/>
              <w:rPr>
                <w:color w:val="auto"/>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p>
            <w:pPr>
              <w:pStyle w:val="3"/>
              <w:widowControl w:val="0"/>
              <w:numPr>
                <w:ilvl w:val="0"/>
                <w:numId w:val="0"/>
              </w:numPr>
              <w:jc w:val="both"/>
              <w:rPr>
                <w:rFonts w:ascii="宋体" w:hAnsi="宋体" w:cs="宋体"/>
                <w:color w:val="auto"/>
                <w:sz w:val="24"/>
              </w:rPr>
            </w:pPr>
          </w:p>
        </w:tc>
      </w:tr>
    </w:tbl>
    <w:p>
      <w:pPr>
        <w:autoSpaceDE w:val="0"/>
        <w:autoSpaceDN w:val="0"/>
        <w:adjustRightInd w:val="0"/>
        <w:snapToGrid w:val="0"/>
        <w:jc w:val="center"/>
        <w:rPr>
          <w:color w:val="auto"/>
          <w:sz w:val="24"/>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tbl>
      <w:tblPr>
        <w:tblStyle w:val="26"/>
        <w:tblW w:w="88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4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901" w:hRule="atLeast"/>
          <w:jc w:val="center"/>
        </w:trPr>
        <w:tc>
          <w:tcPr>
            <w:tcW w:w="426" w:type="dxa"/>
            <w:vAlign w:val="center"/>
          </w:tcPr>
          <w:p>
            <w:pPr>
              <w:autoSpaceDE w:val="0"/>
              <w:autoSpaceDN w:val="0"/>
              <w:adjustRightInd w:val="0"/>
              <w:snapToGrid w:val="0"/>
              <w:jc w:val="center"/>
              <w:rPr>
                <w:color w:val="auto"/>
                <w:kern w:val="0"/>
                <w:sz w:val="24"/>
              </w:rPr>
            </w:pPr>
            <w:r>
              <w:rPr>
                <w:color w:val="auto"/>
                <w:kern w:val="0"/>
                <w:sz w:val="24"/>
              </w:rPr>
              <w:t>规划及规划环境</w:t>
            </w:r>
          </w:p>
          <w:p>
            <w:pPr>
              <w:autoSpaceDE w:val="0"/>
              <w:autoSpaceDN w:val="0"/>
              <w:adjustRightInd w:val="0"/>
              <w:snapToGrid w:val="0"/>
              <w:jc w:val="center"/>
              <w:rPr>
                <w:color w:val="auto"/>
                <w:kern w:val="0"/>
                <w:szCs w:val="21"/>
              </w:rPr>
            </w:pPr>
            <w:r>
              <w:rPr>
                <w:color w:val="auto"/>
                <w:kern w:val="0"/>
                <w:sz w:val="24"/>
              </w:rPr>
              <w:t>影响评价符合性分析</w:t>
            </w:r>
          </w:p>
        </w:tc>
        <w:tc>
          <w:tcPr>
            <w:tcW w:w="8414" w:type="dxa"/>
            <w:vAlign w:val="center"/>
          </w:tcPr>
          <w:p>
            <w:pPr>
              <w:spacing w:line="360" w:lineRule="auto"/>
              <w:jc w:val="left"/>
              <w:outlineLvl w:val="4"/>
              <w:rPr>
                <w:b/>
                <w:bCs/>
                <w:color w:val="auto"/>
                <w:sz w:val="24"/>
              </w:rPr>
            </w:pPr>
            <w:r>
              <w:rPr>
                <w:b/>
                <w:bCs/>
                <w:color w:val="auto"/>
                <w:sz w:val="24"/>
              </w:rPr>
              <w:t>1 土地利用规划相符性分析</w:t>
            </w:r>
          </w:p>
          <w:p>
            <w:pPr>
              <w:pStyle w:val="3"/>
              <w:numPr>
                <w:ilvl w:val="0"/>
                <w:numId w:val="0"/>
              </w:numPr>
              <w:spacing w:line="360" w:lineRule="auto"/>
              <w:ind w:firstLine="480" w:firstLineChars="200"/>
              <w:rPr>
                <w:ins w:id="0" w:author="Sunny" w:date="2022-12-29T17:49:00Z"/>
                <w:color w:val="auto"/>
                <w:sz w:val="24"/>
              </w:rPr>
            </w:pPr>
            <w:r>
              <w:rPr>
                <w:color w:val="auto"/>
                <w:sz w:val="24"/>
              </w:rPr>
              <w:t>本项目位于江苏省无锡市新吴区</w:t>
            </w:r>
            <w:r>
              <w:rPr>
                <w:rFonts w:hint="eastAsia"/>
                <w:color w:val="auto"/>
                <w:sz w:val="24"/>
              </w:rPr>
              <w:t>新风路69</w:t>
            </w:r>
            <w:r>
              <w:rPr>
                <w:color w:val="auto"/>
                <w:sz w:val="24"/>
              </w:rPr>
              <w:t>号，</w:t>
            </w:r>
            <w:ins w:id="1" w:author="Sunny" w:date="2022-12-29T16:31:00Z">
              <w:r>
                <w:rPr>
                  <w:snapToGrid w:val="0"/>
                  <w:color w:val="auto"/>
                  <w:sz w:val="24"/>
                </w:rPr>
                <w:t>根据《无锡新区高新区B区控制性详细规划（修编）》（锡政复[2022]4号）</w:t>
              </w:r>
            </w:ins>
            <w:ins w:id="2" w:author="Sunny" w:date="2022-12-29T16:31:00Z">
              <w:r>
                <w:rPr>
                  <w:color w:val="auto"/>
                  <w:sz w:val="24"/>
                </w:rPr>
                <w:t>以及《市政府关于无锡新吴区硕放街道梅村街道总体规划（2015-2030）的批复》（锡政复</w:t>
              </w:r>
            </w:ins>
            <w:ins w:id="3" w:author="Sunny" w:date="2022-12-29T16:38:00Z">
              <w:r>
                <w:rPr>
                  <w:rFonts w:hint="eastAsia" w:ascii="Times New Roman" w:hAnsi="Times New Roman"/>
                  <w:color w:val="auto"/>
                  <w:sz w:val="24"/>
                  <w:szCs w:val="24"/>
                </w:rPr>
                <w:t>[2017]</w:t>
              </w:r>
            </w:ins>
            <w:r>
              <w:rPr>
                <w:color w:val="auto"/>
              </w:rPr>
              <w:commentReference w:id="1"/>
            </w:r>
            <w:ins w:id="4" w:author="Sunny" w:date="2022-12-29T16:31:00Z">
              <w:r>
                <w:rPr>
                  <w:color w:val="auto"/>
                  <w:sz w:val="24"/>
                </w:rPr>
                <w:t>21号）的</w:t>
              </w:r>
            </w:ins>
            <w:ins w:id="5" w:author="Sunny" w:date="2022-12-29T16:31:00Z">
              <w:r>
                <w:rPr>
                  <w:snapToGrid w:val="0"/>
                  <w:color w:val="auto"/>
                  <w:sz w:val="24"/>
                </w:rPr>
                <w:t>用地规划图，</w:t>
              </w:r>
            </w:ins>
            <w:ins w:id="6" w:author="Sunny" w:date="2022-12-29T16:32:00Z">
              <w:r>
                <w:rPr>
                  <w:snapToGrid w:val="0"/>
                  <w:color w:val="auto"/>
                  <w:sz w:val="24"/>
                </w:rPr>
                <w:t>建设项目所在地块属于工业用地（见</w:t>
              </w:r>
            </w:ins>
            <w:r>
              <w:rPr>
                <w:rFonts w:hint="eastAsia"/>
                <w:snapToGrid w:val="0"/>
                <w:color w:val="auto"/>
                <w:sz w:val="24"/>
                <w:lang w:val="en-US" w:eastAsia="zh-CN"/>
              </w:rPr>
              <w:t>附</w:t>
            </w:r>
            <w:ins w:id="7" w:author="Sunny" w:date="2022-12-29T16:32:00Z">
              <w:r>
                <w:rPr>
                  <w:snapToGrid w:val="0"/>
                  <w:color w:val="auto"/>
                  <w:sz w:val="24"/>
                </w:rPr>
                <w:t>图</w:t>
              </w:r>
            </w:ins>
            <w:r>
              <w:rPr>
                <w:rFonts w:hint="eastAsia"/>
                <w:snapToGrid w:val="0"/>
                <w:color w:val="auto"/>
                <w:sz w:val="24"/>
              </w:rPr>
              <w:t>2-1，2-2</w:t>
            </w:r>
            <w:ins w:id="8" w:author="Sunny" w:date="2022-12-29T16:32:00Z">
              <w:r>
                <w:rPr>
                  <w:snapToGrid w:val="0"/>
                  <w:color w:val="auto"/>
                  <w:sz w:val="24"/>
                </w:rPr>
                <w:t>），</w:t>
              </w:r>
            </w:ins>
            <w:ins w:id="9" w:author="Sunny" w:date="2022-12-29T16:36:00Z">
              <w:r>
                <w:rPr>
                  <w:snapToGrid w:val="0"/>
                  <w:color w:val="auto"/>
                  <w:sz w:val="24"/>
                </w:rPr>
                <w:t>该区域具备污染集中控制条件，符合当地区域发展规划，具备污染集中控制条件，符合当地区域发展规划。</w:t>
              </w:r>
            </w:ins>
          </w:p>
          <w:p>
            <w:pPr>
              <w:pStyle w:val="3"/>
              <w:numPr>
                <w:ilvl w:val="0"/>
                <w:numId w:val="0"/>
              </w:numPr>
              <w:spacing w:line="360" w:lineRule="auto"/>
              <w:ind w:firstLine="480" w:firstLineChars="200"/>
              <w:rPr>
                <w:color w:val="auto"/>
                <w:sz w:val="24"/>
              </w:rPr>
            </w:pPr>
            <w:r>
              <w:rPr>
                <w:color w:val="auto"/>
                <w:sz w:val="24"/>
              </w:rPr>
              <w:t>本项目地理位置详见附图</w:t>
            </w:r>
            <w:r>
              <w:rPr>
                <w:rFonts w:hint="eastAsia"/>
                <w:color w:val="auto"/>
                <w:sz w:val="24"/>
              </w:rPr>
              <w:t>1</w:t>
            </w:r>
            <w:ins w:id="10" w:author="Sunny" w:date="2022-12-29T16:36:00Z">
              <w:r>
                <w:rPr>
                  <w:rFonts w:hint="eastAsia"/>
                  <w:color w:val="auto"/>
                  <w:sz w:val="24"/>
                </w:rPr>
                <w:t>-1</w:t>
              </w:r>
            </w:ins>
            <w:r>
              <w:rPr>
                <w:color w:val="auto"/>
                <w:sz w:val="24"/>
              </w:rPr>
              <w:t>，</w:t>
            </w:r>
            <w:ins w:id="11" w:author="Sunny" w:date="2022-12-29T16:37:00Z">
              <w:r>
                <w:rPr>
                  <w:color w:val="auto"/>
                  <w:sz w:val="24"/>
                </w:rPr>
                <w:t>用地规划详见附图</w:t>
              </w:r>
            </w:ins>
            <w:r>
              <w:rPr>
                <w:rFonts w:hint="eastAsia"/>
                <w:color w:val="auto"/>
                <w:sz w:val="24"/>
              </w:rPr>
              <w:t>2</w:t>
            </w:r>
            <w:ins w:id="12" w:author="Sunny" w:date="2022-12-29T16:37:00Z">
              <w:r>
                <w:rPr>
                  <w:rFonts w:hint="eastAsia"/>
                  <w:color w:val="auto"/>
                  <w:sz w:val="24"/>
                </w:rPr>
                <w:t>-</w:t>
              </w:r>
            </w:ins>
            <w:ins w:id="13" w:author="Sunny" w:date="2022-12-29T17:49:00Z">
              <w:r>
                <w:rPr>
                  <w:rFonts w:hint="eastAsia"/>
                  <w:color w:val="auto"/>
                  <w:sz w:val="24"/>
                </w:rPr>
                <w:t>1</w:t>
              </w:r>
            </w:ins>
            <w:r>
              <w:rPr>
                <w:rFonts w:hint="eastAsia"/>
                <w:color w:val="auto"/>
                <w:sz w:val="24"/>
              </w:rPr>
              <w:t>以及附图2-2，</w:t>
            </w:r>
            <w:ins w:id="14" w:author="Sunny" w:date="2022-12-29T16:37:00Z">
              <w:r>
                <w:rPr>
                  <w:color w:val="auto"/>
                  <w:sz w:val="24"/>
                </w:rPr>
                <w:t>周</w:t>
              </w:r>
            </w:ins>
            <w:r>
              <w:rPr>
                <w:color w:val="auto"/>
                <w:sz w:val="24"/>
              </w:rPr>
              <w:t>围环境</w:t>
            </w:r>
            <w:r>
              <w:rPr>
                <w:rFonts w:hint="eastAsia"/>
                <w:color w:val="auto"/>
                <w:sz w:val="24"/>
              </w:rPr>
              <w:t>概况</w:t>
            </w:r>
            <w:r>
              <w:rPr>
                <w:color w:val="auto"/>
                <w:sz w:val="24"/>
              </w:rPr>
              <w:t>详见附图</w:t>
            </w:r>
            <w:r>
              <w:rPr>
                <w:rFonts w:hint="eastAsia"/>
                <w:color w:val="auto"/>
                <w:sz w:val="24"/>
              </w:rPr>
              <w:t>3</w:t>
            </w:r>
            <w:ins w:id="15" w:author="Sunny" w:date="2022-12-29T16:37:00Z">
              <w:r>
                <w:rPr>
                  <w:color w:val="auto"/>
                  <w:sz w:val="24"/>
                </w:rPr>
                <w:t>。</w:t>
              </w:r>
            </w:ins>
          </w:p>
          <w:p>
            <w:pPr>
              <w:spacing w:line="360" w:lineRule="auto"/>
              <w:outlineLvl w:val="4"/>
              <w:rPr>
                <w:b/>
                <w:bCs/>
                <w:color w:val="auto"/>
                <w:sz w:val="24"/>
              </w:rPr>
            </w:pPr>
            <w:r>
              <w:rPr>
                <w:b/>
                <w:bCs/>
                <w:color w:val="auto"/>
                <w:sz w:val="24"/>
              </w:rPr>
              <w:t>2 园区产业定位相符性分析</w:t>
            </w:r>
          </w:p>
          <w:p>
            <w:pPr>
              <w:pStyle w:val="157"/>
              <w:widowControl/>
              <w:spacing w:line="360" w:lineRule="auto"/>
              <w:ind w:firstLine="480"/>
              <w:rPr>
                <w:ins w:id="16" w:author="Sunny" w:date="2022-12-29T16:39:00Z"/>
                <w:rFonts w:asciiTheme="majorEastAsia" w:hAnsiTheme="majorEastAsia" w:eastAsiaTheme="majorEastAsia"/>
                <w:snapToGrid w:val="0"/>
                <w:color w:val="auto"/>
                <w:kern w:val="0"/>
                <w:sz w:val="24"/>
              </w:rPr>
            </w:pPr>
            <w:r>
              <w:rPr>
                <w:rFonts w:hint="eastAsia"/>
                <w:color w:val="auto"/>
                <w:kern w:val="0"/>
                <w:sz w:val="24"/>
                <w:highlight w:val="none"/>
                <w:lang w:val="en-US" w:eastAsia="zh-CN"/>
              </w:rPr>
              <w:t>根据《无锡国家高新技术产业开发区发展规划环境影响跟踪评价报告书》及审查意见中划定的高新区的范围及《无锡市新区梅村工业集中区规划环境影响跟踪评价报告书》及审查意见中划定的梅村工业集中区范围。本项目不在高新区范围内，仅在梅村工业集中区范围内。因此，本报告针对梅村工业集中区产业定位及要求进行具体分析。</w:t>
            </w:r>
            <w:r>
              <w:rPr>
                <w:rFonts w:hint="eastAsia"/>
                <w:color w:val="auto"/>
                <w:kern w:val="0"/>
                <w:sz w:val="24"/>
                <w:highlight w:val="none"/>
                <w:lang w:eastAsia="zh-CN"/>
              </w:rPr>
              <w:t>梅村</w:t>
            </w:r>
            <w:r>
              <w:rPr>
                <w:rFonts w:hint="eastAsia"/>
                <w:color w:val="auto"/>
                <w:kern w:val="0"/>
                <w:sz w:val="24"/>
                <w:highlight w:val="none"/>
              </w:rPr>
              <w:t>工业集中区范围为“</w:t>
            </w:r>
            <w:r>
              <w:rPr>
                <w:rFonts w:hint="default" w:ascii="Times New Roman" w:hAnsi="Times New Roman" w:eastAsia="宋体" w:cs="Times New Roman"/>
                <w:color w:val="auto"/>
                <w:kern w:val="2"/>
                <w:sz w:val="24"/>
                <w:szCs w:val="24"/>
                <w:highlight w:val="none"/>
                <w:lang w:val="en-US" w:eastAsia="zh-CN" w:bidi="ar"/>
              </w:rPr>
              <w:t>近期规划范围为远期规划范围再加由新洲路、金城东路、新华路、锡泰路、梅西路和锡达路围成的区域</w:t>
            </w:r>
            <w:r>
              <w:rPr>
                <w:rFonts w:hint="eastAsia"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远期规划范围为东至新洲路、南至泰伯大道、西至梅村街道与江溪街道界、北至锡群路。近期(至2010年)规划用地面积5. 3km</w:t>
            </w:r>
            <w:r>
              <w:rPr>
                <w:rFonts w:hint="default" w:ascii="Times New Roman" w:hAnsi="Times New Roman" w:eastAsia="宋体" w:cs="Times New Roman"/>
                <w:color w:val="auto"/>
                <w:kern w:val="2"/>
                <w:sz w:val="24"/>
                <w:szCs w:val="24"/>
                <w:highlight w:val="none"/>
                <w:vertAlign w:val="superscript"/>
                <w:lang w:val="en-US" w:eastAsia="zh-CN" w:bidi="ar"/>
              </w:rPr>
              <w:t>2</w:t>
            </w:r>
            <w:r>
              <w:rPr>
                <w:rFonts w:hint="default" w:ascii="Times New Roman" w:hAnsi="Times New Roman" w:eastAsia="宋体" w:cs="Times New Roman"/>
                <w:color w:val="auto"/>
                <w:kern w:val="2"/>
                <w:sz w:val="24"/>
                <w:szCs w:val="24"/>
                <w:highlight w:val="none"/>
                <w:lang w:val="en-US" w:eastAsia="zh-CN" w:bidi="ar"/>
              </w:rPr>
              <w:t>，远期(至2020年)规划用地面积4.2km</w:t>
            </w:r>
            <w:r>
              <w:rPr>
                <w:rFonts w:hint="default" w:ascii="Times New Roman" w:hAnsi="Times New Roman" w:eastAsia="宋体" w:cs="Times New Roman"/>
                <w:color w:val="auto"/>
                <w:kern w:val="2"/>
                <w:sz w:val="24"/>
                <w:szCs w:val="24"/>
                <w:highlight w:val="none"/>
                <w:vertAlign w:val="superscript"/>
                <w:lang w:val="en-US" w:eastAsia="zh-CN" w:bidi="ar"/>
              </w:rPr>
              <w:t>2</w:t>
            </w:r>
            <w:r>
              <w:rPr>
                <w:rFonts w:hint="eastAsia"/>
                <w:color w:val="auto"/>
                <w:kern w:val="0"/>
                <w:sz w:val="24"/>
                <w:highlight w:val="none"/>
              </w:rPr>
              <w:t>”、“产业发展定位</w:t>
            </w:r>
            <w:r>
              <w:rPr>
                <w:rFonts w:hint="eastAsia"/>
                <w:color w:val="auto"/>
                <w:kern w:val="0"/>
                <w:sz w:val="24"/>
                <w:highlight w:val="none"/>
                <w:lang w:val="en-US" w:eastAsia="zh-CN"/>
              </w:rPr>
              <w:t>主要为引进机械、轻纺、电子、服装等轻污染行业</w:t>
            </w:r>
            <w:r>
              <w:rPr>
                <w:rFonts w:hint="eastAsia"/>
                <w:color w:val="auto"/>
                <w:kern w:val="0"/>
                <w:sz w:val="24"/>
                <w:highlight w:val="none"/>
              </w:rPr>
              <w:t>”</w:t>
            </w:r>
            <w:r>
              <w:rPr>
                <w:rFonts w:hint="eastAsia"/>
                <w:color w:val="auto"/>
                <w:kern w:val="0"/>
                <w:sz w:val="24"/>
                <w:highlight w:val="none"/>
                <w:lang w:eastAsia="zh-CN"/>
              </w:rPr>
              <w:t>。</w:t>
            </w:r>
            <w:ins w:id="17" w:author="Sunny" w:date="2022-12-29T16:39:00Z">
              <w:r>
                <w:rPr>
                  <w:rFonts w:asciiTheme="majorEastAsia" w:hAnsiTheme="majorEastAsia" w:eastAsiaTheme="majorEastAsia"/>
                  <w:snapToGrid w:val="0"/>
                  <w:color w:val="auto"/>
                  <w:kern w:val="0"/>
                  <w:sz w:val="24"/>
                </w:rPr>
                <w:t>本项目位于无锡市</w:t>
              </w:r>
            </w:ins>
            <w:ins w:id="18" w:author="Sunny" w:date="2022-12-29T16:39:00Z">
              <w:r>
                <w:rPr>
                  <w:color w:val="auto"/>
                  <w:sz w:val="24"/>
                </w:rPr>
                <w:t>新吴区</w:t>
              </w:r>
            </w:ins>
            <w:ins w:id="19" w:author="Sunny" w:date="2022-12-29T16:39:00Z">
              <w:r>
                <w:rPr>
                  <w:rFonts w:hint="eastAsia"/>
                  <w:color w:val="auto"/>
                  <w:sz w:val="24"/>
                </w:rPr>
                <w:t>新风路69</w:t>
              </w:r>
            </w:ins>
            <w:ins w:id="20" w:author="Sunny" w:date="2022-12-29T16:39:00Z">
              <w:r>
                <w:rPr>
                  <w:color w:val="auto"/>
                  <w:sz w:val="24"/>
                </w:rPr>
                <w:t>号，属于梅村工业集中区，根据《无锡市新吴区梅村工业集中区规划环境影响跟踪评价报告书》及审查意见（锡新环委办发[2017]11号），梅村工业集中区重点发展机械、轻纺、电子、服装等轻污染行业。本项目属于</w:t>
              </w:r>
            </w:ins>
            <w:ins w:id="21" w:author="Sunny" w:date="2022-12-29T16:40:00Z">
              <w:r>
                <w:rPr>
                  <w:color w:val="auto"/>
                  <w:sz w:val="24"/>
                </w:rPr>
                <w:t>C3311金属结构制造、C3525模具制造，</w:t>
              </w:r>
            </w:ins>
            <w:ins w:id="22" w:author="Sunny" w:date="2022-12-29T16:39:00Z">
              <w:r>
                <w:rPr>
                  <w:color w:val="auto"/>
                  <w:sz w:val="24"/>
                </w:rPr>
                <w:t>主要</w:t>
              </w:r>
            </w:ins>
            <w:ins w:id="23" w:author="Sunny" w:date="2022-12-29T16:40:00Z">
              <w:r>
                <w:rPr>
                  <w:rFonts w:hint="eastAsia"/>
                  <w:color w:val="auto"/>
                  <w:sz w:val="24"/>
                </w:rPr>
                <w:t>洗衣机冲压件、热水器冲压件、模具生产</w:t>
              </w:r>
            </w:ins>
            <w:ins w:id="24" w:author="Sunny" w:date="2022-12-29T16:39:00Z">
              <w:r>
                <w:rPr>
                  <w:color w:val="auto"/>
                  <w:sz w:val="24"/>
                </w:rPr>
                <w:t>，属于无锡梅村工业集中区</w:t>
              </w:r>
            </w:ins>
            <w:ins w:id="25" w:author="Sunny" w:date="2022-12-29T16:39:00Z">
              <w:r>
                <w:rPr>
                  <w:rFonts w:asciiTheme="majorEastAsia" w:hAnsiTheme="majorEastAsia" w:eastAsiaTheme="majorEastAsia"/>
                  <w:color w:val="auto"/>
                  <w:sz w:val="24"/>
                </w:rPr>
                <w:t>的</w:t>
              </w:r>
            </w:ins>
            <w:ins w:id="26" w:author="Sunny" w:date="2022-12-29T16:42:00Z">
              <w:r>
                <w:rPr>
                  <w:rFonts w:hint="eastAsia" w:asciiTheme="majorEastAsia" w:hAnsiTheme="majorEastAsia" w:eastAsiaTheme="majorEastAsia"/>
                  <w:color w:val="auto"/>
                  <w:sz w:val="24"/>
                </w:rPr>
                <w:t>重点发展</w:t>
              </w:r>
            </w:ins>
            <w:ins w:id="27" w:author="Sunny" w:date="2022-12-29T16:39:00Z">
              <w:r>
                <w:rPr>
                  <w:rFonts w:asciiTheme="majorEastAsia" w:hAnsiTheme="majorEastAsia" w:eastAsiaTheme="majorEastAsia"/>
                  <w:color w:val="auto"/>
                  <w:sz w:val="24"/>
                </w:rPr>
                <w:t>项目</w:t>
              </w:r>
            </w:ins>
            <w:ins w:id="28" w:author="Sunny" w:date="2022-12-29T16:39:00Z">
              <w:r>
                <w:rPr>
                  <w:rFonts w:asciiTheme="majorEastAsia" w:hAnsiTheme="majorEastAsia" w:eastAsiaTheme="majorEastAsia"/>
                  <w:bCs/>
                  <w:color w:val="auto"/>
                  <w:sz w:val="24"/>
                  <w:lang w:bidi="ar"/>
                </w:rPr>
                <w:t>，故本项目符合梅村工业集中区的产业定位。</w:t>
              </w:r>
            </w:ins>
          </w:p>
          <w:p>
            <w:pPr>
              <w:spacing w:line="360" w:lineRule="auto"/>
              <w:rPr>
                <w:ins w:id="29" w:author="Sunny" w:date="2022-12-29T17:10:00Z"/>
                <w:b/>
                <w:bCs/>
                <w:color w:val="auto"/>
                <w:sz w:val="24"/>
              </w:rPr>
            </w:pPr>
            <w:ins w:id="30" w:author="Sunny" w:date="2022-12-29T17:11:00Z">
              <w:r>
                <w:rPr>
                  <w:b/>
                  <w:bCs/>
                  <w:color w:val="auto"/>
                  <w:sz w:val="24"/>
                </w:rPr>
                <w:t xml:space="preserve">3 </w:t>
              </w:r>
            </w:ins>
            <w:ins w:id="31" w:author="Sunny" w:date="2022-12-29T17:10:00Z">
              <w:r>
                <w:rPr>
                  <w:b/>
                  <w:bCs/>
                  <w:color w:val="auto"/>
                  <w:sz w:val="24"/>
                </w:rPr>
                <w:t>与梅村工业集中区规划环评审查意见及跟踪评价相符性分析</w:t>
              </w:r>
            </w:ins>
          </w:p>
          <w:p>
            <w:pPr>
              <w:tabs>
                <w:tab w:val="left" w:pos="0"/>
              </w:tabs>
              <w:spacing w:line="360" w:lineRule="auto"/>
              <w:ind w:left="480"/>
              <w:rPr>
                <w:ins w:id="32" w:author="Sunny" w:date="2022-12-29T17:10:00Z"/>
                <w:b/>
                <w:bCs/>
                <w:color w:val="auto"/>
                <w:sz w:val="24"/>
              </w:rPr>
            </w:pPr>
            <w:ins w:id="33" w:author="Sunny" w:date="2022-12-29T17:10:00Z">
              <w:r>
                <w:rPr>
                  <w:b/>
                  <w:bCs/>
                  <w:color w:val="auto"/>
                  <w:sz w:val="24"/>
                </w:rPr>
                <w:t>A.与</w:t>
              </w:r>
            </w:ins>
            <w:ins w:id="34" w:author="Sunny" w:date="2022-12-29T17:10:00Z">
              <w:r>
                <w:rPr>
                  <w:b/>
                  <w:color w:val="auto"/>
                  <w:sz w:val="24"/>
                </w:rPr>
                <w:t>梅村工业集中区规划环评审查意见相符性分析</w:t>
              </w:r>
            </w:ins>
          </w:p>
          <w:p>
            <w:pPr>
              <w:spacing w:line="360" w:lineRule="auto"/>
              <w:ind w:firstLine="480" w:firstLineChars="200"/>
              <w:rPr>
                <w:color w:val="auto"/>
                <w:sz w:val="24"/>
              </w:rPr>
            </w:pPr>
            <w:ins w:id="35" w:author="Sunny" w:date="2022-12-29T17:10:00Z">
              <w:r>
                <w:rPr>
                  <w:color w:val="auto"/>
                  <w:sz w:val="24"/>
                </w:rPr>
                <w:t>无锡市新区梅村镇工业集中区管理委员会</w:t>
              </w:r>
            </w:ins>
            <w:ins w:id="36" w:author="Sunny" w:date="2022-12-29T17:10:00Z">
              <w:r>
                <w:rPr>
                  <w:snapToGrid w:val="0"/>
                  <w:color w:val="auto"/>
                  <w:sz w:val="24"/>
                </w:rPr>
                <w:t>于2007年6月12日取得无锡市新区规划建设环保局出具的《关于梅村镇工业集中区环境影响评价和环境保护规划报告书的批复意见》（锡新管建发[2007]43号）。</w:t>
              </w:r>
            </w:ins>
            <w:ins w:id="37" w:author="Sunny" w:date="2022-12-29T17:10:00Z">
              <w:r>
                <w:rPr>
                  <w:color w:val="auto"/>
                  <w:sz w:val="24"/>
                </w:rPr>
                <w:t>本项目与（锡新管建发[2007]43号）的相符性分析见表</w:t>
              </w:r>
            </w:ins>
            <w:r>
              <w:rPr>
                <w:color w:val="auto"/>
                <w:sz w:val="24"/>
              </w:rPr>
              <w:t>1-</w:t>
            </w:r>
            <w:r>
              <w:rPr>
                <w:rFonts w:hint="eastAsia"/>
                <w:color w:val="auto"/>
                <w:sz w:val="24"/>
                <w:lang w:val="en-US" w:eastAsia="zh-CN"/>
              </w:rPr>
              <w:t>2</w:t>
            </w:r>
            <w:r>
              <w:rPr>
                <w:rFonts w:hint="eastAsia"/>
                <w:color w:val="auto"/>
                <w:sz w:val="24"/>
                <w:lang w:eastAsia="zh-CN"/>
              </w:rPr>
              <w:t>。</w:t>
            </w:r>
          </w:p>
          <w:p>
            <w:pPr>
              <w:numPr>
                <w:ilvl w:val="0"/>
                <w:numId w:val="2"/>
              </w:numPr>
              <w:jc w:val="center"/>
              <w:rPr>
                <w:b/>
                <w:bCs/>
                <w:color w:val="auto"/>
                <w:sz w:val="24"/>
              </w:rPr>
            </w:pPr>
            <w:r>
              <w:rPr>
                <w:b/>
                <w:bCs/>
                <w:color w:val="auto"/>
                <w:sz w:val="24"/>
              </w:rPr>
              <w:t>本项目与规划环评审查意见对照表</w:t>
            </w:r>
          </w:p>
          <w:tbl>
            <w:tblPr>
              <w:tblStyle w:val="26"/>
              <w:tblW w:w="0" w:type="auto"/>
              <w:jc w:val="right"/>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376"/>
              <w:gridCol w:w="4505"/>
              <w:gridCol w:w="2877"/>
              <w:gridCol w:w="38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3" w:hRule="atLeast"/>
                <w:jc w:val="right"/>
              </w:trPr>
              <w:tc>
                <w:tcPr>
                  <w:tcW w:w="376" w:type="dxa"/>
                  <w:vAlign w:val="center"/>
                </w:tcPr>
                <w:p>
                  <w:pPr>
                    <w:pStyle w:val="48"/>
                    <w:adjustRightInd w:val="0"/>
                    <w:snapToGrid w:val="0"/>
                    <w:rPr>
                      <w:rFonts w:ascii="Times New Roman" w:hAnsi="Times New Roman" w:eastAsia="宋体"/>
                      <w:b/>
                      <w:color w:val="auto"/>
                      <w:sz w:val="21"/>
                      <w:szCs w:val="21"/>
                    </w:rPr>
                  </w:pPr>
                  <w:r>
                    <w:rPr>
                      <w:rFonts w:ascii="Times New Roman" w:hAnsi="Times New Roman" w:eastAsia="宋体"/>
                      <w:b/>
                      <w:color w:val="auto"/>
                      <w:sz w:val="21"/>
                      <w:szCs w:val="21"/>
                    </w:rPr>
                    <w:t>序号</w:t>
                  </w:r>
                </w:p>
              </w:tc>
              <w:tc>
                <w:tcPr>
                  <w:tcW w:w="4505" w:type="dxa"/>
                  <w:vAlign w:val="center"/>
                </w:tcPr>
                <w:p>
                  <w:pPr>
                    <w:pStyle w:val="48"/>
                    <w:adjustRightInd w:val="0"/>
                    <w:snapToGrid w:val="0"/>
                    <w:rPr>
                      <w:rFonts w:ascii="Times New Roman" w:hAnsi="Times New Roman" w:eastAsia="宋体"/>
                      <w:b/>
                      <w:color w:val="auto"/>
                      <w:sz w:val="21"/>
                      <w:szCs w:val="21"/>
                    </w:rPr>
                  </w:pPr>
                  <w:r>
                    <w:rPr>
                      <w:rFonts w:ascii="Times New Roman" w:hAnsi="Times New Roman" w:eastAsia="宋体"/>
                      <w:b/>
                      <w:color w:val="auto"/>
                      <w:sz w:val="21"/>
                      <w:szCs w:val="21"/>
                    </w:rPr>
                    <w:t>审查意见</w:t>
                  </w:r>
                </w:p>
              </w:tc>
              <w:tc>
                <w:tcPr>
                  <w:tcW w:w="2877" w:type="dxa"/>
                  <w:vAlign w:val="center"/>
                </w:tcPr>
                <w:p>
                  <w:pPr>
                    <w:pStyle w:val="48"/>
                    <w:adjustRightInd w:val="0"/>
                    <w:snapToGrid w:val="0"/>
                    <w:rPr>
                      <w:rFonts w:ascii="Times New Roman" w:hAnsi="Times New Roman" w:eastAsia="宋体"/>
                      <w:b/>
                      <w:color w:val="auto"/>
                      <w:sz w:val="21"/>
                      <w:szCs w:val="21"/>
                    </w:rPr>
                  </w:pPr>
                  <w:r>
                    <w:rPr>
                      <w:rFonts w:ascii="Times New Roman" w:hAnsi="Times New Roman" w:eastAsia="宋体"/>
                      <w:b/>
                      <w:color w:val="auto"/>
                      <w:sz w:val="21"/>
                      <w:szCs w:val="21"/>
                    </w:rPr>
                    <w:t>本项目情况</w:t>
                  </w:r>
                </w:p>
              </w:tc>
              <w:tc>
                <w:tcPr>
                  <w:tcW w:w="387" w:type="dxa"/>
                  <w:vAlign w:val="center"/>
                </w:tcPr>
                <w:p>
                  <w:pPr>
                    <w:pStyle w:val="48"/>
                    <w:adjustRightInd w:val="0"/>
                    <w:snapToGrid w:val="0"/>
                    <w:rPr>
                      <w:rFonts w:ascii="Times New Roman" w:hAnsi="Times New Roman" w:eastAsia="宋体"/>
                      <w:b/>
                      <w:color w:val="auto"/>
                      <w:sz w:val="21"/>
                      <w:szCs w:val="21"/>
                    </w:rPr>
                  </w:pPr>
                  <w:r>
                    <w:rPr>
                      <w:rFonts w:ascii="Times New Roman" w:hAnsi="Times New Roman" w:eastAsia="宋体"/>
                      <w:b/>
                      <w:color w:val="auto"/>
                      <w:sz w:val="21"/>
                      <w:szCs w:val="21"/>
                    </w:rPr>
                    <w:t>相符性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63" w:hRule="atLeast"/>
                <w:jc w:val="right"/>
              </w:trPr>
              <w:tc>
                <w:tcPr>
                  <w:tcW w:w="376" w:type="dxa"/>
                  <w:vAlign w:val="center"/>
                </w:tcPr>
                <w:p>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1</w:t>
                  </w:r>
                </w:p>
              </w:tc>
              <w:tc>
                <w:tcPr>
                  <w:tcW w:w="4505" w:type="dxa"/>
                  <w:vAlign w:val="center"/>
                </w:tcPr>
                <w:p>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明确工业集中区环境保护的总体要求。以科学发展观指导工业集中区建设和环境管理，实现区域经济和环境的可持续发展。工业集中区建设须坚持环境效益、经济效益和社会效益相统一的原则，高起点规划、高标准建设、高水平管理。推行循环经济理念和清洁生产原则，走新型工业化道路，并按照ISO14000标准体系建立环境管理体系，努力将工业集中区建成生态型工业园区。鼓励与扶持企业内部和企业之间副产品与能源梯级利用，使废弃物实现减量化、资源化、循环利用。</w:t>
                  </w:r>
                </w:p>
              </w:tc>
              <w:tc>
                <w:tcPr>
                  <w:tcW w:w="2877" w:type="dxa"/>
                  <w:vAlign w:val="center"/>
                </w:tcPr>
                <w:p>
                  <w:pPr>
                    <w:pStyle w:val="48"/>
                    <w:adjustRightInd w:val="0"/>
                    <w:snapToGrid w:val="0"/>
                    <w:jc w:val="both"/>
                    <w:rPr>
                      <w:rFonts w:ascii="Times New Roman" w:hAnsi="Times New Roman" w:eastAsia="宋体"/>
                      <w:color w:val="auto"/>
                      <w:sz w:val="21"/>
                      <w:szCs w:val="21"/>
                    </w:rPr>
                  </w:pPr>
                  <w:r>
                    <w:rPr>
                      <w:rFonts w:ascii="Times New Roman" w:hAnsi="Times New Roman" w:eastAsia="宋体"/>
                      <w:color w:val="auto"/>
                      <w:sz w:val="21"/>
                      <w:szCs w:val="21"/>
                    </w:rPr>
                    <w:t>本项目采用国内外先进水平的生产工艺，生产过程中产生的有机废气经二级活性炭吸附装置处理后达标排放、粉尘废气经旋风+滤芯回收系统处理处理后达标排放，纯水制备浓水、反冲洗废水以及经化粪池预处理后的</w:t>
                  </w:r>
                  <w:r>
                    <w:rPr>
                      <w:rFonts w:hint="eastAsia" w:ascii="Times New Roman" w:hAnsi="Times New Roman" w:eastAsia="宋体"/>
                      <w:color w:val="auto"/>
                      <w:sz w:val="21"/>
                      <w:szCs w:val="21"/>
                    </w:rPr>
                    <w:t>生活污水</w:t>
                  </w:r>
                  <w:r>
                    <w:rPr>
                      <w:rFonts w:ascii="Times New Roman" w:hAnsi="Times New Roman" w:eastAsia="宋体"/>
                      <w:color w:val="auto"/>
                      <w:sz w:val="21"/>
                      <w:szCs w:val="21"/>
                    </w:rPr>
                    <w:t>一并排入梅村水处理厂集中处理，</w:t>
                  </w:r>
                  <w:r>
                    <w:rPr>
                      <w:rFonts w:hint="eastAsia" w:ascii="Times New Roman" w:hAnsi="Times New Roman" w:eastAsia="宋体"/>
                      <w:color w:val="auto"/>
                      <w:sz w:val="21"/>
                      <w:szCs w:val="21"/>
                    </w:rPr>
                    <w:t>生产废水经厂内污水处理系统处理后回用，不外排，</w:t>
                  </w:r>
                  <w:r>
                    <w:rPr>
                      <w:rFonts w:ascii="Times New Roman" w:hAnsi="Times New Roman" w:eastAsia="宋体"/>
                      <w:color w:val="auto"/>
                      <w:sz w:val="21"/>
                      <w:szCs w:val="21"/>
                    </w:rPr>
                    <w:t>本项目一般固废由物资回收单位回收利用，危险废物委托有资质单位处置， 生活垃圾由环卫部门统一清运、填埋。</w:t>
                  </w:r>
                </w:p>
              </w:tc>
              <w:tc>
                <w:tcPr>
                  <w:tcW w:w="387" w:type="dxa"/>
                  <w:vAlign w:val="center"/>
                </w:tcPr>
                <w:p>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051" w:hRule="atLeast"/>
                <w:jc w:val="right"/>
              </w:trPr>
              <w:tc>
                <w:tcPr>
                  <w:tcW w:w="376" w:type="dxa"/>
                  <w:vAlign w:val="center"/>
                </w:tcPr>
                <w:p>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2</w:t>
                  </w:r>
                </w:p>
              </w:tc>
              <w:tc>
                <w:tcPr>
                  <w:tcW w:w="4505" w:type="dxa"/>
                  <w:vAlign w:val="center"/>
                </w:tcPr>
                <w:p>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优化区内产业结构，发展高新技术产业。落实报告书提出的工业集中区产业定位，禁止污染项目入区。工业集中区引进项目须严格对照《关于进一步加强产业政策和信贷政策协调配合控制信贷风险有关问题的通知》发改产业(2004) 746号、《产业结构调整指导目录(2005年本)》、《禁止外商投资产业目录》等国家和省、市、区有关政策和规定的要求。入区项目须采用国内外先进水平的生产工艺、设备并配套技术可靠、经济合理的污染防治措施，资源利用率、水重复利用率及污染治理措施均须达到清洁生产国内甚至国外先进水平，并严格执行建设项目环境影响评价和“三同时”制度。禁止引进有持久性有机污染、排放恶臭及其他有毒气体的项目，杜绝高污染、高风险和高投入、低产出的项目入区。入区企业应严格执行环境影响评价和“三同时”制度。</w:t>
                  </w:r>
                </w:p>
              </w:tc>
              <w:tc>
                <w:tcPr>
                  <w:tcW w:w="2877" w:type="dxa"/>
                  <w:vAlign w:val="center"/>
                </w:tcPr>
                <w:p>
                  <w:pPr>
                    <w:pStyle w:val="48"/>
                    <w:adjustRightInd w:val="0"/>
                    <w:snapToGrid w:val="0"/>
                    <w:jc w:val="both"/>
                    <w:rPr>
                      <w:rFonts w:ascii="Times New Roman" w:hAnsi="Times New Roman" w:eastAsia="宋体"/>
                      <w:color w:val="auto"/>
                      <w:sz w:val="21"/>
                      <w:szCs w:val="21"/>
                    </w:rPr>
                  </w:pPr>
                  <w:r>
                    <w:rPr>
                      <w:rFonts w:ascii="Times New Roman" w:hAnsi="Times New Roman" w:eastAsia="宋体"/>
                      <w:color w:val="auto"/>
                      <w:sz w:val="21"/>
                      <w:szCs w:val="21"/>
                    </w:rPr>
                    <w:t>本项目为</w:t>
                  </w:r>
                  <w:r>
                    <w:rPr>
                      <w:rFonts w:hint="eastAsia" w:ascii="Times New Roman" w:hAnsi="Times New Roman" w:eastAsia="宋体"/>
                      <w:color w:val="auto"/>
                      <w:sz w:val="21"/>
                      <w:szCs w:val="21"/>
                    </w:rPr>
                    <w:t>洗衣机冲压件、热水器冲压件、模具</w:t>
                  </w:r>
                  <w:r>
                    <w:rPr>
                      <w:rFonts w:ascii="Times New Roman" w:hAnsi="Times New Roman" w:eastAsia="宋体"/>
                      <w:color w:val="auto"/>
                      <w:sz w:val="21"/>
                      <w:szCs w:val="21"/>
                    </w:rPr>
                    <w:t>的生产项目，属于无锡梅村工业集中区的重点发展项目，与梅村工业集中区发展定位相符。本项目不属于国家和地方产业政策中的限制类和淘汰类项目。本项目采用国内外先进水平的生产工艺，生产过程中产生的有机废气经二级活性炭吸附装置处理后达标排放、粉尘废气经旋风+滤芯回收系统处理后达标排放，纯水制备浓水、反冲洗废水以及经化粪池预处理后的</w:t>
                  </w:r>
                  <w:r>
                    <w:rPr>
                      <w:rFonts w:hint="eastAsia" w:ascii="Times New Roman" w:hAnsi="Times New Roman" w:eastAsia="宋体"/>
                      <w:color w:val="auto"/>
                      <w:sz w:val="21"/>
                      <w:szCs w:val="21"/>
                    </w:rPr>
                    <w:t>生活污水</w:t>
                  </w:r>
                  <w:r>
                    <w:rPr>
                      <w:rFonts w:ascii="Times New Roman" w:hAnsi="Times New Roman" w:eastAsia="宋体"/>
                      <w:color w:val="auto"/>
                      <w:sz w:val="21"/>
                      <w:szCs w:val="21"/>
                    </w:rPr>
                    <w:t>一并排入梅村水处理厂集中处理，</w:t>
                  </w:r>
                  <w:r>
                    <w:rPr>
                      <w:rFonts w:hint="eastAsia" w:ascii="Times New Roman" w:hAnsi="Times New Roman" w:eastAsia="宋体"/>
                      <w:color w:val="auto"/>
                      <w:sz w:val="21"/>
                      <w:szCs w:val="21"/>
                    </w:rPr>
                    <w:t>生产废水经厂内污水处理系统处理后回用，不外排，</w:t>
                  </w:r>
                  <w:r>
                    <w:rPr>
                      <w:rFonts w:ascii="Times New Roman" w:hAnsi="Times New Roman" w:eastAsia="宋体"/>
                      <w:color w:val="auto"/>
                      <w:sz w:val="21"/>
                      <w:szCs w:val="21"/>
                    </w:rPr>
                    <w:t>本项目一般固废由物资回收单位回收利用，危险废物委托有资质单位处置， 生活垃圾由环卫部门统一清运、填埋。本单位承诺严格执行环境影响评价和“三同时”制度。</w:t>
                  </w:r>
                </w:p>
              </w:tc>
              <w:tc>
                <w:tcPr>
                  <w:tcW w:w="387" w:type="dxa"/>
                  <w:vAlign w:val="center"/>
                </w:tcPr>
                <w:p>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308" w:hRule="atLeast"/>
                <w:jc w:val="right"/>
              </w:trPr>
              <w:tc>
                <w:tcPr>
                  <w:tcW w:w="376" w:type="dxa"/>
                  <w:vAlign w:val="center"/>
                </w:tcPr>
                <w:p>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3</w:t>
                  </w:r>
                </w:p>
              </w:tc>
              <w:tc>
                <w:tcPr>
                  <w:tcW w:w="4505" w:type="dxa"/>
                  <w:vAlign w:val="center"/>
                </w:tcPr>
                <w:p>
                  <w:pPr>
                    <w:pStyle w:val="48"/>
                    <w:adjustRightInd w:val="0"/>
                    <w:snapToGrid w:val="0"/>
                    <w:jc w:val="both"/>
                    <w:rPr>
                      <w:rFonts w:ascii="Times New Roman" w:hAnsi="Times New Roman" w:eastAsia="宋体"/>
                      <w:color w:val="auto"/>
                      <w:sz w:val="21"/>
                      <w:szCs w:val="21"/>
                    </w:rPr>
                  </w:pPr>
                  <w:r>
                    <w:rPr>
                      <w:rFonts w:ascii="Times New Roman" w:hAnsi="Times New Roman" w:eastAsia="宋体"/>
                      <w:color w:val="auto"/>
                      <w:sz w:val="21"/>
                      <w:szCs w:val="21"/>
                    </w:rPr>
                    <w:t>合理规划工业集中区总体布局，加快实施居民搬迁。进一步优化工业集中区规划布局。废气排放量大的企业须布置在远离城</w:t>
                  </w:r>
                </w:p>
                <w:p>
                  <w:pPr>
                    <w:pStyle w:val="48"/>
                    <w:adjustRightInd w:val="0"/>
                    <w:snapToGrid w:val="0"/>
                    <w:jc w:val="both"/>
                    <w:rPr>
                      <w:rFonts w:ascii="Times New Roman" w:hAnsi="Times New Roman" w:eastAsia="宋体"/>
                      <w:color w:val="auto"/>
                      <w:sz w:val="21"/>
                      <w:szCs w:val="21"/>
                    </w:rPr>
                  </w:pPr>
                  <w:r>
                    <w:rPr>
                      <w:rFonts w:ascii="Times New Roman" w:hAnsi="Times New Roman" w:eastAsia="宋体"/>
                      <w:color w:val="auto"/>
                      <w:sz w:val="21"/>
                      <w:szCs w:val="21"/>
                    </w:rPr>
                    <w:t>区的下风向，把工业项目可能对居民产生的影响减小到最低的程度，所有新、改、扩建项目在环评阶段均须充分征求附近居民意见，避免噪声和废气扰民。”制定科学的搬迁方案，区内现有分散居民点须分批及时搬迁，已批准建设的入区企业卫生防护距离内的居民必须立即搬迁，确保居民生活质量不下降。</w:t>
                  </w:r>
                </w:p>
              </w:tc>
              <w:tc>
                <w:tcPr>
                  <w:tcW w:w="2877" w:type="dxa"/>
                  <w:vAlign w:val="center"/>
                </w:tcPr>
                <w:p>
                  <w:pPr>
                    <w:pStyle w:val="48"/>
                    <w:adjustRightInd w:val="0"/>
                    <w:snapToGrid w:val="0"/>
                    <w:jc w:val="both"/>
                    <w:rPr>
                      <w:rFonts w:ascii="Times New Roman" w:hAnsi="Times New Roman" w:eastAsia="宋体"/>
                      <w:color w:val="auto"/>
                      <w:sz w:val="21"/>
                      <w:szCs w:val="21"/>
                    </w:rPr>
                  </w:pPr>
                  <w:r>
                    <w:rPr>
                      <w:rFonts w:ascii="Times New Roman" w:hAnsi="Times New Roman" w:eastAsia="宋体"/>
                      <w:color w:val="auto"/>
                      <w:sz w:val="21"/>
                      <w:szCs w:val="21"/>
                    </w:rPr>
                    <w:t>本项目</w:t>
                  </w:r>
                  <w:r>
                    <w:rPr>
                      <w:rFonts w:hint="eastAsia" w:ascii="Times New Roman" w:hAnsi="Times New Roman" w:eastAsia="宋体"/>
                      <w:color w:val="auto"/>
                      <w:sz w:val="21"/>
                      <w:szCs w:val="21"/>
                    </w:rPr>
                    <w:t>粉末固化工序</w:t>
                  </w:r>
                  <w:r>
                    <w:rPr>
                      <w:rFonts w:ascii="Times New Roman" w:hAnsi="Times New Roman" w:eastAsia="宋体"/>
                      <w:color w:val="auto"/>
                      <w:sz w:val="21"/>
                      <w:szCs w:val="21"/>
                    </w:rPr>
                    <w:t>有机废气经</w:t>
                  </w:r>
                  <w:r>
                    <w:rPr>
                      <w:rFonts w:hint="default" w:ascii="Times New Roman" w:hAnsi="Times New Roman" w:eastAsia="宋体" w:cs="Times New Roman"/>
                      <w:color w:val="auto"/>
                      <w:sz w:val="21"/>
                      <w:szCs w:val="21"/>
                      <w:lang w:val="en-US" w:eastAsia="zh-CN"/>
                    </w:rPr>
                    <w:t>管道</w:t>
                  </w:r>
                  <w:r>
                    <w:rPr>
                      <w:rFonts w:ascii="Times New Roman" w:hAnsi="Times New Roman" w:eastAsia="宋体"/>
                      <w:color w:val="auto"/>
                      <w:sz w:val="21"/>
                      <w:szCs w:val="21"/>
                    </w:rPr>
                    <w:t>收集后通过二级活性炭吸附装置处理后经高空排放，收集率和处理效率均不低于90%，从源头控制无组织排放。本项目位于江苏省无锡市新吴区</w:t>
                  </w:r>
                  <w:r>
                    <w:rPr>
                      <w:rFonts w:hint="eastAsia" w:ascii="Times New Roman" w:hAnsi="Times New Roman" w:eastAsia="宋体"/>
                      <w:color w:val="auto"/>
                      <w:sz w:val="21"/>
                      <w:szCs w:val="21"/>
                    </w:rPr>
                    <w:t>新风路69</w:t>
                  </w:r>
                  <w:r>
                    <w:rPr>
                      <w:rFonts w:ascii="Times New Roman" w:hAnsi="Times New Roman" w:eastAsia="宋体"/>
                      <w:color w:val="auto"/>
                      <w:sz w:val="21"/>
                      <w:szCs w:val="21"/>
                    </w:rPr>
                    <w:t>号，本项目设置的卫生防护距离内无环境敏感目标。</w:t>
                  </w:r>
                </w:p>
              </w:tc>
              <w:tc>
                <w:tcPr>
                  <w:tcW w:w="387" w:type="dxa"/>
                  <w:vAlign w:val="center"/>
                </w:tcPr>
                <w:p>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401" w:hRule="atLeast"/>
                <w:jc w:val="right"/>
              </w:trPr>
              <w:tc>
                <w:tcPr>
                  <w:tcW w:w="376" w:type="dxa"/>
                  <w:vAlign w:val="center"/>
                </w:tcPr>
                <w:p>
                  <w:pPr>
                    <w:pStyle w:val="48"/>
                    <w:adjustRightInd w:val="0"/>
                    <w:snapToGrid w:val="0"/>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w:t>
                  </w:r>
                </w:p>
              </w:tc>
              <w:tc>
                <w:tcPr>
                  <w:tcW w:w="4505" w:type="dxa"/>
                  <w:vAlign w:val="center"/>
                </w:tcPr>
                <w:p>
                  <w:pPr>
                    <w:pStyle w:val="48"/>
                    <w:adjustRightInd w:val="0"/>
                    <w:snapToGrid w:val="0"/>
                    <w:jc w:val="both"/>
                    <w:rPr>
                      <w:rFonts w:ascii="Times New Roman" w:hAnsi="Times New Roman" w:eastAsia="宋体"/>
                      <w:color w:val="auto"/>
                      <w:sz w:val="21"/>
                      <w:szCs w:val="21"/>
                    </w:rPr>
                  </w:pPr>
                  <w:r>
                    <w:rPr>
                      <w:rFonts w:ascii="Times New Roman" w:hAnsi="Times New Roman" w:eastAsia="宋体"/>
                      <w:color w:val="auto"/>
                      <w:sz w:val="21"/>
                      <w:szCs w:val="21"/>
                    </w:rPr>
                    <w:t>加强区域环境综合整治和工业集中区生态环境建设。针对区域存在的环境问题，加强环境综合整治，落实重点污染源综合整治方案，对现有废气、废水不能稳定达标排放的企业须实施限期整改，达不到整改要求的企业，应责令其停止生产或关闭。</w:t>
                  </w:r>
                </w:p>
              </w:tc>
              <w:tc>
                <w:tcPr>
                  <w:tcW w:w="2877" w:type="dxa"/>
                  <w:vAlign w:val="center"/>
                </w:tcPr>
                <w:p>
                  <w:pPr>
                    <w:pStyle w:val="10"/>
                    <w:rPr>
                      <w:rFonts w:ascii="Times New Roman" w:hAnsi="Times New Roman" w:eastAsia="宋体"/>
                      <w:color w:val="auto"/>
                      <w:sz w:val="21"/>
                      <w:szCs w:val="21"/>
                    </w:rPr>
                  </w:pPr>
                  <w:r>
                    <w:rPr>
                      <w:rFonts w:hint="eastAsia" w:ascii="Times New Roman" w:hAnsi="宋体" w:eastAsia="宋体" w:cs="宋体"/>
                      <w:color w:val="auto"/>
                      <w:kern w:val="0"/>
                      <w:sz w:val="21"/>
                      <w:szCs w:val="21"/>
                      <w:highlight w:val="none"/>
                      <w:lang w:val="en-US" w:eastAsia="zh-CN" w:bidi="ar"/>
                    </w:rPr>
                    <w:t>本项目所排放的各类污染物经处理后均能达标排放</w:t>
                  </w:r>
                  <w:r>
                    <w:rPr>
                      <w:color w:val="auto"/>
                    </w:rPr>
                    <w:commentReference w:id="2"/>
                  </w:r>
                  <w:r>
                    <w:rPr>
                      <w:rFonts w:ascii="Times New Roman" w:hAnsi="Times New Roman" w:eastAsia="宋体"/>
                      <w:color w:val="auto"/>
                      <w:sz w:val="21"/>
                      <w:szCs w:val="21"/>
                    </w:rPr>
                    <w:t>。</w:t>
                  </w:r>
                </w:p>
              </w:tc>
              <w:tc>
                <w:tcPr>
                  <w:tcW w:w="387" w:type="dxa"/>
                  <w:vAlign w:val="center"/>
                </w:tcPr>
                <w:p>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24" w:hRule="atLeast"/>
                <w:jc w:val="right"/>
              </w:trPr>
              <w:tc>
                <w:tcPr>
                  <w:tcW w:w="376" w:type="dxa"/>
                  <w:vAlign w:val="center"/>
                </w:tcPr>
                <w:p>
                  <w:pPr>
                    <w:pStyle w:val="48"/>
                    <w:adjustRightInd w:val="0"/>
                    <w:snapToGrid w:val="0"/>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w:t>
                  </w:r>
                </w:p>
              </w:tc>
              <w:tc>
                <w:tcPr>
                  <w:tcW w:w="4505" w:type="dxa"/>
                  <w:vAlign w:val="center"/>
                </w:tcPr>
                <w:p>
                  <w:pPr>
                    <w:pStyle w:val="48"/>
                    <w:adjustRightInd w:val="0"/>
                    <w:snapToGrid w:val="0"/>
                    <w:jc w:val="both"/>
                    <w:rPr>
                      <w:rFonts w:ascii="Times New Roman" w:hAnsi="Times New Roman" w:eastAsia="宋体"/>
                      <w:color w:val="auto"/>
                      <w:sz w:val="21"/>
                      <w:szCs w:val="21"/>
                    </w:rPr>
                  </w:pPr>
                  <w:r>
                    <w:rPr>
                      <w:rFonts w:ascii="Times New Roman" w:hAnsi="Times New Roman" w:eastAsia="宋体"/>
                      <w:color w:val="auto"/>
                      <w:sz w:val="21"/>
                      <w:szCs w:val="21"/>
                    </w:rPr>
                    <w:t>加快工业集中区环境保护基础设施建设。按“雨污分流、清污分流、中水回用”的要求加快区内污水管网建设进度。区内各企业产生的污水须经预处理达接管标准后方能接入污水处理厂集中处理。污水处理厂尾水执行《城镇污水处理厂污染物排放标准》(GB18918-2002)一级B标准。规划并落实“中水”回用的基础设施及途径，清下水、污水处理厂“尾水须尽可能用作绿化用水、地面冲洗水、道路喷洒水等低水质用水。</w:t>
                  </w:r>
                </w:p>
                <w:p>
                  <w:pPr>
                    <w:pStyle w:val="48"/>
                    <w:adjustRightInd w:val="0"/>
                    <w:snapToGrid w:val="0"/>
                    <w:jc w:val="both"/>
                    <w:rPr>
                      <w:rFonts w:ascii="Times New Roman" w:hAnsi="Times New Roman" w:eastAsia="宋体"/>
                      <w:color w:val="auto"/>
                      <w:sz w:val="21"/>
                      <w:szCs w:val="21"/>
                    </w:rPr>
                  </w:pPr>
                  <w:r>
                    <w:rPr>
                      <w:rFonts w:ascii="Times New Roman" w:hAnsi="Times New Roman" w:eastAsia="宋体"/>
                      <w:color w:val="auto"/>
                      <w:sz w:val="21"/>
                      <w:szCs w:val="21"/>
                    </w:rPr>
                    <w:t>加快供热管网建设进度，确保对入区企业的集中供热。确因工艺需要建设的加热设备必须使用天然气、轻质柴油、电等清洁能源。入区企业生产废气须经有效处理后达标排放，同时须严格控制和减少各类废气无组织排放。锅炉烟气执行《锅炉大气污染物排放标准》(GB13271-2001) II时段标准，生产工艺废气执行《大气污染物综合排放标准》(GB16297-1996) 表2中二级标准，恶臭污染物执行《恶臭污染物排放标准》(GB14554-93) 中相应标准，工业窑炉废气执行《工业窑炉大气污染物排放标准》(GB14544-93) 二级标准。</w:t>
                  </w:r>
                </w:p>
                <w:p>
                  <w:pPr>
                    <w:pStyle w:val="48"/>
                    <w:adjustRightInd w:val="0"/>
                    <w:snapToGrid w:val="0"/>
                    <w:jc w:val="both"/>
                    <w:rPr>
                      <w:rFonts w:ascii="Times New Roman" w:hAnsi="Times New Roman" w:eastAsia="宋体"/>
                      <w:color w:val="auto"/>
                      <w:sz w:val="21"/>
                      <w:szCs w:val="21"/>
                    </w:rPr>
                  </w:pPr>
                  <w:r>
                    <w:rPr>
                      <w:rFonts w:ascii="Times New Roman" w:hAnsi="Times New Roman" w:eastAsia="宋体"/>
                      <w:color w:val="auto"/>
                      <w:sz w:val="21"/>
                      <w:szCs w:val="21"/>
                    </w:rPr>
                    <w:t>工业集中区不设置固体废物处置场所，但须建立统一的固废(特别是危险废物)收集、贮存、运输、综合利用和安全处置的运营管理体系，危险废物处置应纳入无锡市危废处置系统，鼓励工业固体废物在区内综合利用。区内危险废物的收集、贮存、处置须符合国家《危险废物贮存污染控制标准》，防止产生二次污染。</w:t>
                  </w:r>
                </w:p>
              </w:tc>
              <w:tc>
                <w:tcPr>
                  <w:tcW w:w="2877" w:type="dxa"/>
                  <w:vAlign w:val="center"/>
                </w:tcPr>
                <w:p>
                  <w:pPr>
                    <w:pStyle w:val="48"/>
                    <w:adjustRightInd w:val="0"/>
                    <w:snapToGrid w:val="0"/>
                    <w:jc w:val="both"/>
                    <w:rPr>
                      <w:rFonts w:ascii="Times New Roman" w:hAnsi="Times New Roman" w:eastAsia="宋体"/>
                      <w:color w:val="auto"/>
                      <w:sz w:val="21"/>
                      <w:szCs w:val="21"/>
                    </w:rPr>
                  </w:pPr>
                  <w:r>
                    <w:rPr>
                      <w:rFonts w:ascii="Times New Roman" w:hAnsi="Times New Roman" w:eastAsia="宋体"/>
                      <w:color w:val="auto"/>
                      <w:sz w:val="21"/>
                      <w:szCs w:val="21"/>
                    </w:rPr>
                    <w:t>本项目严格实行“雨污分流”，纯水制备浓水、反冲洗废水以及经化粪池预处理后的</w:t>
                  </w:r>
                  <w:r>
                    <w:rPr>
                      <w:rFonts w:hint="eastAsia" w:ascii="Times New Roman" w:hAnsi="Times New Roman" w:eastAsia="宋体"/>
                      <w:color w:val="auto"/>
                      <w:sz w:val="21"/>
                      <w:szCs w:val="21"/>
                    </w:rPr>
                    <w:t>生活污水</w:t>
                  </w:r>
                  <w:r>
                    <w:rPr>
                      <w:rFonts w:ascii="Times New Roman" w:hAnsi="Times New Roman" w:eastAsia="宋体"/>
                      <w:color w:val="auto"/>
                      <w:sz w:val="21"/>
                      <w:szCs w:val="21"/>
                    </w:rPr>
                    <w:t>达到接管标准后一并排入梅村水处理厂集中处理</w:t>
                  </w:r>
                  <w:r>
                    <w:rPr>
                      <w:rFonts w:hint="eastAsia" w:ascii="Times New Roman" w:hAnsi="Times New Roman" w:eastAsia="宋体"/>
                      <w:color w:val="auto"/>
                      <w:sz w:val="21"/>
                      <w:szCs w:val="21"/>
                    </w:rPr>
                    <w:t>，生产废水经厂内污水处理设施处理后回用，不外排</w:t>
                  </w:r>
                  <w:r>
                    <w:rPr>
                      <w:rFonts w:ascii="Times New Roman" w:hAnsi="Times New Roman" w:eastAsia="宋体"/>
                      <w:color w:val="auto"/>
                      <w:sz w:val="21"/>
                      <w:szCs w:val="21"/>
                    </w:rPr>
                    <w:t>。本项目生产过程中产生的有机废气经二级活性炭吸附装置处理后达标排放、粉尘废气经旋风+滤芯回收系统处理后达标排放。本项目一般固废由物资回收单位回收利用，危险废物委托有资质单位处置， 生活垃圾由环卫部门统一清运、填埋。</w:t>
                  </w:r>
                </w:p>
              </w:tc>
              <w:tc>
                <w:tcPr>
                  <w:tcW w:w="387" w:type="dxa"/>
                  <w:vAlign w:val="center"/>
                </w:tcPr>
                <w:p>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58" w:hRule="atLeast"/>
                <w:jc w:val="right"/>
              </w:trPr>
              <w:tc>
                <w:tcPr>
                  <w:tcW w:w="376" w:type="dxa"/>
                  <w:vAlign w:val="center"/>
                </w:tcPr>
                <w:p>
                  <w:pPr>
                    <w:pStyle w:val="48"/>
                    <w:adjustRightInd w:val="0"/>
                    <w:snapToGrid w:val="0"/>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w:t>
                  </w:r>
                </w:p>
              </w:tc>
              <w:tc>
                <w:tcPr>
                  <w:tcW w:w="4505" w:type="dxa"/>
                  <w:vAlign w:val="center"/>
                </w:tcPr>
                <w:p>
                  <w:pPr>
                    <w:pStyle w:val="48"/>
                    <w:adjustRightInd w:val="0"/>
                    <w:snapToGrid w:val="0"/>
                    <w:jc w:val="both"/>
                    <w:rPr>
                      <w:rFonts w:ascii="Times New Roman" w:hAnsi="Times New Roman" w:eastAsia="宋体"/>
                      <w:color w:val="auto"/>
                      <w:sz w:val="21"/>
                      <w:szCs w:val="21"/>
                    </w:rPr>
                  </w:pPr>
                  <w:r>
                    <w:rPr>
                      <w:rFonts w:ascii="Times New Roman" w:hAnsi="Times New Roman" w:eastAsia="宋体"/>
                      <w:color w:val="auto"/>
                      <w:sz w:val="21"/>
                      <w:szCs w:val="21"/>
                    </w:rPr>
                    <w:t>加强环境风险防范，制定完善的事故应急预案。高度重视并切实加强工业集中区环境安全管理工作，制订危险化学品的登记管理制度，在工业集中区基础设施和企业生产运营管理中须制定并落实严格的环境风险防范措施和事故应急预案，区内各使用危险化学品的生产装置周边须设置物料泄漏应急截流沟，防止泄漏物料进入环境，并储备事故应急设备物资，定期组织实战演练，确保工业园区环境安全。排放工业废水的企业须设置足够容量的事故污水池，严禁污水超标排放。</w:t>
                  </w:r>
                </w:p>
              </w:tc>
              <w:tc>
                <w:tcPr>
                  <w:tcW w:w="2877" w:type="dxa"/>
                  <w:vAlign w:val="center"/>
                </w:tcPr>
                <w:p>
                  <w:pPr>
                    <w:pStyle w:val="48"/>
                    <w:adjustRightInd w:val="0"/>
                    <w:snapToGrid w:val="0"/>
                    <w:jc w:val="both"/>
                    <w:rPr>
                      <w:rFonts w:ascii="Times New Roman" w:hAnsi="Times New Roman" w:eastAsia="宋体"/>
                      <w:color w:val="auto"/>
                      <w:sz w:val="21"/>
                      <w:szCs w:val="21"/>
                    </w:rPr>
                  </w:pPr>
                  <w:r>
                    <w:rPr>
                      <w:rFonts w:ascii="Times New Roman" w:hAnsi="Times New Roman" w:eastAsia="宋体"/>
                      <w:color w:val="auto"/>
                      <w:sz w:val="21"/>
                      <w:szCs w:val="21"/>
                    </w:rPr>
                    <w:t>本项目将按照要求，采取风险防控措施，预防火灾等生产事故发生。同时，提高操作、管理人员的技术、管理水平，严格执行有关操作规程和管理制度，预防人为因素酿成安全和环境污染事故，减少事故发生频率及危害。</w:t>
                  </w:r>
                </w:p>
              </w:tc>
              <w:tc>
                <w:tcPr>
                  <w:tcW w:w="387" w:type="dxa"/>
                  <w:vAlign w:val="center"/>
                </w:tcPr>
                <w:p>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240" w:hRule="atLeast"/>
                <w:jc w:val="right"/>
              </w:trPr>
              <w:tc>
                <w:tcPr>
                  <w:tcW w:w="376" w:type="dxa"/>
                  <w:vAlign w:val="center"/>
                </w:tcPr>
                <w:p>
                  <w:pPr>
                    <w:pStyle w:val="48"/>
                    <w:adjustRightInd w:val="0"/>
                    <w:snapToGrid w:val="0"/>
                    <w:rPr>
                      <w:rFonts w:ascii="Times New Roman" w:hAnsi="Times New Roman" w:eastAsia="宋体"/>
                      <w:color w:val="auto"/>
                      <w:sz w:val="21"/>
                      <w:szCs w:val="21"/>
                    </w:rPr>
                  </w:pPr>
                </w:p>
              </w:tc>
              <w:tc>
                <w:tcPr>
                  <w:tcW w:w="4505" w:type="dxa"/>
                  <w:vAlign w:val="center"/>
                </w:tcPr>
                <w:p>
                  <w:pPr>
                    <w:pStyle w:val="48"/>
                    <w:adjustRightInd w:val="0"/>
                    <w:snapToGrid w:val="0"/>
                    <w:jc w:val="both"/>
                    <w:rPr>
                      <w:rFonts w:ascii="Times New Roman" w:hAnsi="Times New Roman" w:eastAsia="宋体"/>
                      <w:color w:val="auto"/>
                      <w:sz w:val="21"/>
                      <w:szCs w:val="21"/>
                    </w:rPr>
                  </w:pPr>
                  <w:r>
                    <w:rPr>
                      <w:rFonts w:ascii="Times New Roman" w:hAnsi="Times New Roman" w:eastAsia="宋体"/>
                      <w:color w:val="auto"/>
                      <w:sz w:val="21"/>
                      <w:szCs w:val="21"/>
                    </w:rPr>
                    <w:t>工业集中区实行污染物排放总重控制。落实无锡市新区“十一五”污染物总量削减计划，园区污染物总量指标纳入无锡新区总量指标内，其中水污染物总量指标纳入梅村污水处理厂指标计划内，大气污染物排放总量指标在无锡市友联热电有限公司指标计划内平衡。非常规污染物排放总量可根据环境要求和入区企业实际情况，由负责建设项目审批的环境保护主管部门核批。</w:t>
                  </w:r>
                </w:p>
              </w:tc>
              <w:tc>
                <w:tcPr>
                  <w:tcW w:w="2877" w:type="dxa"/>
                  <w:vAlign w:val="center"/>
                </w:tcPr>
                <w:p>
                  <w:pPr>
                    <w:pStyle w:val="48"/>
                    <w:adjustRightInd w:val="0"/>
                    <w:snapToGrid w:val="0"/>
                    <w:jc w:val="both"/>
                    <w:rPr>
                      <w:rFonts w:ascii="Times New Roman" w:hAnsi="Times New Roman" w:eastAsia="宋体"/>
                      <w:color w:val="auto"/>
                      <w:sz w:val="21"/>
                      <w:szCs w:val="21"/>
                    </w:rPr>
                  </w:pPr>
                  <w:r>
                    <w:rPr>
                      <w:rFonts w:ascii="Times New Roman" w:hAnsi="Times New Roman" w:eastAsia="宋体"/>
                      <w:color w:val="auto"/>
                      <w:sz w:val="21"/>
                      <w:szCs w:val="21"/>
                    </w:rPr>
                    <w:t>本项目废气污染物在</w:t>
                  </w:r>
                  <w:r>
                    <w:rPr>
                      <w:rFonts w:hint="eastAsia" w:ascii="Times New Roman" w:hAnsi="Times New Roman" w:eastAsia="宋体"/>
                      <w:color w:val="auto"/>
                      <w:sz w:val="21"/>
                      <w:szCs w:val="21"/>
                    </w:rPr>
                    <w:t>新吴区</w:t>
                  </w:r>
                  <w:r>
                    <w:rPr>
                      <w:rFonts w:ascii="Times New Roman" w:hAnsi="Times New Roman" w:eastAsia="宋体"/>
                      <w:color w:val="auto"/>
                      <w:sz w:val="21"/>
                      <w:szCs w:val="21"/>
                    </w:rPr>
                    <w:t>总量中平衡，废水污染物在梅村水处理厂内平衡。</w:t>
                  </w:r>
                </w:p>
              </w:tc>
              <w:tc>
                <w:tcPr>
                  <w:tcW w:w="387" w:type="dxa"/>
                  <w:vAlign w:val="center"/>
                </w:tcPr>
                <w:p>
                  <w:pPr>
                    <w:pStyle w:val="48"/>
                    <w:adjustRightInd w:val="0"/>
                    <w:snapToGrid w:val="0"/>
                    <w:rPr>
                      <w:rFonts w:ascii="Times New Roman" w:hAnsi="Times New Roman" w:eastAsia="宋体"/>
                      <w:color w:val="auto"/>
                      <w:sz w:val="21"/>
                      <w:szCs w:val="21"/>
                    </w:rPr>
                  </w:pPr>
                  <w:r>
                    <w:rPr>
                      <w:rFonts w:ascii="Times New Roman" w:hAnsi="Times New Roman" w:eastAsia="宋体"/>
                      <w:color w:val="auto"/>
                      <w:sz w:val="21"/>
                      <w:szCs w:val="21"/>
                    </w:rPr>
                    <w:t>相符</w:t>
                  </w:r>
                </w:p>
              </w:tc>
            </w:tr>
          </w:tbl>
          <w:p>
            <w:pPr>
              <w:tabs>
                <w:tab w:val="left" w:pos="0"/>
              </w:tabs>
              <w:spacing w:line="360" w:lineRule="auto"/>
              <w:ind w:left="480"/>
              <w:rPr>
                <w:snapToGrid w:val="0"/>
                <w:color w:val="auto"/>
                <w:sz w:val="24"/>
              </w:rPr>
            </w:pPr>
            <w:ins w:id="38" w:author="Sunny" w:date="2022-12-29T17:10:00Z">
              <w:r>
                <w:rPr>
                  <w:color w:val="auto"/>
                  <w:sz w:val="24"/>
                </w:rPr>
                <w:t>由该表可见，本项目的建设基本符合</w:t>
              </w:r>
            </w:ins>
            <w:ins w:id="39" w:author="Sunny" w:date="2022-12-29T17:10:00Z">
              <w:r>
                <w:rPr>
                  <w:snapToGrid w:val="0"/>
                  <w:color w:val="auto"/>
                  <w:sz w:val="24"/>
                </w:rPr>
                <w:t>《关于梅村镇工业集中区环境影响评</w:t>
              </w:r>
            </w:ins>
          </w:p>
          <w:p>
            <w:pPr>
              <w:tabs>
                <w:tab w:val="left" w:pos="0"/>
              </w:tabs>
              <w:spacing w:line="360" w:lineRule="auto"/>
              <w:rPr>
                <w:b/>
                <w:color w:val="auto"/>
                <w:sz w:val="24"/>
              </w:rPr>
            </w:pPr>
            <w:ins w:id="40" w:author="Sunny" w:date="2022-12-29T17:10:00Z">
              <w:r>
                <w:rPr>
                  <w:snapToGrid w:val="0"/>
                  <w:color w:val="auto"/>
                  <w:sz w:val="24"/>
                </w:rPr>
                <w:t>价和环境保护规划报告书的批复意见》（锡新管建发[2007]43号）</w:t>
              </w:r>
            </w:ins>
            <w:ins w:id="41" w:author="Sunny" w:date="2022-12-29T17:10:00Z">
              <w:r>
                <w:rPr>
                  <w:color w:val="auto"/>
                  <w:sz w:val="24"/>
                </w:rPr>
                <w:t>的要求。</w:t>
              </w:r>
            </w:ins>
          </w:p>
          <w:p>
            <w:pPr>
              <w:tabs>
                <w:tab w:val="left" w:pos="0"/>
              </w:tabs>
              <w:spacing w:line="360" w:lineRule="auto"/>
              <w:ind w:left="480"/>
              <w:rPr>
                <w:ins w:id="42" w:author="Sunny" w:date="2022-12-29T17:10:00Z"/>
                <w:b/>
                <w:bCs/>
                <w:color w:val="auto"/>
                <w:sz w:val="24"/>
              </w:rPr>
            </w:pPr>
            <w:ins w:id="43" w:author="Sunny" w:date="2022-12-29T17:10:00Z">
              <w:r>
                <w:rPr>
                  <w:b/>
                  <w:color w:val="auto"/>
                  <w:sz w:val="24"/>
                </w:rPr>
                <w:t>B.与梅村工业集中区跟踪评价相符性分析</w:t>
              </w:r>
            </w:ins>
          </w:p>
          <w:p>
            <w:pPr>
              <w:spacing w:line="360" w:lineRule="auto"/>
              <w:ind w:firstLine="480" w:firstLineChars="200"/>
              <w:rPr>
                <w:color w:val="auto"/>
                <w:sz w:val="24"/>
              </w:rPr>
            </w:pPr>
            <w:ins w:id="44" w:author="Sunny" w:date="2022-12-29T17:10:00Z">
              <w:r>
                <w:rPr>
                  <w:color w:val="auto"/>
                  <w:sz w:val="24"/>
                </w:rPr>
                <w:t>无锡市新吴区梅村工业集中区管委会</w:t>
              </w:r>
            </w:ins>
            <w:ins w:id="45" w:author="Sunny" w:date="2022-12-29T17:10:00Z">
              <w:r>
                <w:rPr>
                  <w:snapToGrid w:val="0"/>
                  <w:color w:val="auto"/>
                  <w:sz w:val="24"/>
                </w:rPr>
                <w:t>于</w:t>
              </w:r>
            </w:ins>
            <w:ins w:id="46" w:author="Sunny" w:date="2022-12-29T17:10:00Z">
              <w:r>
                <w:rPr>
                  <w:color w:val="auto"/>
                  <w:sz w:val="24"/>
                </w:rPr>
                <w:t>2017</w:t>
              </w:r>
            </w:ins>
            <w:ins w:id="47" w:author="Sunny" w:date="2022-12-29T17:10:00Z">
              <w:r>
                <w:rPr>
                  <w:snapToGrid w:val="0"/>
                  <w:color w:val="auto"/>
                  <w:sz w:val="24"/>
                </w:rPr>
                <w:t>年12月26日取得无锡高新区（新吴区） 环境保护委员会出具的《关于无锡市新吴区梅村工业集中区规划环境影响跟踪评价报告书的审查意见》（锡新环委办发[2</w:t>
              </w:r>
            </w:ins>
            <w:ins w:id="48" w:author="Sunny" w:date="2022-12-29T17:10:00Z">
              <w:r>
                <w:rPr>
                  <w:color w:val="auto"/>
                  <w:sz w:val="24"/>
                </w:rPr>
                <w:t>017]11号）。本项目与</w:t>
              </w:r>
            </w:ins>
            <w:ins w:id="49" w:author="Sunny" w:date="2022-12-29T17:10:00Z">
              <w:r>
                <w:rPr>
                  <w:snapToGrid w:val="0"/>
                  <w:color w:val="auto"/>
                  <w:sz w:val="24"/>
                </w:rPr>
                <w:t>锡新环委办发[2</w:t>
              </w:r>
            </w:ins>
            <w:ins w:id="50" w:author="Sunny" w:date="2022-12-29T17:10:00Z">
              <w:r>
                <w:rPr>
                  <w:color w:val="auto"/>
                  <w:sz w:val="24"/>
                </w:rPr>
                <w:t>017]11号相符性分析见表</w:t>
              </w:r>
            </w:ins>
            <w:r>
              <w:rPr>
                <w:color w:val="auto"/>
                <w:sz w:val="24"/>
              </w:rPr>
              <w:t>1-</w:t>
            </w:r>
            <w:r>
              <w:rPr>
                <w:rFonts w:hint="eastAsia"/>
                <w:color w:val="auto"/>
                <w:sz w:val="24"/>
                <w:lang w:val="en-US" w:eastAsia="zh-CN"/>
              </w:rPr>
              <w:t>3</w:t>
            </w:r>
            <w:r>
              <w:rPr>
                <w:rFonts w:hint="eastAsia"/>
                <w:color w:val="auto"/>
                <w:sz w:val="24"/>
                <w:lang w:eastAsia="zh-CN"/>
              </w:rPr>
              <w:t>。</w:t>
            </w:r>
          </w:p>
          <w:p>
            <w:pPr>
              <w:numPr>
                <w:ilvl w:val="0"/>
                <w:numId w:val="2"/>
              </w:numPr>
              <w:jc w:val="center"/>
              <w:rPr>
                <w:b/>
                <w:bCs/>
                <w:color w:val="auto"/>
                <w:sz w:val="24"/>
              </w:rPr>
            </w:pPr>
            <w:r>
              <w:rPr>
                <w:b/>
                <w:bCs/>
                <w:color w:val="auto"/>
                <w:sz w:val="24"/>
              </w:rPr>
              <w:t>建设项目与无锡市新吴区梅村工业集中区规划环境影响跟踪评价报告书的审核意见对照表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7"/>
              <w:gridCol w:w="4834"/>
              <w:gridCol w:w="29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273"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b/>
                      <w:bCs/>
                      <w:color w:val="auto"/>
                      <w:kern w:val="2"/>
                      <w:szCs w:val="21"/>
                    </w:rPr>
                  </w:pPr>
                  <w:r>
                    <w:rPr>
                      <w:rFonts w:ascii="Calibri" w:hAnsi="Calibri" w:cs="Calibri"/>
                      <w:b/>
                      <w:bCs/>
                      <w:color w:val="auto"/>
                      <w:kern w:val="2"/>
                      <w:szCs w:val="21"/>
                    </w:rPr>
                    <w:t>序号</w:t>
                  </w:r>
                </w:p>
              </w:tc>
              <w:tc>
                <w:tcPr>
                  <w:tcW w:w="2947"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b/>
                      <w:bCs/>
                      <w:color w:val="auto"/>
                      <w:kern w:val="2"/>
                      <w:szCs w:val="21"/>
                    </w:rPr>
                  </w:pPr>
                  <w:r>
                    <w:rPr>
                      <w:rFonts w:ascii="Calibri" w:hAnsi="Calibri" w:cs="Calibri"/>
                      <w:b/>
                      <w:bCs/>
                      <w:color w:val="auto"/>
                      <w:kern w:val="2"/>
                      <w:szCs w:val="21"/>
                    </w:rPr>
                    <w:t>审查意见</w:t>
                  </w:r>
                </w:p>
              </w:tc>
              <w:tc>
                <w:tcPr>
                  <w:tcW w:w="1779"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b/>
                      <w:bCs/>
                      <w:color w:val="auto"/>
                      <w:kern w:val="2"/>
                      <w:szCs w:val="21"/>
                    </w:rPr>
                  </w:pPr>
                  <w:r>
                    <w:rPr>
                      <w:rFonts w:ascii="Calibri" w:hAnsi="Calibri" w:cs="Calibri"/>
                      <w:b/>
                      <w:bCs/>
                      <w:color w:val="auto"/>
                      <w:kern w:val="2"/>
                      <w:szCs w:val="21"/>
                    </w:rPr>
                    <w:t>项目相符性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 w:type="pct"/>
                  <w:vMerge w:val="restar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ascii="Calibri" w:hAnsi="Calibri" w:cs="Calibri"/>
                      <w:color w:val="auto"/>
                      <w:szCs w:val="21"/>
                    </w:rPr>
                    <w:t>对园区建设环境管理要求和整改意见</w:t>
                  </w:r>
                </w:p>
              </w:tc>
              <w:tc>
                <w:tcPr>
                  <w:tcW w:w="2947"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ascii="Calibri" w:hAnsi="Calibri" w:cs="Calibri"/>
                      <w:color w:val="auto"/>
                      <w:kern w:val="2"/>
                      <w:szCs w:val="21"/>
                    </w:rPr>
                    <w:t>集中区重点发展机械、轻纺、电子、服装等轻污染行业，引入项目须符合《产业结构调整指导目录（2011 版）》（2013 年修正）、《太湖流域管理条例》、《江苏省太湖水污染防治条例》等产业政策、法律法规和集中区产业发展负面清单的要求；集中区在后续发展过程中，可按照国家、江苏省和无锡市最新的产业政策和规划要求，对产业发展负面清单进行动态更新。</w:t>
                  </w:r>
                </w:p>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ascii="Calibri" w:hAnsi="Calibri" w:cs="Calibri"/>
                      <w:color w:val="auto"/>
                      <w:kern w:val="2"/>
                      <w:szCs w:val="21"/>
                    </w:rPr>
                    <w:t>对于区内原有的不符合产业定位及相关产业政策要求的企业，应加强日常环境管理监督，确保企业符合国家、江苏省、无锡市的环境保护要求，并按照相关产业退出政策实施搬迁转移。</w:t>
                  </w:r>
                </w:p>
              </w:tc>
              <w:tc>
                <w:tcPr>
                  <w:tcW w:w="1779" w:type="pct"/>
                  <w:tcBorders>
                    <w:tl2br w:val="nil"/>
                    <w:tr2bl w:val="nil"/>
                  </w:tcBorders>
                  <w:vAlign w:val="center"/>
                </w:tcPr>
                <w:p>
                  <w:pPr>
                    <w:pStyle w:val="16"/>
                    <w:autoSpaceDE w:val="0"/>
                    <w:adjustRightInd w:val="0"/>
                    <w:snapToGrid w:val="0"/>
                    <w:spacing w:after="0"/>
                    <w:ind w:left="0" w:leftChars="0" w:firstLine="0" w:firstLineChars="0"/>
                    <w:rPr>
                      <w:rFonts w:ascii="Calibri" w:hAnsi="Calibri" w:cs="Calibri"/>
                      <w:color w:val="auto"/>
                      <w:kern w:val="2"/>
                      <w:szCs w:val="21"/>
                    </w:rPr>
                  </w:pPr>
                  <w:r>
                    <w:rPr>
                      <w:rFonts w:ascii="Calibri" w:hAnsi="Calibri" w:cs="Calibri"/>
                      <w:color w:val="auto"/>
                      <w:kern w:val="2"/>
                      <w:szCs w:val="21"/>
                    </w:rPr>
                    <w:t>本项目</w:t>
                  </w:r>
                  <w:r>
                    <w:rPr>
                      <w:rFonts w:hint="eastAsia" w:ascii="Calibri" w:hAnsi="Calibri" w:cs="Calibri"/>
                      <w:color w:val="auto"/>
                      <w:kern w:val="2"/>
                      <w:szCs w:val="21"/>
                    </w:rPr>
                    <w:t>属于集中区</w:t>
                  </w:r>
                  <w:r>
                    <w:rPr>
                      <w:rFonts w:ascii="Calibri" w:hAnsi="Calibri" w:cs="Calibri"/>
                      <w:color w:val="auto"/>
                      <w:kern w:val="2"/>
                      <w:szCs w:val="21"/>
                    </w:rPr>
                    <w:t>重点发展</w:t>
                  </w:r>
                  <w:r>
                    <w:rPr>
                      <w:rFonts w:hint="eastAsia" w:ascii="Calibri" w:hAnsi="Calibri" w:cs="Calibri"/>
                      <w:color w:val="auto"/>
                      <w:kern w:val="2"/>
                      <w:szCs w:val="21"/>
                    </w:rPr>
                    <w:t>行业</w:t>
                  </w:r>
                  <w:r>
                    <w:rPr>
                      <w:rFonts w:ascii="Calibri" w:hAnsi="Calibri" w:cs="Calibri"/>
                      <w:color w:val="auto"/>
                      <w:kern w:val="2"/>
                      <w:szCs w:val="21"/>
                    </w:rPr>
                    <w:t>，符合国家和地方的产业政策。本项目位于太湖流域三级保护区，不排放含氮、磷的生产废水，符合《太湖流域管理条例》、《江苏省太湖水污染防治条例》（2021年修订）等产业政策。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 w:type="pct"/>
                  <w:vMerge w:val="continue"/>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p>
              </w:tc>
              <w:tc>
                <w:tcPr>
                  <w:tcW w:w="2947"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ascii="Calibri" w:hAnsi="Calibri" w:cs="Calibri"/>
                      <w:color w:val="auto"/>
                      <w:kern w:val="2"/>
                      <w:szCs w:val="21"/>
                    </w:rPr>
                    <w:t>完善集中区规划，合理规划功能布局，按照《无</w:t>
                  </w:r>
                </w:p>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ascii="Calibri" w:hAnsi="Calibri" w:cs="Calibri"/>
                      <w:color w:val="auto"/>
                      <w:kern w:val="2"/>
                      <w:szCs w:val="21"/>
                    </w:rPr>
                    <w:t>新区总体发展规划（2005~2020）》、《无锡市新吴区梅村街道总体规划（2015~2030）》，进一步优化集中区用地布局及产业结构，提高单位土地利用率。对于调整后拟开发的用地，在今后开发过程中，应严格按照规划的范围及用地性质进行开发。</w:t>
                  </w:r>
                </w:p>
              </w:tc>
              <w:tc>
                <w:tcPr>
                  <w:tcW w:w="1779"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p>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ascii="Calibri" w:hAnsi="Calibri" w:cs="Calibri"/>
                      <w:color w:val="auto"/>
                      <w:kern w:val="2"/>
                      <w:szCs w:val="21"/>
                    </w:rPr>
                    <w:t>本项目位于无锡市新吴区</w:t>
                  </w:r>
                  <w:r>
                    <w:rPr>
                      <w:rFonts w:hint="eastAsia" w:ascii="Calibri" w:hAnsi="Calibri" w:cs="Calibri"/>
                      <w:color w:val="auto"/>
                      <w:kern w:val="2"/>
                      <w:szCs w:val="21"/>
                    </w:rPr>
                    <w:t>新风路69</w:t>
                  </w:r>
                  <w:r>
                    <w:rPr>
                      <w:rFonts w:ascii="Calibri" w:hAnsi="Calibri" w:cs="Calibri"/>
                      <w:color w:val="auto"/>
                      <w:kern w:val="2"/>
                      <w:szCs w:val="21"/>
                    </w:rPr>
                    <w:t>号，符合集中区土地利用规划要求。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 w:type="pct"/>
                  <w:vMerge w:val="continue"/>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p>
              </w:tc>
              <w:tc>
                <w:tcPr>
                  <w:tcW w:w="2947"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ascii="Calibri" w:hAnsi="Calibri" w:cs="Calibri"/>
                      <w:color w:val="auto"/>
                      <w:kern w:val="2"/>
                      <w:szCs w:val="21"/>
                    </w:rPr>
                    <w:t>完善集中区配套的环保基础设施建设，协调推进梅村水处理厂的扩建，加快污水处理厂再生水回用管网的建设；集中区实行集中供热，供气管网覆盖范围内的自备锅炉及工业炉窑应使用天然气等清洁能源。</w:t>
                  </w:r>
                </w:p>
              </w:tc>
              <w:tc>
                <w:tcPr>
                  <w:tcW w:w="1779"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ascii="Calibri" w:hAnsi="Calibri" w:cs="Calibri"/>
                      <w:color w:val="auto"/>
                      <w:kern w:val="2"/>
                      <w:szCs w:val="21"/>
                    </w:rPr>
                    <w:t>本项目纯水制备浓水、反冲洗废水以及经化粪池预处理后的</w:t>
                  </w:r>
                  <w:r>
                    <w:rPr>
                      <w:rFonts w:hint="eastAsia" w:ascii="Calibri" w:hAnsi="Calibri" w:cs="Calibri"/>
                      <w:color w:val="auto"/>
                      <w:kern w:val="2"/>
                      <w:szCs w:val="21"/>
                    </w:rPr>
                    <w:t>生活污水</w:t>
                  </w:r>
                  <w:r>
                    <w:rPr>
                      <w:rFonts w:ascii="Calibri" w:hAnsi="Calibri" w:cs="Calibri"/>
                      <w:color w:val="auto"/>
                      <w:kern w:val="2"/>
                      <w:szCs w:val="21"/>
                    </w:rPr>
                    <w:t>一并排入梅村水处理厂集中处理</w:t>
                  </w:r>
                  <w:r>
                    <w:rPr>
                      <w:rFonts w:hint="eastAsia" w:ascii="Calibri" w:hAnsi="Calibri" w:cs="Calibri"/>
                      <w:color w:val="auto"/>
                      <w:kern w:val="2"/>
                      <w:szCs w:val="21"/>
                    </w:rPr>
                    <w:t>；生产废水经厂内污水处理系统处理后回用，不外排。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 w:type="pct"/>
                  <w:vMerge w:val="continue"/>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p>
              </w:tc>
              <w:tc>
                <w:tcPr>
                  <w:tcW w:w="2947"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ascii="Calibri" w:hAnsi="Calibri" w:cs="Calibri"/>
                      <w:color w:val="auto"/>
                      <w:kern w:val="2"/>
                      <w:szCs w:val="21"/>
                    </w:rPr>
                    <w:t>加强对工业集中区内现有工艺废气排放企业的管 理，确保工艺废气均通过有效处理后达标排放；对新入区的排放大气污染物为主的企业应合理布局，并确保各类废气达标排放。</w:t>
                  </w:r>
                </w:p>
              </w:tc>
              <w:tc>
                <w:tcPr>
                  <w:tcW w:w="1779"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ascii="Calibri" w:hAnsi="Calibri" w:cs="Calibri"/>
                      <w:color w:val="auto"/>
                      <w:kern w:val="2"/>
                      <w:szCs w:val="21"/>
                    </w:rPr>
                    <w:t>本项目生产过程中产生的</w:t>
                  </w:r>
                  <w:r>
                    <w:rPr>
                      <w:rFonts w:ascii="Calibri" w:hAnsi="Calibri" w:cs="Calibri"/>
                      <w:color w:val="auto"/>
                      <w:szCs w:val="21"/>
                    </w:rPr>
                    <w:t>有机废气经二级活性炭吸附装置处理后达标排放、粉尘废气经旋风+滤芯回收系统处理后达标排放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 w:type="pct"/>
                  <w:vMerge w:val="continue"/>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p>
              </w:tc>
              <w:tc>
                <w:tcPr>
                  <w:tcW w:w="2947"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ascii="Calibri" w:hAnsi="Calibri" w:cs="Calibri"/>
                      <w:color w:val="auto"/>
                      <w:kern w:val="2"/>
                      <w:szCs w:val="21"/>
                    </w:rPr>
                    <w:t>集中区内各企业应从源头控制实现废物减量化，一般工业固废分类收集，以便综合利用；危险废物须规划设置暂存场所，并委托有相应处置资质的单位进行处 置；生活垃圾有环卫部门收集后统一处理。</w:t>
                  </w:r>
                </w:p>
              </w:tc>
              <w:tc>
                <w:tcPr>
                  <w:tcW w:w="1779"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ascii="Calibri" w:hAnsi="Calibri" w:cs="Calibri"/>
                      <w:color w:val="auto"/>
                      <w:kern w:val="2"/>
                      <w:szCs w:val="21"/>
                    </w:rPr>
                    <w:t>本项目一般固废由物资回收单位回收利用，危险废物委托有资质单位处置， 生活垃圾由环卫部门统一清运、填埋。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 w:type="pct"/>
                  <w:vMerge w:val="continue"/>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p>
              </w:tc>
              <w:tc>
                <w:tcPr>
                  <w:tcW w:w="2947"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ascii="Calibri" w:hAnsi="Calibri" w:cs="Calibri"/>
                      <w:color w:val="auto"/>
                      <w:kern w:val="2"/>
                      <w:szCs w:val="21"/>
                    </w:rPr>
                    <w:t>集中区内各企业应规范编制应急预案，建立突发环境事件应急演练制度；应充分考虑事故废水的风险防范措施，设置的事故池须满足事故废水收集处理要求，防止事故废水对区域水环境造成不良影响。</w:t>
                  </w:r>
                </w:p>
              </w:tc>
              <w:tc>
                <w:tcPr>
                  <w:tcW w:w="1779"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ascii="Calibri" w:hAnsi="Calibri" w:cs="Calibri"/>
                      <w:color w:val="auto"/>
                      <w:kern w:val="2"/>
                      <w:szCs w:val="21"/>
                    </w:rPr>
                    <w:t>本项目将按照要求，采取风险防控措施，预防火灾等生产事故发生。同时，提高操作、管理人员的技术、管理水平，严格执行有关操作规程和管理制度，预防人为因素酿成安全和环境污染事故，减少事故发生频率及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 w:type="pct"/>
                  <w:vMerge w:val="continue"/>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p>
              </w:tc>
              <w:tc>
                <w:tcPr>
                  <w:tcW w:w="2947"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ascii="Calibri" w:hAnsi="Calibri" w:cs="Calibri"/>
                      <w:color w:val="auto"/>
                      <w:kern w:val="2"/>
                      <w:szCs w:val="21"/>
                    </w:rPr>
                    <w:t>加强集中区的环境监督管理，建立环境监测计划， 对地表水、环境空气、环境噪声、地下水、土壤定期进行监测。</w:t>
                  </w:r>
                </w:p>
              </w:tc>
              <w:tc>
                <w:tcPr>
                  <w:tcW w:w="1779"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hint="eastAsia"/>
                      <w:color w:val="auto"/>
                    </w:rPr>
                    <w:t>本项目制定详细的环境管理制度及环境监测计划。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3" w:type="pct"/>
                  <w:vMerge w:val="continue"/>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p>
              </w:tc>
              <w:tc>
                <w:tcPr>
                  <w:tcW w:w="2947"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ascii="Calibri" w:hAnsi="Calibri" w:cs="Calibri"/>
                      <w:color w:val="auto"/>
                      <w:kern w:val="2"/>
                      <w:szCs w:val="21"/>
                    </w:rPr>
                    <w:t>集中区实行污染物排放总量控制，水污染物排放总量控制指标在接管的污水处理厂指标内平衡，大气污染物排放总量控制指标在供热的电厂指标内平衡，特征污染物排放总量控制指标在新吴区范围内平衡</w:t>
                  </w:r>
                </w:p>
              </w:tc>
              <w:tc>
                <w:tcPr>
                  <w:tcW w:w="1779" w:type="pct"/>
                  <w:tcBorders>
                    <w:tl2br w:val="nil"/>
                    <w:tr2bl w:val="nil"/>
                  </w:tcBorders>
                  <w:vAlign w:val="center"/>
                </w:tcPr>
                <w:p>
                  <w:pPr>
                    <w:pStyle w:val="16"/>
                    <w:autoSpaceDE w:val="0"/>
                    <w:adjustRightInd w:val="0"/>
                    <w:snapToGrid w:val="0"/>
                    <w:spacing w:after="0"/>
                    <w:ind w:left="0" w:leftChars="0" w:firstLine="0" w:firstLineChars="0"/>
                    <w:jc w:val="center"/>
                    <w:rPr>
                      <w:rFonts w:ascii="Calibri" w:hAnsi="Calibri" w:cs="Calibri"/>
                      <w:color w:val="auto"/>
                      <w:kern w:val="2"/>
                      <w:szCs w:val="21"/>
                    </w:rPr>
                  </w:pPr>
                  <w:r>
                    <w:rPr>
                      <w:rFonts w:ascii="Calibri" w:hAnsi="Calibri" w:cs="Calibri"/>
                      <w:color w:val="auto"/>
                      <w:kern w:val="2"/>
                      <w:szCs w:val="21"/>
                    </w:rPr>
                    <w:t>本项目废气污染物在</w:t>
                  </w:r>
                  <w:r>
                    <w:rPr>
                      <w:rFonts w:hint="eastAsia" w:ascii="Calibri" w:hAnsi="Calibri" w:cs="Calibri"/>
                      <w:color w:val="auto"/>
                      <w:kern w:val="2"/>
                      <w:szCs w:val="21"/>
                    </w:rPr>
                    <w:t>新吴区</w:t>
                  </w:r>
                  <w:r>
                    <w:rPr>
                      <w:rFonts w:ascii="Calibri" w:hAnsi="Calibri" w:cs="Calibri"/>
                      <w:color w:val="auto"/>
                      <w:kern w:val="2"/>
                      <w:szCs w:val="21"/>
                    </w:rPr>
                    <w:t>总量中平衡，废水污染物在梅村水处理厂内平衡。</w:t>
                  </w:r>
                </w:p>
              </w:tc>
            </w:tr>
          </w:tbl>
          <w:p>
            <w:pPr>
              <w:spacing w:line="360" w:lineRule="auto"/>
              <w:ind w:firstLine="480" w:firstLineChars="200"/>
              <w:rPr>
                <w:color w:val="auto"/>
                <w:sz w:val="24"/>
              </w:rPr>
            </w:pPr>
            <w:ins w:id="51" w:author="Sunny" w:date="2022-12-29T17:10:00Z">
              <w:r>
                <w:rPr>
                  <w:color w:val="auto"/>
                  <w:sz w:val="24"/>
                </w:rPr>
                <w:t>由该表可见，本项目的建设基本符合</w:t>
              </w:r>
            </w:ins>
            <w:ins w:id="52" w:author="Sunny" w:date="2022-12-29T17:10:00Z">
              <w:r>
                <w:rPr>
                  <w:snapToGrid w:val="0"/>
                  <w:color w:val="auto"/>
                  <w:sz w:val="24"/>
                </w:rPr>
                <w:t>《关于无锡市新吴区梅村工业集中区规划环境影响跟踪评价报告书的审查意见》（锡新环委办发[2</w:t>
              </w:r>
            </w:ins>
            <w:ins w:id="53" w:author="Sunny" w:date="2022-12-29T17:10:00Z">
              <w:r>
                <w:rPr>
                  <w:color w:val="auto"/>
                  <w:sz w:val="24"/>
                </w:rPr>
                <w:t>017]11号）的要求。</w:t>
              </w:r>
            </w:ins>
          </w:p>
          <w:p>
            <w:pPr>
              <w:spacing w:line="360" w:lineRule="auto"/>
              <w:ind w:firstLine="480" w:firstLineChars="200"/>
              <w:jc w:val="left"/>
              <w:rPr>
                <w:color w:val="auto"/>
              </w:rPr>
            </w:pPr>
            <w:ins w:id="54" w:author="Sunny" w:date="2022-12-29T17:10:00Z">
              <w:r>
                <w:rPr>
                  <w:color w:val="auto"/>
                  <w:sz w:val="24"/>
                </w:rPr>
                <w:t>综上，</w:t>
              </w:r>
            </w:ins>
            <w:ins w:id="55" w:author="Sunny" w:date="2022-12-29T17:10:00Z">
              <w:r>
                <w:rPr>
                  <w:color w:val="auto"/>
                  <w:spacing w:val="-4"/>
                  <w:sz w:val="24"/>
                </w:rPr>
                <w:t>本项目位于无锡市新吴区</w:t>
              </w:r>
            </w:ins>
            <w:r>
              <w:rPr>
                <w:color w:val="auto"/>
                <w:spacing w:val="-4"/>
                <w:sz w:val="24"/>
              </w:rPr>
              <w:t>新风路69</w:t>
            </w:r>
            <w:ins w:id="56" w:author="Sunny" w:date="2022-12-29T17:10:00Z">
              <w:r>
                <w:rPr>
                  <w:color w:val="auto"/>
                  <w:spacing w:val="-4"/>
                  <w:sz w:val="24"/>
                </w:rPr>
                <w:t>号</w:t>
              </w:r>
            </w:ins>
            <w:ins w:id="57" w:author="Sunny" w:date="2022-12-29T17:10:00Z">
              <w:r>
                <w:rPr>
                  <w:color w:val="auto"/>
                  <w:sz w:val="24"/>
                </w:rPr>
                <w:t>，符合无锡梅村工业集中区的用地规划和产业定位，符合《</w:t>
              </w:r>
            </w:ins>
            <w:ins w:id="58" w:author="Sunny" w:date="2022-12-29T17:10:00Z">
              <w:r>
                <w:rPr>
                  <w:snapToGrid w:val="0"/>
                  <w:color w:val="auto"/>
                  <w:sz w:val="24"/>
                </w:rPr>
                <w:t>梅村镇工业集中区环境影响评价和环境保护规划报告书</w:t>
              </w:r>
            </w:ins>
            <w:ins w:id="59" w:author="Sunny" w:date="2022-12-29T17:10:00Z">
              <w:r>
                <w:rPr>
                  <w:color w:val="auto"/>
                  <w:sz w:val="24"/>
                </w:rPr>
                <w:t>》及批复意见（</w:t>
              </w:r>
            </w:ins>
            <w:ins w:id="60" w:author="Sunny" w:date="2022-12-29T17:10:00Z">
              <w:r>
                <w:rPr>
                  <w:snapToGrid w:val="0"/>
                  <w:color w:val="auto"/>
                  <w:sz w:val="24"/>
                </w:rPr>
                <w:t>锡新管建发[2007]43号</w:t>
              </w:r>
            </w:ins>
            <w:ins w:id="61" w:author="Sunny" w:date="2022-12-29T17:10:00Z">
              <w:r>
                <w:rPr>
                  <w:color w:val="auto"/>
                  <w:sz w:val="24"/>
                </w:rPr>
                <w:t>）、《</w:t>
              </w:r>
            </w:ins>
            <w:ins w:id="62" w:author="Sunny" w:date="2022-12-29T17:10:00Z">
              <w:r>
                <w:rPr>
                  <w:snapToGrid w:val="0"/>
                  <w:color w:val="auto"/>
                  <w:sz w:val="24"/>
                </w:rPr>
                <w:t>无锡市新吴区梅村工业集中区规划环境影响跟踪评价报告书</w:t>
              </w:r>
            </w:ins>
            <w:ins w:id="63" w:author="Sunny" w:date="2022-12-29T17:10:00Z">
              <w:r>
                <w:rPr>
                  <w:color w:val="auto"/>
                  <w:sz w:val="24"/>
                </w:rPr>
                <w:t>》及审查意见（锡新环委办发[2017]11号）相关要求，符合梅村工业集中区环境保护规划，符合无锡国家高新技术产业开发区的用地规划和产业定位</w:t>
              </w:r>
            </w:ins>
            <w:r>
              <w:rPr>
                <w:rFonts w:hint="eastAsia"/>
                <w:color w:val="auto"/>
                <w:sz w:val="24"/>
                <w:lang w:eastAsia="zh-CN"/>
              </w:rPr>
              <w:t>，</w:t>
            </w:r>
            <w:ins w:id="64" w:author="Sunny" w:date="2022-12-29T17:10:00Z">
              <w:r>
                <w:rPr>
                  <w:color w:val="auto"/>
                  <w:sz w:val="24"/>
                </w:rPr>
                <w:t>项目选址具备环境可行性。</w:t>
              </w:r>
            </w:ins>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42" w:hRule="atLeast"/>
          <w:jc w:val="center"/>
        </w:trPr>
        <w:tc>
          <w:tcPr>
            <w:tcW w:w="426" w:type="dxa"/>
            <w:vAlign w:val="center"/>
          </w:tcPr>
          <w:p>
            <w:pPr>
              <w:autoSpaceDE w:val="0"/>
              <w:autoSpaceDN w:val="0"/>
              <w:adjustRightInd w:val="0"/>
              <w:snapToGrid w:val="0"/>
              <w:jc w:val="center"/>
              <w:rPr>
                <w:color w:val="auto"/>
                <w:kern w:val="0"/>
                <w:szCs w:val="21"/>
              </w:rPr>
            </w:pPr>
            <w:r>
              <w:rPr>
                <w:color w:val="auto"/>
                <w:kern w:val="0"/>
                <w:sz w:val="24"/>
              </w:rPr>
              <w:t>其他符合性分析</w:t>
            </w:r>
          </w:p>
        </w:tc>
        <w:tc>
          <w:tcPr>
            <w:tcW w:w="8414" w:type="dxa"/>
            <w:vAlign w:val="center"/>
          </w:tcPr>
          <w:p>
            <w:pPr>
              <w:autoSpaceDE w:val="0"/>
              <w:autoSpaceDN w:val="0"/>
              <w:adjustRightInd w:val="0"/>
              <w:snapToGrid w:val="0"/>
              <w:spacing w:line="360" w:lineRule="auto"/>
              <w:contextualSpacing/>
              <w:rPr>
                <w:b/>
                <w:bCs/>
                <w:color w:val="auto"/>
                <w:sz w:val="24"/>
              </w:rPr>
            </w:pPr>
            <w:r>
              <w:rPr>
                <w:b/>
                <w:bCs/>
                <w:color w:val="auto"/>
                <w:szCs w:val="21"/>
              </w:rPr>
              <w:t>1、</w:t>
            </w:r>
            <w:r>
              <w:rPr>
                <w:b/>
                <w:bCs/>
                <w:color w:val="auto"/>
                <w:sz w:val="24"/>
              </w:rPr>
              <w:t>与“三线一单”相符性分析</w:t>
            </w:r>
          </w:p>
          <w:p>
            <w:pPr>
              <w:adjustRightInd w:val="0"/>
              <w:snapToGrid w:val="0"/>
              <w:spacing w:line="360" w:lineRule="auto"/>
              <w:ind w:firstLine="482" w:firstLineChars="200"/>
              <w:rPr>
                <w:b/>
                <w:bCs/>
                <w:color w:val="auto"/>
                <w:sz w:val="24"/>
              </w:rPr>
            </w:pPr>
            <w:r>
              <w:rPr>
                <w:b/>
                <w:bCs/>
                <w:color w:val="auto"/>
                <w:sz w:val="24"/>
              </w:rPr>
              <w:t>（1）</w:t>
            </w:r>
            <w:r>
              <w:rPr>
                <w:b/>
                <w:color w:val="auto"/>
                <w:sz w:val="24"/>
              </w:rPr>
              <w:t>与《江苏省生态红线区域保护规划》相符性</w:t>
            </w:r>
          </w:p>
          <w:p>
            <w:pPr>
              <w:adjustRightInd w:val="0"/>
              <w:snapToGrid w:val="0"/>
              <w:spacing w:line="360" w:lineRule="auto"/>
              <w:ind w:firstLine="480" w:firstLineChars="200"/>
              <w:rPr>
                <w:rFonts w:hint="eastAsia" w:eastAsia="宋体"/>
                <w:color w:val="auto"/>
                <w:kern w:val="0"/>
                <w:sz w:val="24"/>
                <w:lang w:val="en-US" w:eastAsia="zh-CN"/>
              </w:rPr>
            </w:pPr>
            <w:r>
              <w:rPr>
                <w:color w:val="auto"/>
                <w:sz w:val="24"/>
              </w:rPr>
              <w:t>本项目位于无锡市新吴区新风路69号，根据</w:t>
            </w:r>
            <w:r>
              <w:rPr>
                <w:color w:val="auto"/>
                <w:kern w:val="0"/>
                <w:sz w:val="24"/>
                <w:lang w:val="zh-CN"/>
              </w:rPr>
              <w:t>《省政府关于印发江苏省国家级生态保护红线规划的通知》（苏政发[2018]74号）中《江苏省国家级生态保护红线规划》及《省政府关于印发江苏省生态空间管控区域规划的通知》（苏政发</w:t>
            </w:r>
            <w:r>
              <w:rPr>
                <w:color w:val="auto"/>
                <w:kern w:val="0"/>
                <w:sz w:val="24"/>
              </w:rPr>
              <w:t>[2</w:t>
            </w:r>
            <w:r>
              <w:rPr>
                <w:color w:val="auto"/>
                <w:kern w:val="0"/>
                <w:sz w:val="24"/>
                <w:lang w:val="zh-CN"/>
              </w:rPr>
              <w:t>020</w:t>
            </w:r>
            <w:r>
              <w:rPr>
                <w:color w:val="auto"/>
                <w:kern w:val="0"/>
                <w:sz w:val="24"/>
              </w:rPr>
              <w:t>]</w:t>
            </w:r>
            <w:r>
              <w:rPr>
                <w:color w:val="auto"/>
                <w:kern w:val="0"/>
                <w:sz w:val="24"/>
                <w:lang w:val="zh-CN"/>
              </w:rPr>
              <w:t>1号）中《江苏省生态空间管控区域规划》中“无锡市生态空间保护区域名录”，本项目</w:t>
            </w:r>
            <w:r>
              <w:rPr>
                <w:rFonts w:hint="eastAsia"/>
                <w:color w:val="auto"/>
                <w:kern w:val="0"/>
                <w:sz w:val="24"/>
                <w:lang w:val="en-US" w:eastAsia="zh-CN"/>
              </w:rPr>
              <w:t>距离最近的生态空间管控区域-</w:t>
            </w:r>
            <w:r>
              <w:rPr>
                <w:rFonts w:hint="eastAsia"/>
                <w:color w:val="auto"/>
                <w:kern w:val="0"/>
                <w:sz w:val="24"/>
              </w:rPr>
              <w:t>无锡宛山荡省级湿地公园9.4</w:t>
            </w:r>
            <w:r>
              <w:rPr>
                <w:color w:val="auto"/>
                <w:kern w:val="0"/>
                <w:sz w:val="24"/>
                <w:lang w:val="zh-CN"/>
              </w:rPr>
              <w:t>km</w:t>
            </w:r>
            <w:r>
              <w:rPr>
                <w:rFonts w:hint="eastAsia"/>
                <w:color w:val="auto"/>
                <w:kern w:val="0"/>
                <w:sz w:val="24"/>
                <w:lang w:val="zh-CN"/>
              </w:rPr>
              <w:t>，</w:t>
            </w:r>
            <w:r>
              <w:rPr>
                <w:rFonts w:hint="eastAsia"/>
                <w:color w:val="auto"/>
                <w:kern w:val="0"/>
                <w:sz w:val="24"/>
                <w:lang w:val="en-US" w:eastAsia="zh-CN"/>
              </w:rPr>
              <w:t>距离最近的国家级生态红线-</w:t>
            </w:r>
            <w:r>
              <w:rPr>
                <w:rFonts w:hint="eastAsia"/>
                <w:color w:val="auto"/>
                <w:kern w:val="0"/>
                <w:sz w:val="24"/>
              </w:rPr>
              <w:t>无锡宛山荡省级湿地公园9.</w:t>
            </w:r>
            <w:r>
              <w:rPr>
                <w:rFonts w:hint="eastAsia"/>
                <w:color w:val="auto"/>
                <w:kern w:val="0"/>
                <w:sz w:val="24"/>
                <w:lang w:val="en-US" w:eastAsia="zh-CN"/>
              </w:rPr>
              <w:t>3</w:t>
            </w:r>
            <w:r>
              <w:rPr>
                <w:color w:val="auto"/>
                <w:kern w:val="0"/>
                <w:sz w:val="24"/>
                <w:lang w:val="zh-CN"/>
              </w:rPr>
              <w:t>km</w:t>
            </w:r>
            <w:r>
              <w:rPr>
                <w:rFonts w:hint="eastAsia"/>
                <w:color w:val="auto"/>
                <w:kern w:val="0"/>
                <w:sz w:val="24"/>
                <w:lang w:val="zh-CN"/>
              </w:rPr>
              <w:t>（</w:t>
            </w:r>
            <w:r>
              <w:rPr>
                <w:rFonts w:hint="eastAsia"/>
                <w:color w:val="auto"/>
                <w:kern w:val="0"/>
                <w:sz w:val="24"/>
                <w:lang w:val="en-US" w:eastAsia="zh-CN"/>
              </w:rPr>
              <w:t>见附图1-2</w:t>
            </w:r>
            <w:r>
              <w:rPr>
                <w:rFonts w:hint="eastAsia"/>
                <w:color w:val="auto"/>
                <w:kern w:val="0"/>
                <w:sz w:val="24"/>
                <w:lang w:val="zh-CN"/>
              </w:rPr>
              <w:t>）。</w:t>
            </w:r>
            <w:r>
              <w:rPr>
                <w:color w:val="auto"/>
                <w:kern w:val="0"/>
                <w:sz w:val="24"/>
                <w:lang w:val="zh-CN"/>
              </w:rPr>
              <w:t>具体情况见</w:t>
            </w:r>
            <w:r>
              <w:rPr>
                <w:color w:val="auto"/>
                <w:kern w:val="0"/>
                <w:sz w:val="24"/>
              </w:rPr>
              <w:t>下表</w:t>
            </w:r>
            <w:r>
              <w:rPr>
                <w:color w:val="auto"/>
                <w:kern w:val="0"/>
                <w:sz w:val="24"/>
                <w:lang w:val="zh-CN"/>
              </w:rPr>
              <w:t>。</w:t>
            </w:r>
          </w:p>
          <w:p>
            <w:pPr>
              <w:numPr>
                <w:ilvl w:val="0"/>
                <w:numId w:val="2"/>
              </w:numPr>
              <w:jc w:val="center"/>
              <w:rPr>
                <w:b/>
                <w:bCs/>
                <w:color w:val="auto"/>
                <w:sz w:val="24"/>
              </w:rPr>
            </w:pPr>
            <w:r>
              <w:rPr>
                <w:b/>
                <w:bCs/>
                <w:color w:val="auto"/>
                <w:sz w:val="24"/>
              </w:rPr>
              <w:t>重要生态功能区一览表</w:t>
            </w:r>
          </w:p>
          <w:tbl>
            <w:tblPr>
              <w:tblStyle w:val="26"/>
              <w:tblW w:w="497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28" w:type="dxa"/>
                <w:left w:w="23" w:type="dxa"/>
                <w:bottom w:w="28" w:type="dxa"/>
                <w:right w:w="23" w:type="dxa"/>
              </w:tblCellMar>
            </w:tblPr>
            <w:tblGrid>
              <w:gridCol w:w="795"/>
              <w:gridCol w:w="827"/>
              <w:gridCol w:w="2070"/>
              <w:gridCol w:w="2070"/>
              <w:gridCol w:w="885"/>
              <w:gridCol w:w="1020"/>
              <w:gridCol w:w="49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463" w:hRule="atLeast"/>
                <w:jc w:val="center"/>
              </w:trPr>
              <w:tc>
                <w:tcPr>
                  <w:tcW w:w="487" w:type="pct"/>
                  <w:vMerge w:val="restart"/>
                  <w:tcBorders>
                    <w:tl2br w:val="nil"/>
                    <w:tr2bl w:val="nil"/>
                  </w:tcBorders>
                  <w:tcMar>
                    <w:top w:w="0" w:type="dxa"/>
                    <w:left w:w="23" w:type="dxa"/>
                    <w:bottom w:w="0" w:type="dxa"/>
                    <w:right w:w="23" w:type="dxa"/>
                  </w:tcMar>
                  <w:vAlign w:val="center"/>
                </w:tcPr>
                <w:p>
                  <w:pPr>
                    <w:pStyle w:val="16"/>
                    <w:adjustRightInd w:val="0"/>
                    <w:snapToGrid w:val="0"/>
                    <w:spacing w:after="0"/>
                    <w:ind w:left="0" w:leftChars="0" w:firstLine="0" w:firstLineChars="0"/>
                    <w:jc w:val="center"/>
                    <w:rPr>
                      <w:b/>
                      <w:color w:val="auto"/>
                      <w:szCs w:val="21"/>
                    </w:rPr>
                  </w:pPr>
                  <w:r>
                    <w:rPr>
                      <w:b/>
                      <w:color w:val="auto"/>
                      <w:szCs w:val="21"/>
                    </w:rPr>
                    <w:t>生态红线名称</w:t>
                  </w:r>
                </w:p>
              </w:tc>
              <w:tc>
                <w:tcPr>
                  <w:tcW w:w="506" w:type="pct"/>
                  <w:vMerge w:val="restart"/>
                  <w:tcBorders>
                    <w:tl2br w:val="nil"/>
                    <w:tr2bl w:val="nil"/>
                  </w:tcBorders>
                  <w:tcMar>
                    <w:top w:w="0" w:type="dxa"/>
                    <w:left w:w="23" w:type="dxa"/>
                    <w:bottom w:w="0" w:type="dxa"/>
                    <w:right w:w="23" w:type="dxa"/>
                  </w:tcMar>
                  <w:vAlign w:val="center"/>
                </w:tcPr>
                <w:p>
                  <w:pPr>
                    <w:pStyle w:val="16"/>
                    <w:adjustRightInd w:val="0"/>
                    <w:snapToGrid w:val="0"/>
                    <w:spacing w:after="0"/>
                    <w:ind w:left="0" w:leftChars="0" w:firstLine="0" w:firstLineChars="0"/>
                    <w:jc w:val="center"/>
                    <w:rPr>
                      <w:b/>
                      <w:color w:val="auto"/>
                      <w:szCs w:val="21"/>
                    </w:rPr>
                  </w:pPr>
                  <w:r>
                    <w:rPr>
                      <w:b/>
                      <w:color w:val="auto"/>
                      <w:szCs w:val="21"/>
                    </w:rPr>
                    <w:t>主导生态功能</w:t>
                  </w:r>
                </w:p>
              </w:tc>
              <w:tc>
                <w:tcPr>
                  <w:tcW w:w="2536" w:type="pct"/>
                  <w:gridSpan w:val="2"/>
                  <w:tcBorders>
                    <w:tl2br w:val="nil"/>
                    <w:tr2bl w:val="nil"/>
                  </w:tcBorders>
                  <w:tcMar>
                    <w:top w:w="0" w:type="dxa"/>
                    <w:left w:w="23" w:type="dxa"/>
                    <w:bottom w:w="0" w:type="dxa"/>
                    <w:right w:w="23" w:type="dxa"/>
                  </w:tcMar>
                  <w:vAlign w:val="center"/>
                </w:tcPr>
                <w:p>
                  <w:pPr>
                    <w:pStyle w:val="16"/>
                    <w:adjustRightInd w:val="0"/>
                    <w:snapToGrid w:val="0"/>
                    <w:spacing w:after="0"/>
                    <w:ind w:left="0" w:leftChars="0" w:firstLine="0" w:firstLineChars="0"/>
                    <w:jc w:val="center"/>
                    <w:rPr>
                      <w:b/>
                      <w:color w:val="auto"/>
                      <w:szCs w:val="21"/>
                    </w:rPr>
                  </w:pPr>
                  <w:r>
                    <w:rPr>
                      <w:b/>
                      <w:color w:val="auto"/>
                      <w:szCs w:val="21"/>
                    </w:rPr>
                    <w:t>范围</w:t>
                  </w:r>
                </w:p>
              </w:tc>
              <w:tc>
                <w:tcPr>
                  <w:tcW w:w="1469" w:type="pct"/>
                  <w:gridSpan w:val="3"/>
                  <w:tcBorders>
                    <w:tl2br w:val="nil"/>
                    <w:tr2bl w:val="nil"/>
                  </w:tcBorders>
                  <w:tcMar>
                    <w:top w:w="0" w:type="dxa"/>
                    <w:left w:w="23" w:type="dxa"/>
                    <w:bottom w:w="0" w:type="dxa"/>
                    <w:right w:w="23" w:type="dxa"/>
                  </w:tcMar>
                  <w:vAlign w:val="center"/>
                </w:tcPr>
                <w:p>
                  <w:pPr>
                    <w:adjustRightInd w:val="0"/>
                    <w:snapToGrid w:val="0"/>
                    <w:jc w:val="center"/>
                    <w:rPr>
                      <w:rFonts w:hint="eastAsia" w:eastAsia="宋体"/>
                      <w:b/>
                      <w:color w:val="auto"/>
                      <w:szCs w:val="21"/>
                      <w:lang w:val="en-US" w:eastAsia="zh-CN"/>
                    </w:rPr>
                  </w:pPr>
                  <w:r>
                    <w:rPr>
                      <w:rFonts w:hint="eastAsia"/>
                      <w:b/>
                      <w:color w:val="auto"/>
                      <w:szCs w:val="21"/>
                      <w:lang w:val="en-US" w:eastAsia="zh-CN"/>
                    </w:rPr>
                    <w:t>面积（平方公里）</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882" w:hRule="atLeast"/>
                <w:jc w:val="center"/>
              </w:trPr>
              <w:tc>
                <w:tcPr>
                  <w:tcW w:w="487" w:type="pct"/>
                  <w:vMerge w:val="continue"/>
                  <w:tcBorders>
                    <w:bottom w:val="single" w:color="000000" w:sz="4" w:space="0"/>
                    <w:tl2br w:val="nil"/>
                    <w:tr2bl w:val="nil"/>
                  </w:tcBorders>
                  <w:tcMar>
                    <w:top w:w="0" w:type="dxa"/>
                    <w:left w:w="23" w:type="dxa"/>
                    <w:bottom w:w="0" w:type="dxa"/>
                    <w:right w:w="23" w:type="dxa"/>
                  </w:tcMar>
                  <w:vAlign w:val="center"/>
                </w:tcPr>
                <w:p>
                  <w:pPr>
                    <w:adjustRightInd w:val="0"/>
                    <w:snapToGrid w:val="0"/>
                    <w:jc w:val="center"/>
                    <w:rPr>
                      <w:color w:val="auto"/>
                      <w:szCs w:val="21"/>
                    </w:rPr>
                  </w:pPr>
                </w:p>
              </w:tc>
              <w:tc>
                <w:tcPr>
                  <w:tcW w:w="506" w:type="pct"/>
                  <w:vMerge w:val="continue"/>
                  <w:tcBorders>
                    <w:bottom w:val="single" w:color="000000" w:sz="4" w:space="0"/>
                    <w:tl2br w:val="nil"/>
                    <w:tr2bl w:val="nil"/>
                  </w:tcBorders>
                  <w:tcMar>
                    <w:top w:w="0" w:type="dxa"/>
                    <w:left w:w="23" w:type="dxa"/>
                    <w:bottom w:w="0" w:type="dxa"/>
                    <w:right w:w="23" w:type="dxa"/>
                  </w:tcMar>
                  <w:vAlign w:val="center"/>
                </w:tcPr>
                <w:p>
                  <w:pPr>
                    <w:autoSpaceDE w:val="0"/>
                    <w:autoSpaceDN w:val="0"/>
                    <w:adjustRightInd w:val="0"/>
                    <w:snapToGrid w:val="0"/>
                    <w:jc w:val="center"/>
                    <w:rPr>
                      <w:color w:val="auto"/>
                      <w:kern w:val="0"/>
                      <w:szCs w:val="21"/>
                    </w:rPr>
                  </w:pPr>
                </w:p>
              </w:tc>
              <w:tc>
                <w:tcPr>
                  <w:tcW w:w="1268" w:type="pct"/>
                  <w:tcBorders>
                    <w:right w:val="single" w:color="000000" w:sz="4" w:space="0"/>
                    <w:tl2br w:val="nil"/>
                    <w:tr2bl w:val="nil"/>
                  </w:tcBorders>
                  <w:tcMar>
                    <w:top w:w="0" w:type="dxa"/>
                    <w:left w:w="23" w:type="dxa"/>
                    <w:bottom w:w="0" w:type="dxa"/>
                    <w:right w:w="23" w:type="dxa"/>
                  </w:tcMar>
                  <w:vAlign w:val="center"/>
                </w:tcPr>
                <w:p>
                  <w:pPr>
                    <w:autoSpaceDE w:val="0"/>
                    <w:autoSpaceDN w:val="0"/>
                    <w:jc w:val="center"/>
                    <w:rPr>
                      <w:rFonts w:hint="default" w:eastAsia="宋体"/>
                      <w:b/>
                      <w:bCs/>
                      <w:color w:val="auto"/>
                      <w:kern w:val="0"/>
                      <w:szCs w:val="21"/>
                      <w:lang w:val="en-US" w:eastAsia="zh-CN"/>
                    </w:rPr>
                  </w:pPr>
                  <w:r>
                    <w:rPr>
                      <w:rFonts w:hint="eastAsia"/>
                      <w:b/>
                      <w:bCs/>
                      <w:color w:val="auto"/>
                      <w:kern w:val="0"/>
                      <w:szCs w:val="21"/>
                      <w:lang w:val="en-US" w:eastAsia="zh-CN"/>
                    </w:rPr>
                    <w:t>国家级生态保护红线范围</w:t>
                  </w:r>
                </w:p>
              </w:tc>
              <w:tc>
                <w:tcPr>
                  <w:tcW w:w="1268" w:type="pct"/>
                  <w:tcBorders>
                    <w:top w:val="single" w:color="000000" w:sz="4" w:space="0"/>
                    <w:left w:val="single" w:color="000000" w:sz="4" w:space="0"/>
                    <w:tl2br w:val="nil"/>
                    <w:tr2bl w:val="nil"/>
                  </w:tcBorders>
                  <w:tcMar>
                    <w:top w:w="0" w:type="dxa"/>
                    <w:left w:w="23" w:type="dxa"/>
                    <w:bottom w:w="0" w:type="dxa"/>
                    <w:right w:w="23" w:type="dxa"/>
                  </w:tcMar>
                  <w:vAlign w:val="center"/>
                </w:tcPr>
                <w:p>
                  <w:pPr>
                    <w:autoSpaceDE w:val="0"/>
                    <w:autoSpaceDN w:val="0"/>
                    <w:jc w:val="center"/>
                    <w:rPr>
                      <w:rFonts w:hint="default" w:eastAsia="宋体"/>
                      <w:b/>
                      <w:bCs/>
                      <w:color w:val="auto"/>
                      <w:kern w:val="0"/>
                      <w:szCs w:val="21"/>
                      <w:lang w:val="en-US" w:eastAsia="zh-CN"/>
                    </w:rPr>
                  </w:pPr>
                  <w:r>
                    <w:rPr>
                      <w:rFonts w:hint="eastAsia"/>
                      <w:b/>
                      <w:bCs/>
                      <w:color w:val="auto"/>
                      <w:kern w:val="0"/>
                      <w:szCs w:val="21"/>
                      <w:lang w:val="en-US" w:eastAsia="zh-CN"/>
                    </w:rPr>
                    <w:t>生态空间管控区域范围</w:t>
                  </w:r>
                </w:p>
              </w:tc>
              <w:tc>
                <w:tcPr>
                  <w:tcW w:w="542" w:type="pct"/>
                  <w:tcBorders>
                    <w:top w:val="single" w:color="000000" w:sz="4" w:space="0"/>
                    <w:bottom w:val="single" w:color="000000" w:sz="4" w:space="0"/>
                    <w:right w:val="single" w:color="000000" w:sz="4" w:space="0"/>
                    <w:tl2br w:val="nil"/>
                    <w:tr2bl w:val="nil"/>
                  </w:tcBorders>
                  <w:tcMar>
                    <w:top w:w="0" w:type="dxa"/>
                    <w:left w:w="23" w:type="dxa"/>
                    <w:bottom w:w="0" w:type="dxa"/>
                    <w:right w:w="23" w:type="dxa"/>
                  </w:tcMar>
                  <w:vAlign w:val="center"/>
                </w:tcPr>
                <w:p>
                  <w:pPr>
                    <w:autoSpaceDE w:val="0"/>
                    <w:autoSpaceDN w:val="0"/>
                    <w:adjustRightInd w:val="0"/>
                    <w:snapToGrid w:val="0"/>
                    <w:jc w:val="center"/>
                    <w:rPr>
                      <w:rFonts w:hint="default" w:eastAsia="宋体"/>
                      <w:b/>
                      <w:bCs/>
                      <w:color w:val="auto"/>
                      <w:kern w:val="0"/>
                      <w:szCs w:val="21"/>
                      <w:lang w:val="en-US" w:eastAsia="zh-CN"/>
                    </w:rPr>
                  </w:pPr>
                  <w:r>
                    <w:rPr>
                      <w:rFonts w:hint="eastAsia"/>
                      <w:b/>
                      <w:bCs/>
                      <w:color w:val="auto"/>
                      <w:kern w:val="0"/>
                      <w:szCs w:val="21"/>
                      <w:lang w:val="en-US" w:eastAsia="zh-CN"/>
                    </w:rPr>
                    <w:t>国家级生态保护</w:t>
                  </w:r>
                </w:p>
              </w:tc>
              <w:tc>
                <w:tcPr>
                  <w:tcW w:w="625" w:type="pct"/>
                  <w:tcBorders>
                    <w:top w:val="single" w:color="000000" w:sz="4" w:space="0"/>
                    <w:left w:val="single" w:color="000000" w:sz="4" w:space="0"/>
                    <w:bottom w:val="single" w:color="000000" w:sz="4" w:space="0"/>
                    <w:tl2br w:val="nil"/>
                    <w:tr2bl w:val="nil"/>
                  </w:tcBorders>
                  <w:tcMar>
                    <w:top w:w="0" w:type="dxa"/>
                    <w:left w:w="23" w:type="dxa"/>
                    <w:bottom w:w="0" w:type="dxa"/>
                    <w:right w:w="23" w:type="dxa"/>
                  </w:tcMar>
                  <w:vAlign w:val="center"/>
                </w:tcPr>
                <w:p>
                  <w:pPr>
                    <w:autoSpaceDE w:val="0"/>
                    <w:autoSpaceDN w:val="0"/>
                    <w:adjustRightInd w:val="0"/>
                    <w:snapToGrid w:val="0"/>
                    <w:jc w:val="center"/>
                    <w:rPr>
                      <w:rFonts w:hint="default" w:eastAsia="宋体"/>
                      <w:b/>
                      <w:bCs/>
                      <w:color w:val="auto"/>
                      <w:kern w:val="0"/>
                      <w:szCs w:val="21"/>
                      <w:lang w:val="en-US" w:eastAsia="zh-CN"/>
                    </w:rPr>
                  </w:pPr>
                  <w:r>
                    <w:rPr>
                      <w:rFonts w:hint="eastAsia"/>
                      <w:b/>
                      <w:bCs/>
                      <w:color w:val="auto"/>
                      <w:kern w:val="0"/>
                      <w:szCs w:val="21"/>
                      <w:lang w:val="en-US" w:eastAsia="zh-CN"/>
                    </w:rPr>
                    <w:t>生态空间管控区域面积</w:t>
                  </w:r>
                </w:p>
              </w:tc>
              <w:tc>
                <w:tcPr>
                  <w:tcW w:w="302" w:type="pct"/>
                  <w:tcBorders>
                    <w:top w:val="single" w:color="000000" w:sz="4" w:space="0"/>
                    <w:bottom w:val="single" w:color="000000" w:sz="4" w:space="0"/>
                    <w:tl2br w:val="nil"/>
                    <w:tr2bl w:val="nil"/>
                  </w:tcBorders>
                  <w:tcMar>
                    <w:top w:w="0" w:type="dxa"/>
                    <w:left w:w="23" w:type="dxa"/>
                    <w:bottom w:w="0" w:type="dxa"/>
                    <w:right w:w="23" w:type="dxa"/>
                  </w:tcMar>
                  <w:vAlign w:val="center"/>
                </w:tcPr>
                <w:p>
                  <w:pPr>
                    <w:autoSpaceDE w:val="0"/>
                    <w:autoSpaceDN w:val="0"/>
                    <w:adjustRightInd w:val="0"/>
                    <w:snapToGrid w:val="0"/>
                    <w:jc w:val="center"/>
                    <w:rPr>
                      <w:rFonts w:hint="eastAsia" w:eastAsia="宋体"/>
                      <w:b/>
                      <w:bCs/>
                      <w:color w:val="auto"/>
                      <w:kern w:val="0"/>
                      <w:szCs w:val="21"/>
                      <w:lang w:val="en-US" w:eastAsia="zh-CN"/>
                    </w:rPr>
                  </w:pPr>
                  <w:r>
                    <w:rPr>
                      <w:rFonts w:hint="eastAsia"/>
                      <w:b/>
                      <w:bCs/>
                      <w:color w:val="auto"/>
                      <w:kern w:val="0"/>
                      <w:szCs w:val="21"/>
                      <w:lang w:val="en-US" w:eastAsia="zh-CN"/>
                    </w:rPr>
                    <w:t>总面积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817" w:hRule="atLeast"/>
                <w:jc w:val="center"/>
              </w:trPr>
              <w:tc>
                <w:tcPr>
                  <w:tcW w:w="487" w:type="pct"/>
                  <w:tcBorders>
                    <w:top w:val="single" w:color="000000" w:sz="4" w:space="0"/>
                    <w:tl2br w:val="nil"/>
                    <w:tr2bl w:val="nil"/>
                  </w:tcBorders>
                  <w:tcMar>
                    <w:top w:w="0" w:type="dxa"/>
                    <w:left w:w="23" w:type="dxa"/>
                    <w:bottom w:w="0" w:type="dxa"/>
                    <w:right w:w="23" w:type="dxa"/>
                  </w:tcMar>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color w:val="auto"/>
                      <w:kern w:val="0"/>
                      <w:szCs w:val="21"/>
                    </w:rPr>
                    <w:t>无锡宛山荡省级湿地公园</w:t>
                  </w:r>
                </w:p>
              </w:tc>
              <w:tc>
                <w:tcPr>
                  <w:tcW w:w="506" w:type="pct"/>
                  <w:tcBorders>
                    <w:top w:val="single" w:color="000000" w:sz="4" w:space="0"/>
                    <w:tl2br w:val="nil"/>
                    <w:tr2bl w:val="nil"/>
                  </w:tcBorders>
                  <w:tcMar>
                    <w:top w:w="0" w:type="dxa"/>
                    <w:left w:w="23" w:type="dxa"/>
                    <w:bottom w:w="0" w:type="dxa"/>
                    <w:right w:w="23" w:type="dxa"/>
                  </w:tcMar>
                  <w:vAlign w:val="center"/>
                </w:tcPr>
                <w:p>
                  <w:pPr>
                    <w:autoSpaceDE w:val="0"/>
                    <w:autoSpaceDN w:val="0"/>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湿地生态系统保护</w:t>
                  </w:r>
                </w:p>
              </w:tc>
              <w:tc>
                <w:tcPr>
                  <w:tcW w:w="1268" w:type="pct"/>
                  <w:tcBorders>
                    <w:right w:val="single" w:color="000000" w:sz="4" w:space="0"/>
                    <w:tl2br w:val="nil"/>
                    <w:tr2bl w:val="nil"/>
                  </w:tcBorders>
                  <w:tcMar>
                    <w:top w:w="0" w:type="dxa"/>
                    <w:left w:w="23" w:type="dxa"/>
                    <w:bottom w:w="0" w:type="dxa"/>
                    <w:right w:w="23" w:type="dxa"/>
                  </w:tcMar>
                  <w:vAlign w:val="center"/>
                </w:tcPr>
                <w:p>
                  <w:pPr>
                    <w:autoSpaceDE w:val="0"/>
                    <w:autoSpaceDN w:val="0"/>
                    <w:jc w:val="center"/>
                    <w:rPr>
                      <w:rFonts w:ascii="Times New Roman" w:hAnsi="Times New Roman" w:eastAsia="宋体" w:cs="Times New Roman"/>
                      <w:color w:val="auto"/>
                      <w:kern w:val="0"/>
                      <w:sz w:val="21"/>
                      <w:szCs w:val="21"/>
                      <w:lang w:val="en-US" w:eastAsia="zh-CN" w:bidi="ar-SA"/>
                    </w:rPr>
                  </w:pPr>
                  <w:r>
                    <w:rPr>
                      <w:color w:val="auto"/>
                      <w:kern w:val="0"/>
                      <w:szCs w:val="21"/>
                    </w:rPr>
                    <w:t>无锡宛山荡省级湿地公园总体规划中确定的范围(包括湿地保育区和恢复重建区等)。</w:t>
                  </w:r>
                </w:p>
              </w:tc>
              <w:tc>
                <w:tcPr>
                  <w:tcW w:w="1268" w:type="pct"/>
                  <w:tcBorders>
                    <w:left w:val="single" w:color="000000" w:sz="4" w:space="0"/>
                    <w:tl2br w:val="nil"/>
                    <w:tr2bl w:val="nil"/>
                  </w:tcBorders>
                  <w:tcMar>
                    <w:top w:w="0" w:type="dxa"/>
                    <w:left w:w="23" w:type="dxa"/>
                    <w:bottom w:w="0" w:type="dxa"/>
                    <w:right w:w="23" w:type="dxa"/>
                  </w:tcMar>
                  <w:vAlign w:val="center"/>
                </w:tcPr>
                <w:p>
                  <w:pPr>
                    <w:autoSpaceDE w:val="0"/>
                    <w:autoSpaceDN w:val="0"/>
                    <w:jc w:val="center"/>
                    <w:rPr>
                      <w:rFonts w:ascii="Times New Roman" w:hAnsi="Times New Roman" w:eastAsia="宋体" w:cs="Times New Roman"/>
                      <w:color w:val="auto"/>
                      <w:kern w:val="0"/>
                      <w:sz w:val="21"/>
                      <w:szCs w:val="21"/>
                      <w:lang w:val="en-US" w:eastAsia="zh-CN" w:bidi="ar-SA"/>
                    </w:rPr>
                  </w:pPr>
                  <w:r>
                    <w:rPr>
                      <w:color w:val="auto"/>
                      <w:kern w:val="0"/>
                      <w:szCs w:val="21"/>
                    </w:rPr>
                    <w:t>无锡宛山荡省级湿地公园总体规划中除湿地保育区和恢复重建区外的范围。</w:t>
                  </w:r>
                </w:p>
              </w:tc>
              <w:tc>
                <w:tcPr>
                  <w:tcW w:w="542" w:type="pct"/>
                  <w:tcBorders>
                    <w:top w:val="single" w:color="000000" w:sz="4" w:space="0"/>
                    <w:right w:val="single" w:color="000000" w:sz="4" w:space="0"/>
                    <w:tl2br w:val="nil"/>
                    <w:tr2bl w:val="nil"/>
                  </w:tcBorders>
                  <w:tcMar>
                    <w:top w:w="0" w:type="dxa"/>
                    <w:left w:w="23" w:type="dxa"/>
                    <w:bottom w:w="0" w:type="dxa"/>
                    <w:right w:w="23" w:type="dxa"/>
                  </w:tcMar>
                  <w:vAlign w:val="center"/>
                </w:tcPr>
                <w:p>
                  <w:pPr>
                    <w:autoSpaceDE w:val="0"/>
                    <w:autoSpaceDN w:val="0"/>
                    <w:adjustRightInd w:val="0"/>
                    <w:snapToGrid w:val="0"/>
                    <w:jc w:val="center"/>
                    <w:rPr>
                      <w:rFonts w:ascii="Times New Roman" w:hAnsi="Times New Roman" w:eastAsia="宋体" w:cs="Times New Roman"/>
                      <w:color w:val="auto"/>
                      <w:kern w:val="0"/>
                      <w:sz w:val="21"/>
                      <w:szCs w:val="21"/>
                      <w:lang w:val="en-US" w:eastAsia="zh-CN" w:bidi="ar-SA"/>
                    </w:rPr>
                  </w:pPr>
                  <w:r>
                    <w:rPr>
                      <w:color w:val="auto"/>
                      <w:kern w:val="0"/>
                      <w:szCs w:val="21"/>
                    </w:rPr>
                    <w:t>2.09</w:t>
                  </w:r>
                </w:p>
              </w:tc>
              <w:tc>
                <w:tcPr>
                  <w:tcW w:w="625" w:type="pct"/>
                  <w:tcBorders>
                    <w:top w:val="single" w:color="000000" w:sz="4" w:space="0"/>
                    <w:left w:val="single" w:color="000000" w:sz="4" w:space="0"/>
                    <w:tl2br w:val="nil"/>
                    <w:tr2bl w:val="nil"/>
                  </w:tcBorders>
                  <w:tcMar>
                    <w:top w:w="0" w:type="dxa"/>
                    <w:left w:w="23" w:type="dxa"/>
                    <w:bottom w:w="0" w:type="dxa"/>
                    <w:right w:w="23" w:type="dxa"/>
                  </w:tcMar>
                  <w:vAlign w:val="center"/>
                </w:tcPr>
                <w:p>
                  <w:pPr>
                    <w:autoSpaceDE w:val="0"/>
                    <w:autoSpaceDN w:val="0"/>
                    <w:adjustRightInd w:val="0"/>
                    <w:snapToGrid w:val="0"/>
                    <w:jc w:val="center"/>
                    <w:rPr>
                      <w:color w:val="auto"/>
                      <w:kern w:val="0"/>
                      <w:szCs w:val="21"/>
                    </w:rPr>
                  </w:pPr>
                  <w:r>
                    <w:rPr>
                      <w:color w:val="auto"/>
                      <w:kern w:val="0"/>
                      <w:szCs w:val="21"/>
                    </w:rPr>
                    <w:t>0.34</w:t>
                  </w:r>
                </w:p>
              </w:tc>
              <w:tc>
                <w:tcPr>
                  <w:tcW w:w="302" w:type="pct"/>
                  <w:tcBorders>
                    <w:top w:val="single" w:color="000000" w:sz="4" w:space="0"/>
                    <w:tl2br w:val="nil"/>
                    <w:tr2bl w:val="nil"/>
                  </w:tcBorders>
                  <w:tcMar>
                    <w:top w:w="0" w:type="dxa"/>
                    <w:left w:w="23" w:type="dxa"/>
                    <w:bottom w:w="0" w:type="dxa"/>
                    <w:right w:w="23" w:type="dxa"/>
                  </w:tcMar>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2.43</w:t>
                  </w:r>
                </w:p>
              </w:tc>
            </w:tr>
          </w:tbl>
          <w:p>
            <w:pPr>
              <w:spacing w:line="360" w:lineRule="auto"/>
              <w:ind w:firstLine="480" w:firstLineChars="200"/>
              <w:rPr>
                <w:color w:val="auto"/>
                <w:sz w:val="24"/>
              </w:rPr>
            </w:pPr>
            <w:r>
              <w:rPr>
                <w:color w:val="auto"/>
                <w:sz w:val="24"/>
              </w:rPr>
              <w:t>因此，本项目选址符合《江苏省国家级生态保护红线规划》、</w:t>
            </w:r>
            <w:r>
              <w:rPr>
                <w:color w:val="auto"/>
                <w:sz w:val="24"/>
                <w:lang w:val="zh-CN"/>
              </w:rPr>
              <w:t>《江苏省生态空间管控区域规划 》</w:t>
            </w:r>
            <w:r>
              <w:rPr>
                <w:color w:val="auto"/>
                <w:sz w:val="24"/>
              </w:rPr>
              <w:t>的要求。</w:t>
            </w:r>
          </w:p>
          <w:p>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（2）与《无锡市“三线一单”生态环境分区管控实施方案》的相符性</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关于印发《无锡市“三线一单”生态环境分区管控实施方案》的通知（锡环委办[2020]40号），无锡市共划定环境管控单元194个，分为优先保护单元、重点管控单元和一般管控单元三类，实施分类管控。优先保护单元，指以生态环境保护为主的区域，包括生态保护红线和生态空间管控区域。全市划分优先保护单元51个，占全市国土面积的28.63%。重点管控单元，指涉及水、大气、土壤、自然资源等资源环境要素重点管控的区域，主要包括人口密集的中心城区和各级各类产业集聚的工业园区（工业集中区）。全市划分重点管控单元89个，占全市国土面积的34.06%。一般管控单元，指除优先保护单元、重点管控单元以外的其他区域，衔接街道（乡镇）边界形成管控单元。全市划分一般管控单元54个，占全市国土面积的37.31%。以环境管控单元为基础，从空间布局约束、污染物排放管控、环境风险防控和资源利用效率等方面明确准入、限制和禁止的要求，建立无锡市市域生态环境管控要求和194个环境管控单元的生态环境准入清单。</w:t>
            </w:r>
          </w:p>
          <w:p>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highlight w:val="none"/>
              </w:rPr>
              <w:t>本项目位于无锡市新吴区</w:t>
            </w:r>
            <w:r>
              <w:rPr>
                <w:rFonts w:hint="eastAsia" w:ascii="Times New Roman" w:hAnsi="Times New Roman" w:cs="Times New Roman"/>
                <w:color w:val="auto"/>
                <w:sz w:val="24"/>
                <w:highlight w:val="none"/>
                <w:lang w:val="en-US" w:eastAsia="zh-CN"/>
              </w:rPr>
              <w:t>新风路69</w:t>
            </w:r>
            <w:r>
              <w:rPr>
                <w:rFonts w:hint="default" w:ascii="Times New Roman" w:hAnsi="Times New Roman" w:cs="Times New Roman"/>
                <w:color w:val="auto"/>
                <w:sz w:val="24"/>
                <w:highlight w:val="none"/>
              </w:rPr>
              <w:t>号，</w:t>
            </w:r>
            <w:r>
              <w:rPr>
                <w:rFonts w:hint="default" w:ascii="Times New Roman" w:hAnsi="Times New Roman" w:cs="Times New Roman"/>
                <w:color w:val="auto"/>
                <w:sz w:val="24"/>
                <w:szCs w:val="24"/>
                <w:highlight w:val="none"/>
              </w:rPr>
              <w:t>位于梅村工业集中区规划范围内，</w:t>
            </w:r>
            <w:r>
              <w:rPr>
                <w:rFonts w:hint="default" w:ascii="Times New Roman" w:hAnsi="Times New Roman" w:cs="Times New Roman"/>
                <w:color w:val="auto"/>
                <w:sz w:val="24"/>
                <w:highlight w:val="none"/>
              </w:rPr>
              <w:t>位于重点管控单元（见</w:t>
            </w:r>
            <w:r>
              <w:rPr>
                <w:rFonts w:hint="eastAsia" w:ascii="Times New Roman" w:hAnsi="Times New Roman" w:cs="Times New Roman"/>
                <w:color w:val="auto"/>
                <w:sz w:val="24"/>
                <w:highlight w:val="none"/>
                <w:lang w:val="en-US" w:eastAsia="zh-CN"/>
              </w:rPr>
              <w:t>附</w:t>
            </w:r>
            <w:r>
              <w:rPr>
                <w:rFonts w:hint="default" w:ascii="Times New Roman" w:hAnsi="Times New Roman" w:cs="Times New Roman"/>
                <w:color w:val="auto"/>
                <w:sz w:val="24"/>
                <w:highlight w:val="none"/>
              </w:rPr>
              <w:t>图1-3）</w:t>
            </w:r>
            <w:r>
              <w:rPr>
                <w:rFonts w:hint="default" w:ascii="Times New Roman" w:hAnsi="Times New Roman" w:cs="Times New Roman"/>
                <w:color w:val="auto"/>
                <w:sz w:val="24"/>
                <w:szCs w:val="24"/>
                <w:highlight w:val="none"/>
              </w:rPr>
              <w:t>。根据《无锡市“三线一单”生态环境分区管控实施方案》附件5，本项目与所在环境管控单元生态环境准入清单相符性见表</w:t>
            </w:r>
            <w:r>
              <w:rPr>
                <w:rFonts w:hint="eastAsia"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w:t>
            </w:r>
          </w:p>
          <w:p>
            <w:pPr>
              <w:numPr>
                <w:ilvl w:val="0"/>
                <w:numId w:val="2"/>
              </w:numPr>
              <w:jc w:val="center"/>
              <w:rPr>
                <w:rFonts w:hint="default" w:ascii="Times New Roman" w:hAnsi="Times New Roman" w:cs="Times New Roman"/>
                <w:b/>
                <w:bCs/>
                <w:color w:val="auto"/>
                <w:sz w:val="24"/>
                <w:highlight w:val="none"/>
              </w:rPr>
            </w:pPr>
            <w:r>
              <w:rPr>
                <w:rFonts w:hint="default" w:ascii="Times New Roman" w:hAnsi="Times New Roman" w:cs="Times New Roman"/>
                <w:b/>
                <w:snapToGrid w:val="0"/>
                <w:color w:val="auto"/>
                <w:sz w:val="24"/>
                <w:highlight w:val="none"/>
              </w:rPr>
              <w:t>项目与无锡市新区梅村工业集中区环境管控单元准入清单相符性分析</w:t>
            </w:r>
          </w:p>
          <w:tbl>
            <w:tblPr>
              <w:tblStyle w:val="26"/>
              <w:tblW w:w="498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5"/>
              <w:gridCol w:w="217"/>
              <w:gridCol w:w="581"/>
              <w:gridCol w:w="3556"/>
              <w:gridCol w:w="30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85"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highlight w:val="none"/>
                    </w:rPr>
                  </w:pPr>
                  <w:r>
                    <w:rPr>
                      <w:rFonts w:hint="eastAsia"/>
                      <w:b/>
                      <w:bCs/>
                      <w:color w:val="auto"/>
                      <w:szCs w:val="21"/>
                      <w:highlight w:val="none"/>
                    </w:rPr>
                    <w:t>环境管控单元名称</w:t>
                  </w:r>
                </w:p>
              </w:tc>
              <w:tc>
                <w:tcPr>
                  <w:tcW w:w="132"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highlight w:val="none"/>
                    </w:rPr>
                  </w:pPr>
                  <w:r>
                    <w:rPr>
                      <w:rFonts w:hint="eastAsia"/>
                      <w:b/>
                      <w:bCs/>
                      <w:color w:val="auto"/>
                      <w:szCs w:val="21"/>
                      <w:highlight w:val="none"/>
                    </w:rPr>
                    <w:t>类型</w:t>
                  </w:r>
                </w:p>
              </w:tc>
              <w:tc>
                <w:tcPr>
                  <w:tcW w:w="2529" w:type="pct"/>
                  <w:gridSpan w:val="2"/>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highlight w:val="none"/>
                    </w:rPr>
                  </w:pPr>
                  <w:r>
                    <w:rPr>
                      <w:rFonts w:hint="eastAsia"/>
                      <w:b/>
                      <w:bCs/>
                      <w:color w:val="auto"/>
                      <w:szCs w:val="21"/>
                      <w:highlight w:val="none"/>
                    </w:rPr>
                    <w:t>无锡市新吴区“三线一单”生态环境准入清单</w:t>
                  </w:r>
                </w:p>
              </w:tc>
              <w:tc>
                <w:tcPr>
                  <w:tcW w:w="185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b/>
                      <w:bCs/>
                      <w:color w:val="auto"/>
                      <w:szCs w:val="21"/>
                      <w:highlight w:val="none"/>
                    </w:rPr>
                  </w:pPr>
                  <w:r>
                    <w:rPr>
                      <w:b/>
                      <w:bCs/>
                      <w:color w:val="auto"/>
                      <w:szCs w:val="21"/>
                      <w:highlight w:val="none"/>
                    </w:rPr>
                    <w:t>本项目相符性分析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53" w:hRule="atLeast"/>
                <w:jc w:val="center"/>
              </w:trPr>
              <w:tc>
                <w:tcPr>
                  <w:tcW w:w="485" w:type="pct"/>
                  <w:vMerge w:val="restar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color w:val="auto"/>
                      <w:szCs w:val="21"/>
                      <w:highlight w:val="none"/>
                    </w:rPr>
                    <w:t>无锡市新区梅村工业集中区</w:t>
                  </w:r>
                </w:p>
              </w:tc>
              <w:tc>
                <w:tcPr>
                  <w:tcW w:w="132" w:type="pct"/>
                  <w:vMerge w:val="restar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rFonts w:hint="eastAsia"/>
                      <w:color w:val="auto"/>
                      <w:szCs w:val="21"/>
                      <w:highlight w:val="none"/>
                    </w:rPr>
                    <w:t>园区</w:t>
                  </w:r>
                </w:p>
              </w:tc>
              <w:tc>
                <w:tcPr>
                  <w:tcW w:w="355"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rFonts w:hint="eastAsia"/>
                      <w:color w:val="auto"/>
                      <w:szCs w:val="21"/>
                      <w:highlight w:val="none"/>
                    </w:rPr>
                    <w:t>空间布局约束</w:t>
                  </w:r>
                </w:p>
              </w:tc>
              <w:tc>
                <w:tcPr>
                  <w:tcW w:w="2174" w:type="pct"/>
                  <w:noWrap w:val="0"/>
                  <w:tcMar>
                    <w:top w:w="0" w:type="dxa"/>
                    <w:left w:w="6" w:type="dxa"/>
                    <w:bottom w:w="0" w:type="dxa"/>
                    <w:right w:w="6" w:type="dxa"/>
                  </w:tcMar>
                  <w:vAlign w:val="top"/>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禁止新建、改建、扩建化学制浆造纸、制革、酿造、染料、印染、电镀以及其他排放含磷、氮等污染物的企业和项目，城镇污水集中处理等环境基础设施项目和《江苏省太湖水污染防治条例》第四十六条规定的情形除外。</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（2）禁止引进高污染、高能耗、资源性（“两高一资”）项目。</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（3）限制高毒农药项目。</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（4）禁止建设增加铅、汞、铬、镉、砷五类重点重金属污染物排放的项目。</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5）禁止新增化工企业项目（除化工重点监测点和提升安全、环保、节能水平及油品质量升级、结构调整以外的改扩建项目）；现有化工企业只允许在原有生产产品种类、产能规模、排放总量不增加的前提下进行安全隐患改造、节能环保设施改造和智能化提升改造，现有化工企业严格按照《省政府办公厅关于开展全省化工企业“四个一批”专项行动的通知》(苏政办发〔2017〕6号)要求进行整治。</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（6）禁止新建、扩建燃烧原（散）煤、重油、渣油、石油焦等高污染燃料或者直接燃用各种可燃废物的设施和装置。</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7）禁止引进属于《产业结构调整指导目录(2019版)》中的限制和淘汰类项目、《江苏省工业和信息产业结构调整指导目录(2012年本)》(2013年修正)中的限制和淘汰类项目、《外商投资产业指导目录（2017年修订）》中的限制和禁止类项目、《无锡市产业结构调整指导目录（试行）》中的禁止和淘汰类项目、《无锡市内资禁止投资项目目录（2015年本）》中的禁止类项目。</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（8）禁止引进不符合园区规划产业定位、不满足总量控制要求的项目。</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（9）禁止引进环境污染严重、污染物排放总量指标未落实的项目。</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（10）禁止引进国家、江苏省、无锡市明确规定不得审批的建设项目。</w:t>
                  </w:r>
                </w:p>
              </w:tc>
              <w:tc>
                <w:tcPr>
                  <w:tcW w:w="185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）本项目行业类别为</w:t>
                  </w:r>
                  <w:r>
                    <w:rPr>
                      <w:rFonts w:hint="eastAsia"/>
                      <w:color w:val="auto"/>
                      <w:highlight w:val="none"/>
                      <w:lang w:val="en-US" w:eastAsia="zh-CN"/>
                    </w:rPr>
                    <w:t>C2926塑料包装箱及容器制造、C2231纸和纸板容器制造</w:t>
                  </w:r>
                  <w:r>
                    <w:rPr>
                      <w:rFonts w:hint="eastAsia"/>
                      <w:color w:val="auto"/>
                      <w:highlight w:val="none"/>
                      <w:lang w:eastAsia="zh-CN"/>
                    </w:rPr>
                    <w:t>，</w:t>
                  </w:r>
                  <w:r>
                    <w:rPr>
                      <w:rFonts w:hint="eastAsia"/>
                      <w:color w:val="auto"/>
                      <w:highlight w:val="none"/>
                    </w:rPr>
                    <w:t>本项目不属于</w:t>
                  </w:r>
                  <w:r>
                    <w:rPr>
                      <w:color w:val="auto"/>
                      <w:highlight w:val="none"/>
                    </w:rPr>
                    <w:t>化学制浆造纸、制革、酿造、染料、印染、电镀以及其他排放含氮、磷等污染物的企业和项目</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）本项目不属于</w:t>
                  </w:r>
                  <w:r>
                    <w:rPr>
                      <w:rFonts w:hint="eastAsia"/>
                      <w:color w:val="auto"/>
                      <w:highlight w:val="none"/>
                    </w:rPr>
                    <w:t>“两高一资”）项目</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）本项目不属于</w:t>
                  </w:r>
                  <w:r>
                    <w:rPr>
                      <w:rFonts w:hint="eastAsia"/>
                      <w:color w:val="auto"/>
                      <w:highlight w:val="none"/>
                    </w:rPr>
                    <w:t>高毒农药项目</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color w:val="auto"/>
                      <w:highlight w:val="none"/>
                    </w:rPr>
                    <w:t>本项目无含重金属废水和废气排放；</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）本项目不属于化工企业项目；</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）本项目不</w:t>
                  </w:r>
                  <w:r>
                    <w:rPr>
                      <w:rFonts w:hint="eastAsia"/>
                      <w:color w:val="auto"/>
                      <w:highlight w:val="none"/>
                    </w:rPr>
                    <w:t>新建、扩建燃烧原（散）煤、重油、渣油、石油焦等高污染燃料或者直接燃用各种可燃废物的设施和装置</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7</w:t>
                  </w:r>
                  <w:r>
                    <w:rPr>
                      <w:rFonts w:hint="eastAsia"/>
                      <w:color w:val="auto"/>
                      <w:highlight w:val="none"/>
                      <w:lang w:eastAsia="zh-CN"/>
                    </w:rPr>
                    <w:t>）本项目不属于《产业结构调整指导目录(2019版)》中的限制和淘汰类项目；不属于《无锡市产业结构调整指导目录（试行）》中的禁止和淘汰类项目；不属于《无锡市内资禁止投资项目目录（2015年本）》中的禁止类项目；</w:t>
                  </w:r>
                </w:p>
                <w:p>
                  <w:pPr>
                    <w:pStyle w:val="2"/>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（8）梅村工业集中区以机械、轻纺、电子、服装为主导规划产业，本项目行业类别为C2926塑料包装箱及容器制造、C2231纸和纸板容器制造，符合梅村工业集中区产业定位，同时排放总量可在区域内平衡。</w:t>
                  </w:r>
                </w:p>
                <w:p>
                  <w:pPr>
                    <w:pStyle w:val="2"/>
                    <w:jc w:val="both"/>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（9）本项目产生的废气经收集处理后排放，收集和处理效率均达90%，不属于环境污染严重项目，同时已按要求落实排放总量；</w:t>
                  </w:r>
                </w:p>
                <w:p>
                  <w:pPr>
                    <w:pStyle w:val="2"/>
                    <w:jc w:val="both"/>
                    <w:rPr>
                      <w:rFonts w:hint="eastAsia"/>
                      <w:color w:val="auto"/>
                      <w:highlight w:val="none"/>
                      <w:lang w:eastAsia="zh-CN"/>
                    </w:rPr>
                  </w:pPr>
                  <w:r>
                    <w:rPr>
                      <w:rFonts w:hint="eastAsia" w:ascii="Times New Roman" w:hAnsi="Times New Roman" w:eastAsia="宋体" w:cs="Times New Roman"/>
                      <w:color w:val="auto"/>
                      <w:kern w:val="2"/>
                      <w:sz w:val="21"/>
                      <w:szCs w:val="24"/>
                      <w:highlight w:val="none"/>
                      <w:lang w:val="en-US" w:eastAsia="zh-CN" w:bidi="ar-SA"/>
                    </w:rPr>
                    <w:t>（10）本项目不属于国家、江苏省、无锡市明确规定不得审批的建设项目。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01" w:hRule="atLeast"/>
                <w:jc w:val="center"/>
              </w:trPr>
              <w:tc>
                <w:tcPr>
                  <w:tcW w:w="485" w:type="pct"/>
                  <w:vMerge w:val="continue"/>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p>
              </w:tc>
              <w:tc>
                <w:tcPr>
                  <w:tcW w:w="132" w:type="pct"/>
                  <w:vMerge w:val="continue"/>
                  <w:noWrap w:val="0"/>
                  <w:tcMar>
                    <w:top w:w="0" w:type="dxa"/>
                    <w:left w:w="6" w:type="dxa"/>
                    <w:bottom w:w="0" w:type="dxa"/>
                    <w:right w:w="6" w:type="dxa"/>
                  </w:tcMar>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p>
              </w:tc>
              <w:tc>
                <w:tcPr>
                  <w:tcW w:w="355"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rFonts w:hint="eastAsia"/>
                      <w:color w:val="auto"/>
                      <w:szCs w:val="21"/>
                      <w:highlight w:val="none"/>
                    </w:rPr>
                    <w:t>污染物排放管控</w:t>
                  </w:r>
                </w:p>
              </w:tc>
              <w:tc>
                <w:tcPr>
                  <w:tcW w:w="2174" w:type="pct"/>
                  <w:noWrap w:val="0"/>
                  <w:tcMar>
                    <w:top w:w="0" w:type="dxa"/>
                    <w:left w:w="6" w:type="dxa"/>
                    <w:bottom w:w="0" w:type="dxa"/>
                    <w:right w:w="6" w:type="dxa"/>
                  </w:tcMar>
                  <w:vAlign w:val="top"/>
                </w:tcPr>
                <w:p>
                  <w:pPr>
                    <w:pStyle w:val="58"/>
                    <w:keepNext w:val="0"/>
                    <w:keepLines w:val="0"/>
                    <w:pageBreakBefore w:val="0"/>
                    <w:widowControl w:val="0"/>
                    <w:numPr>
                      <w:ilvl w:val="0"/>
                      <w:numId w:val="0"/>
                    </w:numPr>
                    <w:kinsoku/>
                    <w:wordWrap/>
                    <w:overflowPunct/>
                    <w:topLinePunct w:val="0"/>
                    <w:autoSpaceDE/>
                    <w:autoSpaceDN/>
                    <w:bidi w:val="0"/>
                    <w:adjustRightInd w:val="0"/>
                    <w:snapToGrid w:val="0"/>
                    <w:ind w:left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（1）严格实施污染物总量控制制度，根据区域环境质量改善目标，采取有效措施减少主要污染物排放总量，确保区域环境质量持续改善。</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（2）园区污染物排放总量不得突破环评报告及批复的总量。</w:t>
                  </w:r>
                </w:p>
              </w:tc>
              <w:tc>
                <w:tcPr>
                  <w:tcW w:w="1851" w:type="pct"/>
                  <w:noWrap w:val="0"/>
                  <w:tcMar>
                    <w:top w:w="0" w:type="dxa"/>
                    <w:left w:w="6" w:type="dxa"/>
                    <w:bottom w:w="0" w:type="dxa"/>
                    <w:right w:w="6" w:type="dxa"/>
                  </w:tcMar>
                  <w:vAlign w:val="center"/>
                </w:tcPr>
                <w:p>
                  <w:pPr>
                    <w:pStyle w:val="16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sz w:val="21"/>
                      <w:szCs w:val="21"/>
                      <w:highlight w:val="none"/>
                      <w:lang w:eastAsia="zh-CN"/>
                    </w:rPr>
                  </w:pPr>
                  <w:r>
                    <w:rPr>
                      <w:rFonts w:hint="eastAsia"/>
                      <w:color w:val="auto"/>
                      <w:sz w:val="21"/>
                      <w:szCs w:val="21"/>
                      <w:highlight w:val="none"/>
                    </w:rPr>
                    <w:t>本项目新增的废气在</w:t>
                  </w:r>
                  <w:r>
                    <w:rPr>
                      <w:rFonts w:hint="eastAsia"/>
                      <w:color w:val="auto"/>
                      <w:sz w:val="21"/>
                      <w:szCs w:val="21"/>
                      <w:highlight w:val="none"/>
                      <w:lang w:val="en-US" w:eastAsia="zh-CN"/>
                    </w:rPr>
                    <w:t>新吴区范围内</w:t>
                  </w:r>
                  <w:r>
                    <w:rPr>
                      <w:rFonts w:hint="eastAsia"/>
                      <w:color w:val="auto"/>
                      <w:sz w:val="21"/>
                      <w:szCs w:val="21"/>
                      <w:highlight w:val="none"/>
                      <w:lang w:eastAsia="zh-CN"/>
                    </w:rPr>
                    <w:t>予以平衡</w:t>
                  </w:r>
                  <w:r>
                    <w:rPr>
                      <w:rFonts w:hint="eastAsia"/>
                      <w:color w:val="auto"/>
                      <w:sz w:val="21"/>
                      <w:szCs w:val="21"/>
                      <w:highlight w:val="none"/>
                    </w:rPr>
                    <w:t>，废水在</w:t>
                  </w:r>
                  <w:r>
                    <w:rPr>
                      <w:rFonts w:hint="eastAsia"/>
                      <w:color w:val="auto"/>
                      <w:sz w:val="21"/>
                      <w:szCs w:val="21"/>
                      <w:highlight w:val="none"/>
                      <w:lang w:eastAsia="zh-CN"/>
                    </w:rPr>
                    <w:t>梅村</w:t>
                  </w:r>
                  <w:r>
                    <w:rPr>
                      <w:rFonts w:hint="eastAsia"/>
                      <w:color w:val="auto"/>
                      <w:sz w:val="21"/>
                      <w:szCs w:val="21"/>
                      <w:highlight w:val="none"/>
                    </w:rPr>
                    <w:t>水处理厂核定的指标内平衡</w:t>
                  </w:r>
                  <w:r>
                    <w:rPr>
                      <w:rFonts w:hint="eastAsia"/>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5" w:type="pct"/>
                  <w:vMerge w:val="continue"/>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p>
              </w:tc>
              <w:tc>
                <w:tcPr>
                  <w:tcW w:w="132" w:type="pct"/>
                  <w:vMerge w:val="continue"/>
                  <w:noWrap w:val="0"/>
                  <w:tcMar>
                    <w:top w:w="0" w:type="dxa"/>
                    <w:left w:w="6" w:type="dxa"/>
                    <w:bottom w:w="0" w:type="dxa"/>
                    <w:right w:w="6" w:type="dxa"/>
                  </w:tcMar>
                  <w:vAlign w:val="top"/>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p>
              </w:tc>
              <w:tc>
                <w:tcPr>
                  <w:tcW w:w="355"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rFonts w:hint="eastAsia"/>
                      <w:color w:val="auto"/>
                      <w:szCs w:val="21"/>
                      <w:highlight w:val="none"/>
                    </w:rPr>
                    <w:t>环境风险防控</w:t>
                  </w:r>
                </w:p>
              </w:tc>
              <w:tc>
                <w:tcPr>
                  <w:tcW w:w="2174"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集中区内各企业应规范编制应急预案，建立突发环境事件应急演练制度；应充分考虑事故废水的风险防范措施，设置的事故池须满足事故废水收集处理要求，防止事故排水对区域水环境造成不良影响。</w:t>
                  </w:r>
                </w:p>
              </w:tc>
              <w:tc>
                <w:tcPr>
                  <w:tcW w:w="185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color w:val="auto"/>
                      <w:szCs w:val="21"/>
                      <w:highlight w:val="none"/>
                    </w:rPr>
                  </w:pPr>
                  <w:r>
                    <w:rPr>
                      <w:rFonts w:hint="eastAsia"/>
                      <w:color w:val="auto"/>
                      <w:szCs w:val="21"/>
                      <w:highlight w:val="none"/>
                    </w:rPr>
                    <w:t>本项目将按照要求，采取风险防控措施，预防火灾等生产事故发生。同时，提高操作、管理人员的技术、管理水平，严格执行有关操作规程和管理制度，预防人为因素</w:t>
                  </w:r>
                  <w:r>
                    <w:rPr>
                      <w:color w:val="auto"/>
                      <w:szCs w:val="21"/>
                      <w:highlight w:val="none"/>
                    </w:rPr>
                    <w:t>酿成安全和环境污染事故，减少事故发生频率及危害。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85" w:type="pct"/>
                  <w:vMerge w:val="continue"/>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Cs w:val="21"/>
                      <w:highlight w:val="none"/>
                    </w:rPr>
                  </w:pPr>
                </w:p>
              </w:tc>
              <w:tc>
                <w:tcPr>
                  <w:tcW w:w="132" w:type="pct"/>
                  <w:vMerge w:val="continue"/>
                  <w:noWrap w:val="0"/>
                  <w:tcMar>
                    <w:top w:w="0" w:type="dxa"/>
                    <w:left w:w="6" w:type="dxa"/>
                    <w:bottom w:w="0" w:type="dxa"/>
                    <w:right w:w="6" w:type="dxa"/>
                  </w:tcMar>
                  <w:vAlign w:val="top"/>
                </w:tcPr>
                <w:p>
                  <w:pPr>
                    <w:keepNext w:val="0"/>
                    <w:keepLines w:val="0"/>
                    <w:pageBreakBefore w:val="0"/>
                    <w:widowControl w:val="0"/>
                    <w:kinsoku/>
                    <w:wordWrap/>
                    <w:overflowPunct/>
                    <w:topLinePunct w:val="0"/>
                    <w:autoSpaceDE/>
                    <w:autoSpaceDN/>
                    <w:bidi w:val="0"/>
                    <w:adjustRightInd w:val="0"/>
                    <w:snapToGrid w:val="0"/>
                    <w:jc w:val="left"/>
                    <w:textAlignment w:val="auto"/>
                    <w:rPr>
                      <w:color w:val="auto"/>
                      <w:szCs w:val="21"/>
                      <w:highlight w:val="none"/>
                    </w:rPr>
                  </w:pPr>
                </w:p>
              </w:tc>
              <w:tc>
                <w:tcPr>
                  <w:tcW w:w="355"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rFonts w:hint="eastAsia"/>
                      <w:color w:val="auto"/>
                      <w:szCs w:val="21"/>
                      <w:highlight w:val="none"/>
                    </w:rPr>
                    <w:t>资源开发效率要求</w:t>
                  </w:r>
                </w:p>
              </w:tc>
              <w:tc>
                <w:tcPr>
                  <w:tcW w:w="2174" w:type="pct"/>
                  <w:noWrap w:val="0"/>
                  <w:tcMar>
                    <w:top w:w="0" w:type="dxa"/>
                    <w:left w:w="6" w:type="dxa"/>
                    <w:bottom w:w="0" w:type="dxa"/>
                    <w:right w:w="6" w:type="dxa"/>
                  </w:tcMar>
                  <w:vAlign w:val="top"/>
                </w:tcPr>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禁止销售使用燃料为“Ⅱ类”（较严），具体包括：1、除单台出力大于等于20蒸吨/小时锅炉以外燃用的煤炭及其制品。2、石油焦、油页岩、原油、重油、渣油、煤焦油。</w:t>
                  </w:r>
                </w:p>
              </w:tc>
              <w:tc>
                <w:tcPr>
                  <w:tcW w:w="1851" w:type="pct"/>
                  <w:noWrap w:val="0"/>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highlight w:val="none"/>
                    </w:rPr>
                  </w:pPr>
                  <w:r>
                    <w:rPr>
                      <w:rFonts w:hint="eastAsia"/>
                      <w:color w:val="auto"/>
                      <w:szCs w:val="21"/>
                      <w:highlight w:val="none"/>
                      <w:lang w:eastAsia="zh-CN"/>
                    </w:rPr>
                    <w:t>本项目不销售使用</w:t>
                  </w:r>
                  <w:r>
                    <w:rPr>
                      <w:rFonts w:hint="eastAsia" w:ascii="Times New Roman" w:hAnsi="Times New Roman" w:eastAsia="宋体" w:cs="Times New Roman"/>
                      <w:color w:val="auto"/>
                      <w:kern w:val="2"/>
                      <w:sz w:val="21"/>
                      <w:szCs w:val="21"/>
                      <w:highlight w:val="none"/>
                      <w:lang w:val="en-US" w:eastAsia="zh-CN" w:bidi="ar-SA"/>
                    </w:rPr>
                    <w:t>“Ⅱ类”</w:t>
                  </w:r>
                  <w:r>
                    <w:rPr>
                      <w:rFonts w:hint="eastAsia"/>
                      <w:color w:val="auto"/>
                      <w:szCs w:val="21"/>
                      <w:highlight w:val="none"/>
                      <w:lang w:eastAsia="zh-CN"/>
                    </w:rPr>
                    <w:t>燃料</w:t>
                  </w:r>
                  <w:r>
                    <w:rPr>
                      <w:rFonts w:hint="eastAsia"/>
                      <w:color w:val="auto"/>
                      <w:szCs w:val="21"/>
                      <w:highlight w:val="none"/>
                    </w:rPr>
                    <w:t>。</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Times New Roman" w:cs="Times New Roman"/>
                <w:color w:val="auto"/>
                <w:sz w:val="24"/>
                <w:szCs w:val="24"/>
                <w:highlight w:val="none"/>
              </w:rPr>
              <w:t>由上表可见，</w:t>
            </w:r>
            <w:r>
              <w:rPr>
                <w:rFonts w:hint="default" w:ascii="Times New Roman" w:hAnsi="Times New Roman" w:cs="Times New Roman"/>
                <w:color w:val="auto"/>
                <w:sz w:val="24"/>
                <w:szCs w:val="24"/>
                <w:highlight w:val="none"/>
              </w:rPr>
              <w:t>本项目符合《无锡市“三线一单”生态环境分区管控实施方案》</w:t>
            </w:r>
            <w:r>
              <w:rPr>
                <w:rFonts w:hint="default" w:ascii="Times New Roman" w:hAnsi="Times New Roman" w:cs="Times New Roman"/>
                <w:color w:val="auto"/>
                <w:sz w:val="24"/>
                <w:szCs w:val="24"/>
                <w:highlight w:val="none"/>
                <w:lang w:eastAsia="zh-CN"/>
              </w:rPr>
              <w:t>中无锡市新区梅村工业集中区环境管控单元的</w:t>
            </w:r>
            <w:r>
              <w:rPr>
                <w:rFonts w:hint="default" w:ascii="Times New Roman" w:hAnsi="Times New Roman" w:cs="Times New Roman"/>
                <w:color w:val="auto"/>
                <w:sz w:val="24"/>
                <w:szCs w:val="24"/>
                <w:highlight w:val="none"/>
              </w:rPr>
              <w:t>生态环境准入清单要求。</w:t>
            </w:r>
          </w:p>
          <w:p>
            <w:pPr>
              <w:spacing w:line="360" w:lineRule="auto"/>
              <w:ind w:firstLine="482" w:firstLineChars="200"/>
              <w:rPr>
                <w:b/>
                <w:bCs/>
                <w:color w:val="auto"/>
                <w:sz w:val="24"/>
              </w:rPr>
            </w:pPr>
            <w:r>
              <w:rPr>
                <w:b/>
                <w:bCs/>
                <w:color w:val="auto"/>
                <w:sz w:val="24"/>
              </w:rPr>
              <w:t>（3）与环境质量底线的相符性</w:t>
            </w:r>
          </w:p>
          <w:p>
            <w:pPr>
              <w:widowControl/>
              <w:spacing w:line="360" w:lineRule="auto"/>
              <w:ind w:firstLine="482"/>
              <w:rPr>
                <w:color w:val="auto"/>
                <w:sz w:val="24"/>
                <w:szCs w:val="22"/>
              </w:rPr>
            </w:pPr>
            <w:r>
              <w:rPr>
                <w:color w:val="auto"/>
                <w:sz w:val="24"/>
              </w:rPr>
              <w:t>环境空气：根据《2021年度无锡市环境状况公报》，2021年度无锡市环境空气除臭氧浓度超过《环境空气质量标准》（GB3095-2012）二级标准，其余均达标</w:t>
            </w:r>
            <w:r>
              <w:rPr>
                <w:color w:val="auto"/>
                <w:sz w:val="24"/>
                <w:szCs w:val="22"/>
              </w:rPr>
              <w:t>。</w:t>
            </w:r>
          </w:p>
          <w:p>
            <w:pPr>
              <w:widowControl/>
              <w:spacing w:line="360" w:lineRule="auto"/>
              <w:ind w:firstLine="482"/>
              <w:rPr>
                <w:color w:val="auto"/>
                <w:sz w:val="24"/>
              </w:rPr>
            </w:pPr>
            <w:r>
              <w:rPr>
                <w:color w:val="auto"/>
                <w:sz w:val="24"/>
              </w:rPr>
              <w:t>根据《无锡市大气环境质量限期达标规划（2018-2025年）》，通过提以不断降低PM</w:t>
            </w:r>
            <w:r>
              <w:rPr>
                <w:color w:val="auto"/>
                <w:sz w:val="24"/>
                <w:vertAlign w:val="subscript"/>
              </w:rPr>
              <w:t>2.5</w:t>
            </w:r>
            <w:r>
              <w:rPr>
                <w:color w:val="auto"/>
                <w:sz w:val="24"/>
              </w:rPr>
              <w:t>浓度，明显减少重污染天数，明显改善环境空气质量，明显增强人民的蓝天幸福感为核心目标，推进能源结构调整，推进热电整合，优化产业结构和布局；提高各行业清洁化生产水平，全面执行大气污染物特别排放限值，完成重点企业颗粒物无组织排放深度治理，从化工、电子（半导体）、涂装等工业行业挖掘非甲烷总烃减排潜力，完成重点行业低非甲烷总烃含量原辅料替代目标；以港口码头和堆场为重点提高扬尘污染控制水平。促进PM</w:t>
            </w:r>
            <w:r>
              <w:rPr>
                <w:color w:val="auto"/>
                <w:sz w:val="24"/>
                <w:vertAlign w:val="subscript"/>
              </w:rPr>
              <w:t>2.5</w:t>
            </w:r>
            <w:r>
              <w:rPr>
                <w:color w:val="auto"/>
                <w:sz w:val="24"/>
              </w:rPr>
              <w:t>和臭氧协同控制，推进区域联防联控，提升大气污染精细化防控能力等措施，大气环境质量状况可以得到进一步改善。</w:t>
            </w:r>
          </w:p>
          <w:p>
            <w:pPr>
              <w:spacing w:line="360" w:lineRule="auto"/>
              <w:ind w:firstLine="480" w:firstLineChars="200"/>
              <w:rPr>
                <w:color w:val="auto"/>
                <w:sz w:val="24"/>
              </w:rPr>
            </w:pPr>
            <w:r>
              <w:rPr>
                <w:color w:val="auto"/>
                <w:sz w:val="24"/>
                <w:lang w:val="zh-CN"/>
              </w:rPr>
              <w:t>区域环境空气质量现状监测结果表明，</w:t>
            </w:r>
            <w:r>
              <w:rPr>
                <w:color w:val="auto"/>
                <w:sz w:val="24"/>
              </w:rPr>
              <w:t>区域环境空气中</w:t>
            </w:r>
            <w:r>
              <w:rPr>
                <w:color w:val="auto"/>
                <w:sz w:val="24"/>
                <w:lang w:bidi="ar"/>
              </w:rPr>
              <w:t>非甲烷总烃满足《大气污染物综合排放标准详解》中的标准要求</w:t>
            </w:r>
            <w:r>
              <w:rPr>
                <w:color w:val="auto"/>
                <w:sz w:val="24"/>
              </w:rPr>
              <w:t>；</w:t>
            </w:r>
          </w:p>
          <w:p>
            <w:pPr>
              <w:spacing w:line="360" w:lineRule="auto"/>
              <w:ind w:firstLine="480" w:firstLineChars="200"/>
              <w:rPr>
                <w:color w:val="auto"/>
                <w:sz w:val="24"/>
                <w:lang w:bidi="ar"/>
              </w:rPr>
            </w:pPr>
            <w:r>
              <w:rPr>
                <w:color w:val="auto"/>
                <w:sz w:val="24"/>
              </w:rPr>
              <w:t>地表水环境：根据《2021年度无锡市环境状况公报》，纳入“十四五”国家地表水环境质量考核的25个断面中，年均水质达到或优于《地表水环境质量标准》（GB 3838-2002）Ⅲ类标准的断面比例为80.0%，同比达到或优于Ⅲ类断面比例上升10.8个百分点，无劣V类断面，达到年度考核目标。 纳入江苏省“十四五”水环境质量目标考核的71个断面中，年均水质达到或优于Ⅲ类标准的断面比例为93.0%，同比达到或优于Ⅲ类断面比例上升 7.0 个百分点，无劣V类断面，达到年度</w:t>
            </w:r>
            <w:r>
              <w:rPr>
                <w:color w:val="auto"/>
                <w:sz w:val="24"/>
                <w:lang w:bidi="ar"/>
              </w:rPr>
              <w:t>考核目标；</w:t>
            </w:r>
            <w:r>
              <w:rPr>
                <w:rFonts w:hint="eastAsia"/>
                <w:color w:val="auto"/>
                <w:sz w:val="24"/>
              </w:rPr>
              <w:t>建设项目纳污水体为梅花港，梅花港断面各监测因子监测值均能满足《地表水环境质量标准》（GB3838-2002）III类标准要求。</w:t>
            </w:r>
          </w:p>
          <w:p>
            <w:pPr>
              <w:spacing w:line="360" w:lineRule="auto"/>
              <w:ind w:firstLine="480" w:firstLineChars="200"/>
              <w:rPr>
                <w:color w:val="auto"/>
                <w:sz w:val="24"/>
              </w:rPr>
            </w:pPr>
            <w:r>
              <w:rPr>
                <w:color w:val="auto"/>
                <w:sz w:val="24"/>
                <w:lang w:bidi="ar"/>
              </w:rPr>
              <w:t>噪声：根据《2021年度无</w:t>
            </w:r>
            <w:r>
              <w:rPr>
                <w:color w:val="auto"/>
                <w:sz w:val="24"/>
              </w:rPr>
              <w:t>锡市环境状况公报》，2021年度无锡市区环境噪声值昼间≤57dB（A），</w:t>
            </w:r>
            <w:r>
              <w:rPr>
                <w:rFonts w:hint="eastAsia"/>
                <w:color w:val="auto"/>
                <w:sz w:val="24"/>
              </w:rPr>
              <w:t>以及</w:t>
            </w:r>
            <w:r>
              <w:rPr>
                <w:rFonts w:eastAsia="新宋体"/>
                <w:color w:val="auto"/>
                <w:sz w:val="24"/>
              </w:rPr>
              <w:t>江苏迈斯特环境检测有限公司提供的监测报告（</w:t>
            </w:r>
            <w:ins w:id="65" w:author="Sunny" w:date="2022-12-29T08:32:00Z">
              <w:r>
                <w:rPr>
                  <w:rFonts w:hint="eastAsia" w:eastAsia="新宋体"/>
                  <w:color w:val="auto"/>
                  <w:sz w:val="24"/>
                </w:rPr>
                <w:t>MST20221213030</w:t>
              </w:r>
            </w:ins>
            <w:r>
              <w:rPr>
                <w:rFonts w:eastAsia="新宋体"/>
                <w:color w:val="auto"/>
                <w:sz w:val="24"/>
              </w:rPr>
              <w:t>），202</w:t>
            </w:r>
            <w:ins w:id="66" w:author="Sunny" w:date="2022-12-29T08:31:00Z">
              <w:r>
                <w:rPr>
                  <w:rFonts w:hint="eastAsia" w:eastAsia="新宋体"/>
                  <w:color w:val="auto"/>
                  <w:sz w:val="24"/>
                </w:rPr>
                <w:t>2</w:t>
              </w:r>
            </w:ins>
            <w:r>
              <w:rPr>
                <w:rFonts w:eastAsia="新宋体"/>
                <w:color w:val="auto"/>
                <w:sz w:val="24"/>
              </w:rPr>
              <w:t>年1</w:t>
            </w:r>
            <w:ins w:id="67" w:author="Sunny" w:date="2022-12-29T08:31:00Z">
              <w:r>
                <w:rPr>
                  <w:rFonts w:hint="eastAsia" w:eastAsia="新宋体"/>
                  <w:color w:val="auto"/>
                  <w:sz w:val="24"/>
                </w:rPr>
                <w:t>2</w:t>
              </w:r>
            </w:ins>
            <w:r>
              <w:rPr>
                <w:rFonts w:eastAsia="新宋体"/>
                <w:color w:val="auto"/>
                <w:sz w:val="24"/>
              </w:rPr>
              <w:t>月</w:t>
            </w:r>
            <w:ins w:id="68" w:author="Sunny" w:date="2022-12-29T08:31:00Z">
              <w:r>
                <w:rPr>
                  <w:rFonts w:hint="eastAsia" w:eastAsia="新宋体"/>
                  <w:color w:val="auto"/>
                  <w:sz w:val="24"/>
                </w:rPr>
                <w:t>15</w:t>
              </w:r>
            </w:ins>
            <w:r>
              <w:rPr>
                <w:rFonts w:eastAsia="新宋体"/>
                <w:color w:val="auto"/>
                <w:sz w:val="24"/>
              </w:rPr>
              <w:t>日实测</w:t>
            </w:r>
            <w:r>
              <w:rPr>
                <w:rFonts w:hint="eastAsia" w:eastAsia="新宋体"/>
                <w:color w:val="auto"/>
                <w:sz w:val="24"/>
              </w:rPr>
              <w:t>数据</w:t>
            </w:r>
            <w:r>
              <w:rPr>
                <w:rFonts w:eastAsia="新宋体"/>
                <w:color w:val="auto"/>
                <w:sz w:val="24"/>
              </w:rPr>
              <w:t>，</w:t>
            </w:r>
            <w:r>
              <w:rPr>
                <w:rFonts w:hint="eastAsia" w:eastAsia="新宋体"/>
                <w:color w:val="auto"/>
                <w:sz w:val="24"/>
                <w:lang w:val="en-US" w:eastAsia="zh-CN"/>
              </w:rPr>
              <w:t>厂界噪声</w:t>
            </w:r>
            <w:r>
              <w:rPr>
                <w:color w:val="auto"/>
                <w:sz w:val="24"/>
              </w:rPr>
              <w:t>达到《声环境质量标准》（GB3096-2008）表1中的3类标准要求，</w:t>
            </w:r>
            <w:r>
              <w:rPr>
                <w:rFonts w:hint="eastAsia"/>
                <w:color w:val="auto"/>
                <w:sz w:val="24"/>
                <w:lang w:val="en-US" w:eastAsia="zh-CN"/>
              </w:rPr>
              <w:t>敏感点噪声达到</w:t>
            </w:r>
            <w:r>
              <w:rPr>
                <w:color w:val="auto"/>
                <w:sz w:val="24"/>
              </w:rPr>
              <w:t>《声环境质量标准》（GB3096-2008）表1中的</w:t>
            </w:r>
            <w:r>
              <w:rPr>
                <w:rFonts w:hint="eastAsia"/>
                <w:color w:val="auto"/>
                <w:sz w:val="24"/>
                <w:lang w:val="en-US" w:eastAsia="zh-CN"/>
              </w:rPr>
              <w:t>2</w:t>
            </w:r>
            <w:r>
              <w:rPr>
                <w:color w:val="auto"/>
                <w:sz w:val="24"/>
              </w:rPr>
              <w:t>类标准要求，区域声环境质量状况良好。</w:t>
            </w:r>
          </w:p>
          <w:p>
            <w:pPr>
              <w:autoSpaceDE w:val="0"/>
              <w:autoSpaceDN w:val="0"/>
              <w:adjustRightInd w:val="0"/>
              <w:snapToGrid w:val="0"/>
              <w:spacing w:line="360" w:lineRule="auto"/>
              <w:ind w:firstLine="480" w:firstLineChars="200"/>
              <w:rPr>
                <w:color w:val="auto"/>
                <w:sz w:val="24"/>
              </w:rPr>
            </w:pPr>
            <w:r>
              <w:rPr>
                <w:color w:val="auto"/>
                <w:sz w:val="24"/>
              </w:rPr>
              <w:t>本项目产生的废气经收集处理后达标排放，对周围大气环境影响较小，废气排放总量在</w:t>
            </w:r>
            <w:r>
              <w:rPr>
                <w:rFonts w:hint="eastAsia"/>
                <w:color w:val="auto"/>
                <w:sz w:val="24"/>
              </w:rPr>
              <w:t>新吴区</w:t>
            </w:r>
            <w:r>
              <w:rPr>
                <w:color w:val="auto"/>
                <w:sz w:val="24"/>
              </w:rPr>
              <w:t>内平衡；</w:t>
            </w:r>
            <w:r>
              <w:rPr>
                <w:rFonts w:hint="eastAsia"/>
                <w:color w:val="auto"/>
                <w:sz w:val="24"/>
                <w:lang w:val="en-US" w:eastAsia="zh-CN"/>
              </w:rPr>
              <w:t>生活污水经化粪池预处理后与纯水制备浓水、纯水设备反冲洗水一同接管梅村水处理厂集中处理；</w:t>
            </w:r>
            <w:r>
              <w:rPr>
                <w:color w:val="auto"/>
                <w:sz w:val="24"/>
              </w:rPr>
              <w:t>本项目</w:t>
            </w:r>
            <w:r>
              <w:rPr>
                <w:rFonts w:hint="eastAsia"/>
                <w:color w:val="auto"/>
                <w:sz w:val="24"/>
              </w:rPr>
              <w:t>生产废水处理后回用于生产，不外排</w:t>
            </w:r>
            <w:r>
              <w:rPr>
                <w:color w:val="auto"/>
                <w:sz w:val="24"/>
              </w:rPr>
              <w:t>；各类高噪声设备经车间隔声等措施后，经预测厂界噪声达标；产生的固废分类收集、妥善处置。因此，本项目符合项目所在地环境质量底线。</w:t>
            </w:r>
          </w:p>
          <w:p>
            <w:pPr>
              <w:autoSpaceDE w:val="0"/>
              <w:autoSpaceDN w:val="0"/>
              <w:adjustRightInd w:val="0"/>
              <w:snapToGrid w:val="0"/>
              <w:spacing w:line="360" w:lineRule="auto"/>
              <w:ind w:firstLine="482" w:firstLineChars="200"/>
              <w:contextualSpacing/>
              <w:rPr>
                <w:b/>
                <w:bCs/>
                <w:color w:val="auto"/>
                <w:sz w:val="24"/>
              </w:rPr>
            </w:pPr>
            <w:r>
              <w:rPr>
                <w:b/>
                <w:bCs/>
                <w:color w:val="auto"/>
                <w:sz w:val="24"/>
              </w:rPr>
              <w:t>（4）与资源利用上线的相符性</w:t>
            </w:r>
          </w:p>
          <w:p>
            <w:pPr>
              <w:autoSpaceDE w:val="0"/>
              <w:autoSpaceDN w:val="0"/>
              <w:adjustRightInd w:val="0"/>
              <w:snapToGrid w:val="0"/>
              <w:spacing w:line="360" w:lineRule="auto"/>
              <w:ind w:firstLine="480" w:firstLineChars="200"/>
              <w:rPr>
                <w:color w:val="auto"/>
                <w:sz w:val="24"/>
              </w:rPr>
            </w:pPr>
            <w:r>
              <w:rPr>
                <w:color w:val="auto"/>
                <w:sz w:val="24"/>
              </w:rPr>
              <w:t>本项目位于无锡市新吴区</w:t>
            </w:r>
            <w:r>
              <w:rPr>
                <w:rFonts w:hint="eastAsia"/>
                <w:color w:val="auto"/>
                <w:sz w:val="24"/>
              </w:rPr>
              <w:t>新风路69</w:t>
            </w:r>
            <w:r>
              <w:rPr>
                <w:color w:val="auto"/>
                <w:sz w:val="24"/>
              </w:rPr>
              <w:t>号，所使用的能源主要为</w:t>
            </w:r>
            <w:r>
              <w:rPr>
                <w:snapToGrid w:val="0"/>
                <w:color w:val="auto"/>
                <w:kern w:val="0"/>
                <w:sz w:val="24"/>
              </w:rPr>
              <w:t>水、电</w:t>
            </w:r>
            <w:r>
              <w:rPr>
                <w:color w:val="auto"/>
                <w:sz w:val="24"/>
              </w:rPr>
              <w:t>，物耗及能耗水平均较低，不会超过资源利用上线。本项目</w:t>
            </w:r>
            <w:r>
              <w:rPr>
                <w:snapToGrid w:val="0"/>
                <w:color w:val="auto"/>
                <w:kern w:val="0"/>
                <w:sz w:val="24"/>
              </w:rPr>
              <w:t>用水水源来自市政管网，</w:t>
            </w:r>
            <w:r>
              <w:rPr>
                <w:color w:val="auto"/>
                <w:sz w:val="24"/>
              </w:rPr>
              <w:t>用电由市政供电系统供电，能满足本项目的需求。</w:t>
            </w:r>
          </w:p>
          <w:p>
            <w:pPr>
              <w:numPr>
                <w:ilvl w:val="0"/>
                <w:numId w:val="3"/>
              </w:numPr>
              <w:autoSpaceDE w:val="0"/>
              <w:autoSpaceDN w:val="0"/>
              <w:adjustRightInd w:val="0"/>
              <w:snapToGrid w:val="0"/>
              <w:spacing w:line="360" w:lineRule="auto"/>
              <w:ind w:firstLine="482" w:firstLineChars="200"/>
              <w:contextualSpacing/>
              <w:rPr>
                <w:b/>
                <w:bCs/>
                <w:color w:val="auto"/>
                <w:sz w:val="24"/>
              </w:rPr>
            </w:pPr>
            <w:r>
              <w:rPr>
                <w:b/>
                <w:bCs/>
                <w:color w:val="auto"/>
                <w:sz w:val="24"/>
              </w:rPr>
              <w:t>与“环境准入负面清单”的相符性</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ascii="Times New Roman" w:hAnsi="Times New Roman"/>
                <w:color w:val="auto"/>
                <w:sz w:val="24"/>
                <w:highlight w:val="none"/>
              </w:rPr>
            </w:pPr>
            <w:r>
              <w:rPr>
                <w:color w:val="auto"/>
                <w:sz w:val="24"/>
              </w:rPr>
              <w:t>本项目位于无锡市新吴区新风路69号，属于</w:t>
            </w:r>
            <w:r>
              <w:rPr>
                <w:rFonts w:hint="eastAsia"/>
                <w:color w:val="auto"/>
                <w:sz w:val="24"/>
              </w:rPr>
              <w:t>无锡市新区梅村工业集中区</w:t>
            </w:r>
            <w:r>
              <w:rPr>
                <w:color w:val="auto"/>
                <w:sz w:val="24"/>
              </w:rPr>
              <w:t>，</w:t>
            </w:r>
            <w:r>
              <w:rPr>
                <w:color w:val="auto"/>
              </w:rPr>
              <w:commentReference w:id="3"/>
            </w:r>
            <w:r>
              <w:rPr>
                <w:rFonts w:hint="eastAsia"/>
                <w:color w:val="auto"/>
                <w:sz w:val="24"/>
              </w:rPr>
              <w:t>根据《无锡市新吴区梅村工业集中区规划环境影响跟踪评价报告》中梅村街道工业集中区产业发展负面清单的要求，</w:t>
            </w:r>
            <w:r>
              <w:rPr>
                <w:rFonts w:ascii="Times New Roman" w:hAnsi="Times New Roman"/>
                <w:color w:val="auto"/>
                <w:sz w:val="24"/>
                <w:highlight w:val="none"/>
              </w:rPr>
              <w:t>园区环境准入负面清单见表1-</w:t>
            </w:r>
            <w:r>
              <w:rPr>
                <w:rFonts w:hint="eastAsia"/>
                <w:color w:val="auto"/>
                <w:sz w:val="24"/>
                <w:highlight w:val="none"/>
                <w:lang w:val="en-US" w:eastAsia="zh-CN"/>
              </w:rPr>
              <w:t>6</w:t>
            </w:r>
            <w:r>
              <w:rPr>
                <w:rFonts w:ascii="Times New Roman" w:hAnsi="Times New Roman"/>
                <w:color w:val="auto"/>
                <w:sz w:val="24"/>
                <w:highlight w:val="none"/>
              </w:rPr>
              <w:t>。</w:t>
            </w:r>
          </w:p>
          <w:p>
            <w:pPr>
              <w:numPr>
                <w:ilvl w:val="0"/>
                <w:numId w:val="2"/>
              </w:numPr>
              <w:jc w:val="center"/>
              <w:rPr>
                <w:color w:val="auto"/>
              </w:rPr>
            </w:pPr>
            <w:r>
              <w:rPr>
                <w:b/>
                <w:bCs/>
                <w:color w:val="auto"/>
                <w:sz w:val="24"/>
              </w:rPr>
              <w:t>项目与环境</w:t>
            </w:r>
            <w:r>
              <w:rPr>
                <w:rFonts w:hint="eastAsia"/>
                <w:b/>
                <w:bCs/>
                <w:color w:val="auto"/>
                <w:sz w:val="24"/>
              </w:rPr>
              <w:t>准入负面清单</w:t>
            </w:r>
            <w:r>
              <w:rPr>
                <w:b/>
                <w:bCs/>
                <w:color w:val="auto"/>
                <w:sz w:val="24"/>
              </w:rPr>
              <w:t>相符性分析</w:t>
            </w:r>
          </w:p>
          <w:tbl>
            <w:tblPr>
              <w:tblStyle w:val="27"/>
              <w:tblW w:w="82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035"/>
              <w:gridCol w:w="3869"/>
              <w:gridCol w:w="26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Borders>
                    <w:tl2br w:val="nil"/>
                    <w:tr2bl w:val="nil"/>
                  </w:tcBorders>
                  <w:vAlign w:val="center"/>
                </w:tcPr>
                <w:p>
                  <w:pPr>
                    <w:jc w:val="center"/>
                    <w:rPr>
                      <w:rFonts w:ascii="Calibri" w:hAnsi="Calibri" w:cs="Calibri"/>
                      <w:b/>
                      <w:bCs/>
                      <w:color w:val="auto"/>
                    </w:rPr>
                  </w:pPr>
                  <w:r>
                    <w:rPr>
                      <w:rFonts w:ascii="Calibri" w:hAnsi="Calibri" w:cs="Calibri"/>
                      <w:b/>
                      <w:bCs/>
                      <w:color w:val="auto"/>
                    </w:rPr>
                    <w:t>序号</w:t>
                  </w:r>
                </w:p>
              </w:tc>
              <w:tc>
                <w:tcPr>
                  <w:tcW w:w="1035" w:type="dxa"/>
                  <w:tcBorders>
                    <w:tl2br w:val="nil"/>
                    <w:tr2bl w:val="nil"/>
                  </w:tcBorders>
                  <w:vAlign w:val="center"/>
                </w:tcPr>
                <w:p>
                  <w:pPr>
                    <w:jc w:val="center"/>
                    <w:rPr>
                      <w:rFonts w:ascii="Calibri" w:hAnsi="Calibri" w:cs="Calibri"/>
                      <w:b/>
                      <w:bCs/>
                      <w:color w:val="auto"/>
                    </w:rPr>
                  </w:pPr>
                  <w:r>
                    <w:rPr>
                      <w:rFonts w:ascii="Calibri" w:hAnsi="Calibri" w:cs="Calibri"/>
                      <w:b/>
                      <w:bCs/>
                      <w:color w:val="auto"/>
                    </w:rPr>
                    <w:t>文件</w:t>
                  </w:r>
                </w:p>
              </w:tc>
              <w:tc>
                <w:tcPr>
                  <w:tcW w:w="3869" w:type="dxa"/>
                  <w:tcBorders>
                    <w:tl2br w:val="nil"/>
                    <w:tr2bl w:val="nil"/>
                  </w:tcBorders>
                  <w:vAlign w:val="center"/>
                </w:tcPr>
                <w:p>
                  <w:pPr>
                    <w:jc w:val="center"/>
                    <w:rPr>
                      <w:rFonts w:ascii="Calibri" w:hAnsi="Calibri" w:cs="Calibri"/>
                      <w:b/>
                      <w:bCs/>
                      <w:color w:val="auto"/>
                    </w:rPr>
                  </w:pPr>
                  <w:r>
                    <w:rPr>
                      <w:rFonts w:ascii="Calibri" w:hAnsi="Calibri" w:cs="Calibri"/>
                      <w:b/>
                      <w:bCs/>
                      <w:color w:val="auto"/>
                    </w:rPr>
                    <w:t>具体要求</w:t>
                  </w:r>
                </w:p>
              </w:tc>
              <w:tc>
                <w:tcPr>
                  <w:tcW w:w="2644" w:type="dxa"/>
                  <w:tcBorders>
                    <w:tl2br w:val="nil"/>
                    <w:tr2bl w:val="nil"/>
                  </w:tcBorders>
                  <w:vAlign w:val="center"/>
                </w:tcPr>
                <w:p>
                  <w:pPr>
                    <w:jc w:val="center"/>
                    <w:rPr>
                      <w:rFonts w:ascii="Calibri" w:hAnsi="Calibri" w:cs="Calibri"/>
                      <w:b/>
                      <w:bCs/>
                      <w:color w:val="auto"/>
                    </w:rPr>
                  </w:pPr>
                  <w:r>
                    <w:rPr>
                      <w:rFonts w:ascii="Calibri" w:hAnsi="Calibri" w:cs="Calibri"/>
                      <w:b/>
                      <w:bCs/>
                      <w:color w:val="auto"/>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720" w:type="dxa"/>
                  <w:tcBorders>
                    <w:tl2br w:val="nil"/>
                    <w:tr2bl w:val="nil"/>
                  </w:tcBorders>
                  <w:vAlign w:val="center"/>
                </w:tcPr>
                <w:p>
                  <w:pPr>
                    <w:jc w:val="center"/>
                    <w:rPr>
                      <w:rFonts w:ascii="Calibri" w:hAnsi="Calibri" w:cs="Calibri"/>
                      <w:color w:val="auto"/>
                    </w:rPr>
                  </w:pPr>
                  <w:r>
                    <w:rPr>
                      <w:rFonts w:ascii="Calibri" w:hAnsi="Calibri" w:cs="Calibri"/>
                      <w:color w:val="auto"/>
                    </w:rPr>
                    <w:t>1</w:t>
                  </w:r>
                </w:p>
              </w:tc>
              <w:tc>
                <w:tcPr>
                  <w:tcW w:w="1035" w:type="dxa"/>
                  <w:vMerge w:val="restart"/>
                  <w:tcBorders>
                    <w:tl2br w:val="nil"/>
                    <w:tr2bl w:val="nil"/>
                  </w:tcBorders>
                  <w:vAlign w:val="center"/>
                </w:tcPr>
                <w:p>
                  <w:pPr>
                    <w:jc w:val="center"/>
                    <w:rPr>
                      <w:rFonts w:ascii="Calibri" w:hAnsi="Calibri" w:cs="Calibri"/>
                      <w:color w:val="auto"/>
                    </w:rPr>
                  </w:pPr>
                  <w:r>
                    <w:rPr>
                      <w:rFonts w:ascii="Calibri" w:hAnsi="Calibri" w:cs="Calibri"/>
                      <w:color w:val="auto"/>
                    </w:rPr>
                    <w:t>无锡市新吴区梅村工业集中区规划环境影响跟踪评价报告</w:t>
                  </w:r>
                </w:p>
              </w:tc>
              <w:tc>
                <w:tcPr>
                  <w:tcW w:w="3869" w:type="dxa"/>
                  <w:tcBorders>
                    <w:tl2br w:val="nil"/>
                    <w:tr2bl w:val="nil"/>
                  </w:tcBorders>
                  <w:vAlign w:val="center"/>
                </w:tcPr>
                <w:p>
                  <w:pPr>
                    <w:jc w:val="center"/>
                    <w:rPr>
                      <w:rFonts w:ascii="Calibri" w:hAnsi="Calibri" w:cs="Calibri"/>
                      <w:color w:val="auto"/>
                    </w:rPr>
                  </w:pPr>
                  <w:r>
                    <w:rPr>
                      <w:rFonts w:ascii="Calibri" w:hAnsi="Calibri" w:cs="Calibri"/>
                      <w:color w:val="auto"/>
                    </w:rPr>
                    <w:t>禁止新建、改建、扩建化学制浆造纸、制革、酿造、染料、印染、电镀以及其他排放磷、氮等污染物的企业和项目，禁止引进纯电镀加工类项目</w:t>
                  </w:r>
                </w:p>
              </w:tc>
              <w:tc>
                <w:tcPr>
                  <w:tcW w:w="2644" w:type="dxa"/>
                  <w:tcBorders>
                    <w:tl2br w:val="nil"/>
                    <w:tr2bl w:val="nil"/>
                  </w:tcBorders>
                  <w:vAlign w:val="center"/>
                </w:tcPr>
                <w:p>
                  <w:pPr>
                    <w:jc w:val="center"/>
                    <w:rPr>
                      <w:rFonts w:ascii="Calibri" w:hAnsi="Calibri" w:cs="Calibri"/>
                      <w:color w:val="auto"/>
                    </w:rPr>
                  </w:pPr>
                  <w:r>
                    <w:rPr>
                      <w:rFonts w:ascii="Calibri" w:hAnsi="Calibri" w:cs="Calibri"/>
                      <w:color w:val="auto"/>
                    </w:rPr>
                    <w:t>本项目不属于化学制浆造纸、制革、酿造、染料、印染等行业，不涉及电镀工序，且无含氮、磷的生产废水产生。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Borders>
                    <w:tl2br w:val="nil"/>
                    <w:tr2bl w:val="nil"/>
                  </w:tcBorders>
                  <w:vAlign w:val="center"/>
                </w:tcPr>
                <w:p>
                  <w:pPr>
                    <w:jc w:val="center"/>
                    <w:rPr>
                      <w:rFonts w:ascii="Calibri" w:hAnsi="Calibri" w:cs="Calibri"/>
                      <w:color w:val="auto"/>
                    </w:rPr>
                  </w:pPr>
                  <w:r>
                    <w:rPr>
                      <w:rFonts w:ascii="Calibri" w:hAnsi="Calibri" w:cs="Calibri"/>
                      <w:color w:val="auto"/>
                    </w:rPr>
                    <w:t>2</w:t>
                  </w:r>
                </w:p>
              </w:tc>
              <w:tc>
                <w:tcPr>
                  <w:tcW w:w="1035" w:type="dxa"/>
                  <w:vMerge w:val="continue"/>
                  <w:tcBorders>
                    <w:tl2br w:val="nil"/>
                    <w:tr2bl w:val="nil"/>
                  </w:tcBorders>
                  <w:vAlign w:val="center"/>
                </w:tcPr>
                <w:p>
                  <w:pPr>
                    <w:jc w:val="center"/>
                    <w:rPr>
                      <w:rFonts w:ascii="Calibri" w:hAnsi="Calibri" w:cs="Calibri"/>
                      <w:color w:val="auto"/>
                    </w:rPr>
                  </w:pPr>
                </w:p>
              </w:tc>
              <w:tc>
                <w:tcPr>
                  <w:tcW w:w="3869" w:type="dxa"/>
                  <w:tcBorders>
                    <w:tl2br w:val="nil"/>
                    <w:tr2bl w:val="nil"/>
                  </w:tcBorders>
                  <w:vAlign w:val="center"/>
                </w:tcPr>
                <w:p>
                  <w:pPr>
                    <w:jc w:val="center"/>
                    <w:rPr>
                      <w:rFonts w:ascii="Calibri" w:hAnsi="Calibri" w:cs="Calibri"/>
                      <w:color w:val="auto"/>
                    </w:rPr>
                  </w:pPr>
                  <w:r>
                    <w:rPr>
                      <w:rFonts w:ascii="Calibri" w:hAnsi="Calibri" w:cs="Calibri"/>
                      <w:color w:val="auto"/>
                    </w:rPr>
                    <w:t>禁止引进高污染、高能耗、资源性(“两高一资")项目</w:t>
                  </w:r>
                </w:p>
              </w:tc>
              <w:tc>
                <w:tcPr>
                  <w:tcW w:w="2644" w:type="dxa"/>
                  <w:tcBorders>
                    <w:tl2br w:val="nil"/>
                    <w:tr2bl w:val="nil"/>
                  </w:tcBorders>
                  <w:vAlign w:val="center"/>
                </w:tcPr>
                <w:p>
                  <w:pPr>
                    <w:jc w:val="center"/>
                    <w:rPr>
                      <w:rFonts w:ascii="Calibri" w:hAnsi="Calibri" w:cs="Calibri"/>
                      <w:color w:val="auto"/>
                    </w:rPr>
                  </w:pPr>
                  <w:r>
                    <w:rPr>
                      <w:rFonts w:ascii="Calibri" w:hAnsi="Calibri" w:cs="Calibri"/>
                      <w:color w:val="auto"/>
                    </w:rPr>
                    <w:t>本项目不属于高污染、高能耗、资源性(“两高一资")项目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Borders>
                    <w:tl2br w:val="nil"/>
                    <w:tr2bl w:val="nil"/>
                  </w:tcBorders>
                  <w:vAlign w:val="center"/>
                </w:tcPr>
                <w:p>
                  <w:pPr>
                    <w:jc w:val="center"/>
                    <w:rPr>
                      <w:rFonts w:ascii="Calibri" w:hAnsi="Calibri" w:cs="Calibri"/>
                      <w:color w:val="auto"/>
                    </w:rPr>
                  </w:pPr>
                  <w:r>
                    <w:rPr>
                      <w:rFonts w:ascii="Calibri" w:hAnsi="Calibri" w:cs="Calibri"/>
                      <w:color w:val="auto"/>
                    </w:rPr>
                    <w:t>3</w:t>
                  </w:r>
                </w:p>
              </w:tc>
              <w:tc>
                <w:tcPr>
                  <w:tcW w:w="1035" w:type="dxa"/>
                  <w:vMerge w:val="continue"/>
                  <w:tcBorders>
                    <w:tl2br w:val="nil"/>
                    <w:tr2bl w:val="nil"/>
                  </w:tcBorders>
                  <w:vAlign w:val="center"/>
                </w:tcPr>
                <w:p>
                  <w:pPr>
                    <w:jc w:val="center"/>
                    <w:rPr>
                      <w:rFonts w:ascii="Calibri" w:hAnsi="Calibri" w:cs="Calibri"/>
                      <w:color w:val="auto"/>
                    </w:rPr>
                  </w:pPr>
                </w:p>
              </w:tc>
              <w:tc>
                <w:tcPr>
                  <w:tcW w:w="3869" w:type="dxa"/>
                  <w:tcBorders>
                    <w:tl2br w:val="nil"/>
                    <w:tr2bl w:val="nil"/>
                  </w:tcBorders>
                  <w:vAlign w:val="center"/>
                </w:tcPr>
                <w:p>
                  <w:pPr>
                    <w:jc w:val="center"/>
                    <w:rPr>
                      <w:rFonts w:ascii="Calibri" w:hAnsi="Calibri" w:cs="Calibri"/>
                      <w:color w:val="auto"/>
                    </w:rPr>
                  </w:pPr>
                  <w:r>
                    <w:rPr>
                      <w:rFonts w:ascii="Calibri" w:hAnsi="Calibri" w:cs="Calibri"/>
                      <w:color w:val="auto"/>
                    </w:rPr>
                    <w:t>禁止含医药、农药等化工中间体合成生产的化工项目</w:t>
                  </w:r>
                </w:p>
              </w:tc>
              <w:tc>
                <w:tcPr>
                  <w:tcW w:w="2644" w:type="dxa"/>
                  <w:tcBorders>
                    <w:tl2br w:val="nil"/>
                    <w:tr2bl w:val="nil"/>
                  </w:tcBorders>
                  <w:vAlign w:val="center"/>
                </w:tcPr>
                <w:p>
                  <w:pPr>
                    <w:jc w:val="center"/>
                    <w:rPr>
                      <w:rFonts w:ascii="Calibri" w:hAnsi="Calibri" w:cs="Calibri"/>
                      <w:color w:val="auto"/>
                    </w:rPr>
                  </w:pPr>
                  <w:r>
                    <w:rPr>
                      <w:rFonts w:ascii="Calibri" w:hAnsi="Calibri" w:cs="Calibri"/>
                      <w:color w:val="auto"/>
                    </w:rPr>
                    <w:t>本项目不属于含医药、农药等化工中间体合成生产的化工项目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Borders>
                    <w:tl2br w:val="nil"/>
                    <w:tr2bl w:val="nil"/>
                  </w:tcBorders>
                  <w:vAlign w:val="center"/>
                </w:tcPr>
                <w:p>
                  <w:pPr>
                    <w:jc w:val="center"/>
                    <w:rPr>
                      <w:rFonts w:ascii="Calibri" w:hAnsi="Calibri" w:cs="Calibri"/>
                      <w:color w:val="auto"/>
                    </w:rPr>
                  </w:pPr>
                  <w:r>
                    <w:rPr>
                      <w:rFonts w:ascii="Calibri" w:hAnsi="Calibri" w:cs="Calibri"/>
                      <w:color w:val="auto"/>
                    </w:rPr>
                    <w:t>4</w:t>
                  </w:r>
                </w:p>
              </w:tc>
              <w:tc>
                <w:tcPr>
                  <w:tcW w:w="1035" w:type="dxa"/>
                  <w:vMerge w:val="continue"/>
                  <w:tcBorders>
                    <w:tl2br w:val="nil"/>
                    <w:tr2bl w:val="nil"/>
                  </w:tcBorders>
                  <w:vAlign w:val="center"/>
                </w:tcPr>
                <w:p>
                  <w:pPr>
                    <w:jc w:val="center"/>
                    <w:rPr>
                      <w:rFonts w:ascii="Calibri" w:hAnsi="Calibri" w:cs="Calibri"/>
                      <w:color w:val="auto"/>
                    </w:rPr>
                  </w:pPr>
                </w:p>
              </w:tc>
              <w:tc>
                <w:tcPr>
                  <w:tcW w:w="3869" w:type="dxa"/>
                  <w:tcBorders>
                    <w:tl2br w:val="nil"/>
                    <w:tr2bl w:val="nil"/>
                  </w:tcBorders>
                  <w:vAlign w:val="center"/>
                </w:tcPr>
                <w:p>
                  <w:pPr>
                    <w:jc w:val="center"/>
                    <w:rPr>
                      <w:rFonts w:ascii="Calibri" w:hAnsi="Calibri" w:cs="Calibri"/>
                      <w:color w:val="auto"/>
                    </w:rPr>
                  </w:pPr>
                  <w:r>
                    <w:rPr>
                      <w:rFonts w:ascii="Calibri" w:hAnsi="Calibri" w:cs="Calibri"/>
                      <w:color w:val="auto"/>
                    </w:rPr>
                    <w:t>禁止建设增加铅、汞、铬、镉、砷五类重点重金属污染物排放的项目</w:t>
                  </w:r>
                </w:p>
              </w:tc>
              <w:tc>
                <w:tcPr>
                  <w:tcW w:w="2644" w:type="dxa"/>
                  <w:tcBorders>
                    <w:tl2br w:val="nil"/>
                    <w:tr2bl w:val="nil"/>
                  </w:tcBorders>
                  <w:vAlign w:val="center"/>
                </w:tcPr>
                <w:p>
                  <w:pPr>
                    <w:jc w:val="center"/>
                    <w:rPr>
                      <w:rFonts w:ascii="Calibri" w:hAnsi="Calibri" w:cs="Calibri"/>
                      <w:color w:val="auto"/>
                    </w:rPr>
                  </w:pPr>
                  <w:r>
                    <w:rPr>
                      <w:rFonts w:hint="eastAsia" w:ascii="Calibri" w:hAnsi="Calibri" w:cs="Calibri"/>
                      <w:color w:val="auto"/>
                    </w:rPr>
                    <w:t>本项目不属于</w:t>
                  </w:r>
                  <w:r>
                    <w:rPr>
                      <w:rFonts w:ascii="Calibri" w:hAnsi="Calibri" w:cs="Calibri"/>
                      <w:color w:val="auto"/>
                    </w:rPr>
                    <w:t>铅、汞、铬、镉、砷五类重点重金属污染物排放的项目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Borders>
                    <w:tl2br w:val="nil"/>
                    <w:tr2bl w:val="nil"/>
                  </w:tcBorders>
                  <w:vAlign w:val="center"/>
                </w:tcPr>
                <w:p>
                  <w:pPr>
                    <w:jc w:val="center"/>
                    <w:rPr>
                      <w:rFonts w:ascii="Calibri" w:hAnsi="Calibri" w:cs="Calibri"/>
                      <w:color w:val="auto"/>
                    </w:rPr>
                  </w:pPr>
                  <w:r>
                    <w:rPr>
                      <w:rFonts w:ascii="Calibri" w:hAnsi="Calibri" w:cs="Calibri"/>
                      <w:color w:val="auto"/>
                    </w:rPr>
                    <w:t>5</w:t>
                  </w:r>
                </w:p>
              </w:tc>
              <w:tc>
                <w:tcPr>
                  <w:tcW w:w="1035" w:type="dxa"/>
                  <w:vMerge w:val="continue"/>
                  <w:tcBorders>
                    <w:tl2br w:val="nil"/>
                    <w:tr2bl w:val="nil"/>
                  </w:tcBorders>
                  <w:vAlign w:val="center"/>
                </w:tcPr>
                <w:p>
                  <w:pPr>
                    <w:jc w:val="center"/>
                    <w:rPr>
                      <w:rFonts w:ascii="Calibri" w:hAnsi="Calibri" w:cs="Calibri"/>
                      <w:color w:val="auto"/>
                    </w:rPr>
                  </w:pPr>
                </w:p>
              </w:tc>
              <w:tc>
                <w:tcPr>
                  <w:tcW w:w="3869" w:type="dxa"/>
                  <w:tcBorders>
                    <w:tl2br w:val="nil"/>
                    <w:tr2bl w:val="nil"/>
                  </w:tcBorders>
                  <w:vAlign w:val="center"/>
                </w:tcPr>
                <w:p>
                  <w:pPr>
                    <w:jc w:val="center"/>
                    <w:rPr>
                      <w:rFonts w:ascii="Calibri" w:hAnsi="Calibri" w:cs="Calibri"/>
                      <w:color w:val="auto"/>
                    </w:rPr>
                  </w:pPr>
                  <w:r>
                    <w:rPr>
                      <w:rFonts w:ascii="Calibri" w:hAnsi="Calibri" w:cs="Calibri"/>
                      <w:color w:val="auto"/>
                    </w:rPr>
                    <w:t>禁止新建化工企业项目(除化工重点监测点和提升安全、环保、节能水平及油品质升级、结构调整以外的改扩建项目);现有化工企业只允许在原有生产产品种类、规模、排放总量不增加的前提下进行安全隐患改造、节能环保设施改造和智能化提升改造。现有化工企业严格按照《省政府办公厅关于开展全省化工企业“四个一批”专项行动的通知》(苏政办发[2017]6号)要求进行整治</w:t>
                  </w:r>
                </w:p>
              </w:tc>
              <w:tc>
                <w:tcPr>
                  <w:tcW w:w="2644" w:type="dxa"/>
                  <w:tcBorders>
                    <w:tl2br w:val="nil"/>
                    <w:tr2bl w:val="nil"/>
                  </w:tcBorders>
                  <w:vAlign w:val="center"/>
                </w:tcPr>
                <w:p>
                  <w:pPr>
                    <w:jc w:val="center"/>
                    <w:rPr>
                      <w:rFonts w:ascii="Calibri" w:hAnsi="Calibri" w:cs="Calibri"/>
                      <w:color w:val="auto"/>
                    </w:rPr>
                  </w:pPr>
                  <w:r>
                    <w:rPr>
                      <w:rFonts w:ascii="Calibri" w:hAnsi="Calibri" w:cs="Calibri"/>
                      <w:color w:val="auto"/>
                    </w:rPr>
                    <w:t>项目不属于化工企业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Borders>
                    <w:tl2br w:val="nil"/>
                    <w:tr2bl w:val="nil"/>
                  </w:tcBorders>
                  <w:vAlign w:val="center"/>
                </w:tcPr>
                <w:p>
                  <w:pPr>
                    <w:jc w:val="center"/>
                    <w:rPr>
                      <w:rFonts w:ascii="Calibri" w:hAnsi="Calibri" w:cs="Calibri"/>
                      <w:color w:val="auto"/>
                    </w:rPr>
                  </w:pPr>
                  <w:r>
                    <w:rPr>
                      <w:rFonts w:ascii="Calibri" w:hAnsi="Calibri" w:cs="Calibri"/>
                      <w:color w:val="auto"/>
                    </w:rPr>
                    <w:t>6</w:t>
                  </w:r>
                </w:p>
              </w:tc>
              <w:tc>
                <w:tcPr>
                  <w:tcW w:w="1035" w:type="dxa"/>
                  <w:vMerge w:val="continue"/>
                  <w:tcBorders>
                    <w:tl2br w:val="nil"/>
                    <w:tr2bl w:val="nil"/>
                  </w:tcBorders>
                  <w:vAlign w:val="center"/>
                </w:tcPr>
                <w:p>
                  <w:pPr>
                    <w:jc w:val="center"/>
                    <w:rPr>
                      <w:rFonts w:ascii="Calibri" w:hAnsi="Calibri" w:cs="Calibri"/>
                      <w:color w:val="auto"/>
                    </w:rPr>
                  </w:pPr>
                </w:p>
              </w:tc>
              <w:tc>
                <w:tcPr>
                  <w:tcW w:w="3869" w:type="dxa"/>
                  <w:tcBorders>
                    <w:tl2br w:val="nil"/>
                    <w:tr2bl w:val="nil"/>
                  </w:tcBorders>
                  <w:vAlign w:val="center"/>
                </w:tcPr>
                <w:p>
                  <w:pPr>
                    <w:jc w:val="center"/>
                    <w:rPr>
                      <w:rFonts w:ascii="Calibri" w:hAnsi="Calibri" w:cs="Calibri"/>
                      <w:color w:val="auto"/>
                    </w:rPr>
                  </w:pPr>
                  <w:r>
                    <w:rPr>
                      <w:rFonts w:ascii="Calibri" w:hAnsi="Calibri" w:cs="Calibri"/>
                      <w:color w:val="auto"/>
                    </w:rPr>
                    <w:t>禁止新建、扩建燃烧原(散)煤、重油、渣油、石油焦等高污染燃料或者直接燃用各种可燃废物的设施和装置</w:t>
                  </w:r>
                </w:p>
              </w:tc>
              <w:tc>
                <w:tcPr>
                  <w:tcW w:w="2644" w:type="dxa"/>
                  <w:tcBorders>
                    <w:tl2br w:val="nil"/>
                    <w:tr2bl w:val="nil"/>
                  </w:tcBorders>
                  <w:vAlign w:val="center"/>
                </w:tcPr>
                <w:p>
                  <w:pPr>
                    <w:jc w:val="center"/>
                    <w:rPr>
                      <w:rFonts w:ascii="Calibri" w:hAnsi="Calibri" w:cs="Calibri"/>
                      <w:color w:val="auto"/>
                    </w:rPr>
                  </w:pPr>
                  <w:r>
                    <w:rPr>
                      <w:rFonts w:ascii="Calibri" w:hAnsi="Calibri" w:cs="Calibri"/>
                      <w:color w:val="auto"/>
                    </w:rPr>
                    <w:t>本项目不使用燃烧原(散)煤、重油、渣油、石油焦等高污染燃料，也不直接燃用各种可燃废物的设施和装置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Borders>
                    <w:tl2br w:val="nil"/>
                    <w:tr2bl w:val="nil"/>
                  </w:tcBorders>
                  <w:vAlign w:val="center"/>
                </w:tcPr>
                <w:p>
                  <w:pPr>
                    <w:jc w:val="center"/>
                    <w:rPr>
                      <w:rFonts w:ascii="Calibri" w:hAnsi="Calibri" w:cs="Calibri"/>
                      <w:color w:val="auto"/>
                    </w:rPr>
                  </w:pPr>
                  <w:r>
                    <w:rPr>
                      <w:rFonts w:ascii="Calibri" w:hAnsi="Calibri" w:cs="Calibri"/>
                      <w:color w:val="auto"/>
                    </w:rPr>
                    <w:t>7</w:t>
                  </w:r>
                </w:p>
              </w:tc>
              <w:tc>
                <w:tcPr>
                  <w:tcW w:w="1035" w:type="dxa"/>
                  <w:vMerge w:val="continue"/>
                  <w:tcBorders>
                    <w:tl2br w:val="nil"/>
                    <w:tr2bl w:val="nil"/>
                  </w:tcBorders>
                  <w:vAlign w:val="center"/>
                </w:tcPr>
                <w:p>
                  <w:pPr>
                    <w:jc w:val="center"/>
                    <w:rPr>
                      <w:rFonts w:ascii="Calibri" w:hAnsi="Calibri" w:cs="Calibri"/>
                      <w:color w:val="auto"/>
                    </w:rPr>
                  </w:pPr>
                </w:p>
              </w:tc>
              <w:tc>
                <w:tcPr>
                  <w:tcW w:w="3869" w:type="dxa"/>
                  <w:tcBorders>
                    <w:tl2br w:val="nil"/>
                    <w:tr2bl w:val="nil"/>
                  </w:tcBorders>
                  <w:vAlign w:val="center"/>
                </w:tcPr>
                <w:p>
                  <w:pPr>
                    <w:jc w:val="center"/>
                    <w:rPr>
                      <w:rFonts w:ascii="Calibri" w:hAnsi="Calibri" w:cs="Calibri"/>
                      <w:color w:val="auto"/>
                    </w:rPr>
                  </w:pPr>
                  <w:r>
                    <w:rPr>
                      <w:rFonts w:ascii="Calibri" w:hAnsi="Calibri" w:cs="Calibri"/>
                      <w:color w:val="auto"/>
                    </w:rPr>
                    <w:t>禁止引进属于《产业结构调整指导目录(2017年本)》中的限制和淘汰类项目、《江苏省工业和信息产业结构调整指导目录(2012年本)》(2013|年修正)中的限制和淘汰类项目、《外商投资产业指导(2017年修订)》中的限制和禁止类项目、《无锡产业结构调整指导目录(试行)》中的禁止和淘汰类项目，《无锡市内资禁止投资项目目录》(2015年本)中的禁止类项目</w:t>
                  </w:r>
                </w:p>
              </w:tc>
              <w:tc>
                <w:tcPr>
                  <w:tcW w:w="2644" w:type="dxa"/>
                  <w:tcBorders>
                    <w:tl2br w:val="nil"/>
                    <w:tr2bl w:val="nil"/>
                  </w:tcBorders>
                  <w:vAlign w:val="center"/>
                </w:tcPr>
                <w:p>
                  <w:pPr>
                    <w:jc w:val="center"/>
                    <w:rPr>
                      <w:rFonts w:ascii="Calibri" w:hAnsi="Calibri" w:cs="Calibri"/>
                      <w:color w:val="auto"/>
                    </w:rPr>
                  </w:pPr>
                  <w:r>
                    <w:rPr>
                      <w:rFonts w:ascii="Calibri" w:hAnsi="Calibri" w:cs="Calibri"/>
                      <w:color w:val="auto"/>
                    </w:rPr>
                    <w:t>经查，本项目符合国家和地方的产业政策。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Borders>
                    <w:tl2br w:val="nil"/>
                    <w:tr2bl w:val="nil"/>
                  </w:tcBorders>
                  <w:vAlign w:val="center"/>
                </w:tcPr>
                <w:p>
                  <w:pPr>
                    <w:jc w:val="center"/>
                    <w:rPr>
                      <w:rFonts w:ascii="Calibri" w:hAnsi="Calibri" w:cs="Calibri"/>
                      <w:color w:val="auto"/>
                    </w:rPr>
                  </w:pPr>
                  <w:r>
                    <w:rPr>
                      <w:rFonts w:ascii="Calibri" w:hAnsi="Calibri" w:cs="Calibri"/>
                      <w:color w:val="auto"/>
                    </w:rPr>
                    <w:t>8</w:t>
                  </w:r>
                </w:p>
              </w:tc>
              <w:tc>
                <w:tcPr>
                  <w:tcW w:w="1035" w:type="dxa"/>
                  <w:vMerge w:val="continue"/>
                  <w:tcBorders>
                    <w:tl2br w:val="nil"/>
                    <w:tr2bl w:val="nil"/>
                  </w:tcBorders>
                  <w:vAlign w:val="center"/>
                </w:tcPr>
                <w:p>
                  <w:pPr>
                    <w:jc w:val="center"/>
                    <w:rPr>
                      <w:rFonts w:ascii="Calibri" w:hAnsi="Calibri" w:cs="Calibri"/>
                      <w:color w:val="auto"/>
                    </w:rPr>
                  </w:pPr>
                </w:p>
              </w:tc>
              <w:tc>
                <w:tcPr>
                  <w:tcW w:w="3869" w:type="dxa"/>
                  <w:tcBorders>
                    <w:tl2br w:val="nil"/>
                    <w:tr2bl w:val="nil"/>
                  </w:tcBorders>
                  <w:vAlign w:val="center"/>
                </w:tcPr>
                <w:p>
                  <w:pPr>
                    <w:jc w:val="center"/>
                    <w:rPr>
                      <w:rFonts w:ascii="Calibri" w:hAnsi="Calibri" w:cs="Calibri"/>
                      <w:color w:val="auto"/>
                    </w:rPr>
                  </w:pPr>
                  <w:r>
                    <w:rPr>
                      <w:rFonts w:ascii="Calibri" w:hAnsi="Calibri" w:cs="Calibri"/>
                      <w:color w:val="auto"/>
                    </w:rPr>
                    <w:t>禁正引进不符合梅村工业集中区规划产业定位、不满足总量控制要求的项目</w:t>
                  </w:r>
                </w:p>
              </w:tc>
              <w:tc>
                <w:tcPr>
                  <w:tcW w:w="2644" w:type="dxa"/>
                  <w:tcBorders>
                    <w:tl2br w:val="nil"/>
                    <w:tr2bl w:val="nil"/>
                  </w:tcBorders>
                  <w:vAlign w:val="center"/>
                </w:tcPr>
                <w:p>
                  <w:pPr>
                    <w:jc w:val="center"/>
                    <w:rPr>
                      <w:rFonts w:ascii="Calibri" w:hAnsi="Calibri" w:cs="Calibri"/>
                      <w:color w:val="auto"/>
                    </w:rPr>
                  </w:pPr>
                  <w:r>
                    <w:rPr>
                      <w:rFonts w:ascii="Calibri" w:hAnsi="Calibri" w:cs="Calibri"/>
                      <w:color w:val="auto"/>
                    </w:rPr>
                    <w:t>本项目属于C3311金属结构制造、C3525模具制造，符合园区产业定位，且总量已按要求落实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Borders>
                    <w:tl2br w:val="nil"/>
                    <w:tr2bl w:val="nil"/>
                  </w:tcBorders>
                  <w:vAlign w:val="center"/>
                </w:tcPr>
                <w:p>
                  <w:pPr>
                    <w:jc w:val="center"/>
                    <w:rPr>
                      <w:rFonts w:ascii="Calibri" w:hAnsi="Calibri" w:cs="Calibri"/>
                      <w:color w:val="auto"/>
                    </w:rPr>
                  </w:pPr>
                  <w:r>
                    <w:rPr>
                      <w:rFonts w:ascii="Calibri" w:hAnsi="Calibri" w:cs="Calibri"/>
                      <w:color w:val="auto"/>
                    </w:rPr>
                    <w:t>9</w:t>
                  </w:r>
                </w:p>
              </w:tc>
              <w:tc>
                <w:tcPr>
                  <w:tcW w:w="1035" w:type="dxa"/>
                  <w:vMerge w:val="continue"/>
                  <w:tcBorders>
                    <w:tl2br w:val="nil"/>
                    <w:tr2bl w:val="nil"/>
                  </w:tcBorders>
                  <w:vAlign w:val="center"/>
                </w:tcPr>
                <w:p>
                  <w:pPr>
                    <w:jc w:val="center"/>
                    <w:rPr>
                      <w:rFonts w:ascii="Calibri" w:hAnsi="Calibri" w:cs="Calibri"/>
                      <w:color w:val="auto"/>
                    </w:rPr>
                  </w:pPr>
                </w:p>
              </w:tc>
              <w:tc>
                <w:tcPr>
                  <w:tcW w:w="3869" w:type="dxa"/>
                  <w:tcBorders>
                    <w:tl2br w:val="nil"/>
                    <w:tr2bl w:val="nil"/>
                  </w:tcBorders>
                  <w:vAlign w:val="center"/>
                </w:tcPr>
                <w:p>
                  <w:pPr>
                    <w:jc w:val="center"/>
                    <w:rPr>
                      <w:rFonts w:ascii="Calibri" w:hAnsi="Calibri" w:cs="Calibri"/>
                      <w:color w:val="auto"/>
                    </w:rPr>
                  </w:pPr>
                  <w:r>
                    <w:rPr>
                      <w:rFonts w:ascii="Calibri" w:hAnsi="Calibri" w:cs="Calibri"/>
                      <w:color w:val="auto"/>
                    </w:rPr>
                    <w:t>禁止引进环境污染严重、污染物排放总量指标未落实的项目</w:t>
                  </w:r>
                </w:p>
              </w:tc>
              <w:tc>
                <w:tcPr>
                  <w:tcW w:w="2644" w:type="dxa"/>
                  <w:tcBorders>
                    <w:tl2br w:val="nil"/>
                    <w:tr2bl w:val="nil"/>
                  </w:tcBorders>
                  <w:vAlign w:val="center"/>
                </w:tcPr>
                <w:p>
                  <w:pPr>
                    <w:jc w:val="center"/>
                    <w:rPr>
                      <w:rFonts w:ascii="Calibri" w:hAnsi="Calibri" w:cs="Calibri"/>
                      <w:color w:val="auto"/>
                    </w:rPr>
                  </w:pPr>
                  <w:r>
                    <w:rPr>
                      <w:rFonts w:ascii="Calibri" w:hAnsi="Calibri" w:cs="Calibri"/>
                      <w:color w:val="auto"/>
                    </w:rPr>
                    <w:t>本项目不属于环境污染严重项目,同时已按要求落实排放总量。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Borders>
                    <w:tl2br w:val="nil"/>
                    <w:tr2bl w:val="nil"/>
                  </w:tcBorders>
                  <w:vAlign w:val="center"/>
                </w:tcPr>
                <w:p>
                  <w:pPr>
                    <w:jc w:val="center"/>
                    <w:rPr>
                      <w:rFonts w:ascii="Calibri" w:hAnsi="Calibri" w:cs="Calibri"/>
                      <w:color w:val="auto"/>
                    </w:rPr>
                  </w:pPr>
                  <w:r>
                    <w:rPr>
                      <w:rFonts w:ascii="Calibri" w:hAnsi="Calibri" w:cs="Calibri"/>
                      <w:color w:val="auto"/>
                    </w:rPr>
                    <w:t>10</w:t>
                  </w:r>
                </w:p>
              </w:tc>
              <w:tc>
                <w:tcPr>
                  <w:tcW w:w="1035" w:type="dxa"/>
                  <w:vMerge w:val="continue"/>
                  <w:tcBorders>
                    <w:tl2br w:val="nil"/>
                    <w:tr2bl w:val="nil"/>
                  </w:tcBorders>
                  <w:vAlign w:val="center"/>
                </w:tcPr>
                <w:p>
                  <w:pPr>
                    <w:jc w:val="center"/>
                    <w:rPr>
                      <w:rFonts w:ascii="Calibri" w:hAnsi="Calibri" w:cs="Calibri"/>
                      <w:color w:val="auto"/>
                    </w:rPr>
                  </w:pPr>
                </w:p>
              </w:tc>
              <w:tc>
                <w:tcPr>
                  <w:tcW w:w="3869" w:type="dxa"/>
                  <w:tcBorders>
                    <w:tl2br w:val="nil"/>
                    <w:tr2bl w:val="nil"/>
                  </w:tcBorders>
                  <w:vAlign w:val="center"/>
                </w:tcPr>
                <w:p>
                  <w:pPr>
                    <w:jc w:val="center"/>
                    <w:rPr>
                      <w:rFonts w:ascii="Calibri" w:hAnsi="Calibri" w:cs="Calibri"/>
                      <w:color w:val="auto"/>
                    </w:rPr>
                  </w:pPr>
                  <w:r>
                    <w:rPr>
                      <w:rFonts w:ascii="Calibri" w:hAnsi="Calibri" w:cs="Calibri"/>
                      <w:color w:val="auto"/>
                    </w:rPr>
                    <w:t>禁止引进国家、江苏省、无锡市明确规定不得审批的建设项目</w:t>
                  </w:r>
                </w:p>
              </w:tc>
              <w:tc>
                <w:tcPr>
                  <w:tcW w:w="2644" w:type="dxa"/>
                  <w:tcBorders>
                    <w:tl2br w:val="nil"/>
                    <w:tr2bl w:val="nil"/>
                  </w:tcBorders>
                  <w:vAlign w:val="center"/>
                </w:tcPr>
                <w:p>
                  <w:pPr>
                    <w:jc w:val="center"/>
                    <w:rPr>
                      <w:rFonts w:ascii="Calibri" w:hAnsi="Calibri" w:cs="Calibri"/>
                      <w:color w:val="auto"/>
                    </w:rPr>
                  </w:pPr>
                  <w:r>
                    <w:rPr>
                      <w:rFonts w:ascii="Calibri" w:hAnsi="Calibri" w:cs="Calibri"/>
                      <w:color w:val="auto"/>
                    </w:rPr>
                    <w:t>本项目不属于进国家、江苏省、无锡市明确规定不得审批的建设项目。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Borders>
                    <w:tl2br w:val="nil"/>
                    <w:tr2bl w:val="nil"/>
                  </w:tcBorders>
                  <w:vAlign w:val="center"/>
                </w:tcPr>
                <w:p>
                  <w:pPr>
                    <w:jc w:val="center"/>
                    <w:rPr>
                      <w:rFonts w:ascii="Calibri" w:hAnsi="Calibri" w:cs="Calibri"/>
                      <w:color w:val="auto"/>
                    </w:rPr>
                  </w:pPr>
                  <w:r>
                    <w:rPr>
                      <w:rFonts w:ascii="Calibri" w:hAnsi="Calibri" w:cs="Calibri"/>
                      <w:color w:val="auto"/>
                    </w:rPr>
                    <w:t>11</w:t>
                  </w:r>
                </w:p>
              </w:tc>
              <w:tc>
                <w:tcPr>
                  <w:tcW w:w="1035" w:type="dxa"/>
                  <w:vMerge w:val="continue"/>
                  <w:tcBorders>
                    <w:tl2br w:val="nil"/>
                    <w:tr2bl w:val="nil"/>
                  </w:tcBorders>
                  <w:vAlign w:val="center"/>
                </w:tcPr>
                <w:p>
                  <w:pPr>
                    <w:jc w:val="center"/>
                    <w:rPr>
                      <w:rFonts w:ascii="Calibri" w:hAnsi="Calibri" w:cs="Calibri"/>
                      <w:color w:val="auto"/>
                    </w:rPr>
                  </w:pPr>
                </w:p>
              </w:tc>
              <w:tc>
                <w:tcPr>
                  <w:tcW w:w="3869" w:type="dxa"/>
                  <w:tcBorders>
                    <w:tl2br w:val="nil"/>
                    <w:tr2bl w:val="nil"/>
                  </w:tcBorders>
                  <w:vAlign w:val="center"/>
                </w:tcPr>
                <w:p>
                  <w:pPr>
                    <w:jc w:val="center"/>
                    <w:rPr>
                      <w:rFonts w:ascii="Calibri" w:hAnsi="Calibri" w:cs="Calibri"/>
                      <w:color w:val="auto"/>
                    </w:rPr>
                  </w:pPr>
                  <w:r>
                    <w:rPr>
                      <w:rFonts w:ascii="Calibri" w:hAnsi="Calibri" w:cs="Calibri"/>
                      <w:color w:val="auto"/>
                    </w:rPr>
                    <w:t>禁止引进VOCs收集及去除效率达不到90%要求的企业</w:t>
                  </w:r>
                </w:p>
              </w:tc>
              <w:tc>
                <w:tcPr>
                  <w:tcW w:w="2644" w:type="dxa"/>
                  <w:tcBorders>
                    <w:tl2br w:val="nil"/>
                    <w:tr2bl w:val="nil"/>
                  </w:tcBorders>
                  <w:vAlign w:val="center"/>
                </w:tcPr>
                <w:p>
                  <w:pPr>
                    <w:jc w:val="center"/>
                    <w:rPr>
                      <w:rFonts w:ascii="Calibri" w:hAnsi="Calibri" w:cs="Calibri"/>
                      <w:color w:val="auto"/>
                    </w:rPr>
                  </w:pPr>
                  <w:r>
                    <w:rPr>
                      <w:rFonts w:ascii="Calibri" w:hAnsi="Calibri" w:cs="Calibri"/>
                      <w:color w:val="auto"/>
                    </w:rPr>
                    <w:t>本项目喷粉工艺固化工序产生非甲烷总烃收集效率95%，去除效率90%，能够满足要求</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综合以上</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本项目符合</w:t>
            </w:r>
            <w:r>
              <w:rPr>
                <w:rFonts w:hint="default" w:ascii="Times New Roman" w:hAnsi="Times New Roman" w:eastAsia="宋体" w:cs="Times New Roman"/>
                <w:color w:val="auto"/>
                <w:sz w:val="24"/>
                <w:szCs w:val="24"/>
              </w:rPr>
              <w:t>无锡市新区梅村工业集中区</w:t>
            </w:r>
            <w:r>
              <w:rPr>
                <w:rFonts w:hint="default" w:ascii="Times New Roman" w:hAnsi="Times New Roman" w:eastAsia="宋体" w:cs="Times New Roman"/>
                <w:color w:val="auto"/>
                <w:sz w:val="24"/>
                <w:szCs w:val="24"/>
                <w:lang w:val="en-US" w:eastAsia="zh-CN"/>
              </w:rPr>
              <w:t>产业定位，未列入</w:t>
            </w:r>
            <w:r>
              <w:rPr>
                <w:rFonts w:hint="default" w:ascii="Times New Roman" w:hAnsi="Times New Roman" w:eastAsia="宋体" w:cs="Times New Roman"/>
                <w:color w:val="auto"/>
                <w:sz w:val="24"/>
                <w:szCs w:val="24"/>
              </w:rPr>
              <w:t>梅村街道工业集中区产业发展负面清单</w:t>
            </w:r>
            <w:r>
              <w:rPr>
                <w:rFonts w:hint="default" w:ascii="Times New Roman" w:hAnsi="Times New Roman" w:eastAsia="宋体" w:cs="Times New Roman"/>
                <w:color w:val="auto"/>
                <w:sz w:val="24"/>
                <w:szCs w:val="24"/>
                <w:highlight w:val="none"/>
              </w:rPr>
              <w:t>。</w:t>
            </w:r>
          </w:p>
          <w:p>
            <w:pPr>
              <w:adjustRightInd w:val="0"/>
              <w:snapToGrid w:val="0"/>
              <w:spacing w:before="156" w:beforeLines="50" w:line="360" w:lineRule="auto"/>
              <w:ind w:firstLine="480" w:firstLineChars="200"/>
              <w:outlineLvl w:val="0"/>
              <w:rPr>
                <w:color w:val="auto"/>
                <w:sz w:val="24"/>
              </w:rPr>
            </w:pPr>
            <w:r>
              <w:rPr>
                <w:color w:val="auto"/>
                <w:sz w:val="24"/>
              </w:rPr>
              <w:t>根据《市场准入负面清单》（2022年版），分析本项目的相符性。具体负面清单如下：</w:t>
            </w:r>
          </w:p>
          <w:p>
            <w:pPr>
              <w:numPr>
                <w:ilvl w:val="0"/>
                <w:numId w:val="2"/>
              </w:numPr>
              <w:jc w:val="center"/>
              <w:rPr>
                <w:b/>
                <w:snapToGrid w:val="0"/>
                <w:color w:val="auto"/>
                <w:kern w:val="0"/>
                <w:sz w:val="24"/>
              </w:rPr>
            </w:pPr>
            <w:r>
              <w:rPr>
                <w:b/>
                <w:snapToGrid w:val="0"/>
                <w:color w:val="auto"/>
                <w:kern w:val="0"/>
                <w:sz w:val="24"/>
              </w:rPr>
              <w:t>《市场准入负面清单》（2022年版）的相符性分析</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87"/>
              <w:gridCol w:w="3801"/>
              <w:gridCol w:w="2962"/>
              <w:gridCol w:w="7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序号</w:t>
                  </w:r>
                </w:p>
              </w:tc>
              <w:tc>
                <w:tcPr>
                  <w:tcW w:w="2319"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内容</w:t>
                  </w:r>
                </w:p>
              </w:tc>
              <w:tc>
                <w:tcPr>
                  <w:tcW w:w="1807"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本项目情况</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三、制造业</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ind w:firstLine="420" w:firstLineChars="200"/>
                    <w:rPr>
                      <w:color w:val="auto"/>
                      <w:szCs w:val="21"/>
                    </w:rPr>
                  </w:pPr>
                  <w:r>
                    <w:rPr>
                      <w:color w:val="auto"/>
                      <w:szCs w:val="21"/>
                    </w:rPr>
                    <w:t>未获得许可，不得从事特定化学品的生产经营及项目建设，不得从事金属冶炼项目建设。</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ind w:firstLine="420" w:firstLineChars="200"/>
                    <w:rPr>
                      <w:color w:val="auto"/>
                      <w:szCs w:val="21"/>
                    </w:rPr>
                  </w:pPr>
                  <w:r>
                    <w:rPr>
                      <w:color w:val="auto"/>
                      <w:szCs w:val="21"/>
                    </w:rPr>
                    <w:t>本项目行业类别为</w:t>
                  </w:r>
                  <w:r>
                    <w:rPr>
                      <w:color w:val="auto"/>
                    </w:rPr>
                    <w:t>C3311金属结构制造、C3525模具制造</w:t>
                  </w:r>
                  <w:r>
                    <w:rPr>
                      <w:color w:val="auto"/>
                      <w:szCs w:val="21"/>
                    </w:rPr>
                    <w:t>，不属于金属冶炼项目。</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bl>
          <w:p>
            <w:pPr>
              <w:pStyle w:val="16"/>
              <w:keepNext w:val="0"/>
              <w:keepLines w:val="0"/>
              <w:pageBreakBefore w:val="0"/>
              <w:widowControl w:val="0"/>
              <w:kinsoku/>
              <w:wordWrap/>
              <w:overflowPunct/>
              <w:topLinePunct w:val="0"/>
              <w:bidi w:val="0"/>
              <w:adjustRightInd/>
              <w:snapToGrid/>
              <w:spacing w:after="0" w:afterLines="0" w:line="360" w:lineRule="auto"/>
              <w:ind w:left="0" w:leftChars="0" w:firstLine="48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根据《市场准入负面清单》（20</w:t>
            </w:r>
            <w:r>
              <w:rPr>
                <w:rFonts w:hint="default" w:ascii="Times New Roman" w:hAnsi="Times New Roman" w:eastAsia="宋体" w:cs="Times New Roman"/>
                <w:color w:val="auto"/>
                <w:kern w:val="0"/>
                <w:sz w:val="24"/>
                <w:highlight w:val="none"/>
                <w:lang w:val="en-US" w:eastAsia="zh-CN"/>
              </w:rPr>
              <w:t>22</w:t>
            </w:r>
            <w:r>
              <w:rPr>
                <w:rFonts w:hint="default" w:ascii="Times New Roman" w:hAnsi="Times New Roman" w:eastAsia="宋体" w:cs="Times New Roman"/>
                <w:color w:val="auto"/>
                <w:kern w:val="0"/>
                <w:sz w:val="24"/>
                <w:highlight w:val="none"/>
              </w:rPr>
              <w:t>年版），本项目的建设不</w:t>
            </w:r>
            <w:r>
              <w:rPr>
                <w:rFonts w:hint="default" w:ascii="Times New Roman" w:hAnsi="Times New Roman" w:eastAsia="宋体" w:cs="Times New Roman"/>
                <w:color w:val="auto"/>
                <w:kern w:val="0"/>
                <w:sz w:val="24"/>
                <w:highlight w:val="none"/>
                <w:lang w:eastAsia="zh-CN"/>
              </w:rPr>
              <w:t>属于</w:t>
            </w:r>
            <w:r>
              <w:rPr>
                <w:rFonts w:hint="default" w:ascii="Times New Roman" w:hAnsi="Times New Roman" w:eastAsia="宋体" w:cs="Times New Roman"/>
                <w:color w:val="auto"/>
                <w:kern w:val="0"/>
                <w:sz w:val="24"/>
                <w:highlight w:val="none"/>
              </w:rPr>
              <w:t>禁止准入类。因此，本项目的建设未列入《市场准入负面清单》（20</w:t>
            </w:r>
            <w:r>
              <w:rPr>
                <w:rFonts w:hint="default" w:ascii="Times New Roman" w:hAnsi="Times New Roman" w:eastAsia="宋体" w:cs="Times New Roman"/>
                <w:color w:val="auto"/>
                <w:kern w:val="0"/>
                <w:sz w:val="24"/>
                <w:highlight w:val="none"/>
                <w:lang w:val="en-US" w:eastAsia="zh-CN"/>
              </w:rPr>
              <w:t>22</w:t>
            </w:r>
            <w:r>
              <w:rPr>
                <w:rFonts w:hint="default" w:ascii="Times New Roman" w:hAnsi="Times New Roman" w:eastAsia="宋体" w:cs="Times New Roman"/>
                <w:color w:val="auto"/>
                <w:kern w:val="0"/>
                <w:sz w:val="24"/>
                <w:highlight w:val="none"/>
              </w:rPr>
              <w:t>年版）。</w:t>
            </w:r>
          </w:p>
          <w:p>
            <w:pPr>
              <w:pStyle w:val="16"/>
              <w:keepNext w:val="0"/>
              <w:keepLines w:val="0"/>
              <w:pageBreakBefore w:val="0"/>
              <w:widowControl w:val="0"/>
              <w:kinsoku/>
              <w:wordWrap/>
              <w:overflowPunct/>
              <w:topLinePunct w:val="0"/>
              <w:bidi w:val="0"/>
              <w:adjustRightInd/>
              <w:snapToGrid/>
              <w:spacing w:after="0" w:afterLines="0" w:line="360" w:lineRule="auto"/>
              <w:ind w:left="0" w:leftChars="0" w:firstLine="480"/>
              <w:textAlignment w:val="auto"/>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rPr>
              <w:t>根据《长江经济带发展负面清单指南试行，2022版》（长江办[2022]7号）</w:t>
            </w:r>
            <w:r>
              <w:rPr>
                <w:rFonts w:hint="default" w:ascii="Times New Roman" w:hAnsi="Times New Roman" w:eastAsia="宋体" w:cs="Times New Roman"/>
                <w:color w:val="auto"/>
                <w:kern w:val="2"/>
                <w:sz w:val="24"/>
                <w:szCs w:val="24"/>
                <w:highlight w:val="none"/>
                <w:lang w:eastAsia="zh-CN"/>
              </w:rPr>
              <w:t>相符性分析表，</w:t>
            </w:r>
            <w:r>
              <w:rPr>
                <w:rFonts w:hint="default" w:ascii="Times New Roman" w:hAnsi="Times New Roman" w:eastAsia="宋体" w:cs="Times New Roman"/>
                <w:color w:val="auto"/>
                <w:sz w:val="24"/>
                <w:highlight w:val="none"/>
              </w:rPr>
              <w:t>分析本项目的相符性。具体负面清单如下：</w:t>
            </w:r>
          </w:p>
          <w:p>
            <w:pPr>
              <w:numPr>
                <w:ilvl w:val="0"/>
                <w:numId w:val="2"/>
              </w:numPr>
              <w:jc w:val="center"/>
              <w:rPr>
                <w:rFonts w:hint="default" w:ascii="Times New Roman" w:hAnsi="Times New Roman" w:eastAsia="宋体" w:cs="Times New Roman"/>
                <w:b/>
                <w:color w:val="auto"/>
                <w:szCs w:val="24"/>
                <w:highlight w:val="none"/>
              </w:rPr>
            </w:pPr>
            <w:r>
              <w:rPr>
                <w:rFonts w:hint="default" w:ascii="Times New Roman" w:hAnsi="Times New Roman" w:eastAsia="宋体" w:cs="Times New Roman"/>
                <w:b/>
                <w:snapToGrid w:val="0"/>
                <w:color w:val="auto"/>
                <w:kern w:val="0"/>
                <w:sz w:val="24"/>
              </w:rPr>
              <w:br w:type="page"/>
            </w:r>
            <w:r>
              <w:rPr>
                <w:rFonts w:hint="default" w:ascii="Times New Roman" w:hAnsi="Times New Roman" w:eastAsia="宋体" w:cs="Times New Roman"/>
                <w:b/>
                <w:snapToGrid w:val="0"/>
                <w:color w:val="auto"/>
                <w:kern w:val="0"/>
                <w:sz w:val="24"/>
              </w:rPr>
              <w:t>与</w:t>
            </w:r>
            <w:r>
              <w:rPr>
                <w:rFonts w:hint="default" w:ascii="Times New Roman" w:hAnsi="Times New Roman" w:eastAsia="宋体" w:cs="Times New Roman"/>
                <w:b/>
                <w:snapToGrid w:val="0"/>
                <w:color w:val="auto"/>
                <w:kern w:val="0"/>
                <w:sz w:val="24"/>
                <w:lang w:val="en-US" w:eastAsia="zh-CN"/>
              </w:rPr>
              <w:t>长江办[2022]7号</w:t>
            </w:r>
            <w:r>
              <w:rPr>
                <w:rFonts w:hint="default" w:ascii="Times New Roman" w:hAnsi="Times New Roman" w:eastAsia="宋体" w:cs="Times New Roman"/>
                <w:b/>
                <w:snapToGrid w:val="0"/>
                <w:color w:val="auto"/>
                <w:kern w:val="0"/>
                <w:sz w:val="24"/>
              </w:rPr>
              <w:t>的相符性分析</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86"/>
              <w:gridCol w:w="3805"/>
              <w:gridCol w:w="2963"/>
              <w:gridCol w:w="7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418"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eastAsia="zh-CN"/>
                    </w:rPr>
                  </w:pPr>
                  <w:r>
                    <w:rPr>
                      <w:rFonts w:hint="default" w:ascii="Times New Roman" w:hAnsi="Times New Roman" w:eastAsia="宋体" w:cs="Times New Roman"/>
                      <w:b/>
                      <w:bCs/>
                      <w:color w:val="auto"/>
                      <w:kern w:val="2"/>
                      <w:sz w:val="21"/>
                      <w:szCs w:val="21"/>
                      <w:highlight w:val="none"/>
                      <w:lang w:val="en-US" w:eastAsia="zh-CN"/>
                    </w:rPr>
                    <w:t>序号</w:t>
                  </w:r>
                </w:p>
              </w:tc>
              <w:tc>
                <w:tcPr>
                  <w:tcW w:w="232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内容</w:t>
                  </w:r>
                </w:p>
              </w:tc>
              <w:tc>
                <w:tcPr>
                  <w:tcW w:w="1807"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本项目情况</w:t>
                  </w:r>
                </w:p>
              </w:tc>
              <w:tc>
                <w:tcPr>
                  <w:tcW w:w="4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418"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1</w:t>
                  </w:r>
                </w:p>
              </w:tc>
              <w:tc>
                <w:tcPr>
                  <w:tcW w:w="232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禁止建设不符合全国和省级港口布局规划以及港口总体规划的码头项目，禁止建设不符合《长江干线过江通道布局规划》的过长江通道项目。</w:t>
                  </w:r>
                </w:p>
              </w:tc>
              <w:tc>
                <w:tcPr>
                  <w:tcW w:w="1807"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本项目行业类别为C3311金属结构制造、C3525模具制造，不属于码头项目。</w:t>
                  </w:r>
                </w:p>
              </w:tc>
              <w:tc>
                <w:tcPr>
                  <w:tcW w:w="4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rPr>
                  </w:pPr>
                  <w:r>
                    <w:rPr>
                      <w:rFonts w:hint="default" w:ascii="Times New Roman" w:hAnsi="Times New Roman" w:eastAsia="宋体" w:cs="Times New Roman"/>
                      <w:color w:val="auto"/>
                      <w:kern w:val="2"/>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418"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2</w:t>
                  </w:r>
                </w:p>
              </w:tc>
              <w:tc>
                <w:tcPr>
                  <w:tcW w:w="232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1807"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项目距离最近的生态空间管控区域-无锡宛山荡省级湿地公园9.4km，距离最近的国家级生态红线-无锡宛山荡省级湿地公园9.3km。项目不位于</w:t>
                  </w:r>
                  <w:r>
                    <w:rPr>
                      <w:rFonts w:hint="default" w:ascii="Times New Roman" w:hAnsi="Times New Roman" w:eastAsia="宋体" w:cs="Times New Roman"/>
                      <w:color w:val="auto"/>
                      <w:kern w:val="2"/>
                      <w:sz w:val="21"/>
                      <w:szCs w:val="21"/>
                      <w:highlight w:val="none"/>
                    </w:rPr>
                    <w:t>自然保护区核心区、缓冲区的岸线和河段范围内</w:t>
                  </w: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以及不位于风景名胜区核心景区的岸线和河段范围内。</w:t>
                  </w:r>
                </w:p>
              </w:tc>
              <w:tc>
                <w:tcPr>
                  <w:tcW w:w="4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418"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3</w:t>
                  </w:r>
                </w:p>
              </w:tc>
              <w:tc>
                <w:tcPr>
                  <w:tcW w:w="232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807"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本项目距离太湖约12.4km、望虞河13.6km，根据《省政府办公厅关于公布江苏省太湖流域三级保护区范围的通知》（苏政办发[2012]221号），项目所在地属于太湖</w:t>
                  </w:r>
                  <w:r>
                    <w:rPr>
                      <w:rFonts w:hint="eastAsia" w:ascii="Times New Roman" w:hAnsi="Times New Roman" w:eastAsia="宋体" w:cs="Times New Roman"/>
                      <w:color w:val="auto"/>
                      <w:kern w:val="2"/>
                      <w:sz w:val="21"/>
                      <w:szCs w:val="21"/>
                      <w:highlight w:val="none"/>
                      <w:lang w:val="en-US" w:eastAsia="zh-CN"/>
                    </w:rPr>
                    <w:t>三</w:t>
                  </w:r>
                  <w:r>
                    <w:rPr>
                      <w:rFonts w:hint="default" w:ascii="Times New Roman" w:hAnsi="Times New Roman" w:eastAsia="宋体" w:cs="Times New Roman"/>
                      <w:color w:val="auto"/>
                      <w:kern w:val="2"/>
                      <w:sz w:val="21"/>
                      <w:szCs w:val="21"/>
                      <w:highlight w:val="none"/>
                      <w:lang w:val="en-US" w:eastAsia="zh-CN"/>
                    </w:rPr>
                    <w:t>级保护区范围内，项目行业类别为</w:t>
                  </w:r>
                  <w:r>
                    <w:rPr>
                      <w:rFonts w:hint="default" w:ascii="Times New Roman" w:hAnsi="Times New Roman" w:cs="Times New Roman"/>
                      <w:color w:val="auto"/>
                      <w:szCs w:val="21"/>
                      <w:highlight w:val="none"/>
                    </w:rPr>
                    <w:t>C3311金属结构制造、C3525模具制造</w:t>
                  </w:r>
                  <w:r>
                    <w:rPr>
                      <w:rFonts w:hint="default" w:ascii="Times New Roman" w:hAnsi="Times New Roman" w:eastAsia="宋体" w:cs="Times New Roman"/>
                      <w:color w:val="auto"/>
                      <w:kern w:val="2"/>
                      <w:sz w:val="21"/>
                      <w:szCs w:val="21"/>
                      <w:highlight w:val="none"/>
                      <w:lang w:val="en-US" w:eastAsia="zh-CN"/>
                    </w:rPr>
                    <w:t>，不属于上述禁止建设项目。</w:t>
                  </w:r>
                </w:p>
              </w:tc>
              <w:tc>
                <w:tcPr>
                  <w:tcW w:w="4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418"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4</w:t>
                  </w:r>
                </w:p>
              </w:tc>
              <w:tc>
                <w:tcPr>
                  <w:tcW w:w="232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807"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项目位于无锡市新吴区</w:t>
                  </w:r>
                  <w:r>
                    <w:rPr>
                      <w:rFonts w:hint="eastAsia" w:ascii="Times New Roman" w:hAnsi="Times New Roman" w:eastAsia="宋体" w:cs="Times New Roman"/>
                      <w:color w:val="auto"/>
                      <w:kern w:val="2"/>
                      <w:sz w:val="21"/>
                      <w:szCs w:val="21"/>
                      <w:highlight w:val="none"/>
                      <w:lang w:val="en-US" w:eastAsia="zh-CN"/>
                    </w:rPr>
                    <w:t>新风路69号</w:t>
                  </w:r>
                  <w:r>
                    <w:rPr>
                      <w:rFonts w:hint="default" w:ascii="Times New Roman" w:hAnsi="Times New Roman" w:eastAsia="宋体" w:cs="Times New Roman"/>
                      <w:color w:val="auto"/>
                      <w:kern w:val="2"/>
                      <w:sz w:val="21"/>
                      <w:szCs w:val="21"/>
                      <w:highlight w:val="none"/>
                      <w:lang w:val="en-US" w:eastAsia="zh-CN"/>
                    </w:rPr>
                    <w:t>，不位于</w:t>
                  </w:r>
                  <w:r>
                    <w:rPr>
                      <w:rFonts w:hint="default" w:ascii="Times New Roman" w:hAnsi="Times New Roman" w:eastAsia="宋体" w:cs="Times New Roman"/>
                      <w:color w:val="auto"/>
                      <w:kern w:val="2"/>
                      <w:sz w:val="21"/>
                      <w:szCs w:val="21"/>
                      <w:highlight w:val="none"/>
                    </w:rPr>
                    <w:t>水产种质资源保护区的岸线和河段范围内</w:t>
                  </w: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以及不位于</w:t>
                  </w:r>
                  <w:r>
                    <w:rPr>
                      <w:rFonts w:hint="default" w:ascii="Times New Roman" w:hAnsi="Times New Roman" w:eastAsia="宋体" w:cs="Times New Roman"/>
                      <w:color w:val="auto"/>
                      <w:kern w:val="2"/>
                      <w:sz w:val="21"/>
                      <w:szCs w:val="21"/>
                      <w:highlight w:val="none"/>
                    </w:rPr>
                    <w:t>国家湿地公园的岸线和河段范围内</w:t>
                  </w: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lang w:val="en-US" w:eastAsia="zh-CN"/>
                    </w:rPr>
                    <w:t>项目行业类别为C3311金属结构制造、C3525模具制造，不属于上述禁止建设项目。</w:t>
                  </w:r>
                </w:p>
              </w:tc>
              <w:tc>
                <w:tcPr>
                  <w:tcW w:w="4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418"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kern w:val="2"/>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rPr>
                    <w:t>5</w:t>
                  </w:r>
                </w:p>
              </w:tc>
              <w:tc>
                <w:tcPr>
                  <w:tcW w:w="232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807"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项目行业类别为C3311金属结构制造、C3525模具制造，</w:t>
                  </w:r>
                  <w:r>
                    <w:rPr>
                      <w:rFonts w:hint="default" w:ascii="Times New Roman" w:hAnsi="Times New Roman" w:eastAsia="宋体" w:cs="Times New Roman"/>
                      <w:color w:val="auto"/>
                      <w:kern w:val="2"/>
                      <w:sz w:val="21"/>
                      <w:szCs w:val="21"/>
                      <w:highlight w:val="none"/>
                    </w:rPr>
                    <w:t>不属于上述禁止项目</w:t>
                  </w:r>
                </w:p>
              </w:tc>
              <w:tc>
                <w:tcPr>
                  <w:tcW w:w="4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418"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6</w:t>
                  </w:r>
                </w:p>
              </w:tc>
              <w:tc>
                <w:tcPr>
                  <w:tcW w:w="232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禁止未经许可在长江干支流及湖泊新设、改设或扩大排污口。</w:t>
                  </w:r>
                </w:p>
              </w:tc>
              <w:tc>
                <w:tcPr>
                  <w:tcW w:w="1807"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本项目为</w:t>
                  </w:r>
                  <w:r>
                    <w:rPr>
                      <w:rFonts w:hint="eastAsia" w:ascii="Times New Roman" w:hAnsi="Times New Roman" w:eastAsia="宋体" w:cs="Times New Roman"/>
                      <w:color w:val="auto"/>
                      <w:kern w:val="2"/>
                      <w:sz w:val="21"/>
                      <w:szCs w:val="21"/>
                      <w:highlight w:val="none"/>
                      <w:lang w:val="en-US" w:eastAsia="zh-CN"/>
                    </w:rPr>
                    <w:t>迁建</w:t>
                  </w:r>
                  <w:r>
                    <w:rPr>
                      <w:rFonts w:hint="default" w:ascii="Times New Roman" w:hAnsi="Times New Roman" w:eastAsia="宋体" w:cs="Times New Roman"/>
                      <w:color w:val="auto"/>
                      <w:kern w:val="2"/>
                      <w:sz w:val="21"/>
                      <w:szCs w:val="21"/>
                      <w:highlight w:val="none"/>
                      <w:lang w:val="en-US" w:eastAsia="zh-CN"/>
                    </w:rPr>
                    <w:t>项目，污水依托</w:t>
                  </w:r>
                  <w:r>
                    <w:rPr>
                      <w:rFonts w:hint="default" w:ascii="Times New Roman" w:hAnsi="Times New Roman" w:cs="Times New Roman"/>
                      <w:color w:val="auto"/>
                      <w:sz w:val="21"/>
                      <w:szCs w:val="21"/>
                    </w:rPr>
                    <w:t>无锡迪润工贸有限公司</w:t>
                  </w:r>
                  <w:r>
                    <w:rPr>
                      <w:rFonts w:hint="default" w:ascii="Times New Roman" w:hAnsi="Times New Roman" w:eastAsia="宋体" w:cs="Times New Roman"/>
                      <w:color w:val="auto"/>
                      <w:kern w:val="2"/>
                      <w:sz w:val="21"/>
                      <w:szCs w:val="21"/>
                      <w:highlight w:val="none"/>
                      <w:lang w:val="en-US" w:eastAsia="zh-CN"/>
                    </w:rPr>
                    <w:t>的污水排放口</w:t>
                  </w:r>
                  <w:r>
                    <w:rPr>
                      <w:rFonts w:hint="eastAsia" w:ascii="Times New Roman" w:hAnsi="Times New Roman" w:eastAsia="宋体" w:cs="Times New Roman"/>
                      <w:color w:val="auto"/>
                      <w:kern w:val="2"/>
                      <w:sz w:val="21"/>
                      <w:szCs w:val="21"/>
                      <w:highlight w:val="none"/>
                      <w:lang w:val="en-US" w:eastAsia="zh-CN"/>
                    </w:rPr>
                    <w:t>接管梅村水处理厂集中处理</w:t>
                  </w:r>
                  <w:r>
                    <w:rPr>
                      <w:rFonts w:hint="default" w:ascii="Times New Roman" w:hAnsi="Times New Roman" w:eastAsia="宋体" w:cs="Times New Roman"/>
                      <w:color w:val="auto"/>
                      <w:kern w:val="2"/>
                      <w:sz w:val="21"/>
                      <w:szCs w:val="21"/>
                      <w:highlight w:val="none"/>
                      <w:lang w:val="en-US" w:eastAsia="zh-CN"/>
                    </w:rPr>
                    <w:t>，本项目</w:t>
                  </w:r>
                  <w:r>
                    <w:rPr>
                      <w:rFonts w:hint="eastAsia" w:ascii="Times New Roman" w:hAnsi="Times New Roman" w:eastAsia="宋体" w:cs="Times New Roman"/>
                      <w:color w:val="auto"/>
                      <w:kern w:val="2"/>
                      <w:sz w:val="21"/>
                      <w:szCs w:val="21"/>
                      <w:highlight w:val="none"/>
                      <w:lang w:val="en-US" w:eastAsia="zh-CN"/>
                    </w:rPr>
                    <w:t>不</w:t>
                  </w:r>
                  <w:r>
                    <w:rPr>
                      <w:rFonts w:hint="default" w:ascii="Times New Roman" w:hAnsi="Times New Roman" w:eastAsia="宋体" w:cs="Times New Roman"/>
                      <w:color w:val="auto"/>
                      <w:kern w:val="2"/>
                      <w:sz w:val="21"/>
                      <w:szCs w:val="21"/>
                      <w:highlight w:val="none"/>
                      <w:lang w:val="en-US" w:eastAsia="zh-CN"/>
                    </w:rPr>
                    <w:t>新设污水排放口。</w:t>
                  </w:r>
                </w:p>
              </w:tc>
              <w:tc>
                <w:tcPr>
                  <w:tcW w:w="4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418"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7</w:t>
                  </w:r>
                </w:p>
              </w:tc>
              <w:tc>
                <w:tcPr>
                  <w:tcW w:w="232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禁止在</w:t>
                  </w: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一江一口两湖七河</w:t>
                  </w:r>
                  <w:r>
                    <w:rPr>
                      <w:rFonts w:hint="default" w:ascii="Times New Roman" w:hAnsi="Times New Roman" w:eastAsia="宋体"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和332个水生生物保护区开展生产性捕捞。</w:t>
                  </w:r>
                </w:p>
              </w:tc>
              <w:tc>
                <w:tcPr>
                  <w:tcW w:w="1807"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项目行业类别为C3311金属结构制造、C3525模具制造，</w:t>
                  </w:r>
                  <w:r>
                    <w:rPr>
                      <w:rFonts w:hint="default" w:ascii="Times New Roman" w:hAnsi="Times New Roman" w:eastAsia="宋体" w:cs="Times New Roman"/>
                      <w:color w:val="auto"/>
                      <w:kern w:val="2"/>
                      <w:sz w:val="21"/>
                      <w:szCs w:val="21"/>
                      <w:highlight w:val="none"/>
                    </w:rPr>
                    <w:t>不属于生产性捕捞</w:t>
                  </w:r>
                  <w:r>
                    <w:rPr>
                      <w:rFonts w:hint="default" w:ascii="Times New Roman" w:hAnsi="Times New Roman" w:eastAsia="宋体" w:cs="Times New Roman"/>
                      <w:color w:val="auto"/>
                      <w:kern w:val="2"/>
                      <w:sz w:val="21"/>
                      <w:szCs w:val="21"/>
                      <w:highlight w:val="none"/>
                      <w:lang w:eastAsia="zh-CN"/>
                    </w:rPr>
                    <w:t>。</w:t>
                  </w:r>
                </w:p>
              </w:tc>
              <w:tc>
                <w:tcPr>
                  <w:tcW w:w="4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418"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8</w:t>
                  </w:r>
                </w:p>
              </w:tc>
              <w:tc>
                <w:tcPr>
                  <w:tcW w:w="232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807"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项目行业类别为C3311金属结构制造、C3525模具制造，</w:t>
                  </w:r>
                  <w:r>
                    <w:rPr>
                      <w:rFonts w:hint="default" w:ascii="Times New Roman" w:hAnsi="Times New Roman" w:eastAsia="宋体" w:cs="Times New Roman"/>
                      <w:color w:val="auto"/>
                      <w:kern w:val="2"/>
                      <w:sz w:val="21"/>
                      <w:szCs w:val="21"/>
                      <w:highlight w:val="none"/>
                    </w:rPr>
                    <w:t>不属于上述禁止项目</w:t>
                  </w:r>
                </w:p>
              </w:tc>
              <w:tc>
                <w:tcPr>
                  <w:tcW w:w="4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418"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9</w:t>
                  </w:r>
                </w:p>
              </w:tc>
              <w:tc>
                <w:tcPr>
                  <w:tcW w:w="232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禁止在合规园区外新建、扩建钢铁、石化、化工、焦化、建材、有色、制浆造纸等高污染项目。</w:t>
                  </w:r>
                </w:p>
              </w:tc>
              <w:tc>
                <w:tcPr>
                  <w:tcW w:w="1807"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公司位于无锡市新吴区</w:t>
                  </w:r>
                  <w:r>
                    <w:rPr>
                      <w:rFonts w:hint="eastAsia" w:ascii="Times New Roman" w:hAnsi="Times New Roman" w:eastAsia="宋体" w:cs="Times New Roman"/>
                      <w:color w:val="auto"/>
                      <w:kern w:val="2"/>
                      <w:sz w:val="21"/>
                      <w:szCs w:val="21"/>
                      <w:highlight w:val="none"/>
                      <w:lang w:val="en-US" w:eastAsia="zh-CN"/>
                    </w:rPr>
                    <w:t>新风路69号</w:t>
                  </w:r>
                  <w:r>
                    <w:rPr>
                      <w:rFonts w:hint="default" w:ascii="Times New Roman" w:hAnsi="Times New Roman" w:eastAsia="宋体" w:cs="Times New Roman"/>
                      <w:color w:val="auto"/>
                      <w:kern w:val="2"/>
                      <w:sz w:val="21"/>
                      <w:szCs w:val="21"/>
                      <w:highlight w:val="none"/>
                      <w:lang w:val="en-US" w:eastAsia="zh-CN"/>
                    </w:rPr>
                    <w:t>，项目行业类别为C3311金属结构制造、C3525模具制造，不属于上述禁止建设项目。</w:t>
                  </w:r>
                </w:p>
              </w:tc>
              <w:tc>
                <w:tcPr>
                  <w:tcW w:w="4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418"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10.</w:t>
                  </w:r>
                </w:p>
              </w:tc>
              <w:tc>
                <w:tcPr>
                  <w:tcW w:w="232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禁止新建、扩建不符合国家石化、现代煤化工等产业布局规划的项目。</w:t>
                  </w:r>
                </w:p>
              </w:tc>
              <w:tc>
                <w:tcPr>
                  <w:tcW w:w="1807"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项目行业类别为C3311金属结构制造、C3525模具制造，不属于上述禁止建设项目。</w:t>
                  </w:r>
                </w:p>
              </w:tc>
              <w:tc>
                <w:tcPr>
                  <w:tcW w:w="4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418"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11</w:t>
                  </w:r>
                </w:p>
              </w:tc>
              <w:tc>
                <w:tcPr>
                  <w:tcW w:w="232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1807"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项目行业类别为C3311金属结构制造、C3525模具制造，本项目为</w:t>
                  </w:r>
                  <w:r>
                    <w:rPr>
                      <w:rFonts w:hint="eastAsia" w:ascii="Times New Roman" w:hAnsi="Times New Roman" w:eastAsia="宋体" w:cs="Times New Roman"/>
                      <w:color w:val="auto"/>
                      <w:kern w:val="2"/>
                      <w:sz w:val="21"/>
                      <w:szCs w:val="21"/>
                      <w:highlight w:val="none"/>
                      <w:lang w:val="en-US" w:eastAsia="zh-CN"/>
                    </w:rPr>
                    <w:t>迁建</w:t>
                  </w:r>
                  <w:r>
                    <w:rPr>
                      <w:rFonts w:hint="default" w:ascii="Times New Roman" w:hAnsi="Times New Roman" w:eastAsia="宋体" w:cs="Times New Roman"/>
                      <w:color w:val="auto"/>
                      <w:kern w:val="2"/>
                      <w:sz w:val="21"/>
                      <w:szCs w:val="21"/>
                      <w:highlight w:val="none"/>
                      <w:lang w:val="en-US" w:eastAsia="zh-CN"/>
                    </w:rPr>
                    <w:t>项目，不属于</w:t>
                  </w:r>
                  <w:r>
                    <w:rPr>
                      <w:rFonts w:hint="default" w:ascii="Times New Roman" w:hAnsi="Times New Roman" w:eastAsia="宋体" w:cs="Times New Roman"/>
                      <w:color w:val="auto"/>
                      <w:kern w:val="2"/>
                      <w:sz w:val="21"/>
                      <w:szCs w:val="21"/>
                      <w:highlight w:val="none"/>
                      <w:lang w:eastAsia="zh-CN"/>
                    </w:rPr>
                    <w:t>上述禁止项目。</w:t>
                  </w:r>
                </w:p>
              </w:tc>
              <w:tc>
                <w:tcPr>
                  <w:tcW w:w="4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rPr>
              <w:tc>
                <w:tcPr>
                  <w:tcW w:w="418"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rPr>
                    <w:t>12</w:t>
                  </w:r>
                </w:p>
              </w:tc>
              <w:tc>
                <w:tcPr>
                  <w:tcW w:w="2320"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法律法规及相关政策文件有更加严格规定的从其规定。</w:t>
                  </w:r>
                </w:p>
              </w:tc>
              <w:tc>
                <w:tcPr>
                  <w:tcW w:w="1807"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本项目满足</w:t>
                  </w:r>
                  <w:r>
                    <w:rPr>
                      <w:rFonts w:hint="default" w:ascii="Times New Roman" w:hAnsi="Times New Roman" w:eastAsia="宋体" w:cs="Times New Roman"/>
                      <w:color w:val="auto"/>
                      <w:kern w:val="2"/>
                      <w:sz w:val="21"/>
                      <w:szCs w:val="21"/>
                      <w:highlight w:val="none"/>
                    </w:rPr>
                    <w:t>法律法规及相关政策文件</w:t>
                  </w:r>
                  <w:r>
                    <w:rPr>
                      <w:rFonts w:hint="default" w:ascii="Times New Roman" w:hAnsi="Times New Roman" w:eastAsia="宋体" w:cs="Times New Roman"/>
                      <w:color w:val="auto"/>
                      <w:kern w:val="2"/>
                      <w:sz w:val="21"/>
                      <w:szCs w:val="21"/>
                      <w:highlight w:val="none"/>
                      <w:lang w:eastAsia="zh-CN"/>
                    </w:rPr>
                    <w:t>。</w:t>
                  </w:r>
                </w:p>
              </w:tc>
              <w:tc>
                <w:tcPr>
                  <w:tcW w:w="452" w:type="pct"/>
                  <w:tcBorders>
                    <w:tl2br w:val="nil"/>
                    <w:tr2bl w:val="nil"/>
                  </w:tcBorders>
                  <w:noWrap w:val="0"/>
                  <w:tcMar>
                    <w:top w:w="0" w:type="dxa"/>
                    <w:left w:w="0" w:type="dxa"/>
                    <w:bottom w:w="0" w:type="dxa"/>
                    <w:right w:w="0"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符合</w:t>
                  </w:r>
                </w:p>
              </w:tc>
            </w:tr>
          </w:tbl>
          <w:p>
            <w:pPr>
              <w:adjustRightInd w:val="0"/>
              <w:snapToGrid w:val="0"/>
              <w:spacing w:before="156" w:beforeLines="50" w:line="360" w:lineRule="auto"/>
              <w:ind w:firstLine="480" w:firstLineChars="200"/>
              <w:outlineLvl w:val="0"/>
              <w:rPr>
                <w:color w:val="auto"/>
                <w:sz w:val="24"/>
              </w:rPr>
            </w:pPr>
            <w:r>
              <w:rPr>
                <w:color w:val="auto"/>
                <w:sz w:val="24"/>
              </w:rPr>
              <w:t>根据《长江经济带发展负面清单指南（试行，2022版）江苏省实施细则》（长江办[2022]55号），分析本项目的相符性。具体负面清单如下：</w:t>
            </w:r>
          </w:p>
          <w:p>
            <w:pPr>
              <w:numPr>
                <w:ilvl w:val="0"/>
                <w:numId w:val="2"/>
              </w:numPr>
              <w:jc w:val="center"/>
              <w:rPr>
                <w:b/>
                <w:snapToGrid w:val="0"/>
                <w:color w:val="auto"/>
                <w:kern w:val="0"/>
                <w:sz w:val="24"/>
              </w:rPr>
            </w:pPr>
            <w:r>
              <w:rPr>
                <w:b/>
                <w:snapToGrid w:val="0"/>
                <w:color w:val="auto"/>
                <w:kern w:val="0"/>
                <w:sz w:val="24"/>
              </w:rPr>
              <w:t>与苏长江办[2022]55号的相符性分析</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87"/>
              <w:gridCol w:w="3801"/>
              <w:gridCol w:w="2962"/>
              <w:gridCol w:w="7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序号</w:t>
                  </w:r>
                </w:p>
              </w:tc>
              <w:tc>
                <w:tcPr>
                  <w:tcW w:w="2319"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内容</w:t>
                  </w:r>
                </w:p>
              </w:tc>
              <w:tc>
                <w:tcPr>
                  <w:tcW w:w="1807"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本项目情况</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1</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本项目行业类别为</w:t>
                  </w:r>
                  <w:r>
                    <w:rPr>
                      <w:color w:val="auto"/>
                    </w:rPr>
                    <w:t>C3311金属结构制造、C3525模具制造</w:t>
                  </w:r>
                  <w:r>
                    <w:rPr>
                      <w:color w:val="auto"/>
                      <w:szCs w:val="21"/>
                    </w:rPr>
                    <w:t>，不属于码头项目。</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2</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lang w:val="zh-CN"/>
                    </w:rPr>
                    <w:t>本项目</w:t>
                  </w:r>
                  <w:r>
                    <w:rPr>
                      <w:rFonts w:hint="eastAsia"/>
                      <w:color w:val="auto"/>
                      <w:szCs w:val="21"/>
                      <w:lang w:val="zh-CN"/>
                    </w:rPr>
                    <w:t>距离最近的生态空间管控区域-无锡宛山荡省级湿地公园9.4km，距离最近的国家级生态红线-无锡宛山荡省级湿地公园9.3km</w:t>
                  </w:r>
                  <w:r>
                    <w:rPr>
                      <w:color w:val="auto"/>
                      <w:szCs w:val="21"/>
                      <w:lang w:val="zh-CN"/>
                    </w:rPr>
                    <w:t>。</w:t>
                  </w:r>
                  <w:r>
                    <w:rPr>
                      <w:color w:val="auto"/>
                      <w:szCs w:val="21"/>
                    </w:rPr>
                    <w:t>项目</w:t>
                  </w:r>
                  <w:r>
                    <w:rPr>
                      <w:rFonts w:hint="eastAsia"/>
                      <w:color w:val="auto"/>
                      <w:szCs w:val="21"/>
                      <w:lang w:val="en-US" w:eastAsia="zh-CN"/>
                    </w:rPr>
                    <w:t>不</w:t>
                  </w:r>
                  <w:r>
                    <w:rPr>
                      <w:color w:val="auto"/>
                      <w:szCs w:val="21"/>
                    </w:rPr>
                    <w:t>位于自然保护区核心区、缓冲区的岸线和河段范围内，以及不位于风景名胜区核心景区的岸线和河段范围内。</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3</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本项目距离太湖约</w:t>
                  </w:r>
                  <w:r>
                    <w:rPr>
                      <w:rFonts w:hint="eastAsia"/>
                      <w:color w:val="auto"/>
                      <w:szCs w:val="21"/>
                    </w:rPr>
                    <w:t>12.4</w:t>
                  </w:r>
                  <w:r>
                    <w:rPr>
                      <w:color w:val="auto"/>
                      <w:szCs w:val="21"/>
                    </w:rPr>
                    <w:t>km、望虞河</w:t>
                  </w:r>
                  <w:r>
                    <w:rPr>
                      <w:rFonts w:hint="eastAsia"/>
                      <w:color w:val="auto"/>
                      <w:szCs w:val="21"/>
                    </w:rPr>
                    <w:t>13.6</w:t>
                  </w:r>
                  <w:r>
                    <w:rPr>
                      <w:color w:val="auto"/>
                      <w:szCs w:val="21"/>
                    </w:rPr>
                    <w:t>km，项目行业类别为</w:t>
                  </w:r>
                  <w:r>
                    <w:rPr>
                      <w:color w:val="auto"/>
                    </w:rPr>
                    <w:t>C3311金属结构制造、C3525模具制造</w:t>
                  </w:r>
                  <w:r>
                    <w:rPr>
                      <w:color w:val="auto"/>
                      <w:szCs w:val="21"/>
                    </w:rPr>
                    <w:t>，不属于上述禁止建设项目。</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4</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严格执行《水产种质资源保护区管理暂行办法》，禁止在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项目位于新吴区</w:t>
                  </w:r>
                  <w:r>
                    <w:rPr>
                      <w:rFonts w:hint="eastAsia"/>
                      <w:color w:val="auto"/>
                      <w:szCs w:val="21"/>
                    </w:rPr>
                    <w:t>新风路69</w:t>
                  </w:r>
                  <w:r>
                    <w:rPr>
                      <w:color w:val="auto"/>
                      <w:szCs w:val="21"/>
                    </w:rPr>
                    <w:t>号，不位于水产种质资源保护区的岸线和河段范围内，以及不位于国家湿地公园的岸线和河段范围内。项目行业类别为</w:t>
                  </w:r>
                  <w:r>
                    <w:rPr>
                      <w:color w:val="auto"/>
                    </w:rPr>
                    <w:t>C3311金属结构制造、C3525模具制造</w:t>
                  </w:r>
                  <w:r>
                    <w:rPr>
                      <w:color w:val="auto"/>
                      <w:szCs w:val="21"/>
                    </w:rPr>
                    <w:t>，不属于上述禁止建设项目。</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5</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项目行业类别为</w:t>
                  </w:r>
                  <w:r>
                    <w:rPr>
                      <w:color w:val="auto"/>
                    </w:rPr>
                    <w:t>C3311金属结构制造、C3525模具制造</w:t>
                  </w:r>
                  <w:r>
                    <w:rPr>
                      <w:color w:val="auto"/>
                      <w:szCs w:val="21"/>
                    </w:rPr>
                    <w:t>，不属于上述禁止项目。</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color w:val="auto"/>
                      <w:szCs w:val="21"/>
                    </w:rPr>
                    <w:t>6</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禁止未经许可在长江干支流及湖泊新设、改设或扩大排污口。</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本项目为</w:t>
                  </w:r>
                  <w:r>
                    <w:rPr>
                      <w:rFonts w:hint="eastAsia"/>
                      <w:color w:val="auto"/>
                      <w:szCs w:val="21"/>
                    </w:rPr>
                    <w:t>迁建</w:t>
                  </w:r>
                  <w:r>
                    <w:rPr>
                      <w:color w:val="auto"/>
                      <w:szCs w:val="21"/>
                    </w:rPr>
                    <w:t>项目，污水经</w:t>
                  </w:r>
                  <w:r>
                    <w:rPr>
                      <w:rFonts w:hint="eastAsia"/>
                      <w:color w:val="auto"/>
                      <w:szCs w:val="21"/>
                    </w:rPr>
                    <w:t>租用厂房的原有</w:t>
                  </w:r>
                  <w:r>
                    <w:rPr>
                      <w:color w:val="auto"/>
                      <w:szCs w:val="21"/>
                    </w:rPr>
                    <w:t>污水排放口进入污水处理厂处理，不新增污水排放口</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color w:val="auto"/>
                      <w:szCs w:val="21"/>
                    </w:rPr>
                    <w:t>7</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禁止长江干流、长江口、34个列入《率先全面禁捕的长江流域水生生物保护区名录》的水生生物保护区以及省规定的其他禁渔水域开展生产性捕捞。</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项目行业类别为</w:t>
                  </w:r>
                  <w:r>
                    <w:rPr>
                      <w:color w:val="auto"/>
                    </w:rPr>
                    <w:t>C3311金属结构制造、C3525模具制造</w:t>
                  </w:r>
                  <w:r>
                    <w:rPr>
                      <w:color w:val="auto"/>
                      <w:szCs w:val="21"/>
                    </w:rPr>
                    <w:t>，不属于生产性捕捞。</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color w:val="auto"/>
                      <w:szCs w:val="21"/>
                    </w:rPr>
                    <w:t>8</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禁止在距离长江干支流岸线一公里范围内新建、扩建化工园区和化工项目</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项目行业类别为</w:t>
                  </w:r>
                  <w:r>
                    <w:rPr>
                      <w:color w:val="auto"/>
                    </w:rPr>
                    <w:t>C3311金属结构制造、C3525模具制造</w:t>
                  </w:r>
                  <w:r>
                    <w:rPr>
                      <w:color w:val="auto"/>
                      <w:szCs w:val="21"/>
                    </w:rPr>
                    <w:t>，不属于化工项目</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color w:val="auto"/>
                      <w:szCs w:val="21"/>
                    </w:rPr>
                    <w:t>9</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禁止在长江干流岸线三公里范围内新建、改建、扩建尾矿库、冶炼渣库和磷石膏库，以提升安全、生态环境保护水平为目的的改建除外。</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项目行业类别为</w:t>
                  </w:r>
                  <w:r>
                    <w:rPr>
                      <w:color w:val="auto"/>
                    </w:rPr>
                    <w:t>C3311金属结构制造、C3525模具制造</w:t>
                  </w:r>
                  <w:r>
                    <w:rPr>
                      <w:color w:val="auto"/>
                      <w:szCs w:val="21"/>
                    </w:rPr>
                    <w:t>，不属于上述禁止项目</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10</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禁止在太湖流域一、二、三级保护区内开展《江苏省太湖水污染防治条例》禁止的投资建设活动。</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项目行业类别为</w:t>
                  </w:r>
                  <w:r>
                    <w:rPr>
                      <w:color w:val="auto"/>
                    </w:rPr>
                    <w:t>C3311金属结构制造、C3525模具制造</w:t>
                  </w:r>
                  <w:r>
                    <w:rPr>
                      <w:color w:val="auto"/>
                      <w:szCs w:val="21"/>
                    </w:rPr>
                    <w:t>，不属于《江苏省太湖水污染防治条例》禁止的投资建设活动。</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11</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禁止在沿江地区新建、扩建未纳入国家和省布局规划的燃煤发电项目。</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项目行业类别为</w:t>
                  </w:r>
                  <w:r>
                    <w:rPr>
                      <w:color w:val="auto"/>
                    </w:rPr>
                    <w:t>C3311金属结构制造、C3525模具制造</w:t>
                  </w:r>
                  <w:r>
                    <w:rPr>
                      <w:color w:val="auto"/>
                      <w:szCs w:val="21"/>
                    </w:rPr>
                    <w:t>，不属于燃煤发电项目</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color w:val="auto"/>
                      <w:szCs w:val="21"/>
                    </w:rPr>
                    <w:t>12</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禁止在合规园区外新建、扩建钢铁、石化、化工、焦化、建材、有色、制浆造纸等高污染项目。</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公司位于新吴区</w:t>
                  </w:r>
                  <w:r>
                    <w:rPr>
                      <w:rFonts w:hint="eastAsia"/>
                      <w:color w:val="auto"/>
                      <w:szCs w:val="21"/>
                    </w:rPr>
                    <w:t>新风路69号</w:t>
                  </w:r>
                  <w:r>
                    <w:rPr>
                      <w:color w:val="auto"/>
                      <w:szCs w:val="21"/>
                    </w:rPr>
                    <w:t>。项目行业类别为</w:t>
                  </w:r>
                  <w:r>
                    <w:rPr>
                      <w:color w:val="auto"/>
                    </w:rPr>
                    <w:t>C3311金属结构制造、C3525模具制造</w:t>
                  </w:r>
                  <w:r>
                    <w:rPr>
                      <w:color w:val="auto"/>
                      <w:szCs w:val="21"/>
                    </w:rPr>
                    <w:t>，不属于上述禁止建设项目。</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13</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禁止在取消化工定位的园区（集中区）内新建化工项目。</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项目行业类别为</w:t>
                  </w:r>
                  <w:r>
                    <w:rPr>
                      <w:color w:val="auto"/>
                    </w:rPr>
                    <w:t>C3311金属结构制造、C3525模具制造</w:t>
                  </w:r>
                  <w:r>
                    <w:rPr>
                      <w:color w:val="auto"/>
                      <w:szCs w:val="21"/>
                    </w:rPr>
                    <w:t>，不属于化工项目。</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7" w:hRule="atLeast"/>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14</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禁止在化工企业周边建设不符合安全距离规定的劳动密集型的非化工项目和其他人员密集的公共设施项目。</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公司位于新吴区</w:t>
                  </w:r>
                  <w:r>
                    <w:rPr>
                      <w:rFonts w:hint="eastAsia"/>
                      <w:color w:val="auto"/>
                      <w:szCs w:val="21"/>
                    </w:rPr>
                    <w:t>新风路69号</w:t>
                  </w:r>
                  <w:r>
                    <w:rPr>
                      <w:color w:val="auto"/>
                      <w:szCs w:val="21"/>
                    </w:rPr>
                    <w:t>，周边不涉及化工企业。</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15</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禁止新建、扩建不符合国家和省产业政策的尿素、磷铵、电石 、烧碱、聚氯乙烯、纯碱等行业新增产能项目。</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项目行业类别为</w:t>
                  </w:r>
                  <w:r>
                    <w:rPr>
                      <w:color w:val="auto"/>
                    </w:rPr>
                    <w:t>C3311金属结构制造、C3525模具制造</w:t>
                  </w:r>
                  <w:r>
                    <w:rPr>
                      <w:color w:val="auto"/>
                      <w:szCs w:val="21"/>
                    </w:rPr>
                    <w:t>，不属于上述禁止建设项目。</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16</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禁止新建、改建、扩建高毒、高残留以及对环境影响大的农药原药（化学合成类）项目，禁止新建、扩建不符合国家和省产业政策的农药、医药和染料中间体化工项目。</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项目行业类别为</w:t>
                  </w:r>
                  <w:r>
                    <w:rPr>
                      <w:color w:val="auto"/>
                    </w:rPr>
                    <w:t>C3311金属结构制造、C3525模具制造</w:t>
                  </w:r>
                  <w:r>
                    <w:rPr>
                      <w:color w:val="auto"/>
                      <w:szCs w:val="21"/>
                    </w:rPr>
                    <w:t>，不属于上述禁止建设项目。</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17</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禁止新建、扩建不符合国家石化、现代煤化工等产业布局规划的项目，禁止新建独立焦化项目。</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项目行业类别为</w:t>
                  </w:r>
                  <w:r>
                    <w:rPr>
                      <w:color w:val="auto"/>
                    </w:rPr>
                    <w:t>C3311金属结构制造、C3525模具制造</w:t>
                  </w:r>
                  <w:r>
                    <w:rPr>
                      <w:color w:val="auto"/>
                      <w:szCs w:val="21"/>
                    </w:rPr>
                    <w:t>，不属于上述禁止建设项目。</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18</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项目行业类别为</w:t>
                  </w:r>
                  <w:r>
                    <w:rPr>
                      <w:color w:val="auto"/>
                    </w:rPr>
                    <w:t>C3311金属结构制造、C3525模具制造</w:t>
                  </w:r>
                  <w:r>
                    <w:rPr>
                      <w:color w:val="auto"/>
                      <w:szCs w:val="21"/>
                    </w:rPr>
                    <w:t>，本项目为扩建项目，不属于上述禁止项目。</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19</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禁止新建、扩建不符合国家产能置换要求的严重过剩产能行业的项目。禁止新建、扩建不符合要求的高耗能高排放项目。</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项目行业类别为</w:t>
                  </w:r>
                  <w:r>
                    <w:rPr>
                      <w:color w:val="auto"/>
                    </w:rPr>
                    <w:t>C3311金属结构制造、C3525模具制造</w:t>
                  </w:r>
                  <w:r>
                    <w:rPr>
                      <w:color w:val="auto"/>
                      <w:szCs w:val="21"/>
                    </w:rPr>
                    <w:t>，本项目为扩建项目，不属于上述禁止项目。</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20</w:t>
                  </w:r>
                </w:p>
              </w:tc>
              <w:tc>
                <w:tcPr>
                  <w:tcW w:w="2319"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法律法规及相关政策文件有更加严格规定的从其规定。</w:t>
                  </w:r>
                </w:p>
              </w:tc>
              <w:tc>
                <w:tcPr>
                  <w:tcW w:w="1807" w:type="pct"/>
                  <w:tcBorders>
                    <w:tl2br w:val="nil"/>
                    <w:tr2bl w:val="nil"/>
                  </w:tcBorders>
                  <w:tcMar>
                    <w:top w:w="0" w:type="dxa"/>
                    <w:left w:w="0" w:type="dxa"/>
                    <w:bottom w:w="0" w:type="dxa"/>
                    <w:right w:w="0" w:type="dxa"/>
                  </w:tcMar>
                  <w:vAlign w:val="center"/>
                </w:tcPr>
                <w:p>
                  <w:pPr>
                    <w:autoSpaceDE w:val="0"/>
                    <w:autoSpaceDN w:val="0"/>
                    <w:adjustRightInd w:val="0"/>
                    <w:rPr>
                      <w:color w:val="auto"/>
                      <w:szCs w:val="21"/>
                    </w:rPr>
                  </w:pPr>
                  <w:r>
                    <w:rPr>
                      <w:color w:val="auto"/>
                      <w:szCs w:val="21"/>
                    </w:rPr>
                    <w:t>本项目满足法律法规及相关政策文件。</w:t>
                  </w:r>
                </w:p>
              </w:tc>
              <w:tc>
                <w:tcPr>
                  <w:tcW w:w="452"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bl>
          <w:p>
            <w:pPr>
              <w:adjustRightInd w:val="0"/>
              <w:snapToGrid w:val="0"/>
              <w:spacing w:line="360" w:lineRule="auto"/>
              <w:ind w:firstLine="480" w:firstLineChars="200"/>
              <w:rPr>
                <w:color w:val="auto"/>
                <w:sz w:val="24"/>
                <w:highlight w:val="none"/>
              </w:rPr>
            </w:pPr>
            <w:r>
              <w:rPr>
                <w:color w:val="auto"/>
                <w:sz w:val="24"/>
                <w:highlight w:val="none"/>
              </w:rPr>
              <w:t>由上表可见，本项目符合环境准入负面清单要求。</w:t>
            </w:r>
          </w:p>
          <w:p>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textAlignment w:val="auto"/>
              <w:rPr>
                <w:rFonts w:hint="default" w:ascii="Times New Roman" w:hAnsi="Times New Roman" w:cs="Times New Roman"/>
                <w:color w:val="auto"/>
                <w:highlight w:val="none"/>
              </w:rPr>
            </w:pPr>
            <w:r>
              <w:rPr>
                <w:rFonts w:hint="eastAsia" w:cs="宋体"/>
                <w:color w:val="auto"/>
                <w:sz w:val="24"/>
                <w:szCs w:val="24"/>
                <w:highlight w:val="none"/>
              </w:rPr>
              <w:t>综上所述，建设项目符合国家、地方产业政策，项目选址符合区域总体规划，并能够满足生态保护红线，环境质量底线、资源利用上限以及环境准入负面清单的要求。</w:t>
            </w:r>
          </w:p>
          <w:p>
            <w:pPr>
              <w:adjustRightInd w:val="0"/>
              <w:snapToGrid w:val="0"/>
              <w:spacing w:before="156" w:beforeLines="50" w:line="360" w:lineRule="auto"/>
              <w:rPr>
                <w:b/>
                <w:color w:val="auto"/>
                <w:sz w:val="24"/>
                <w:highlight w:val="none"/>
              </w:rPr>
            </w:pPr>
            <w:r>
              <w:rPr>
                <w:b/>
                <w:color w:val="auto"/>
                <w:sz w:val="24"/>
                <w:highlight w:val="none"/>
              </w:rPr>
              <w:t>2、与产业政策、土地利用规划相符性</w:t>
            </w:r>
          </w:p>
          <w:p>
            <w:pPr>
              <w:spacing w:line="360" w:lineRule="auto"/>
              <w:ind w:firstLine="435"/>
              <w:jc w:val="left"/>
              <w:rPr>
                <w:color w:val="auto"/>
                <w:sz w:val="24"/>
              </w:rPr>
            </w:pPr>
            <w:r>
              <w:rPr>
                <w:b/>
                <w:bCs/>
                <w:color w:val="auto"/>
                <w:sz w:val="24"/>
              </w:rPr>
              <w:t>（1）</w:t>
            </w:r>
            <w:r>
              <w:rPr>
                <w:b/>
                <w:color w:val="auto"/>
                <w:sz w:val="24"/>
              </w:rPr>
              <w:t>与产业政策相符性</w:t>
            </w:r>
          </w:p>
          <w:p>
            <w:pPr>
              <w:spacing w:line="360" w:lineRule="auto"/>
              <w:ind w:firstLine="480" w:firstLineChars="200"/>
              <w:jc w:val="left"/>
              <w:rPr>
                <w:color w:val="auto"/>
                <w:kern w:val="0"/>
                <w:sz w:val="24"/>
              </w:rPr>
            </w:pPr>
            <w:r>
              <w:rPr>
                <w:color w:val="auto"/>
                <w:sz w:val="24"/>
              </w:rPr>
              <w:t>本项目属于C3311金属结构制造、C3525模具制造。经查阅，</w:t>
            </w:r>
            <w:r>
              <w:rPr>
                <w:rFonts w:hint="eastAsia"/>
                <w:color w:val="auto"/>
                <w:sz w:val="24"/>
              </w:rPr>
              <w:t>本项目不属于《产业结构调整指导目录（2019年本）》（2021年修订）中限制类和淘汰类项目；不在《环境保护综合名录（2021年版）》中“高污染、高环境风险”产品名录和环境保护重点设备名录中。</w:t>
            </w:r>
            <w:r>
              <w:rPr>
                <w:color w:val="auto"/>
                <w:sz w:val="24"/>
              </w:rPr>
              <w:t>不属于《无锡市产业结构调整指导目录（2008年本）》中规定的禁止类和淘汰类项目；不属于《无锡市制造业转型发展指导目录》（2012年本）中规定的限制类和淘汰类项目；</w:t>
            </w:r>
            <w:r>
              <w:rPr>
                <w:color w:val="auto"/>
                <w:sz w:val="24"/>
                <w:szCs w:val="32"/>
              </w:rPr>
              <w:t>不属于《无锡新区转型发展投资指导目录》（2013年本</w:t>
            </w:r>
            <w:r>
              <w:rPr>
                <w:color w:val="auto"/>
                <w:sz w:val="24"/>
              </w:rPr>
              <w:t>）中规定的项目；不属于《限制用地项目目录（2012年本）》和《禁止用地项目目录（2012年本）》中的限制和禁止用地项目；不属于《江苏省限制用地项目目录（2013年本）》和《江苏省禁止用地项目目录（2013年本）》（苏国土资发[2013]323号）中的限制和禁止用地项目；不属于“高污染、高环境风险产品名录”，不属于高耗能行业，亦不属于其他相关法律法规要求淘汰和限制的产业。因此，本项目符合国家和地方产业政策要求。</w:t>
            </w:r>
          </w:p>
          <w:p>
            <w:pPr>
              <w:spacing w:line="360" w:lineRule="auto"/>
              <w:ind w:firstLine="482" w:firstLineChars="200"/>
              <w:jc w:val="left"/>
              <w:rPr>
                <w:b/>
                <w:color w:val="auto"/>
                <w:sz w:val="24"/>
              </w:rPr>
            </w:pPr>
            <w:r>
              <w:rPr>
                <w:b/>
                <w:color w:val="auto"/>
                <w:sz w:val="24"/>
              </w:rPr>
              <w:t>（2）与土地利用规划相符性</w:t>
            </w:r>
          </w:p>
          <w:p>
            <w:pPr>
              <w:pStyle w:val="157"/>
              <w:widowControl/>
              <w:spacing w:line="360" w:lineRule="auto"/>
              <w:ind w:firstLine="480"/>
              <w:rPr>
                <w:rFonts w:ascii="Times New Roman" w:hAnsi="Times New Roman"/>
                <w:snapToGrid w:val="0"/>
                <w:color w:val="auto"/>
                <w:kern w:val="0"/>
                <w:sz w:val="24"/>
                <w:szCs w:val="24"/>
              </w:rPr>
            </w:pPr>
            <w:r>
              <w:rPr>
                <w:rFonts w:ascii="Times New Roman" w:hAnsi="Times New Roman"/>
                <w:color w:val="auto"/>
                <w:sz w:val="24"/>
                <w:szCs w:val="24"/>
              </w:rPr>
              <w:t>本项目位于无锡市新吴区新风路69号，</w:t>
            </w:r>
            <w:r>
              <w:rPr>
                <w:rFonts w:ascii="Times New Roman" w:hAnsi="Times New Roman"/>
                <w:snapToGrid w:val="0"/>
                <w:color w:val="auto"/>
                <w:kern w:val="0"/>
                <w:sz w:val="24"/>
                <w:szCs w:val="24"/>
              </w:rPr>
              <w:t>根据《无锡新区高新区B区控制性详细规划（修编）》（锡政复[2022]4号）</w:t>
            </w:r>
            <w:r>
              <w:rPr>
                <w:rFonts w:ascii="Times New Roman" w:hAnsi="Times New Roman"/>
                <w:color w:val="auto"/>
                <w:sz w:val="24"/>
                <w:szCs w:val="24"/>
              </w:rPr>
              <w:t>以及《市政府关于无锡新吴区硕放街道梅村街道总体规划（2015-2030）的批复》（锡政复（2017）21号）的</w:t>
            </w:r>
            <w:r>
              <w:rPr>
                <w:rFonts w:ascii="Times New Roman" w:hAnsi="Times New Roman"/>
                <w:snapToGrid w:val="0"/>
                <w:color w:val="auto"/>
                <w:kern w:val="0"/>
                <w:sz w:val="24"/>
                <w:szCs w:val="24"/>
              </w:rPr>
              <w:t>用地规划图，建设项目所在地块属于工业用地（见</w:t>
            </w:r>
            <w:r>
              <w:rPr>
                <w:rFonts w:hint="eastAsia" w:ascii="Times New Roman" w:hAnsi="Times New Roman"/>
                <w:snapToGrid w:val="0"/>
                <w:color w:val="auto"/>
                <w:kern w:val="0"/>
                <w:sz w:val="24"/>
                <w:szCs w:val="24"/>
                <w:lang w:val="en-US" w:eastAsia="zh-CN"/>
              </w:rPr>
              <w:t>附</w:t>
            </w:r>
            <w:r>
              <w:rPr>
                <w:rFonts w:ascii="Times New Roman" w:hAnsi="Times New Roman"/>
                <w:snapToGrid w:val="0"/>
                <w:color w:val="auto"/>
                <w:kern w:val="0"/>
                <w:sz w:val="24"/>
                <w:szCs w:val="24"/>
              </w:rPr>
              <w:t>图</w:t>
            </w:r>
            <w:r>
              <w:rPr>
                <w:rFonts w:hint="eastAsia" w:ascii="Times New Roman" w:hAnsi="Times New Roman"/>
                <w:snapToGrid w:val="0"/>
                <w:color w:val="auto"/>
                <w:kern w:val="0"/>
                <w:sz w:val="24"/>
                <w:szCs w:val="24"/>
              </w:rPr>
              <w:t>2</w:t>
            </w:r>
            <w:r>
              <w:rPr>
                <w:rFonts w:ascii="Times New Roman" w:hAnsi="Times New Roman"/>
                <w:snapToGrid w:val="0"/>
                <w:color w:val="auto"/>
                <w:kern w:val="0"/>
                <w:sz w:val="24"/>
                <w:szCs w:val="24"/>
              </w:rPr>
              <w:t>-1、</w:t>
            </w:r>
            <w:r>
              <w:rPr>
                <w:rFonts w:hint="eastAsia" w:ascii="Times New Roman" w:hAnsi="Times New Roman"/>
                <w:snapToGrid w:val="0"/>
                <w:color w:val="auto"/>
                <w:kern w:val="0"/>
                <w:sz w:val="24"/>
                <w:szCs w:val="24"/>
                <w:lang w:val="en-US" w:eastAsia="zh-CN"/>
              </w:rPr>
              <w:t>附</w:t>
            </w:r>
            <w:r>
              <w:rPr>
                <w:rFonts w:ascii="Times New Roman" w:hAnsi="Times New Roman"/>
                <w:snapToGrid w:val="0"/>
                <w:color w:val="auto"/>
                <w:kern w:val="0"/>
                <w:sz w:val="24"/>
                <w:szCs w:val="24"/>
              </w:rPr>
              <w:t>图</w:t>
            </w:r>
            <w:r>
              <w:rPr>
                <w:rFonts w:hint="eastAsia" w:ascii="Times New Roman" w:hAnsi="Times New Roman"/>
                <w:snapToGrid w:val="0"/>
                <w:color w:val="auto"/>
                <w:kern w:val="0"/>
                <w:sz w:val="24"/>
                <w:szCs w:val="24"/>
              </w:rPr>
              <w:t>2</w:t>
            </w:r>
            <w:r>
              <w:rPr>
                <w:rFonts w:ascii="Times New Roman" w:hAnsi="Times New Roman"/>
                <w:snapToGrid w:val="0"/>
                <w:color w:val="auto"/>
                <w:kern w:val="0"/>
                <w:sz w:val="24"/>
                <w:szCs w:val="24"/>
              </w:rPr>
              <w:t>-2），该区域具备污染集中控制条件，符合当地区域发展规划，具备污染集中控制条件，符合当地区域发展规划。</w:t>
            </w:r>
          </w:p>
          <w:p>
            <w:pPr>
              <w:spacing w:line="360" w:lineRule="auto"/>
              <w:ind w:firstLine="482" w:firstLineChars="200"/>
              <w:jc w:val="left"/>
              <w:rPr>
                <w:color w:val="auto"/>
              </w:rPr>
            </w:pPr>
            <w:r>
              <w:rPr>
                <w:b/>
                <w:color w:val="auto"/>
                <w:sz w:val="24"/>
              </w:rPr>
              <w:t>（3）与《关于加强高耗能、高排放建设项目生态环境源头防控的指导意见》相符性分析</w:t>
            </w:r>
          </w:p>
          <w:p>
            <w:pPr>
              <w:numPr>
                <w:ilvl w:val="0"/>
                <w:numId w:val="2"/>
              </w:numPr>
              <w:jc w:val="center"/>
              <w:rPr>
                <w:b/>
                <w:bCs/>
                <w:color w:val="auto"/>
                <w:sz w:val="24"/>
              </w:rPr>
            </w:pPr>
            <w:r>
              <w:rPr>
                <w:b/>
                <w:bCs/>
                <w:color w:val="auto"/>
                <w:sz w:val="24"/>
              </w:rPr>
              <w:t>与《关于加强高耗能、高排放建设项目生态环境源头防控的指导意见》相符性分析一览表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5"/>
              <w:gridCol w:w="4102"/>
              <w:gridCol w:w="2794"/>
              <w:gridCol w:w="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 w:type="pct"/>
                  <w:vAlign w:val="center"/>
                </w:tcPr>
                <w:p>
                  <w:pPr>
                    <w:jc w:val="center"/>
                    <w:rPr>
                      <w:b/>
                      <w:bCs/>
                      <w:color w:val="auto"/>
                      <w:szCs w:val="21"/>
                    </w:rPr>
                  </w:pPr>
                  <w:r>
                    <w:rPr>
                      <w:b/>
                      <w:bCs/>
                      <w:color w:val="auto"/>
                      <w:szCs w:val="21"/>
                    </w:rPr>
                    <w:t>条款</w:t>
                  </w:r>
                </w:p>
              </w:tc>
              <w:tc>
                <w:tcPr>
                  <w:tcW w:w="2502" w:type="pct"/>
                  <w:vAlign w:val="center"/>
                </w:tcPr>
                <w:p>
                  <w:pPr>
                    <w:jc w:val="center"/>
                    <w:rPr>
                      <w:b/>
                      <w:bCs/>
                      <w:color w:val="auto"/>
                      <w:szCs w:val="21"/>
                    </w:rPr>
                  </w:pPr>
                  <w:r>
                    <w:rPr>
                      <w:b/>
                      <w:bCs/>
                      <w:color w:val="auto"/>
                      <w:szCs w:val="21"/>
                    </w:rPr>
                    <w:t>内容</w:t>
                  </w:r>
                </w:p>
              </w:tc>
              <w:tc>
                <w:tcPr>
                  <w:tcW w:w="1704" w:type="pct"/>
                  <w:vAlign w:val="center"/>
                </w:tcPr>
                <w:p>
                  <w:pPr>
                    <w:jc w:val="center"/>
                    <w:rPr>
                      <w:b/>
                      <w:bCs/>
                      <w:color w:val="auto"/>
                      <w:szCs w:val="21"/>
                    </w:rPr>
                  </w:pPr>
                  <w:r>
                    <w:rPr>
                      <w:b/>
                      <w:bCs/>
                      <w:color w:val="auto"/>
                      <w:szCs w:val="21"/>
                    </w:rPr>
                    <w:t>项目实际情况</w:t>
                  </w:r>
                </w:p>
              </w:tc>
              <w:tc>
                <w:tcPr>
                  <w:tcW w:w="399" w:type="pct"/>
                  <w:vAlign w:val="center"/>
                </w:tcPr>
                <w:p>
                  <w:pPr>
                    <w:jc w:val="center"/>
                    <w:rPr>
                      <w:b/>
                      <w:bCs/>
                      <w:color w:val="auto"/>
                      <w:szCs w:val="21"/>
                    </w:rPr>
                  </w:pPr>
                  <w:r>
                    <w:rPr>
                      <w:b/>
                      <w:bCs/>
                      <w:color w:val="auto"/>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0" w:hRule="atLeast"/>
                <w:jc w:val="center"/>
              </w:trPr>
              <w:tc>
                <w:tcPr>
                  <w:tcW w:w="393" w:type="pct"/>
                  <w:vAlign w:val="center"/>
                </w:tcPr>
                <w:p>
                  <w:pPr>
                    <w:jc w:val="center"/>
                    <w:rPr>
                      <w:color w:val="auto"/>
                      <w:szCs w:val="21"/>
                    </w:rPr>
                  </w:pPr>
                  <w:r>
                    <w:rPr>
                      <w:color w:val="auto"/>
                      <w:szCs w:val="21"/>
                    </w:rPr>
                    <w:t>二、严格“两高”项目环评审批</w:t>
                  </w:r>
                </w:p>
              </w:tc>
              <w:tc>
                <w:tcPr>
                  <w:tcW w:w="2502" w:type="pct"/>
                  <w:vAlign w:val="center"/>
                </w:tcPr>
                <w:p>
                  <w:pPr>
                    <w:rPr>
                      <w:color w:val="auto"/>
                      <w:szCs w:val="21"/>
                    </w:rPr>
                  </w:pPr>
                  <w:r>
                    <w:rPr>
                      <w:color w:val="auto"/>
                      <w:szCs w:val="21"/>
                    </w:rPr>
                    <w:t>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已发合规设立并经规划环评的产业园区。各级生态环境部门和行政审批部门要严格把关，对于不符合相关法律法规的依法不予审批。</w:t>
                  </w:r>
                </w:p>
              </w:tc>
              <w:tc>
                <w:tcPr>
                  <w:tcW w:w="1704" w:type="pct"/>
                  <w:vAlign w:val="center"/>
                </w:tcPr>
                <w:p>
                  <w:pPr>
                    <w:jc w:val="left"/>
                    <w:rPr>
                      <w:color w:val="auto"/>
                      <w:szCs w:val="21"/>
                    </w:rPr>
                  </w:pPr>
                  <w:r>
                    <w:rPr>
                      <w:color w:val="auto"/>
                      <w:szCs w:val="21"/>
                    </w:rPr>
                    <w:t>根据《关于加强高耗能、高排放建设项目生态环境源头防控的指导意见》及《环境保护综合名录》（2021年版）。本项目行业代码为</w:t>
                  </w:r>
                  <w:r>
                    <w:rPr>
                      <w:color w:val="auto"/>
                    </w:rPr>
                    <w:t>C3311金属结构制造、C3525模具制造</w:t>
                  </w:r>
                  <w:r>
                    <w:rPr>
                      <w:color w:val="auto"/>
                      <w:szCs w:val="21"/>
                    </w:rPr>
                    <w:t>，主要产品为洗衣机冲压件、热水器冲压件、模具，故本项目产品不属于“高污染、高环境风险产品名录”，亦不属于高耗能行业。</w:t>
                  </w:r>
                </w:p>
              </w:tc>
              <w:tc>
                <w:tcPr>
                  <w:tcW w:w="399" w:type="pct"/>
                  <w:vAlign w:val="center"/>
                </w:tcPr>
                <w:p>
                  <w:pPr>
                    <w:jc w:val="left"/>
                    <w:rPr>
                      <w:color w:val="auto"/>
                      <w:szCs w:val="21"/>
                    </w:rPr>
                  </w:pPr>
                  <w:r>
                    <w:rPr>
                      <w:color w:val="auto"/>
                      <w:szCs w:val="21"/>
                    </w:rPr>
                    <w:t>符合</w:t>
                  </w:r>
                </w:p>
              </w:tc>
            </w:tr>
          </w:tbl>
          <w:p>
            <w:pPr>
              <w:adjustRightInd w:val="0"/>
              <w:snapToGrid w:val="0"/>
              <w:spacing w:before="156" w:beforeLines="50" w:line="360" w:lineRule="auto"/>
              <w:ind w:firstLine="480" w:firstLineChars="200"/>
              <w:rPr>
                <w:color w:val="auto"/>
              </w:rPr>
            </w:pPr>
            <w:r>
              <w:rPr>
                <w:color w:val="auto"/>
                <w:sz w:val="24"/>
              </w:rPr>
              <w:t>综上，本项目行业代码为C3311金属结构制造、C3525模具制造，主要产品为</w:t>
            </w:r>
            <w:r>
              <w:rPr>
                <w:rFonts w:hint="eastAsia"/>
                <w:color w:val="auto"/>
                <w:sz w:val="24"/>
              </w:rPr>
              <w:t>洗衣机冲压件、热水器冲压件、模具</w:t>
            </w:r>
            <w:r>
              <w:rPr>
                <w:color w:val="auto"/>
                <w:sz w:val="24"/>
              </w:rPr>
              <w:t>，不属于《环境保护综合名录》（2021年版）中的“高污染、高环境风险产品名录”。</w:t>
            </w:r>
          </w:p>
          <w:p>
            <w:pPr>
              <w:spacing w:line="360" w:lineRule="auto"/>
              <w:jc w:val="left"/>
              <w:rPr>
                <w:b/>
                <w:color w:val="auto"/>
                <w:sz w:val="24"/>
              </w:rPr>
            </w:pPr>
            <w:r>
              <w:rPr>
                <w:b/>
                <w:color w:val="auto"/>
                <w:sz w:val="24"/>
              </w:rPr>
              <w:t>3、与《江苏省太湖水污染防治条例》、《太湖流域管理条例》符合情况</w:t>
            </w:r>
          </w:p>
          <w:p>
            <w:pPr>
              <w:keepNext/>
              <w:keepLines/>
              <w:spacing w:line="360" w:lineRule="auto"/>
              <w:ind w:firstLine="482" w:firstLineChars="200"/>
              <w:outlineLvl w:val="3"/>
              <w:rPr>
                <w:b/>
                <w:color w:val="auto"/>
                <w:sz w:val="24"/>
              </w:rPr>
            </w:pPr>
            <w:r>
              <w:rPr>
                <w:rFonts w:hint="eastAsia"/>
                <w:b/>
                <w:color w:val="auto"/>
                <w:sz w:val="24"/>
              </w:rPr>
              <w:t>A</w:t>
            </w:r>
            <w:r>
              <w:rPr>
                <w:b/>
                <w:color w:val="auto"/>
                <w:sz w:val="24"/>
              </w:rPr>
              <w:t>与《江苏省太湖水污染防治条例（2021年修订）》的相符合性分析</w:t>
            </w:r>
          </w:p>
          <w:p>
            <w:pPr>
              <w:spacing w:line="360" w:lineRule="auto"/>
              <w:ind w:firstLine="480" w:firstLineChars="200"/>
              <w:rPr>
                <w:color w:val="auto"/>
                <w:sz w:val="24"/>
              </w:rPr>
            </w:pPr>
            <w:r>
              <w:rPr>
                <w:color w:val="auto"/>
                <w:sz w:val="24"/>
              </w:rPr>
              <w:t>（1）太湖流域保护区等级确定</w:t>
            </w:r>
          </w:p>
          <w:p>
            <w:pPr>
              <w:spacing w:line="360" w:lineRule="auto"/>
              <w:ind w:firstLine="480" w:firstLineChars="200"/>
              <w:rPr>
                <w:color w:val="auto"/>
                <w:sz w:val="24"/>
              </w:rPr>
            </w:pPr>
            <w:r>
              <w:rPr>
                <w:color w:val="auto"/>
                <w:sz w:val="24"/>
              </w:rPr>
              <w:t>根据《江苏省太湖水污染防治条例（2021年修订）》，太湖流域实行分级保护，划分为三级保护区：太湖湖体、沿湖岸五公里区域、入湖河道上溯十公里以及沿岸两侧各一公里范围为一级保护区；主要入湖河道上溯十公里至五十公里以及沿岸两侧各一公里范围为二级保护区；其他地区为三级保护区。太湖流域一、二、三级保护区的具体范围，由省人民政府划定并公布。根据《省政府办公厅关于公布江苏省太湖流域三级保护区范围的通知》（苏政办发[2012]221号），“太湖流域除一二级保护区以外的区域为三级保护区”。</w:t>
            </w:r>
          </w:p>
          <w:p>
            <w:pPr>
              <w:spacing w:line="360" w:lineRule="auto"/>
              <w:ind w:firstLine="480" w:firstLineChars="200"/>
              <w:rPr>
                <w:color w:val="auto"/>
                <w:sz w:val="24"/>
              </w:rPr>
            </w:pPr>
            <w:r>
              <w:rPr>
                <w:color w:val="auto"/>
                <w:sz w:val="24"/>
              </w:rPr>
              <w:t>本项目位于无锡市新吴区</w:t>
            </w:r>
            <w:r>
              <w:rPr>
                <w:rFonts w:hint="eastAsia"/>
                <w:color w:val="auto"/>
                <w:sz w:val="24"/>
              </w:rPr>
              <w:t>新风路69</w:t>
            </w:r>
            <w:r>
              <w:rPr>
                <w:color w:val="auto"/>
                <w:sz w:val="24"/>
              </w:rPr>
              <w:t>号，距离太湖岸线约12.</w:t>
            </w:r>
            <w:r>
              <w:rPr>
                <w:rFonts w:hint="eastAsia"/>
                <w:color w:val="auto"/>
                <w:sz w:val="24"/>
              </w:rPr>
              <w:t>4</w:t>
            </w:r>
            <w:r>
              <w:rPr>
                <w:color w:val="auto"/>
                <w:sz w:val="24"/>
              </w:rPr>
              <w:t>公里、望虞河岸线约13.</w:t>
            </w:r>
            <w:r>
              <w:rPr>
                <w:rFonts w:hint="eastAsia"/>
                <w:color w:val="auto"/>
                <w:sz w:val="24"/>
              </w:rPr>
              <w:t>6</w:t>
            </w:r>
            <w:r>
              <w:rPr>
                <w:color w:val="auto"/>
                <w:sz w:val="24"/>
              </w:rPr>
              <w:t>公里，同时通过对苏政办发[2012]221号查实，建设项目所在地属于太湖三级保护区范围内。</w:t>
            </w:r>
          </w:p>
          <w:p>
            <w:pPr>
              <w:spacing w:line="360" w:lineRule="auto"/>
              <w:ind w:firstLine="480" w:firstLineChars="200"/>
              <w:rPr>
                <w:color w:val="auto"/>
                <w:sz w:val="24"/>
              </w:rPr>
            </w:pPr>
            <w:r>
              <w:rPr>
                <w:color w:val="auto"/>
                <w:sz w:val="24"/>
              </w:rPr>
              <w:t>（2）相符性分析</w:t>
            </w:r>
          </w:p>
          <w:p>
            <w:pPr>
              <w:spacing w:line="360" w:lineRule="auto"/>
              <w:ind w:firstLine="480" w:firstLineChars="200"/>
              <w:rPr>
                <w:color w:val="auto"/>
                <w:sz w:val="24"/>
              </w:rPr>
            </w:pPr>
            <w:r>
              <w:rPr>
                <w:color w:val="auto"/>
                <w:sz w:val="24"/>
              </w:rPr>
              <w:t>根据《省政府办公厅关于公布江苏省太湖流域三级保护区范围的通知》（苏政办发[2012]221号），本项目位于太湖三级保护区范围。根据2021年9月29日江苏省第十三届人民代表大会常务委员会第二十五次会议《关于修改〈江苏省河道管理条例〉等二十九件地方性法规的决定》第四次修正的《江苏省太湖水污染防治条例》中第四十三条、第四十五条、第四十六条的规定：</w:t>
            </w:r>
          </w:p>
          <w:p>
            <w:pPr>
              <w:spacing w:line="360" w:lineRule="auto"/>
              <w:ind w:firstLine="480" w:firstLineChars="200"/>
              <w:rPr>
                <w:color w:val="auto"/>
                <w:sz w:val="24"/>
              </w:rPr>
            </w:pPr>
            <w:r>
              <w:rPr>
                <w:color w:val="auto"/>
                <w:sz w:val="24"/>
              </w:rPr>
              <w:t>“第四十三条  太湖流域一、二、三级保护区禁止下列行为：</w:t>
            </w:r>
          </w:p>
          <w:p>
            <w:pPr>
              <w:spacing w:line="360" w:lineRule="auto"/>
              <w:ind w:firstLine="480" w:firstLineChars="200"/>
              <w:rPr>
                <w:color w:val="auto"/>
                <w:sz w:val="24"/>
              </w:rPr>
            </w:pPr>
            <w:r>
              <w:rPr>
                <w:color w:val="auto"/>
                <w:sz w:val="24"/>
              </w:rPr>
              <w:t>（一）新建、改建、扩建化学制浆造纸、制革、酿造、染料、印染、电镀以及其他排放含磷、氮等污染物的企业和项目，城镇污水集中处理等环境基础设施项目和第四十六条规定的情形除外；</w:t>
            </w:r>
          </w:p>
          <w:p>
            <w:pPr>
              <w:spacing w:line="360" w:lineRule="auto"/>
              <w:ind w:firstLine="480" w:firstLineChars="200"/>
              <w:rPr>
                <w:color w:val="auto"/>
                <w:sz w:val="24"/>
              </w:rPr>
            </w:pPr>
            <w:r>
              <w:rPr>
                <w:color w:val="auto"/>
                <w:sz w:val="24"/>
              </w:rPr>
              <w:t>（二）销售、使用含磷洗涤用品；</w:t>
            </w:r>
          </w:p>
          <w:p>
            <w:pPr>
              <w:spacing w:line="360" w:lineRule="auto"/>
              <w:ind w:firstLine="480" w:firstLineChars="200"/>
              <w:rPr>
                <w:color w:val="auto"/>
                <w:sz w:val="24"/>
              </w:rPr>
            </w:pPr>
            <w:r>
              <w:rPr>
                <w:color w:val="auto"/>
                <w:sz w:val="24"/>
              </w:rPr>
              <w:t>（三）向水体排放或者倾倒油类、酸液、碱液、剧毒废渣废液、含放射性废渣废液、含病原体污水、工业废渣以及其他废弃物；</w:t>
            </w:r>
          </w:p>
          <w:p>
            <w:pPr>
              <w:spacing w:line="360" w:lineRule="auto"/>
              <w:ind w:firstLine="480" w:firstLineChars="200"/>
              <w:rPr>
                <w:color w:val="auto"/>
                <w:sz w:val="24"/>
              </w:rPr>
            </w:pPr>
            <w:r>
              <w:rPr>
                <w:color w:val="auto"/>
                <w:sz w:val="24"/>
              </w:rPr>
              <w:t>（四）在水体清洗装贮过油类或者有毒有害污染物的车辆、船舶和容器等；</w:t>
            </w:r>
          </w:p>
          <w:p>
            <w:pPr>
              <w:spacing w:line="360" w:lineRule="auto"/>
              <w:ind w:firstLine="480" w:firstLineChars="200"/>
              <w:rPr>
                <w:color w:val="auto"/>
                <w:sz w:val="24"/>
              </w:rPr>
            </w:pPr>
            <w:r>
              <w:rPr>
                <w:color w:val="auto"/>
                <w:sz w:val="24"/>
              </w:rPr>
              <w:t>（五）使用农药等有毒物毒杀水生生物；</w:t>
            </w:r>
          </w:p>
          <w:p>
            <w:pPr>
              <w:spacing w:line="360" w:lineRule="auto"/>
              <w:ind w:firstLine="480" w:firstLineChars="200"/>
              <w:rPr>
                <w:color w:val="auto"/>
                <w:sz w:val="24"/>
              </w:rPr>
            </w:pPr>
            <w:r>
              <w:rPr>
                <w:color w:val="auto"/>
                <w:sz w:val="24"/>
              </w:rPr>
              <w:t>（六）向水体直接排放人畜粪便、倾倒垃圾；</w:t>
            </w:r>
          </w:p>
          <w:p>
            <w:pPr>
              <w:spacing w:line="360" w:lineRule="auto"/>
              <w:ind w:firstLine="480" w:firstLineChars="200"/>
              <w:rPr>
                <w:color w:val="auto"/>
                <w:sz w:val="24"/>
              </w:rPr>
            </w:pPr>
            <w:r>
              <w:rPr>
                <w:color w:val="auto"/>
                <w:sz w:val="24"/>
              </w:rPr>
              <w:t>（七）围湖造地；</w:t>
            </w:r>
          </w:p>
          <w:p>
            <w:pPr>
              <w:spacing w:line="360" w:lineRule="auto"/>
              <w:ind w:firstLine="480" w:firstLineChars="200"/>
              <w:rPr>
                <w:color w:val="auto"/>
                <w:sz w:val="24"/>
              </w:rPr>
            </w:pPr>
            <w:r>
              <w:rPr>
                <w:color w:val="auto"/>
                <w:sz w:val="24"/>
              </w:rPr>
              <w:t>（八）违法开山采石，或者进行破坏林木、植被、水生生物的活动；</w:t>
            </w:r>
          </w:p>
          <w:p>
            <w:pPr>
              <w:spacing w:line="360" w:lineRule="auto"/>
              <w:ind w:firstLine="480" w:firstLineChars="200"/>
              <w:rPr>
                <w:color w:val="auto"/>
                <w:sz w:val="24"/>
              </w:rPr>
            </w:pPr>
            <w:r>
              <w:rPr>
                <w:color w:val="auto"/>
                <w:sz w:val="24"/>
              </w:rPr>
              <w:t>（九）法律、法规禁止的其他行为。”</w:t>
            </w:r>
          </w:p>
          <w:p>
            <w:pPr>
              <w:spacing w:line="360" w:lineRule="auto"/>
              <w:ind w:firstLine="480" w:firstLineChars="200"/>
              <w:rPr>
                <w:color w:val="auto"/>
                <w:sz w:val="24"/>
              </w:rPr>
            </w:pPr>
            <w:r>
              <w:rPr>
                <w:color w:val="auto"/>
                <w:sz w:val="24"/>
              </w:rPr>
              <w:t>“第四十五条  太湖流域二级保护区限制下列行为：</w:t>
            </w:r>
          </w:p>
          <w:p>
            <w:pPr>
              <w:spacing w:line="360" w:lineRule="auto"/>
              <w:ind w:firstLine="480" w:firstLineChars="200"/>
              <w:rPr>
                <w:color w:val="auto"/>
                <w:sz w:val="24"/>
              </w:rPr>
            </w:pPr>
            <w:r>
              <w:rPr>
                <w:color w:val="auto"/>
                <w:sz w:val="24"/>
              </w:rPr>
              <w:t>（一）新建、扩建化工、医药生产项目；</w:t>
            </w:r>
          </w:p>
          <w:p>
            <w:pPr>
              <w:spacing w:line="360" w:lineRule="auto"/>
              <w:ind w:firstLine="480" w:firstLineChars="200"/>
              <w:rPr>
                <w:color w:val="auto"/>
                <w:sz w:val="24"/>
              </w:rPr>
            </w:pPr>
            <w:r>
              <w:rPr>
                <w:color w:val="auto"/>
                <w:sz w:val="24"/>
              </w:rPr>
              <w:t>（二）新建、扩建污水集中处理设施排污口以外的排污口；</w:t>
            </w:r>
          </w:p>
          <w:p>
            <w:pPr>
              <w:spacing w:line="360" w:lineRule="auto"/>
              <w:ind w:firstLine="480" w:firstLineChars="200"/>
              <w:rPr>
                <w:color w:val="auto"/>
                <w:sz w:val="24"/>
              </w:rPr>
            </w:pPr>
            <w:r>
              <w:rPr>
                <w:color w:val="auto"/>
                <w:sz w:val="24"/>
              </w:rPr>
              <w:t>（三）扩大水产养殖规模；</w:t>
            </w:r>
          </w:p>
          <w:p>
            <w:pPr>
              <w:spacing w:line="360" w:lineRule="auto"/>
              <w:ind w:firstLine="480" w:firstLineChars="200"/>
              <w:rPr>
                <w:color w:val="auto"/>
                <w:sz w:val="24"/>
              </w:rPr>
            </w:pPr>
            <w:r>
              <w:rPr>
                <w:color w:val="auto"/>
                <w:sz w:val="24"/>
              </w:rPr>
              <w:t>（四）法律、法规禁止的其他行为。”</w:t>
            </w:r>
          </w:p>
          <w:p>
            <w:pPr>
              <w:spacing w:line="360" w:lineRule="auto"/>
              <w:ind w:firstLine="480" w:firstLineChars="200"/>
              <w:rPr>
                <w:color w:val="auto"/>
                <w:sz w:val="24"/>
              </w:rPr>
            </w:pPr>
            <w:r>
              <w:rPr>
                <w:color w:val="auto"/>
                <w:sz w:val="24"/>
              </w:rPr>
              <w:t>本项目位于无锡市新吴区</w:t>
            </w:r>
            <w:r>
              <w:rPr>
                <w:rFonts w:hint="eastAsia"/>
                <w:color w:val="auto"/>
                <w:sz w:val="24"/>
              </w:rPr>
              <w:t>新风路69</w:t>
            </w:r>
            <w:r>
              <w:rPr>
                <w:color w:val="auto"/>
                <w:sz w:val="24"/>
              </w:rPr>
              <w:t>号，距离太湖岸线约12.</w:t>
            </w:r>
            <w:r>
              <w:rPr>
                <w:rFonts w:hint="eastAsia"/>
                <w:color w:val="auto"/>
                <w:sz w:val="24"/>
              </w:rPr>
              <w:t>4</w:t>
            </w:r>
            <w:r>
              <w:rPr>
                <w:color w:val="auto"/>
                <w:sz w:val="24"/>
              </w:rPr>
              <w:t>公里、望虞河岸线约13.</w:t>
            </w:r>
            <w:r>
              <w:rPr>
                <w:rFonts w:hint="eastAsia"/>
                <w:color w:val="auto"/>
                <w:sz w:val="24"/>
              </w:rPr>
              <w:t>6</w:t>
            </w:r>
            <w:r>
              <w:rPr>
                <w:color w:val="auto"/>
                <w:sz w:val="24"/>
              </w:rPr>
              <w:t>公里，根据《省政府办公厅关于公布江苏省太湖流域三级保护区范围的通知》（苏政办发[2012]221号），位于三级保护区，项目行业类别为C3311金属结构制造、C3525模具制造，不属于上述禁止建设项目；本项目废水主要为</w:t>
            </w:r>
            <w:r>
              <w:rPr>
                <w:rFonts w:hint="eastAsia"/>
                <w:color w:val="auto"/>
                <w:sz w:val="24"/>
              </w:rPr>
              <w:t>生活污水</w:t>
            </w:r>
            <w:r>
              <w:rPr>
                <w:color w:val="auto"/>
                <w:sz w:val="24"/>
              </w:rPr>
              <w:t>、</w:t>
            </w:r>
            <w:r>
              <w:rPr>
                <w:rFonts w:hint="eastAsia"/>
                <w:color w:val="auto"/>
                <w:sz w:val="24"/>
              </w:rPr>
              <w:t>纯水制备浓水、纯水设备反冲洗水</w:t>
            </w:r>
            <w:r>
              <w:rPr>
                <w:color w:val="auto"/>
                <w:sz w:val="24"/>
              </w:rPr>
              <w:t>和生产废水，</w:t>
            </w:r>
            <w:r>
              <w:rPr>
                <w:rFonts w:hint="eastAsia"/>
                <w:color w:val="auto"/>
                <w:sz w:val="24"/>
              </w:rPr>
              <w:t>生活污水</w:t>
            </w:r>
            <w:r>
              <w:rPr>
                <w:color w:val="auto"/>
                <w:sz w:val="24"/>
              </w:rPr>
              <w:t>经化粪池预处理后与纯水制备浓水、反冲洗废水一并接入梅村水处理厂集中处理</w:t>
            </w:r>
            <w:r>
              <w:rPr>
                <w:rFonts w:hint="eastAsia"/>
                <w:color w:val="auto"/>
                <w:sz w:val="24"/>
              </w:rPr>
              <w:t>，生产废水经厂内污水处理设施处理后回用于生产，不外排</w:t>
            </w:r>
            <w:r>
              <w:rPr>
                <w:color w:val="auto"/>
                <w:sz w:val="24"/>
              </w:rPr>
              <w:t>；固废分类妥善处置，实现“零”排放。因此，本项目符合《江苏省太湖流域水污染防治条例（2021年修订）》要求。</w:t>
            </w:r>
          </w:p>
          <w:p>
            <w:pPr>
              <w:keepNext/>
              <w:keepLines/>
              <w:spacing w:line="360" w:lineRule="auto"/>
              <w:ind w:firstLine="482" w:firstLineChars="200"/>
              <w:outlineLvl w:val="3"/>
              <w:rPr>
                <w:b/>
                <w:color w:val="auto"/>
                <w:sz w:val="24"/>
              </w:rPr>
            </w:pPr>
            <w:r>
              <w:rPr>
                <w:rFonts w:hint="eastAsia"/>
                <w:b/>
                <w:color w:val="auto"/>
                <w:sz w:val="24"/>
              </w:rPr>
              <w:t>B</w:t>
            </w:r>
            <w:r>
              <w:rPr>
                <w:b/>
                <w:color w:val="auto"/>
                <w:sz w:val="24"/>
              </w:rPr>
              <w:t>与《太湖流域管理条例》的相符合性分析</w:t>
            </w:r>
          </w:p>
          <w:p>
            <w:pPr>
              <w:spacing w:line="360" w:lineRule="auto"/>
              <w:ind w:firstLine="480" w:firstLineChars="200"/>
              <w:rPr>
                <w:color w:val="auto"/>
                <w:sz w:val="24"/>
              </w:rPr>
            </w:pPr>
            <w:r>
              <w:rPr>
                <w:color w:val="auto"/>
                <w:sz w:val="24"/>
              </w:rPr>
              <w:t>根据《太湖流域管理条例》规定：</w:t>
            </w:r>
          </w:p>
          <w:p>
            <w:pPr>
              <w:spacing w:line="360" w:lineRule="auto"/>
              <w:ind w:firstLine="482" w:firstLineChars="200"/>
              <w:rPr>
                <w:color w:val="auto"/>
                <w:sz w:val="24"/>
              </w:rPr>
            </w:pPr>
            <w:r>
              <w:rPr>
                <w:b/>
                <w:color w:val="auto"/>
                <w:sz w:val="24"/>
              </w:rPr>
              <w:t xml:space="preserve">第二十八条 </w:t>
            </w:r>
            <w:r>
              <w:rPr>
                <w:color w:val="auto"/>
                <w:sz w:val="24"/>
              </w:rPr>
              <w:t>禁止在太湖流域设置不符合国家产业政策和水环境综合治理要求的造纸、制革、酒精、淀粉、冶金、酿造、印染、电镀等排放水污染物的生产项目，现有的生产项目不能实现达标排放的，应当依法关闭。</w:t>
            </w:r>
          </w:p>
          <w:p>
            <w:pPr>
              <w:spacing w:line="360" w:lineRule="auto"/>
              <w:ind w:firstLine="482" w:firstLineChars="200"/>
              <w:rPr>
                <w:color w:val="auto"/>
                <w:sz w:val="24"/>
              </w:rPr>
            </w:pPr>
            <w:r>
              <w:rPr>
                <w:b/>
                <w:color w:val="auto"/>
                <w:sz w:val="24"/>
              </w:rPr>
              <w:t>第二十九条</w:t>
            </w:r>
            <w:r>
              <w:rPr>
                <w:color w:val="auto"/>
                <w:sz w:val="24"/>
              </w:rPr>
              <w:t xml:space="preserve"> 新孟河、望虞河以外的其他主要入太湖河道，自河口1万米上溯至5万米河道岸线内及其岸线两侧各1000米范围内，禁止下列行为：</w:t>
            </w:r>
          </w:p>
          <w:p>
            <w:pPr>
              <w:spacing w:line="360" w:lineRule="auto"/>
              <w:ind w:firstLine="480" w:firstLineChars="200"/>
              <w:rPr>
                <w:color w:val="auto"/>
                <w:sz w:val="24"/>
              </w:rPr>
            </w:pPr>
            <w:r>
              <w:rPr>
                <w:color w:val="auto"/>
                <w:sz w:val="24"/>
              </w:rPr>
              <w:t>（一）新建、建设化工、医药生产项目；</w:t>
            </w:r>
          </w:p>
          <w:p>
            <w:pPr>
              <w:spacing w:line="360" w:lineRule="auto"/>
              <w:ind w:firstLine="480" w:firstLineChars="200"/>
              <w:rPr>
                <w:color w:val="auto"/>
                <w:sz w:val="24"/>
              </w:rPr>
            </w:pPr>
            <w:r>
              <w:rPr>
                <w:color w:val="auto"/>
                <w:sz w:val="24"/>
              </w:rPr>
              <w:t>（二）新建、建设污水集中处理设施排污口以外的排污口；</w:t>
            </w:r>
          </w:p>
          <w:p>
            <w:pPr>
              <w:spacing w:line="360" w:lineRule="auto"/>
              <w:ind w:firstLine="480" w:firstLineChars="200"/>
              <w:rPr>
                <w:color w:val="auto"/>
                <w:sz w:val="24"/>
              </w:rPr>
            </w:pPr>
            <w:r>
              <w:rPr>
                <w:color w:val="auto"/>
                <w:sz w:val="24"/>
              </w:rPr>
              <w:t>（三）扩大水产养殖规模。</w:t>
            </w:r>
          </w:p>
          <w:p>
            <w:pPr>
              <w:spacing w:line="360" w:lineRule="auto"/>
              <w:ind w:firstLine="482" w:firstLineChars="200"/>
              <w:rPr>
                <w:color w:val="auto"/>
                <w:sz w:val="24"/>
              </w:rPr>
            </w:pPr>
            <w:r>
              <w:rPr>
                <w:b/>
                <w:color w:val="auto"/>
                <w:sz w:val="24"/>
              </w:rPr>
              <w:t>第三十条</w:t>
            </w:r>
            <w:r>
              <w:rPr>
                <w:color w:val="auto"/>
                <w:sz w:val="24"/>
              </w:rPr>
              <w:t xml:space="preserve"> 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pPr>
              <w:spacing w:line="360" w:lineRule="auto"/>
              <w:ind w:firstLine="480" w:firstLineChars="200"/>
              <w:rPr>
                <w:color w:val="auto"/>
                <w:sz w:val="24"/>
              </w:rPr>
            </w:pPr>
            <w:r>
              <w:rPr>
                <w:color w:val="auto"/>
                <w:sz w:val="24"/>
              </w:rPr>
              <w:t>（一）设置剧毒物质、危险化学品的贮存、输送设施和废物回收场、垃圾场；</w:t>
            </w:r>
          </w:p>
          <w:p>
            <w:pPr>
              <w:spacing w:line="360" w:lineRule="auto"/>
              <w:ind w:firstLine="480" w:firstLineChars="200"/>
              <w:rPr>
                <w:color w:val="auto"/>
                <w:sz w:val="24"/>
              </w:rPr>
            </w:pPr>
            <w:r>
              <w:rPr>
                <w:color w:val="auto"/>
                <w:sz w:val="24"/>
              </w:rPr>
              <w:t>（二）设置水上餐饮经营设施；</w:t>
            </w:r>
          </w:p>
          <w:p>
            <w:pPr>
              <w:spacing w:line="360" w:lineRule="auto"/>
              <w:ind w:firstLine="480" w:firstLineChars="200"/>
              <w:rPr>
                <w:color w:val="auto"/>
                <w:sz w:val="24"/>
              </w:rPr>
            </w:pPr>
            <w:r>
              <w:rPr>
                <w:color w:val="auto"/>
                <w:sz w:val="24"/>
              </w:rPr>
              <w:t>（三）新建、建设高尔夫球场；</w:t>
            </w:r>
          </w:p>
          <w:p>
            <w:pPr>
              <w:spacing w:line="360" w:lineRule="auto"/>
              <w:ind w:firstLine="480" w:firstLineChars="200"/>
              <w:rPr>
                <w:color w:val="auto"/>
                <w:sz w:val="24"/>
              </w:rPr>
            </w:pPr>
            <w:r>
              <w:rPr>
                <w:color w:val="auto"/>
                <w:sz w:val="24"/>
              </w:rPr>
              <w:t>（四）新建、建设畜禽养殖场；</w:t>
            </w:r>
          </w:p>
          <w:p>
            <w:pPr>
              <w:spacing w:line="360" w:lineRule="auto"/>
              <w:ind w:firstLine="480" w:firstLineChars="200"/>
              <w:rPr>
                <w:color w:val="auto"/>
                <w:sz w:val="24"/>
              </w:rPr>
            </w:pPr>
            <w:r>
              <w:rPr>
                <w:color w:val="auto"/>
                <w:sz w:val="24"/>
              </w:rPr>
              <w:t>（五）新建、建设向水体排放污染物的建设项目；</w:t>
            </w:r>
          </w:p>
          <w:p>
            <w:pPr>
              <w:spacing w:line="360" w:lineRule="auto"/>
              <w:ind w:firstLine="480" w:firstLineChars="200"/>
              <w:rPr>
                <w:color w:val="auto"/>
                <w:sz w:val="24"/>
              </w:rPr>
            </w:pPr>
            <w:r>
              <w:rPr>
                <w:color w:val="auto"/>
                <w:sz w:val="24"/>
              </w:rPr>
              <w:t>（六）本条例第二十九条规定的行为。</w:t>
            </w:r>
          </w:p>
          <w:p>
            <w:pPr>
              <w:spacing w:line="360" w:lineRule="auto"/>
              <w:ind w:firstLine="480" w:firstLineChars="200"/>
              <w:rPr>
                <w:color w:val="auto"/>
                <w:sz w:val="24"/>
              </w:rPr>
            </w:pPr>
            <w:r>
              <w:rPr>
                <w:color w:val="auto"/>
                <w:sz w:val="24"/>
              </w:rPr>
              <w:t>已经设置前款第一项、第二项规定设施的，当地县级人民政府应当责令拆除或者关闭。</w:t>
            </w:r>
          </w:p>
          <w:p>
            <w:pPr>
              <w:spacing w:line="360" w:lineRule="auto"/>
              <w:ind w:firstLine="480" w:firstLineChars="200"/>
              <w:rPr>
                <w:color w:val="auto"/>
                <w:sz w:val="24"/>
              </w:rPr>
            </w:pPr>
            <w:r>
              <w:rPr>
                <w:color w:val="auto"/>
                <w:sz w:val="24"/>
              </w:rPr>
              <w:t>本项目</w:t>
            </w:r>
            <w:r>
              <w:rPr>
                <w:color w:val="auto"/>
                <w:spacing w:val="-3"/>
                <w:sz w:val="24"/>
              </w:rPr>
              <w:t>位于无锡市新吴区</w:t>
            </w:r>
            <w:r>
              <w:rPr>
                <w:rFonts w:hint="eastAsia"/>
                <w:color w:val="auto"/>
                <w:spacing w:val="-3"/>
                <w:sz w:val="24"/>
              </w:rPr>
              <w:t>新风路69</w:t>
            </w:r>
            <w:r>
              <w:rPr>
                <w:color w:val="auto"/>
                <w:spacing w:val="-5"/>
                <w:sz w:val="24"/>
              </w:rPr>
              <w:t>号</w:t>
            </w:r>
            <w:r>
              <w:rPr>
                <w:color w:val="auto"/>
                <w:sz w:val="24"/>
              </w:rPr>
              <w:t>，距离太湖岸线约12.</w:t>
            </w:r>
            <w:r>
              <w:rPr>
                <w:rFonts w:hint="eastAsia"/>
                <w:color w:val="auto"/>
                <w:sz w:val="24"/>
              </w:rPr>
              <w:t>4</w:t>
            </w:r>
            <w:r>
              <w:rPr>
                <w:color w:val="auto"/>
                <w:sz w:val="24"/>
              </w:rPr>
              <w:t>公里、望虞河岸线约13.</w:t>
            </w:r>
            <w:r>
              <w:rPr>
                <w:rFonts w:hint="eastAsia"/>
                <w:color w:val="auto"/>
                <w:sz w:val="24"/>
              </w:rPr>
              <w:t>6</w:t>
            </w:r>
            <w:r>
              <w:rPr>
                <w:color w:val="auto"/>
                <w:sz w:val="24"/>
              </w:rPr>
              <w:t>公里，根据《省政府办公厅关于公布江苏省太湖流域三级保护区范围的通知》（苏政办发[2012]221号），位于三级保护区，</w:t>
            </w:r>
            <w:r>
              <w:rPr>
                <w:color w:val="auto"/>
              </w:rPr>
              <w:t>项目行业类别为</w:t>
            </w:r>
            <w:r>
              <w:rPr>
                <w:color w:val="auto"/>
                <w:sz w:val="24"/>
              </w:rPr>
              <w:t>C3311金属结构制造、C3525模具制造，不属于上述禁止建设项目；本项目营运期间产生的非甲烷总烃、颗粒物等经废气处理设施处理达标后排放；</w:t>
            </w:r>
            <w:r>
              <w:rPr>
                <w:rFonts w:hint="eastAsia"/>
                <w:color w:val="auto"/>
                <w:sz w:val="24"/>
              </w:rPr>
              <w:t>生活污水</w:t>
            </w:r>
            <w:r>
              <w:rPr>
                <w:color w:val="auto"/>
                <w:sz w:val="24"/>
              </w:rPr>
              <w:t>经化粪池预处理后与纯水制备浓水、反冲洗废水一并接入梅村水处理厂集中处理</w:t>
            </w:r>
            <w:r>
              <w:rPr>
                <w:rFonts w:hint="eastAsia"/>
                <w:color w:val="auto"/>
                <w:sz w:val="24"/>
              </w:rPr>
              <w:t>，生产废水经厂内污水处理设施处理后回用于生产，不外排</w:t>
            </w:r>
            <w:r>
              <w:rPr>
                <w:color w:val="auto"/>
                <w:sz w:val="24"/>
              </w:rPr>
              <w:t>；固废分类妥善处置，实现“零”排放。因此，本项目符合《太湖流域管理条例》要求。</w:t>
            </w:r>
          </w:p>
          <w:p>
            <w:pPr>
              <w:pStyle w:val="6"/>
              <w:adjustRightInd w:val="0"/>
              <w:snapToGrid w:val="0"/>
              <w:spacing w:line="360" w:lineRule="auto"/>
              <w:ind w:firstLine="0" w:firstLineChars="0"/>
              <w:jc w:val="left"/>
              <w:rPr>
                <w:b/>
                <w:bCs/>
                <w:color w:val="auto"/>
                <w:sz w:val="24"/>
                <w:szCs w:val="24"/>
              </w:rPr>
            </w:pPr>
            <w:r>
              <w:rPr>
                <w:rFonts w:hint="eastAsia"/>
                <w:b/>
                <w:bCs/>
                <w:color w:val="auto"/>
                <w:sz w:val="24"/>
                <w:szCs w:val="24"/>
              </w:rPr>
              <w:t>4</w:t>
            </w:r>
            <w:r>
              <w:rPr>
                <w:b/>
                <w:bCs/>
                <w:color w:val="auto"/>
                <w:sz w:val="24"/>
                <w:szCs w:val="24"/>
              </w:rPr>
              <w:t>、</w:t>
            </w:r>
            <w:r>
              <w:rPr>
                <w:b/>
                <w:bCs/>
                <w:color w:val="auto"/>
                <w:sz w:val="24"/>
              </w:rPr>
              <w:t>与大气相关条例相符性分析</w:t>
            </w:r>
          </w:p>
          <w:p>
            <w:pPr>
              <w:adjustRightInd w:val="0"/>
              <w:snapToGrid w:val="0"/>
              <w:spacing w:line="360" w:lineRule="auto"/>
              <w:ind w:firstLine="482" w:firstLineChars="200"/>
              <w:rPr>
                <w:b/>
                <w:color w:val="auto"/>
                <w:sz w:val="24"/>
                <w:szCs w:val="32"/>
              </w:rPr>
            </w:pPr>
            <w:r>
              <w:rPr>
                <w:b/>
                <w:bCs/>
                <w:color w:val="auto"/>
                <w:sz w:val="24"/>
              </w:rPr>
              <w:t>（</w:t>
            </w:r>
            <w:r>
              <w:rPr>
                <w:rFonts w:hint="eastAsia"/>
                <w:b/>
                <w:bCs/>
                <w:color w:val="auto"/>
                <w:sz w:val="24"/>
                <w:lang w:val="en-US" w:eastAsia="zh-CN"/>
              </w:rPr>
              <w:t>1</w:t>
            </w:r>
            <w:r>
              <w:rPr>
                <w:b/>
                <w:bCs/>
                <w:color w:val="auto"/>
                <w:sz w:val="24"/>
              </w:rPr>
              <w:t>）与关于印发《无锡市2020年挥发性有机物专项治理工作方案》的通知（锡大气办〔2020〕3号）相符性分析</w:t>
            </w:r>
          </w:p>
          <w:p>
            <w:pPr>
              <w:numPr>
                <w:ilvl w:val="0"/>
                <w:numId w:val="2"/>
              </w:numPr>
              <w:jc w:val="center"/>
              <w:rPr>
                <w:b/>
                <w:color w:val="auto"/>
                <w:sz w:val="24"/>
                <w:szCs w:val="32"/>
              </w:rPr>
            </w:pPr>
            <w:r>
              <w:rPr>
                <w:b/>
                <w:color w:val="auto"/>
                <w:sz w:val="24"/>
                <w:szCs w:val="32"/>
              </w:rPr>
              <w:t>与锡大气办[2020]3号相符性分析</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18"/>
              <w:gridCol w:w="634"/>
              <w:gridCol w:w="3312"/>
              <w:gridCol w:w="3009"/>
              <w:gridCol w:w="7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03" w:type="pct"/>
                  <w:gridSpan w:val="2"/>
                  <w:tcBorders>
                    <w:tl2br w:val="nil"/>
                    <w:tr2bl w:val="nil"/>
                  </w:tcBorders>
                  <w:tcMar>
                    <w:top w:w="0" w:type="dxa"/>
                    <w:left w:w="11" w:type="dxa"/>
                    <w:bottom w:w="0" w:type="dxa"/>
                    <w:right w:w="11" w:type="dxa"/>
                  </w:tcMar>
                  <w:vAlign w:val="center"/>
                </w:tcPr>
                <w:p>
                  <w:pPr>
                    <w:adjustRightInd w:val="0"/>
                    <w:snapToGrid w:val="0"/>
                    <w:jc w:val="center"/>
                    <w:rPr>
                      <w:b/>
                      <w:bCs/>
                      <w:color w:val="auto"/>
                      <w:szCs w:val="21"/>
                    </w:rPr>
                  </w:pPr>
                  <w:r>
                    <w:rPr>
                      <w:b/>
                      <w:bCs/>
                      <w:color w:val="auto"/>
                      <w:szCs w:val="21"/>
                    </w:rPr>
                    <w:t>条款</w:t>
                  </w:r>
                </w:p>
              </w:tc>
              <w:tc>
                <w:tcPr>
                  <w:tcW w:w="2021" w:type="pct"/>
                  <w:tcBorders>
                    <w:tl2br w:val="nil"/>
                    <w:tr2bl w:val="nil"/>
                  </w:tcBorders>
                  <w:tcMar>
                    <w:top w:w="0" w:type="dxa"/>
                    <w:left w:w="11" w:type="dxa"/>
                    <w:bottom w:w="0" w:type="dxa"/>
                    <w:right w:w="11" w:type="dxa"/>
                  </w:tcMar>
                  <w:vAlign w:val="center"/>
                </w:tcPr>
                <w:p>
                  <w:pPr>
                    <w:adjustRightInd w:val="0"/>
                    <w:snapToGrid w:val="0"/>
                    <w:jc w:val="center"/>
                    <w:rPr>
                      <w:b/>
                      <w:bCs/>
                      <w:color w:val="auto"/>
                      <w:szCs w:val="21"/>
                    </w:rPr>
                  </w:pPr>
                  <w:r>
                    <w:rPr>
                      <w:b/>
                      <w:bCs/>
                      <w:color w:val="auto"/>
                      <w:szCs w:val="21"/>
                    </w:rPr>
                    <w:t>内容</w:t>
                  </w:r>
                </w:p>
              </w:tc>
              <w:tc>
                <w:tcPr>
                  <w:tcW w:w="1836" w:type="pct"/>
                  <w:tcBorders>
                    <w:tl2br w:val="nil"/>
                    <w:tr2bl w:val="nil"/>
                  </w:tcBorders>
                  <w:tcMar>
                    <w:top w:w="0" w:type="dxa"/>
                    <w:left w:w="11" w:type="dxa"/>
                    <w:bottom w:w="0" w:type="dxa"/>
                    <w:right w:w="11" w:type="dxa"/>
                  </w:tcMar>
                  <w:vAlign w:val="center"/>
                </w:tcPr>
                <w:p>
                  <w:pPr>
                    <w:adjustRightInd w:val="0"/>
                    <w:snapToGrid w:val="0"/>
                    <w:jc w:val="center"/>
                    <w:rPr>
                      <w:b/>
                      <w:bCs/>
                      <w:color w:val="auto"/>
                      <w:szCs w:val="21"/>
                    </w:rPr>
                  </w:pPr>
                  <w:r>
                    <w:rPr>
                      <w:b/>
                      <w:color w:val="auto"/>
                      <w:szCs w:val="21"/>
                    </w:rPr>
                    <w:t>项目实际情况</w:t>
                  </w:r>
                </w:p>
              </w:tc>
              <w:tc>
                <w:tcPr>
                  <w:tcW w:w="438" w:type="pct"/>
                  <w:tcBorders>
                    <w:tl2br w:val="nil"/>
                    <w:tr2bl w:val="nil"/>
                  </w:tcBorders>
                  <w:tcMar>
                    <w:top w:w="0" w:type="dxa"/>
                    <w:left w:w="11" w:type="dxa"/>
                    <w:bottom w:w="0" w:type="dxa"/>
                    <w:right w:w="11" w:type="dxa"/>
                  </w:tcMar>
                  <w:vAlign w:val="center"/>
                </w:tcPr>
                <w:p>
                  <w:pPr>
                    <w:adjustRightInd w:val="0"/>
                    <w:snapToGrid w:val="0"/>
                    <w:jc w:val="center"/>
                    <w:rPr>
                      <w:b/>
                      <w:color w:val="auto"/>
                      <w:szCs w:val="21"/>
                    </w:rPr>
                  </w:pPr>
                  <w:r>
                    <w:rPr>
                      <w:b/>
                      <w:color w:val="auto"/>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51" w:hRule="atLeast"/>
                <w:jc w:val="center"/>
              </w:trPr>
              <w:tc>
                <w:tcPr>
                  <w:tcW w:w="316" w:type="pct"/>
                  <w:vMerge w:val="restart"/>
                  <w:tcBorders>
                    <w:tl2br w:val="nil"/>
                    <w:tr2bl w:val="nil"/>
                  </w:tcBorders>
                  <w:tcMar>
                    <w:top w:w="0" w:type="dxa"/>
                    <w:left w:w="11" w:type="dxa"/>
                    <w:bottom w:w="0" w:type="dxa"/>
                    <w:right w:w="11" w:type="dxa"/>
                  </w:tcMar>
                  <w:vAlign w:val="center"/>
                </w:tcPr>
                <w:p>
                  <w:pPr>
                    <w:adjustRightInd w:val="0"/>
                    <w:snapToGrid w:val="0"/>
                    <w:jc w:val="left"/>
                    <w:rPr>
                      <w:b/>
                      <w:bCs/>
                      <w:color w:val="auto"/>
                      <w:szCs w:val="21"/>
                    </w:rPr>
                  </w:pPr>
                  <w:r>
                    <w:rPr>
                      <w:b/>
                      <w:bCs/>
                      <w:color w:val="auto"/>
                      <w:szCs w:val="21"/>
                    </w:rPr>
                    <w:t>三、主要任务</w:t>
                  </w:r>
                </w:p>
                <w:p>
                  <w:pPr>
                    <w:adjustRightInd w:val="0"/>
                    <w:snapToGrid w:val="0"/>
                    <w:rPr>
                      <w:b/>
                      <w:bCs/>
                      <w:color w:val="auto"/>
                      <w:szCs w:val="21"/>
                    </w:rPr>
                  </w:pPr>
                </w:p>
              </w:tc>
              <w:tc>
                <w:tcPr>
                  <w:tcW w:w="386" w:type="pct"/>
                  <w:tcBorders>
                    <w:tl2br w:val="nil"/>
                    <w:tr2bl w:val="nil"/>
                  </w:tcBorders>
                  <w:tcMar>
                    <w:top w:w="0" w:type="dxa"/>
                    <w:left w:w="11" w:type="dxa"/>
                    <w:bottom w:w="0" w:type="dxa"/>
                    <w:right w:w="11" w:type="dxa"/>
                  </w:tcMar>
                  <w:vAlign w:val="center"/>
                </w:tcPr>
                <w:p>
                  <w:pPr>
                    <w:adjustRightInd w:val="0"/>
                    <w:snapToGrid w:val="0"/>
                    <w:jc w:val="center"/>
                    <w:rPr>
                      <w:b/>
                      <w:bCs/>
                      <w:color w:val="auto"/>
                      <w:szCs w:val="21"/>
                    </w:rPr>
                  </w:pPr>
                  <w:r>
                    <w:rPr>
                      <w:b/>
                      <w:bCs/>
                      <w:color w:val="auto"/>
                      <w:szCs w:val="21"/>
                    </w:rPr>
                    <w:t>（二）大力推进源头替代</w:t>
                  </w:r>
                </w:p>
              </w:tc>
              <w:tc>
                <w:tcPr>
                  <w:tcW w:w="2021" w:type="pct"/>
                  <w:tcBorders>
                    <w:tl2br w:val="nil"/>
                    <w:tr2bl w:val="nil"/>
                  </w:tcBorders>
                  <w:tcMar>
                    <w:top w:w="0" w:type="dxa"/>
                    <w:left w:w="11" w:type="dxa"/>
                    <w:bottom w:w="0" w:type="dxa"/>
                    <w:right w:w="11" w:type="dxa"/>
                  </w:tcMar>
                  <w:vAlign w:val="center"/>
                </w:tcPr>
                <w:p>
                  <w:pPr>
                    <w:pStyle w:val="58"/>
                    <w:autoSpaceDE w:val="0"/>
                    <w:autoSpaceDN w:val="0"/>
                    <w:adjustRightInd w:val="0"/>
                    <w:snapToGrid w:val="0"/>
                    <w:ind w:firstLine="0" w:firstLineChars="0"/>
                    <w:jc w:val="left"/>
                    <w:rPr>
                      <w:color w:val="auto"/>
                      <w:szCs w:val="21"/>
                    </w:rPr>
                  </w:pPr>
                  <w:r>
                    <w:rPr>
                      <w:color w:val="auto"/>
                      <w:szCs w:val="21"/>
                    </w:rPr>
                    <w:t>1、推进工业企业源头替代。禁止建设生产和使用高VOCs含量的溶剂型涂料、油墨、胶粘剂等项目。各市（县）、区要结合实际，加快化工、工业涂装、包装印刷等重点行业低VOCs含量源头替代进度。工业涂装行业重点加快使用粉末、水性、高固体分、辐射固化等低VOCs含量的涂料替代溶剂型涂料，按照《涂料中挥发性有机物限量》中VOCs含量限值要求，尽快完成涂装行业低VOCs含量涂料替代，对有机溶剂年用量小于10 吨且无法完成替代的企业实施兼并重组、关停转移。</w:t>
                  </w:r>
                </w:p>
              </w:tc>
              <w:tc>
                <w:tcPr>
                  <w:tcW w:w="1836" w:type="pct"/>
                  <w:tcBorders>
                    <w:tl2br w:val="nil"/>
                    <w:tr2bl w:val="nil"/>
                  </w:tcBorders>
                  <w:tcMar>
                    <w:top w:w="0" w:type="dxa"/>
                    <w:left w:w="11" w:type="dxa"/>
                    <w:bottom w:w="0" w:type="dxa"/>
                    <w:right w:w="11" w:type="dxa"/>
                  </w:tcMar>
                  <w:vAlign w:val="center"/>
                </w:tcPr>
                <w:p>
                  <w:pPr>
                    <w:adjustRightInd w:val="0"/>
                    <w:snapToGrid w:val="0"/>
                    <w:rPr>
                      <w:color w:val="auto"/>
                      <w:szCs w:val="21"/>
                    </w:rPr>
                  </w:pPr>
                  <w:r>
                    <w:rPr>
                      <w:color w:val="auto"/>
                      <w:szCs w:val="21"/>
                    </w:rPr>
                    <w:t>本项目行业类别为C3311金属结构制造、C3525模具制造，项目生产过程中不使用溶剂型涂料、油墨、胶黏剂等。</w:t>
                  </w:r>
                </w:p>
                <w:p>
                  <w:pPr>
                    <w:adjustRightInd w:val="0"/>
                    <w:snapToGrid w:val="0"/>
                    <w:jc w:val="left"/>
                    <w:rPr>
                      <w:color w:val="auto"/>
                      <w:szCs w:val="21"/>
                    </w:rPr>
                  </w:pPr>
                </w:p>
              </w:tc>
              <w:tc>
                <w:tcPr>
                  <w:tcW w:w="438" w:type="pct"/>
                  <w:tcBorders>
                    <w:tl2br w:val="nil"/>
                    <w:tr2bl w:val="nil"/>
                  </w:tcBorders>
                  <w:tcMar>
                    <w:top w:w="0" w:type="dxa"/>
                    <w:left w:w="11" w:type="dxa"/>
                    <w:bottom w:w="0" w:type="dxa"/>
                    <w:right w:w="11" w:type="dxa"/>
                  </w:tcMar>
                  <w:vAlign w:val="center"/>
                </w:tcPr>
                <w:p>
                  <w:pPr>
                    <w:adjustRightInd w:val="0"/>
                    <w:snapToGrid w:val="0"/>
                    <w:jc w:val="center"/>
                    <w:rPr>
                      <w:color w:val="auto"/>
                      <w:szCs w:val="21"/>
                    </w:rPr>
                  </w:pPr>
                  <w:r>
                    <w:rPr>
                      <w:color w:val="auto"/>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6" w:type="pct"/>
                  <w:vMerge w:val="continue"/>
                  <w:tcBorders>
                    <w:tl2br w:val="nil"/>
                    <w:tr2bl w:val="nil"/>
                  </w:tcBorders>
                  <w:tcMar>
                    <w:top w:w="0" w:type="dxa"/>
                    <w:left w:w="11" w:type="dxa"/>
                    <w:bottom w:w="0" w:type="dxa"/>
                    <w:right w:w="11" w:type="dxa"/>
                  </w:tcMar>
                  <w:vAlign w:val="center"/>
                </w:tcPr>
                <w:p>
                  <w:pPr>
                    <w:adjustRightInd w:val="0"/>
                    <w:snapToGrid w:val="0"/>
                    <w:rPr>
                      <w:b/>
                      <w:bCs/>
                      <w:color w:val="auto"/>
                      <w:szCs w:val="21"/>
                    </w:rPr>
                  </w:pPr>
                </w:p>
              </w:tc>
              <w:tc>
                <w:tcPr>
                  <w:tcW w:w="386" w:type="pct"/>
                  <w:tcBorders>
                    <w:tl2br w:val="nil"/>
                    <w:tr2bl w:val="nil"/>
                  </w:tcBorders>
                  <w:tcMar>
                    <w:top w:w="0" w:type="dxa"/>
                    <w:left w:w="11" w:type="dxa"/>
                    <w:bottom w:w="0" w:type="dxa"/>
                    <w:right w:w="11" w:type="dxa"/>
                  </w:tcMar>
                  <w:vAlign w:val="center"/>
                </w:tcPr>
                <w:p>
                  <w:pPr>
                    <w:adjustRightInd w:val="0"/>
                    <w:snapToGrid w:val="0"/>
                    <w:jc w:val="center"/>
                    <w:rPr>
                      <w:b/>
                      <w:bCs/>
                      <w:color w:val="auto"/>
                      <w:szCs w:val="21"/>
                    </w:rPr>
                  </w:pPr>
                  <w:r>
                    <w:rPr>
                      <w:b/>
                      <w:bCs/>
                      <w:color w:val="auto"/>
                      <w:szCs w:val="21"/>
                    </w:rPr>
                    <w:t>（四）深化改造治污设施</w:t>
                  </w:r>
                </w:p>
              </w:tc>
              <w:tc>
                <w:tcPr>
                  <w:tcW w:w="2021" w:type="pct"/>
                  <w:tcBorders>
                    <w:tl2br w:val="nil"/>
                    <w:tr2bl w:val="nil"/>
                  </w:tcBorders>
                  <w:tcMar>
                    <w:top w:w="0" w:type="dxa"/>
                    <w:left w:w="11" w:type="dxa"/>
                    <w:bottom w:w="0" w:type="dxa"/>
                    <w:right w:w="11" w:type="dxa"/>
                  </w:tcMar>
                  <w:vAlign w:val="center"/>
                </w:tcPr>
                <w:p>
                  <w:pPr>
                    <w:adjustRightInd w:val="0"/>
                    <w:snapToGrid w:val="0"/>
                    <w:jc w:val="left"/>
                    <w:rPr>
                      <w:color w:val="auto"/>
                      <w:szCs w:val="21"/>
                    </w:rPr>
                  </w:pPr>
                  <w:r>
                    <w:rPr>
                      <w:color w:val="auto"/>
                      <w:szCs w:val="21"/>
                    </w:rPr>
                    <w:t>各市（县）、区要加大对企业治污设施的分类指导，鼓励企业合理选择治理技术，提高VOCs治理效率。组织专家对重点企业VOCs治理设施效果开展评估，对设施工程设计不规范、设施选型不合理、治污设施简易低效（无效）导致排放浓度与去除效率不达标的企业，提出升级改造要求，6月底前完成改造并在属地生态环境部门备案，逾期未改造或改造后排放仍不达标准的，依法予以关停。VOCs排放量大于等于2千克/小时的企业，除确保排放浓度稳定达标外，去除效率不低于80%。</w:t>
                  </w:r>
                </w:p>
              </w:tc>
              <w:tc>
                <w:tcPr>
                  <w:tcW w:w="1836" w:type="pct"/>
                  <w:tcBorders>
                    <w:tl2br w:val="nil"/>
                    <w:tr2bl w:val="nil"/>
                  </w:tcBorders>
                  <w:tcMar>
                    <w:top w:w="0" w:type="dxa"/>
                    <w:left w:w="11" w:type="dxa"/>
                    <w:bottom w:w="0" w:type="dxa"/>
                    <w:right w:w="11" w:type="dxa"/>
                  </w:tcMar>
                  <w:vAlign w:val="center"/>
                </w:tcPr>
                <w:p>
                  <w:pPr>
                    <w:adjustRightInd w:val="0"/>
                    <w:snapToGrid w:val="0"/>
                    <w:rPr>
                      <w:color w:val="auto"/>
                      <w:szCs w:val="21"/>
                    </w:rPr>
                  </w:pPr>
                  <w:r>
                    <w:rPr>
                      <w:color w:val="auto"/>
                      <w:kern w:val="0"/>
                      <w:szCs w:val="21"/>
                    </w:rPr>
                    <w:t>本项目</w:t>
                  </w:r>
                  <w:r>
                    <w:rPr>
                      <w:rFonts w:hint="eastAsia"/>
                      <w:color w:val="auto"/>
                      <w:kern w:val="0"/>
                      <w:szCs w:val="21"/>
                    </w:rPr>
                    <w:t>喷粉固化工序</w:t>
                  </w:r>
                  <w:r>
                    <w:rPr>
                      <w:color w:val="auto"/>
                      <w:kern w:val="0"/>
                      <w:szCs w:val="21"/>
                    </w:rPr>
                    <w:t>产生的非甲烷总烃经二级活性炭吸附装置处理后通过排气筒排放；</w:t>
                  </w:r>
                  <w:r>
                    <w:rPr>
                      <w:color w:val="auto"/>
                      <w:szCs w:val="21"/>
                    </w:rPr>
                    <w:t>产生的废活性炭作为危废委托有资质单位处置。去除效率不低于80%</w:t>
                  </w:r>
                </w:p>
              </w:tc>
              <w:tc>
                <w:tcPr>
                  <w:tcW w:w="438" w:type="pct"/>
                  <w:tcBorders>
                    <w:tl2br w:val="nil"/>
                    <w:tr2bl w:val="nil"/>
                  </w:tcBorders>
                  <w:tcMar>
                    <w:top w:w="0" w:type="dxa"/>
                    <w:left w:w="11" w:type="dxa"/>
                    <w:bottom w:w="0" w:type="dxa"/>
                    <w:right w:w="11" w:type="dxa"/>
                  </w:tcMar>
                  <w:vAlign w:val="center"/>
                </w:tcPr>
                <w:p>
                  <w:pPr>
                    <w:adjustRightInd w:val="0"/>
                    <w:snapToGrid w:val="0"/>
                    <w:jc w:val="center"/>
                    <w:rPr>
                      <w:color w:val="auto"/>
                      <w:szCs w:val="21"/>
                    </w:rPr>
                  </w:pPr>
                  <w:r>
                    <w:rPr>
                      <w:color w:val="auto"/>
                      <w:szCs w:val="21"/>
                    </w:rPr>
                    <w:t>相符</w:t>
                  </w:r>
                </w:p>
              </w:tc>
            </w:tr>
          </w:tbl>
          <w:p>
            <w:pPr>
              <w:adjustRightInd w:val="0"/>
              <w:snapToGrid w:val="0"/>
              <w:spacing w:before="156" w:beforeLines="50" w:line="360" w:lineRule="auto"/>
              <w:ind w:firstLine="480" w:firstLineChars="200"/>
              <w:jc w:val="left"/>
              <w:rPr>
                <w:color w:val="auto"/>
                <w:sz w:val="24"/>
              </w:rPr>
            </w:pPr>
            <w:r>
              <w:rPr>
                <w:color w:val="auto"/>
                <w:sz w:val="24"/>
              </w:rPr>
              <w:t>由上表可知，建设项目符合《无锡市2020年挥发性有机物专项治理工作方案》（锡大气办[2020]3号）中相关要求。</w:t>
            </w:r>
          </w:p>
          <w:p>
            <w:pPr>
              <w:adjustRightInd w:val="0"/>
              <w:snapToGrid w:val="0"/>
              <w:spacing w:line="360" w:lineRule="auto"/>
              <w:ind w:firstLine="482" w:firstLineChars="200"/>
              <w:rPr>
                <w:b/>
                <w:color w:val="auto"/>
                <w:sz w:val="24"/>
                <w:szCs w:val="32"/>
              </w:rPr>
            </w:pPr>
            <w:r>
              <w:rPr>
                <w:b/>
                <w:bCs/>
                <w:color w:val="auto"/>
                <w:sz w:val="24"/>
              </w:rPr>
              <w:t>（</w:t>
            </w:r>
            <w:r>
              <w:rPr>
                <w:rFonts w:hint="eastAsia"/>
                <w:b/>
                <w:bCs/>
                <w:color w:val="auto"/>
                <w:sz w:val="24"/>
                <w:lang w:val="en-US" w:eastAsia="zh-CN"/>
              </w:rPr>
              <w:t>2</w:t>
            </w:r>
            <w:r>
              <w:rPr>
                <w:b/>
                <w:bCs/>
                <w:color w:val="auto"/>
                <w:sz w:val="24"/>
              </w:rPr>
              <w:t>）与《2020 年挥发性有机物治理攻坚方案》（环大气〔2020〕33 号）相符性</w:t>
            </w:r>
          </w:p>
          <w:p>
            <w:pPr>
              <w:numPr>
                <w:ilvl w:val="0"/>
                <w:numId w:val="2"/>
              </w:numPr>
              <w:jc w:val="center"/>
              <w:rPr>
                <w:b/>
                <w:color w:val="auto"/>
                <w:sz w:val="24"/>
                <w:szCs w:val="32"/>
              </w:rPr>
            </w:pPr>
            <w:r>
              <w:rPr>
                <w:b/>
                <w:color w:val="auto"/>
                <w:sz w:val="24"/>
                <w:szCs w:val="32"/>
              </w:rPr>
              <w:t>与</w:t>
            </w:r>
            <w:r>
              <w:rPr>
                <w:b/>
                <w:bCs/>
                <w:color w:val="auto"/>
                <w:sz w:val="24"/>
              </w:rPr>
              <w:t>环大气〔2020〕33 号文</w:t>
            </w:r>
            <w:r>
              <w:rPr>
                <w:b/>
                <w:color w:val="auto"/>
                <w:sz w:val="24"/>
                <w:szCs w:val="32"/>
              </w:rPr>
              <w:t>相符性分析</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87"/>
              <w:gridCol w:w="683"/>
              <w:gridCol w:w="3797"/>
              <w:gridCol w:w="2301"/>
              <w:gridCol w:w="7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6" w:type="pct"/>
                  <w:gridSpan w:val="2"/>
                  <w:tcBorders>
                    <w:tl2br w:val="nil"/>
                    <w:tr2bl w:val="nil"/>
                  </w:tcBorders>
                  <w:tcMar>
                    <w:top w:w="0" w:type="dxa"/>
                    <w:left w:w="11" w:type="dxa"/>
                    <w:bottom w:w="0" w:type="dxa"/>
                    <w:right w:w="11" w:type="dxa"/>
                  </w:tcMar>
                  <w:vAlign w:val="center"/>
                </w:tcPr>
                <w:p>
                  <w:pPr>
                    <w:adjustRightInd w:val="0"/>
                    <w:snapToGrid w:val="0"/>
                    <w:jc w:val="center"/>
                    <w:rPr>
                      <w:b/>
                      <w:bCs/>
                      <w:color w:val="auto"/>
                      <w:szCs w:val="21"/>
                    </w:rPr>
                  </w:pPr>
                  <w:r>
                    <w:rPr>
                      <w:b/>
                      <w:bCs/>
                      <w:color w:val="auto"/>
                      <w:szCs w:val="21"/>
                    </w:rPr>
                    <w:t>条款</w:t>
                  </w:r>
                </w:p>
              </w:tc>
              <w:tc>
                <w:tcPr>
                  <w:tcW w:w="2317" w:type="pct"/>
                  <w:tcBorders>
                    <w:tl2br w:val="nil"/>
                    <w:tr2bl w:val="nil"/>
                  </w:tcBorders>
                  <w:tcMar>
                    <w:top w:w="0" w:type="dxa"/>
                    <w:left w:w="11" w:type="dxa"/>
                    <w:bottom w:w="0" w:type="dxa"/>
                    <w:right w:w="11" w:type="dxa"/>
                  </w:tcMar>
                  <w:vAlign w:val="center"/>
                </w:tcPr>
                <w:p>
                  <w:pPr>
                    <w:adjustRightInd w:val="0"/>
                    <w:snapToGrid w:val="0"/>
                    <w:jc w:val="center"/>
                    <w:rPr>
                      <w:b/>
                      <w:bCs/>
                      <w:color w:val="auto"/>
                      <w:szCs w:val="21"/>
                    </w:rPr>
                  </w:pPr>
                  <w:r>
                    <w:rPr>
                      <w:b/>
                      <w:bCs/>
                      <w:color w:val="auto"/>
                      <w:szCs w:val="21"/>
                    </w:rPr>
                    <w:t>内容</w:t>
                  </w:r>
                </w:p>
              </w:tc>
              <w:tc>
                <w:tcPr>
                  <w:tcW w:w="1404" w:type="pct"/>
                  <w:tcBorders>
                    <w:tl2br w:val="nil"/>
                    <w:tr2bl w:val="nil"/>
                  </w:tcBorders>
                  <w:tcMar>
                    <w:top w:w="0" w:type="dxa"/>
                    <w:left w:w="11" w:type="dxa"/>
                    <w:bottom w:w="0" w:type="dxa"/>
                    <w:right w:w="11" w:type="dxa"/>
                  </w:tcMar>
                  <w:vAlign w:val="center"/>
                </w:tcPr>
                <w:p>
                  <w:pPr>
                    <w:adjustRightInd w:val="0"/>
                    <w:snapToGrid w:val="0"/>
                    <w:jc w:val="center"/>
                    <w:rPr>
                      <w:b/>
                      <w:bCs/>
                      <w:color w:val="auto"/>
                      <w:szCs w:val="21"/>
                    </w:rPr>
                  </w:pPr>
                  <w:r>
                    <w:rPr>
                      <w:b/>
                      <w:color w:val="auto"/>
                      <w:szCs w:val="21"/>
                    </w:rPr>
                    <w:t>项目实际情况</w:t>
                  </w:r>
                </w:p>
              </w:tc>
              <w:tc>
                <w:tcPr>
                  <w:tcW w:w="441" w:type="pct"/>
                  <w:tcBorders>
                    <w:tl2br w:val="nil"/>
                    <w:tr2bl w:val="nil"/>
                  </w:tcBorders>
                  <w:tcMar>
                    <w:top w:w="0" w:type="dxa"/>
                    <w:left w:w="11" w:type="dxa"/>
                    <w:bottom w:w="0" w:type="dxa"/>
                    <w:right w:w="11" w:type="dxa"/>
                  </w:tcMar>
                  <w:vAlign w:val="center"/>
                </w:tcPr>
                <w:p>
                  <w:pPr>
                    <w:adjustRightInd w:val="0"/>
                    <w:snapToGrid w:val="0"/>
                    <w:jc w:val="center"/>
                    <w:rPr>
                      <w:b/>
                      <w:color w:val="auto"/>
                      <w:szCs w:val="21"/>
                    </w:rPr>
                  </w:pPr>
                  <w:r>
                    <w:rPr>
                      <w:b/>
                      <w:color w:val="auto"/>
                      <w:szCs w:val="21"/>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04" w:hRule="atLeast"/>
                <w:jc w:val="center"/>
              </w:trPr>
              <w:tc>
                <w:tcPr>
                  <w:tcW w:w="419" w:type="pct"/>
                  <w:vMerge w:val="restart"/>
                  <w:tcBorders>
                    <w:tl2br w:val="nil"/>
                    <w:tr2bl w:val="nil"/>
                  </w:tcBorders>
                  <w:tcMar>
                    <w:top w:w="0" w:type="dxa"/>
                    <w:left w:w="11" w:type="dxa"/>
                    <w:bottom w:w="0" w:type="dxa"/>
                    <w:right w:w="11" w:type="dxa"/>
                  </w:tcMar>
                  <w:vAlign w:val="center"/>
                </w:tcPr>
                <w:p>
                  <w:pPr>
                    <w:adjustRightInd w:val="0"/>
                    <w:snapToGrid w:val="0"/>
                    <w:jc w:val="center"/>
                    <w:rPr>
                      <w:b/>
                      <w:bCs/>
                      <w:color w:val="auto"/>
                      <w:szCs w:val="21"/>
                    </w:rPr>
                  </w:pPr>
                  <w:r>
                    <w:rPr>
                      <w:rFonts w:hint="eastAsia"/>
                      <w:b/>
                      <w:bCs/>
                      <w:color w:val="auto"/>
                      <w:szCs w:val="21"/>
                    </w:rPr>
                    <w:t>一</w:t>
                  </w:r>
                  <w:r>
                    <w:rPr>
                      <w:b/>
                      <w:bCs/>
                      <w:color w:val="auto"/>
                      <w:szCs w:val="21"/>
                    </w:rPr>
                    <w:t>、聚焦治污设施“三率”，提升综合治理效率</w:t>
                  </w:r>
                </w:p>
              </w:tc>
              <w:tc>
                <w:tcPr>
                  <w:tcW w:w="416" w:type="pct"/>
                  <w:tcBorders>
                    <w:tl2br w:val="nil"/>
                    <w:tr2bl w:val="nil"/>
                  </w:tcBorders>
                  <w:tcMar>
                    <w:top w:w="0" w:type="dxa"/>
                    <w:left w:w="11" w:type="dxa"/>
                    <w:bottom w:w="0" w:type="dxa"/>
                    <w:right w:w="11" w:type="dxa"/>
                  </w:tcMar>
                  <w:vAlign w:val="center"/>
                </w:tcPr>
                <w:p>
                  <w:pPr>
                    <w:adjustRightInd w:val="0"/>
                    <w:snapToGrid w:val="0"/>
                    <w:jc w:val="center"/>
                    <w:rPr>
                      <w:b/>
                      <w:bCs/>
                      <w:color w:val="auto"/>
                      <w:szCs w:val="21"/>
                    </w:rPr>
                  </w:pPr>
                  <w:r>
                    <w:rPr>
                      <w:b/>
                      <w:bCs/>
                      <w:color w:val="auto"/>
                      <w:szCs w:val="21"/>
                    </w:rPr>
                    <w:t>对现有VOCs废气收集率、治理设施同步运行率和去除率开展自查</w:t>
                  </w:r>
                </w:p>
              </w:tc>
              <w:tc>
                <w:tcPr>
                  <w:tcW w:w="2317" w:type="pct"/>
                  <w:tcBorders>
                    <w:tl2br w:val="nil"/>
                    <w:tr2bl w:val="nil"/>
                  </w:tcBorders>
                  <w:tcMar>
                    <w:top w:w="0" w:type="dxa"/>
                    <w:left w:w="11" w:type="dxa"/>
                    <w:bottom w:w="0" w:type="dxa"/>
                    <w:right w:w="11" w:type="dxa"/>
                  </w:tcMar>
                  <w:vAlign w:val="center"/>
                </w:tcPr>
                <w:p>
                  <w:pPr>
                    <w:adjustRightInd w:val="0"/>
                    <w:snapToGrid w:val="0"/>
                    <w:jc w:val="center"/>
                    <w:rPr>
                      <w:color w:val="auto"/>
                      <w:szCs w:val="21"/>
                    </w:rPr>
                  </w:pPr>
                  <w:r>
                    <w:rPr>
                      <w:color w:val="auto"/>
                      <w:szCs w:val="21"/>
                    </w:rPr>
                    <w:t>对达不到要求的VOCs收集、治理设施进行更换或升级改造，确保实现达标排放。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404" w:type="pct"/>
                  <w:tcBorders>
                    <w:tl2br w:val="nil"/>
                    <w:tr2bl w:val="nil"/>
                  </w:tcBorders>
                  <w:tcMar>
                    <w:top w:w="0" w:type="dxa"/>
                    <w:left w:w="11" w:type="dxa"/>
                    <w:bottom w:w="0" w:type="dxa"/>
                    <w:right w:w="11" w:type="dxa"/>
                  </w:tcMar>
                  <w:vAlign w:val="center"/>
                </w:tcPr>
                <w:p>
                  <w:pPr>
                    <w:adjustRightInd w:val="0"/>
                    <w:snapToGrid w:val="0"/>
                    <w:jc w:val="left"/>
                    <w:rPr>
                      <w:color w:val="auto"/>
                      <w:szCs w:val="21"/>
                    </w:rPr>
                  </w:pPr>
                  <w:r>
                    <w:rPr>
                      <w:color w:val="auto"/>
                      <w:kern w:val="0"/>
                      <w:szCs w:val="21"/>
                    </w:rPr>
                    <w:t>本项目</w:t>
                  </w:r>
                  <w:r>
                    <w:rPr>
                      <w:rFonts w:hint="eastAsia"/>
                      <w:color w:val="auto"/>
                      <w:kern w:val="0"/>
                      <w:szCs w:val="21"/>
                    </w:rPr>
                    <w:t>喷粉固化工序产生</w:t>
                  </w:r>
                  <w:r>
                    <w:rPr>
                      <w:color w:val="auto"/>
                      <w:kern w:val="0"/>
                      <w:szCs w:val="21"/>
                    </w:rPr>
                    <w:t>的非甲烷总烃经二级活性炭吸附装置处理后通过排气筒排放。本项目废气收集率和去除率均不低于90%。</w:t>
                  </w:r>
                  <w:r>
                    <w:rPr>
                      <w:color w:val="auto"/>
                      <w:szCs w:val="21"/>
                    </w:rPr>
                    <w:t>排放标准</w:t>
                  </w:r>
                  <w:r>
                    <w:rPr>
                      <w:rFonts w:hint="eastAsia"/>
                      <w:color w:val="auto"/>
                      <w:szCs w:val="21"/>
                    </w:rPr>
                    <w:t>有组织执行江苏省地方标准《表面涂装（工程机械和钢结构行业）大气污染物排放标准》（DB32/4147-2021）表1标准；无组织执行江苏省地方标准《大气污染物综合排放标准》（DB32/4041-2021）表3标准</w:t>
                  </w:r>
                </w:p>
              </w:tc>
              <w:tc>
                <w:tcPr>
                  <w:tcW w:w="441" w:type="pct"/>
                  <w:tcBorders>
                    <w:tl2br w:val="nil"/>
                    <w:tr2bl w:val="nil"/>
                  </w:tcBorders>
                  <w:tcMar>
                    <w:top w:w="0" w:type="dxa"/>
                    <w:left w:w="11" w:type="dxa"/>
                    <w:bottom w:w="0" w:type="dxa"/>
                    <w:right w:w="11" w:type="dxa"/>
                  </w:tcMar>
                  <w:vAlign w:val="center"/>
                </w:tcPr>
                <w:p>
                  <w:pPr>
                    <w:adjustRightInd w:val="0"/>
                    <w:snapToGrid w:val="0"/>
                    <w:jc w:val="center"/>
                    <w:rPr>
                      <w:color w:val="auto"/>
                      <w:szCs w:val="21"/>
                    </w:rPr>
                  </w:pPr>
                  <w:r>
                    <w:rPr>
                      <w:color w:val="auto"/>
                      <w:szCs w:val="21"/>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419" w:type="pct"/>
                  <w:vMerge w:val="continue"/>
                  <w:tcBorders>
                    <w:tl2br w:val="nil"/>
                    <w:tr2bl w:val="nil"/>
                  </w:tcBorders>
                  <w:tcMar>
                    <w:top w:w="0" w:type="dxa"/>
                    <w:left w:w="11" w:type="dxa"/>
                    <w:bottom w:w="0" w:type="dxa"/>
                    <w:right w:w="11" w:type="dxa"/>
                  </w:tcMar>
                  <w:vAlign w:val="center"/>
                </w:tcPr>
                <w:p>
                  <w:pPr>
                    <w:adjustRightInd w:val="0"/>
                    <w:snapToGrid w:val="0"/>
                    <w:jc w:val="center"/>
                    <w:rPr>
                      <w:b/>
                      <w:bCs/>
                      <w:color w:val="auto"/>
                      <w:szCs w:val="21"/>
                    </w:rPr>
                  </w:pPr>
                </w:p>
              </w:tc>
              <w:tc>
                <w:tcPr>
                  <w:tcW w:w="416" w:type="pct"/>
                  <w:tcBorders>
                    <w:tl2br w:val="nil"/>
                    <w:tr2bl w:val="nil"/>
                  </w:tcBorders>
                  <w:tcMar>
                    <w:top w:w="0" w:type="dxa"/>
                    <w:left w:w="11" w:type="dxa"/>
                    <w:bottom w:w="0" w:type="dxa"/>
                    <w:right w:w="11" w:type="dxa"/>
                  </w:tcMar>
                  <w:vAlign w:val="center"/>
                </w:tcPr>
                <w:p>
                  <w:pPr>
                    <w:adjustRightInd w:val="0"/>
                    <w:snapToGrid w:val="0"/>
                    <w:jc w:val="center"/>
                    <w:rPr>
                      <w:b/>
                      <w:bCs/>
                      <w:color w:val="auto"/>
                      <w:szCs w:val="21"/>
                    </w:rPr>
                  </w:pPr>
                  <w:r>
                    <w:rPr>
                      <w:b/>
                      <w:bCs/>
                      <w:color w:val="auto"/>
                      <w:szCs w:val="21"/>
                    </w:rPr>
                    <w:t>　按照“应收尽收”的原则提升废气收集率。</w:t>
                  </w:r>
                </w:p>
              </w:tc>
              <w:tc>
                <w:tcPr>
                  <w:tcW w:w="2317" w:type="pct"/>
                  <w:tcBorders>
                    <w:tl2br w:val="nil"/>
                    <w:tr2bl w:val="nil"/>
                  </w:tcBorders>
                  <w:tcMar>
                    <w:top w:w="0" w:type="dxa"/>
                    <w:left w:w="11" w:type="dxa"/>
                    <w:bottom w:w="0" w:type="dxa"/>
                    <w:right w:w="11" w:type="dxa"/>
                  </w:tcMar>
                  <w:vAlign w:val="center"/>
                </w:tcPr>
                <w:p>
                  <w:pPr>
                    <w:adjustRightInd w:val="0"/>
                    <w:snapToGrid w:val="0"/>
                    <w:jc w:val="center"/>
                    <w:rPr>
                      <w:color w:val="auto"/>
                      <w:szCs w:val="21"/>
                    </w:rPr>
                  </w:pPr>
                  <w:r>
                    <w:rPr>
                      <w:color w:val="auto"/>
                      <w:szCs w:val="21"/>
                    </w:rPr>
                    <w:t>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按照与生产设备“同启同停”的原则提升治理设施运行率。</w:t>
                  </w:r>
                </w:p>
                <w:p>
                  <w:pPr>
                    <w:adjustRightInd w:val="0"/>
                    <w:snapToGrid w:val="0"/>
                    <w:jc w:val="center"/>
                    <w:rPr>
                      <w:color w:val="auto"/>
                      <w:szCs w:val="21"/>
                    </w:rPr>
                  </w:pPr>
                  <w:r>
                    <w:rPr>
                      <w:color w:val="auto"/>
                      <w:szCs w:val="21"/>
                    </w:rPr>
                    <w:t>企业新建治污设施或对现有治污设施实施改造，应依据排放废气特征、VOCs组分及浓度、生产工况等，合理选择治理技术，对治理难度大、单一治理工艺难以稳定达标的，要采用多种技术的组合工艺。</w:t>
                  </w:r>
                </w:p>
              </w:tc>
              <w:tc>
                <w:tcPr>
                  <w:tcW w:w="1404" w:type="pct"/>
                  <w:tcBorders>
                    <w:tl2br w:val="nil"/>
                    <w:tr2bl w:val="nil"/>
                  </w:tcBorders>
                  <w:tcMar>
                    <w:top w:w="0" w:type="dxa"/>
                    <w:left w:w="11" w:type="dxa"/>
                    <w:bottom w:w="0" w:type="dxa"/>
                    <w:right w:w="11" w:type="dxa"/>
                  </w:tcMar>
                  <w:vAlign w:val="center"/>
                </w:tcPr>
                <w:p>
                  <w:pPr>
                    <w:adjustRightInd w:val="0"/>
                    <w:snapToGrid w:val="0"/>
                    <w:jc w:val="left"/>
                    <w:rPr>
                      <w:color w:val="auto"/>
                      <w:szCs w:val="21"/>
                    </w:rPr>
                  </w:pPr>
                  <w:r>
                    <w:rPr>
                      <w:color w:val="auto"/>
                    </w:rPr>
                    <w:t>本项目</w:t>
                  </w:r>
                  <w:r>
                    <w:rPr>
                      <w:rFonts w:hint="eastAsia"/>
                      <w:color w:val="auto"/>
                      <w:kern w:val="0"/>
                      <w:szCs w:val="21"/>
                    </w:rPr>
                    <w:t>喷粉固化工序</w:t>
                  </w:r>
                  <w:r>
                    <w:rPr>
                      <w:color w:val="auto"/>
                    </w:rPr>
                    <w:t>产生的非甲烷总烃经二级活性炭吸附装置处理后通过排气筒排。本项目废气收集率和去除率均不低于90%</w:t>
                  </w:r>
                  <w:r>
                    <w:rPr>
                      <w:color w:val="auto"/>
                      <w:szCs w:val="21"/>
                    </w:rPr>
                    <w:t>。</w:t>
                  </w:r>
                </w:p>
              </w:tc>
              <w:tc>
                <w:tcPr>
                  <w:tcW w:w="441" w:type="pct"/>
                  <w:tcBorders>
                    <w:tl2br w:val="nil"/>
                    <w:tr2bl w:val="nil"/>
                  </w:tcBorders>
                  <w:tcMar>
                    <w:top w:w="0" w:type="dxa"/>
                    <w:left w:w="11" w:type="dxa"/>
                    <w:bottom w:w="0" w:type="dxa"/>
                    <w:right w:w="11" w:type="dxa"/>
                  </w:tcMar>
                  <w:vAlign w:val="center"/>
                </w:tcPr>
                <w:p>
                  <w:pPr>
                    <w:adjustRightInd w:val="0"/>
                    <w:snapToGrid w:val="0"/>
                    <w:jc w:val="center"/>
                    <w:rPr>
                      <w:color w:val="auto"/>
                      <w:szCs w:val="21"/>
                    </w:rPr>
                  </w:pPr>
                  <w:r>
                    <w:rPr>
                      <w:color w:val="auto"/>
                      <w:szCs w:val="21"/>
                    </w:rPr>
                    <w:t>相符</w:t>
                  </w:r>
                </w:p>
              </w:tc>
            </w:tr>
          </w:tbl>
          <w:p>
            <w:pPr>
              <w:adjustRightInd w:val="0"/>
              <w:snapToGrid w:val="0"/>
              <w:spacing w:before="156" w:beforeLines="50" w:line="360" w:lineRule="auto"/>
              <w:ind w:firstLine="480" w:firstLineChars="200"/>
              <w:jc w:val="left"/>
              <w:rPr>
                <w:color w:val="auto"/>
                <w:sz w:val="24"/>
              </w:rPr>
            </w:pPr>
            <w:r>
              <w:rPr>
                <w:color w:val="auto"/>
                <w:sz w:val="24"/>
              </w:rPr>
              <w:t>由上表可知，建设项目符合符合《2020 年挥发性有机物治理攻坚方案》（环大气〔2020〕33 号）相关要求。</w:t>
            </w:r>
          </w:p>
          <w:p>
            <w:pPr>
              <w:pStyle w:val="2"/>
              <w:ind w:firstLine="482" w:firstLineChars="200"/>
              <w:rPr>
                <w:b/>
                <w:bCs/>
                <w:color w:val="auto"/>
                <w:sz w:val="24"/>
              </w:rPr>
            </w:pPr>
            <w:r>
              <w:rPr>
                <w:rFonts w:hint="eastAsia"/>
                <w:b/>
                <w:bCs/>
                <w:color w:val="auto"/>
                <w:sz w:val="24"/>
              </w:rPr>
              <w:t>（</w:t>
            </w:r>
            <w:r>
              <w:rPr>
                <w:rFonts w:hint="eastAsia"/>
                <w:b/>
                <w:bCs/>
                <w:color w:val="auto"/>
                <w:sz w:val="24"/>
                <w:lang w:val="en-US" w:eastAsia="zh-CN"/>
              </w:rPr>
              <w:t>3</w:t>
            </w:r>
            <w:r>
              <w:rPr>
                <w:rFonts w:hint="eastAsia"/>
                <w:b/>
                <w:bCs/>
                <w:color w:val="auto"/>
                <w:sz w:val="24"/>
              </w:rPr>
              <w:t>）与挥发性有机物污染防治其他相关文件的相符性分析</w:t>
            </w:r>
          </w:p>
          <w:p>
            <w:pPr>
              <w:numPr>
                <w:ilvl w:val="0"/>
                <w:numId w:val="2"/>
              </w:numPr>
              <w:jc w:val="center"/>
              <w:rPr>
                <w:b/>
                <w:bCs/>
                <w:color w:val="auto"/>
                <w:sz w:val="24"/>
              </w:rPr>
            </w:pPr>
            <w:r>
              <w:rPr>
                <w:b/>
                <w:bCs/>
                <w:color w:val="auto"/>
                <w:sz w:val="24"/>
              </w:rPr>
              <w:t>本项目与挥发性有机物污染防治相关文件的相符性分析</w:t>
            </w:r>
            <w:r>
              <w:rPr>
                <w:rFonts w:hint="eastAsia"/>
                <w:b/>
                <w:bCs/>
                <w:color w:val="auto"/>
                <w:sz w:val="24"/>
              </w:rPr>
              <w:t>一</w:t>
            </w:r>
            <w:r>
              <w:rPr>
                <w:b/>
                <w:bCs/>
                <w:color w:val="auto"/>
                <w:sz w:val="24"/>
              </w:rPr>
              <w:t>览表</w:t>
            </w:r>
          </w:p>
          <w:tbl>
            <w:tblPr>
              <w:tblStyle w:val="27"/>
              <w:tblW w:w="81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4"/>
              <w:gridCol w:w="3914"/>
              <w:gridCol w:w="1950"/>
              <w:gridCol w:w="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414" w:type="dxa"/>
                  <w:tcBorders>
                    <w:tl2br w:val="nil"/>
                    <w:tr2bl w:val="nil"/>
                  </w:tcBorders>
                  <w:vAlign w:val="center"/>
                </w:tcPr>
                <w:p>
                  <w:pPr>
                    <w:pStyle w:val="3"/>
                    <w:numPr>
                      <w:ilvl w:val="0"/>
                      <w:numId w:val="0"/>
                    </w:numPr>
                    <w:jc w:val="center"/>
                    <w:rPr>
                      <w:rFonts w:ascii="Calibri" w:hAnsi="Calibri" w:cs="Calibri"/>
                      <w:b/>
                      <w:bCs/>
                      <w:color w:val="auto"/>
                    </w:rPr>
                  </w:pPr>
                  <w:r>
                    <w:rPr>
                      <w:rFonts w:hint="eastAsia" w:ascii="Calibri" w:hAnsi="Calibri" w:cs="Calibri"/>
                      <w:b/>
                      <w:bCs/>
                      <w:color w:val="auto"/>
                    </w:rPr>
                    <w:t>文件</w:t>
                  </w:r>
                </w:p>
              </w:tc>
              <w:tc>
                <w:tcPr>
                  <w:tcW w:w="3914" w:type="dxa"/>
                  <w:tcBorders>
                    <w:tl2br w:val="nil"/>
                    <w:tr2bl w:val="nil"/>
                  </w:tcBorders>
                  <w:vAlign w:val="center"/>
                </w:tcPr>
                <w:p>
                  <w:pPr>
                    <w:pStyle w:val="3"/>
                    <w:numPr>
                      <w:ilvl w:val="0"/>
                      <w:numId w:val="0"/>
                    </w:numPr>
                    <w:jc w:val="center"/>
                    <w:rPr>
                      <w:rFonts w:ascii="Calibri" w:hAnsi="Calibri" w:cs="Calibri"/>
                      <w:b/>
                      <w:bCs/>
                      <w:color w:val="auto"/>
                    </w:rPr>
                  </w:pPr>
                  <w:r>
                    <w:rPr>
                      <w:rFonts w:hint="eastAsia" w:ascii="Calibri" w:hAnsi="Calibri" w:cs="Calibri"/>
                      <w:b/>
                      <w:bCs/>
                      <w:color w:val="auto"/>
                    </w:rPr>
                    <w:t>相关条款</w:t>
                  </w:r>
                </w:p>
              </w:tc>
              <w:tc>
                <w:tcPr>
                  <w:tcW w:w="1950" w:type="dxa"/>
                  <w:tcBorders>
                    <w:tl2br w:val="nil"/>
                    <w:tr2bl w:val="nil"/>
                  </w:tcBorders>
                  <w:vAlign w:val="center"/>
                </w:tcPr>
                <w:p>
                  <w:pPr>
                    <w:pStyle w:val="3"/>
                    <w:numPr>
                      <w:ilvl w:val="0"/>
                      <w:numId w:val="0"/>
                    </w:numPr>
                    <w:jc w:val="center"/>
                    <w:rPr>
                      <w:rFonts w:ascii="Calibri" w:hAnsi="Calibri" w:cs="Calibri"/>
                      <w:b/>
                      <w:bCs/>
                      <w:color w:val="auto"/>
                    </w:rPr>
                  </w:pPr>
                  <w:r>
                    <w:rPr>
                      <w:rFonts w:hint="eastAsia" w:ascii="Calibri" w:hAnsi="Calibri" w:cs="Calibri"/>
                      <w:b/>
                      <w:bCs/>
                      <w:color w:val="auto"/>
                    </w:rPr>
                    <w:t>本项目情况</w:t>
                  </w:r>
                </w:p>
              </w:tc>
              <w:tc>
                <w:tcPr>
                  <w:tcW w:w="920" w:type="dxa"/>
                  <w:tcBorders>
                    <w:tl2br w:val="nil"/>
                    <w:tr2bl w:val="nil"/>
                  </w:tcBorders>
                  <w:vAlign w:val="center"/>
                </w:tcPr>
                <w:p>
                  <w:pPr>
                    <w:pStyle w:val="3"/>
                    <w:numPr>
                      <w:ilvl w:val="0"/>
                      <w:numId w:val="0"/>
                    </w:numPr>
                    <w:jc w:val="center"/>
                    <w:rPr>
                      <w:rFonts w:ascii="Calibri" w:hAnsi="Calibri" w:cs="Calibri"/>
                      <w:b/>
                      <w:bCs/>
                      <w:color w:val="auto"/>
                    </w:rPr>
                  </w:pPr>
                  <w:r>
                    <w:rPr>
                      <w:rFonts w:hint="eastAsia" w:ascii="Calibri" w:hAnsi="Calibri" w:cs="Calibri"/>
                      <w:b/>
                      <w:bCs/>
                      <w:color w:val="auto"/>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Borders>
                    <w:tl2br w:val="nil"/>
                    <w:tr2bl w:val="nil"/>
                  </w:tcBorders>
                  <w:vAlign w:val="center"/>
                </w:tcPr>
                <w:p>
                  <w:pPr>
                    <w:pStyle w:val="3"/>
                    <w:numPr>
                      <w:ilvl w:val="0"/>
                      <w:numId w:val="0"/>
                    </w:numPr>
                    <w:jc w:val="center"/>
                    <w:rPr>
                      <w:rFonts w:ascii="Calibri" w:hAnsi="Calibri" w:cs="Calibri"/>
                      <w:color w:val="auto"/>
                    </w:rPr>
                  </w:pPr>
                  <w:r>
                    <w:rPr>
                      <w:rFonts w:ascii="Calibri" w:hAnsi="Calibri" w:cs="Calibri"/>
                      <w:color w:val="auto"/>
                    </w:rPr>
                    <w:t>《江苏省重点行业挥发性有机物污染控制指南》 (苏环办[2014]128号)</w:t>
                  </w:r>
                </w:p>
              </w:tc>
              <w:tc>
                <w:tcPr>
                  <w:tcW w:w="3914" w:type="dxa"/>
                  <w:tcBorders>
                    <w:tl2br w:val="nil"/>
                    <w:tr2bl w:val="nil"/>
                  </w:tcBorders>
                  <w:vAlign w:val="center"/>
                </w:tcPr>
                <w:p>
                  <w:pPr>
                    <w:pStyle w:val="3"/>
                    <w:numPr>
                      <w:ilvl w:val="0"/>
                      <w:numId w:val="0"/>
                    </w:numPr>
                    <w:jc w:val="center"/>
                    <w:rPr>
                      <w:rFonts w:ascii="Calibri" w:hAnsi="Calibri" w:cs="Calibri"/>
                      <w:color w:val="auto"/>
                    </w:rPr>
                  </w:pPr>
                  <w:r>
                    <w:rPr>
                      <w:rFonts w:ascii="Calibri" w:hAnsi="Calibri" w:cs="Calibri"/>
                      <w:color w:val="auto"/>
                    </w:rPr>
                    <w:t>(1) 所有产生有机废气污染的企业，应优先采用环保型原辅料、生产工艺和装备，对相应生产单元或设施进行密闭，从源头控制VOCs的产生,减少废气污染物排放。(2)鼓励对排放的VOCs回收利用，并优先在生产系统内</w:t>
                  </w:r>
                  <w:r>
                    <w:rPr>
                      <w:rFonts w:hint="eastAsia" w:ascii="Calibri" w:hAnsi="Calibri" w:cs="Calibri"/>
                      <w:color w:val="auto"/>
                    </w:rPr>
                    <w:t>回</w:t>
                  </w:r>
                  <w:r>
                    <w:rPr>
                      <w:rFonts w:ascii="Calibri" w:hAnsi="Calibri" w:cs="Calibri"/>
                      <w:color w:val="auto"/>
                    </w:rPr>
                    <w:t>用。</w:t>
                  </w:r>
                </w:p>
              </w:tc>
              <w:tc>
                <w:tcPr>
                  <w:tcW w:w="1950" w:type="dxa"/>
                  <w:tcBorders>
                    <w:tl2br w:val="nil"/>
                    <w:tr2bl w:val="nil"/>
                  </w:tcBorders>
                  <w:vAlign w:val="center"/>
                </w:tcPr>
                <w:p>
                  <w:pPr>
                    <w:pStyle w:val="3"/>
                    <w:numPr>
                      <w:ilvl w:val="0"/>
                      <w:numId w:val="0"/>
                    </w:numPr>
                    <w:jc w:val="center"/>
                    <w:rPr>
                      <w:rFonts w:ascii="Calibri" w:hAnsi="Calibri" w:cs="Calibri"/>
                      <w:color w:val="auto"/>
                    </w:rPr>
                  </w:pPr>
                  <w:r>
                    <w:rPr>
                      <w:rFonts w:ascii="Calibri" w:hAnsi="Calibri" w:cs="Calibri"/>
                      <w:color w:val="auto"/>
                    </w:rPr>
                    <w:t>本项目产生的</w:t>
                  </w:r>
                  <w:r>
                    <w:rPr>
                      <w:rFonts w:hint="eastAsia" w:ascii="Calibri" w:hAnsi="Calibri" w:cs="Calibri"/>
                      <w:color w:val="auto"/>
                      <w:lang w:val="en-US" w:eastAsia="zh-CN"/>
                    </w:rPr>
                    <w:t>有机</w:t>
                  </w:r>
                  <w:r>
                    <w:rPr>
                      <w:rFonts w:ascii="Calibri" w:hAnsi="Calibri" w:cs="Calibri"/>
                      <w:color w:val="auto"/>
                    </w:rPr>
                    <w:t>废气</w:t>
                  </w:r>
                  <w:r>
                    <w:rPr>
                      <w:rFonts w:hint="eastAsia" w:ascii="Calibri" w:hAnsi="Calibri" w:cs="Calibri"/>
                      <w:color w:val="auto"/>
                      <w:lang w:val="en-US" w:eastAsia="zh-CN"/>
                    </w:rPr>
                    <w:t>管道</w:t>
                  </w:r>
                  <w:r>
                    <w:rPr>
                      <w:rFonts w:ascii="Calibri" w:hAnsi="Calibri" w:cs="Calibri"/>
                      <w:color w:val="auto"/>
                    </w:rPr>
                    <w:t>收集</w:t>
                  </w:r>
                  <w:r>
                    <w:rPr>
                      <w:rFonts w:hint="eastAsia" w:ascii="Calibri" w:hAnsi="Calibri" w:cs="Calibri"/>
                      <w:color w:val="auto"/>
                    </w:rPr>
                    <w:t>后经</w:t>
                  </w:r>
                  <w:r>
                    <w:rPr>
                      <w:rFonts w:ascii="Calibri" w:hAnsi="Calibri" w:cs="Calibri"/>
                      <w:color w:val="auto"/>
                    </w:rPr>
                    <w:t>二级活性炭吸附处理后排放。</w:t>
                  </w:r>
                </w:p>
              </w:tc>
              <w:tc>
                <w:tcPr>
                  <w:tcW w:w="920" w:type="dxa"/>
                  <w:tcBorders>
                    <w:tl2br w:val="nil"/>
                    <w:tr2bl w:val="nil"/>
                  </w:tcBorders>
                  <w:vAlign w:val="center"/>
                </w:tcPr>
                <w:p>
                  <w:pPr>
                    <w:pStyle w:val="3"/>
                    <w:numPr>
                      <w:ilvl w:val="0"/>
                      <w:numId w:val="0"/>
                    </w:numPr>
                    <w:jc w:val="center"/>
                    <w:rPr>
                      <w:rFonts w:ascii="Calibri" w:hAnsi="Calibri" w:cs="Calibri"/>
                      <w:color w:val="auto"/>
                    </w:rPr>
                  </w:pPr>
                  <w:r>
                    <w:rPr>
                      <w:rFonts w:hint="eastAsia" w:ascii="Calibri" w:hAnsi="Calibri" w:cs="Calibri"/>
                      <w:color w:val="auto"/>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Merge w:val="restart"/>
                  <w:tcBorders>
                    <w:tl2br w:val="nil"/>
                    <w:tr2bl w:val="nil"/>
                  </w:tcBorders>
                  <w:vAlign w:val="center"/>
                </w:tcPr>
                <w:p>
                  <w:pPr>
                    <w:pStyle w:val="3"/>
                    <w:numPr>
                      <w:ilvl w:val="0"/>
                      <w:numId w:val="0"/>
                    </w:numPr>
                    <w:jc w:val="center"/>
                    <w:rPr>
                      <w:rFonts w:ascii="Calibri" w:hAnsi="Calibri" w:cs="Calibri"/>
                      <w:color w:val="auto"/>
                    </w:rPr>
                  </w:pPr>
                  <w:r>
                    <w:rPr>
                      <w:rFonts w:ascii="Calibri" w:hAnsi="Calibri" w:cs="Calibri"/>
                      <w:color w:val="auto"/>
                    </w:rPr>
                    <w:t>《重点行业挥发性有机物综合治理方案》(环大气[2019]53号)</w:t>
                  </w:r>
                </w:p>
              </w:tc>
              <w:tc>
                <w:tcPr>
                  <w:tcW w:w="3914" w:type="dxa"/>
                  <w:tcBorders>
                    <w:tl2br w:val="nil"/>
                    <w:tr2bl w:val="nil"/>
                  </w:tcBorders>
                  <w:vAlign w:val="center"/>
                </w:tcPr>
                <w:p>
                  <w:pPr>
                    <w:pStyle w:val="3"/>
                    <w:numPr>
                      <w:ilvl w:val="0"/>
                      <w:numId w:val="0"/>
                    </w:numPr>
                    <w:jc w:val="center"/>
                    <w:rPr>
                      <w:rFonts w:ascii="Calibri" w:hAnsi="Calibri" w:cs="Calibri"/>
                      <w:color w:val="auto"/>
                    </w:rPr>
                  </w:pPr>
                  <w:r>
                    <w:rPr>
                      <w:rFonts w:ascii="Calibri" w:hAnsi="Calibri" w:cs="Calibri"/>
                      <w:color w:val="auto"/>
                    </w:rPr>
                    <w:t>(1)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1950" w:type="dxa"/>
                  <w:vMerge w:val="restart"/>
                  <w:tcBorders>
                    <w:tl2br w:val="nil"/>
                    <w:tr2bl w:val="nil"/>
                  </w:tcBorders>
                  <w:vAlign w:val="center"/>
                </w:tcPr>
                <w:p>
                  <w:pPr>
                    <w:pStyle w:val="3"/>
                    <w:numPr>
                      <w:ilvl w:val="0"/>
                      <w:numId w:val="0"/>
                    </w:numPr>
                    <w:jc w:val="center"/>
                    <w:rPr>
                      <w:rFonts w:ascii="Calibri" w:hAnsi="Calibri" w:cs="Calibri"/>
                      <w:color w:val="auto"/>
                    </w:rPr>
                  </w:pPr>
                  <w:r>
                    <w:rPr>
                      <w:rFonts w:ascii="Calibri" w:hAnsi="Calibri" w:cs="Calibri"/>
                      <w:color w:val="auto"/>
                    </w:rPr>
                    <w:t>本项</w:t>
                  </w:r>
                  <w:r>
                    <w:rPr>
                      <w:rFonts w:ascii="Calibri" w:hAnsi="Calibri" w:cs="Calibri"/>
                      <w:color w:val="auto"/>
                      <w:szCs w:val="21"/>
                    </w:rPr>
                    <w:t>目属于金属结构制造、模具制造，</w:t>
                  </w:r>
                  <w:r>
                    <w:rPr>
                      <w:rFonts w:hint="eastAsia" w:ascii="Calibri" w:hAnsi="Calibri" w:cs="Calibri"/>
                      <w:color w:val="auto"/>
                      <w:szCs w:val="21"/>
                    </w:rPr>
                    <w:t>本项目使用粉末涂料替代</w:t>
                  </w:r>
                  <w:r>
                    <w:rPr>
                      <w:rFonts w:ascii="Calibri" w:hAnsi="Calibri" w:cs="Calibri"/>
                      <w:color w:val="auto"/>
                      <w:szCs w:val="21"/>
                    </w:rPr>
                    <w:t>溶剂型涂料</w:t>
                  </w:r>
                  <w:r>
                    <w:rPr>
                      <w:rFonts w:hint="eastAsia" w:ascii="Calibri" w:hAnsi="Calibri" w:cs="Calibri"/>
                      <w:color w:val="auto"/>
                      <w:szCs w:val="21"/>
                    </w:rPr>
                    <w:t>，可从源头减少VOCs的</w:t>
                  </w:r>
                  <w:r>
                    <w:rPr>
                      <w:rFonts w:hint="eastAsia" w:ascii="Calibri" w:hAnsi="Calibri" w:cs="Calibri"/>
                      <w:color w:val="auto"/>
                    </w:rPr>
                    <w:t>产生，脱脂剂使用不含VOCs 的清洗剂</w:t>
                  </w:r>
                  <w:r>
                    <w:rPr>
                      <w:rFonts w:ascii="Calibri" w:hAnsi="Calibri" w:cs="Calibri"/>
                      <w:color w:val="auto"/>
                    </w:rPr>
                    <w:t>。</w:t>
                  </w:r>
                  <w:r>
                    <w:rPr>
                      <w:rFonts w:hint="eastAsia" w:ascii="Calibri" w:hAnsi="Calibri" w:cs="Calibri"/>
                      <w:color w:val="auto"/>
                    </w:rPr>
                    <w:t>喷粉固化工序产生的非甲烷总烃经</w:t>
                  </w:r>
                  <w:r>
                    <w:rPr>
                      <w:rFonts w:hint="eastAsia" w:ascii="Calibri" w:hAnsi="Calibri" w:cs="Calibri"/>
                      <w:color w:val="auto"/>
                      <w:lang w:val="en-US" w:eastAsia="zh-CN"/>
                    </w:rPr>
                    <w:t>管道</w:t>
                  </w:r>
                  <w:r>
                    <w:rPr>
                      <w:rFonts w:hint="eastAsia" w:ascii="Calibri" w:hAnsi="Calibri" w:cs="Calibri"/>
                      <w:color w:val="auto"/>
                    </w:rPr>
                    <w:t>收集后（捕集效率95%），经过二级活性炭处理后排放（处理效率90%）</w:t>
                  </w:r>
                  <w:r>
                    <w:rPr>
                      <w:rFonts w:ascii="Calibri" w:hAnsi="Calibri" w:cs="Calibri"/>
                      <w:color w:val="auto"/>
                    </w:rPr>
                    <w:t>。</w:t>
                  </w:r>
                </w:p>
              </w:tc>
              <w:tc>
                <w:tcPr>
                  <w:tcW w:w="920" w:type="dxa"/>
                  <w:vMerge w:val="restart"/>
                  <w:tcBorders>
                    <w:tl2br w:val="nil"/>
                    <w:tr2bl w:val="nil"/>
                  </w:tcBorders>
                  <w:vAlign w:val="center"/>
                </w:tcPr>
                <w:p>
                  <w:pPr>
                    <w:pStyle w:val="3"/>
                    <w:numPr>
                      <w:ilvl w:val="0"/>
                      <w:numId w:val="0"/>
                    </w:numPr>
                    <w:jc w:val="center"/>
                    <w:rPr>
                      <w:rFonts w:ascii="Calibri" w:hAnsi="Calibri" w:cs="Calibri"/>
                      <w:color w:val="auto"/>
                    </w:rPr>
                  </w:pPr>
                  <w:r>
                    <w:rPr>
                      <w:rFonts w:hint="eastAsia" w:ascii="Calibri" w:hAnsi="Calibri" w:cs="Calibri"/>
                      <w:color w:val="auto"/>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Merge w:val="continue"/>
                  <w:tcBorders>
                    <w:tl2br w:val="nil"/>
                    <w:tr2bl w:val="nil"/>
                  </w:tcBorders>
                  <w:vAlign w:val="center"/>
                </w:tcPr>
                <w:p>
                  <w:pPr>
                    <w:pStyle w:val="3"/>
                    <w:numPr>
                      <w:ilvl w:val="0"/>
                      <w:numId w:val="0"/>
                    </w:numPr>
                    <w:jc w:val="center"/>
                    <w:rPr>
                      <w:rFonts w:ascii="Calibri" w:hAnsi="Calibri" w:cs="Calibri"/>
                      <w:color w:val="auto"/>
                    </w:rPr>
                  </w:pPr>
                </w:p>
              </w:tc>
              <w:tc>
                <w:tcPr>
                  <w:tcW w:w="3914" w:type="dxa"/>
                  <w:tcBorders>
                    <w:tl2br w:val="nil"/>
                    <w:tr2bl w:val="nil"/>
                  </w:tcBorders>
                  <w:vAlign w:val="center"/>
                </w:tcPr>
                <w:p>
                  <w:pPr>
                    <w:pStyle w:val="3"/>
                    <w:numPr>
                      <w:ilvl w:val="0"/>
                      <w:numId w:val="0"/>
                    </w:numPr>
                    <w:jc w:val="center"/>
                    <w:rPr>
                      <w:rFonts w:ascii="Calibri" w:hAnsi="Calibri" w:cs="Calibri"/>
                      <w:color w:val="auto"/>
                    </w:rPr>
                  </w:pPr>
                  <w:r>
                    <w:rPr>
                      <w:rFonts w:ascii="Calibri" w:hAnsi="Calibri" w:cs="Calibri"/>
                      <w:color w:val="auto"/>
                    </w:rPr>
                    <w:t>(2)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 (3)鼓励企业采用多种技术的组合工艺，提高VOCs治理效率。</w:t>
                  </w:r>
                </w:p>
              </w:tc>
              <w:tc>
                <w:tcPr>
                  <w:tcW w:w="1950" w:type="dxa"/>
                  <w:vMerge w:val="continue"/>
                  <w:tcBorders>
                    <w:tl2br w:val="nil"/>
                    <w:tr2bl w:val="nil"/>
                  </w:tcBorders>
                  <w:vAlign w:val="center"/>
                </w:tcPr>
                <w:p>
                  <w:pPr>
                    <w:pStyle w:val="3"/>
                    <w:numPr>
                      <w:ilvl w:val="0"/>
                      <w:numId w:val="0"/>
                    </w:numPr>
                    <w:jc w:val="center"/>
                    <w:rPr>
                      <w:rFonts w:ascii="Calibri" w:hAnsi="Calibri" w:cs="Calibri"/>
                      <w:color w:val="auto"/>
                    </w:rPr>
                  </w:pPr>
                </w:p>
              </w:tc>
              <w:tc>
                <w:tcPr>
                  <w:tcW w:w="920" w:type="dxa"/>
                  <w:vMerge w:val="continue"/>
                  <w:tcBorders>
                    <w:tl2br w:val="nil"/>
                    <w:tr2bl w:val="nil"/>
                  </w:tcBorders>
                  <w:vAlign w:val="center"/>
                </w:tcPr>
                <w:p>
                  <w:pPr>
                    <w:pStyle w:val="3"/>
                    <w:numPr>
                      <w:ilvl w:val="0"/>
                      <w:numId w:val="0"/>
                    </w:numPr>
                    <w:jc w:val="center"/>
                    <w:rPr>
                      <w:rFonts w:ascii="Calibri" w:hAnsi="Calibri" w:cs="Calibri"/>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tcBorders>
                    <w:tl2br w:val="nil"/>
                    <w:tr2bl w:val="nil"/>
                  </w:tcBorders>
                  <w:vAlign w:val="center"/>
                </w:tcPr>
                <w:p>
                  <w:pPr>
                    <w:pStyle w:val="3"/>
                    <w:numPr>
                      <w:ilvl w:val="0"/>
                      <w:numId w:val="0"/>
                    </w:numPr>
                    <w:jc w:val="center"/>
                    <w:rPr>
                      <w:rFonts w:ascii="Calibri" w:hAnsi="Calibri" w:cs="Calibri"/>
                      <w:color w:val="auto"/>
                    </w:rPr>
                  </w:pPr>
                  <w:r>
                    <w:rPr>
                      <w:rFonts w:ascii="Calibri" w:hAnsi="Calibri" w:cs="Calibri"/>
                      <w:color w:val="auto"/>
                    </w:rPr>
                    <w:t>《无锡市重点行业挥发性有机物清洁原料替代工作方案》(锡大气办</w:t>
                  </w:r>
                  <w:commentRangeStart w:id="4"/>
                  <w:commentRangeStart w:id="5"/>
                  <w:r>
                    <w:rPr>
                      <w:color w:val="auto"/>
                    </w:rPr>
                    <w:commentReference w:id="4"/>
                  </w:r>
                  <w:commentRangeEnd w:id="4"/>
                  <w:commentRangeEnd w:id="5"/>
                  <w:r>
                    <w:rPr>
                      <w:color w:val="auto"/>
                    </w:rPr>
                    <w:commentReference w:id="5"/>
                  </w:r>
                  <w:r>
                    <w:rPr>
                      <w:rFonts w:ascii="Calibri" w:hAnsi="Calibri" w:cs="Calibri"/>
                      <w:color w:val="auto"/>
                    </w:rPr>
                    <w:t>)[2021]11号</w:t>
                  </w:r>
                </w:p>
              </w:tc>
              <w:tc>
                <w:tcPr>
                  <w:tcW w:w="3914" w:type="dxa"/>
                  <w:tcBorders>
                    <w:tl2br w:val="nil"/>
                    <w:tr2bl w:val="nil"/>
                  </w:tcBorders>
                  <w:vAlign w:val="center"/>
                </w:tcPr>
                <w:p>
                  <w:pPr>
                    <w:pStyle w:val="3"/>
                    <w:numPr>
                      <w:ilvl w:val="0"/>
                      <w:numId w:val="0"/>
                    </w:numPr>
                    <w:jc w:val="center"/>
                    <w:rPr>
                      <w:rFonts w:ascii="Calibri" w:hAnsi="Calibri" w:cs="Calibri"/>
                      <w:color w:val="auto"/>
                    </w:rPr>
                  </w:pPr>
                  <w:r>
                    <w:rPr>
                      <w:rFonts w:hint="eastAsia" w:ascii="Calibri" w:hAnsi="Calibri" w:cs="Calibri"/>
                      <w:color w:val="auto"/>
                    </w:rPr>
                    <w:t>（五）</w:t>
                  </w:r>
                  <w:r>
                    <w:rPr>
                      <w:rFonts w:ascii="Calibri" w:hAnsi="Calibri" w:cs="Calibri"/>
                      <w:color w:val="auto"/>
                    </w:rPr>
                    <w:t>其他企业。各地可根据本地产业特色，将其他行业企业涉VOCs工序纳入清洁原料替代清单。</w:t>
                  </w:r>
                </w:p>
                <w:p>
                  <w:pPr>
                    <w:pStyle w:val="3"/>
                    <w:numPr>
                      <w:ilvl w:val="0"/>
                      <w:numId w:val="0"/>
                    </w:numPr>
                    <w:jc w:val="center"/>
                    <w:rPr>
                      <w:rFonts w:ascii="Calibri" w:hAnsi="Calibri" w:cs="Calibri"/>
                      <w:color w:val="auto"/>
                    </w:rPr>
                  </w:pPr>
                  <w:r>
                    <w:rPr>
                      <w:rFonts w:ascii="Calibri" w:hAnsi="Calibri" w:cs="Calibri"/>
                      <w:color w:val="auto"/>
                    </w:rPr>
                    <w:t>其他行业企业涉VOCs相关工序，要使用符合《低挥发性有机化合物含量涂料产品技术要求》(GB/T 38597-2020)规定的粉末、水性、无溶剂、辐射固化涂料产品:符合《清洗剂挥发性有机化合物含量限值》(GB 38508-2020)规定的水基、半水基清洗剂产品:符合《胶粘剂挥发性有机化合物限量》(GB3372-2020) 规定的水基型、本体型胶粘剂产品。若确实无法达到上述要求</w:t>
                  </w:r>
                  <w:r>
                    <w:rPr>
                      <w:rFonts w:hint="eastAsia" w:ascii="Calibri" w:hAnsi="Calibri" w:cs="Calibri"/>
                      <w:color w:val="auto"/>
                    </w:rPr>
                    <w:t>，</w:t>
                  </w:r>
                  <w:r>
                    <w:rPr>
                      <w:rFonts w:ascii="Calibri" w:hAnsi="Calibri" w:cs="Calibri"/>
                      <w:color w:val="auto"/>
                    </w:rPr>
                    <w:t>应提供相应的论证说明。</w:t>
                  </w:r>
                </w:p>
              </w:tc>
              <w:tc>
                <w:tcPr>
                  <w:tcW w:w="1950" w:type="dxa"/>
                  <w:tcBorders>
                    <w:tl2br w:val="nil"/>
                    <w:tr2bl w:val="nil"/>
                  </w:tcBorders>
                  <w:vAlign w:val="center"/>
                </w:tcPr>
                <w:p>
                  <w:pPr>
                    <w:pStyle w:val="3"/>
                    <w:numPr>
                      <w:ilvl w:val="0"/>
                      <w:numId w:val="0"/>
                    </w:numPr>
                    <w:jc w:val="center"/>
                    <w:rPr>
                      <w:rFonts w:ascii="Calibri" w:hAnsi="Calibri" w:cs="Calibri"/>
                      <w:color w:val="auto"/>
                    </w:rPr>
                  </w:pPr>
                  <w:r>
                    <w:rPr>
                      <w:rFonts w:hint="eastAsia" w:ascii="Calibri" w:hAnsi="Calibri" w:cs="Calibri"/>
                      <w:color w:val="auto"/>
                    </w:rPr>
                    <w:t>本项目使用粉末涂料替代溶剂型涂料，可从源头减少VOCs的产生。</w:t>
                  </w:r>
                </w:p>
              </w:tc>
              <w:tc>
                <w:tcPr>
                  <w:tcW w:w="920" w:type="dxa"/>
                  <w:tcBorders>
                    <w:tl2br w:val="nil"/>
                    <w:tr2bl w:val="nil"/>
                  </w:tcBorders>
                  <w:vAlign w:val="center"/>
                </w:tcPr>
                <w:p>
                  <w:pPr>
                    <w:pStyle w:val="3"/>
                    <w:numPr>
                      <w:ilvl w:val="0"/>
                      <w:numId w:val="0"/>
                    </w:numPr>
                    <w:jc w:val="center"/>
                    <w:rPr>
                      <w:rFonts w:ascii="Calibri" w:hAnsi="Calibri" w:cs="Calibri"/>
                      <w:color w:val="auto"/>
                    </w:rPr>
                  </w:pPr>
                  <w:r>
                    <w:rPr>
                      <w:rFonts w:hint="eastAsia" w:ascii="Calibri" w:hAnsi="Calibri" w:cs="Calibri"/>
                      <w:color w:val="auto"/>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Merge w:val="restart"/>
                  <w:tcBorders>
                    <w:tl2br w:val="nil"/>
                    <w:tr2bl w:val="nil"/>
                  </w:tcBorders>
                  <w:vAlign w:val="center"/>
                </w:tcPr>
                <w:p>
                  <w:pPr>
                    <w:pStyle w:val="3"/>
                    <w:numPr>
                      <w:ilvl w:val="0"/>
                      <w:numId w:val="0"/>
                    </w:numPr>
                    <w:jc w:val="center"/>
                    <w:rPr>
                      <w:rFonts w:ascii="Calibri" w:hAnsi="Calibri" w:cs="Calibri"/>
                      <w:color w:val="auto"/>
                    </w:rPr>
                  </w:pPr>
                  <w:r>
                    <w:rPr>
                      <w:rFonts w:hint="eastAsia" w:ascii="Calibri" w:hAnsi="Calibri" w:cs="Calibri"/>
                      <w:color w:val="auto"/>
                    </w:rPr>
                    <w:t>《江苏省重点行业挥发性有机物污染整治方案》的通知（苏环办〔2015〕19号）</w:t>
                  </w:r>
                </w:p>
              </w:tc>
              <w:tc>
                <w:tcPr>
                  <w:tcW w:w="3914" w:type="dxa"/>
                  <w:tcBorders>
                    <w:tl2br w:val="nil"/>
                    <w:tr2bl w:val="nil"/>
                  </w:tcBorders>
                  <w:vAlign w:val="center"/>
                </w:tcPr>
                <w:p>
                  <w:pPr>
                    <w:adjustRightInd w:val="0"/>
                    <w:snapToGrid w:val="0"/>
                    <w:rPr>
                      <w:rFonts w:ascii="Calibri" w:hAnsi="Calibri" w:cs="Calibri"/>
                      <w:color w:val="auto"/>
                    </w:rPr>
                  </w:pPr>
                  <w:r>
                    <w:rPr>
                      <w:rFonts w:hint="default" w:ascii="Times New Roman" w:hAnsi="Times New Roman" w:cs="Times New Roman"/>
                      <w:color w:val="auto"/>
                      <w:highlight w:val="none"/>
                    </w:rPr>
                    <w:t>大力推行低挥发性物料使用，严格控制原料储存与装卸、工艺过程、末端治理、废液废渣逸散及生产设备密封点泄漏等环节及非正常工况挥发性有机物（简称VOCs，下同）排放，大幅提升行业VOCs污染防治水平，推动企业技术进步，大幅减少VOCs排放，促进环境空气质量改善。</w:t>
                  </w:r>
                </w:p>
              </w:tc>
              <w:tc>
                <w:tcPr>
                  <w:tcW w:w="1950" w:type="dxa"/>
                  <w:tcBorders>
                    <w:tl2br w:val="nil"/>
                    <w:tr2bl w:val="nil"/>
                  </w:tcBorders>
                  <w:vAlign w:val="center"/>
                </w:tcPr>
                <w:p>
                  <w:pPr>
                    <w:adjustRightInd w:val="0"/>
                    <w:snapToGrid w:val="0"/>
                    <w:rPr>
                      <w:rFonts w:hint="eastAsia" w:ascii="Calibri" w:hAnsi="Calibri" w:cs="Calibri"/>
                      <w:color w:val="auto"/>
                    </w:rPr>
                  </w:pPr>
                  <w:r>
                    <w:rPr>
                      <w:rFonts w:hint="eastAsia" w:ascii="Calibri" w:hAnsi="Calibri" w:cs="Calibri"/>
                      <w:color w:val="auto"/>
                      <w:szCs w:val="21"/>
                      <w:lang w:val="en-US" w:eastAsia="zh-CN"/>
                    </w:rPr>
                    <w:t>本项目</w:t>
                  </w:r>
                  <w:r>
                    <w:rPr>
                      <w:rFonts w:hint="eastAsia" w:ascii="Calibri" w:hAnsi="Calibri" w:cs="Calibri"/>
                      <w:color w:val="auto"/>
                      <w:szCs w:val="21"/>
                    </w:rPr>
                    <w:t>使用粉末涂料替代</w:t>
                  </w:r>
                  <w:r>
                    <w:rPr>
                      <w:rFonts w:ascii="Calibri" w:hAnsi="Calibri" w:cs="Calibri"/>
                      <w:color w:val="auto"/>
                      <w:szCs w:val="21"/>
                    </w:rPr>
                    <w:t>溶剂型涂料</w:t>
                  </w:r>
                  <w:r>
                    <w:rPr>
                      <w:rFonts w:hint="eastAsia" w:ascii="Calibri" w:hAnsi="Calibri" w:cs="Calibri"/>
                      <w:color w:val="auto"/>
                      <w:szCs w:val="21"/>
                    </w:rPr>
                    <w:t>，可从源头减少VOCs的</w:t>
                  </w:r>
                  <w:r>
                    <w:rPr>
                      <w:rFonts w:hint="eastAsia" w:ascii="Calibri" w:hAnsi="Calibri" w:cs="Calibri"/>
                      <w:color w:val="auto"/>
                    </w:rPr>
                    <w:t>产生，脱脂剂使用不含VOCs 的清洗剂</w:t>
                  </w:r>
                  <w:r>
                    <w:rPr>
                      <w:rFonts w:ascii="Calibri" w:hAnsi="Calibri" w:cs="Calibri"/>
                      <w:color w:val="auto"/>
                    </w:rPr>
                    <w:t>。</w:t>
                  </w:r>
                  <w:r>
                    <w:rPr>
                      <w:color w:val="auto"/>
                    </w:rPr>
                    <w:commentReference w:id="6"/>
                  </w:r>
                  <w:r>
                    <w:rPr>
                      <w:rFonts w:hint="default" w:ascii="Times New Roman" w:hAnsi="Times New Roman" w:cs="Times New Roman"/>
                      <w:color w:val="auto"/>
                      <w:szCs w:val="21"/>
                      <w:highlight w:val="none"/>
                    </w:rPr>
                    <w:t>生产过程中产生的废气均经过管道进行收集，废气收集后经二级活性炭吸附等装置处理达标后通过排气筒高空排放。</w:t>
                  </w:r>
                </w:p>
              </w:tc>
              <w:tc>
                <w:tcPr>
                  <w:tcW w:w="920" w:type="dxa"/>
                  <w:tcBorders>
                    <w:tl2br w:val="nil"/>
                    <w:tr2bl w:val="nil"/>
                  </w:tcBorders>
                  <w:vAlign w:val="center"/>
                </w:tcPr>
                <w:p>
                  <w:pPr>
                    <w:adjustRightInd w:val="0"/>
                    <w:snapToGrid w:val="0"/>
                    <w:jc w:val="center"/>
                    <w:rPr>
                      <w:rFonts w:hint="eastAsia" w:ascii="Calibri" w:hAnsi="Calibri" w:cs="Calibri"/>
                      <w:color w:val="auto"/>
                    </w:rPr>
                  </w:pPr>
                  <w:r>
                    <w:rPr>
                      <w:rFonts w:hint="default" w:ascii="Times New Roman" w:hAnsi="Times New Roman" w:cs="Times New Roman"/>
                      <w:color w:val="auto"/>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4" w:type="dxa"/>
                  <w:vMerge w:val="continue"/>
                  <w:tcBorders>
                    <w:tl2br w:val="nil"/>
                    <w:tr2bl w:val="nil"/>
                  </w:tcBorders>
                  <w:vAlign w:val="center"/>
                </w:tcPr>
                <w:p>
                  <w:pPr>
                    <w:pStyle w:val="3"/>
                    <w:numPr>
                      <w:ilvl w:val="0"/>
                      <w:numId w:val="0"/>
                    </w:numPr>
                    <w:jc w:val="center"/>
                    <w:rPr>
                      <w:rFonts w:ascii="Calibri" w:hAnsi="Calibri" w:cs="Calibri"/>
                      <w:color w:val="auto"/>
                    </w:rPr>
                  </w:pPr>
                </w:p>
              </w:tc>
              <w:tc>
                <w:tcPr>
                  <w:tcW w:w="3914" w:type="dxa"/>
                  <w:tcBorders>
                    <w:tl2br w:val="nil"/>
                    <w:tr2bl w:val="nil"/>
                  </w:tcBorders>
                  <w:vAlign w:val="center"/>
                </w:tcPr>
                <w:p>
                  <w:pPr>
                    <w:adjustRightInd w:val="0"/>
                    <w:snapToGrid w:val="0"/>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严格限制新建VOCs排放量大的医药中间体、染料中间体、农药中间体和排放恶臭气体的项目。新、改、扩建. VOCs排放项目在设计和建设中应使用低毒、低臭、低挥发性的原辅料、选用先进的清洁生产和密闭化工艺，实现设备、装置、管线、采样等密闭化，从源头减少VOCs泄漏环节。</w:t>
                  </w:r>
                </w:p>
              </w:tc>
              <w:tc>
                <w:tcPr>
                  <w:tcW w:w="1950" w:type="dxa"/>
                  <w:tcBorders>
                    <w:tl2br w:val="nil"/>
                    <w:tr2bl w:val="nil"/>
                  </w:tcBorders>
                  <w:vAlign w:val="center"/>
                </w:tcPr>
                <w:p>
                  <w:pPr>
                    <w:adjustRightInd w:val="0"/>
                    <w:snapToGrid w:val="0"/>
                    <w:rPr>
                      <w:rFonts w:hint="default" w:ascii="Times New Roman" w:hAnsi="Times New Roman" w:cs="Times New Roman"/>
                      <w:color w:val="auto"/>
                      <w:highlight w:val="none"/>
                    </w:rPr>
                  </w:pPr>
                  <w:r>
                    <w:rPr>
                      <w:rFonts w:hint="default" w:ascii="Times New Roman" w:hAnsi="Times New Roman" w:cs="Times New Roman"/>
                      <w:color w:val="auto"/>
                      <w:szCs w:val="21"/>
                      <w:highlight w:val="none"/>
                    </w:rPr>
                    <w:t>本项目行业类别为C3311金属结构制造、C3525模具制造，不属于</w:t>
                  </w:r>
                  <w:r>
                    <w:rPr>
                      <w:rFonts w:hint="default" w:ascii="Times New Roman" w:hAnsi="Times New Roman" w:cs="Times New Roman"/>
                      <w:color w:val="auto"/>
                      <w:highlight w:val="none"/>
                    </w:rPr>
                    <w:t>医药中间体、染料中间体、农药中间体，不排放恶臭气体。</w:t>
                  </w:r>
                </w:p>
                <w:p>
                  <w:pPr>
                    <w:adjustRightInd w:val="0"/>
                    <w:snapToGrid w:val="0"/>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本项目</w:t>
                  </w:r>
                  <w:r>
                    <w:rPr>
                      <w:rFonts w:hint="eastAsia" w:ascii="Calibri" w:hAnsi="Calibri" w:cs="Calibri"/>
                      <w:color w:val="auto"/>
                      <w:szCs w:val="21"/>
                    </w:rPr>
                    <w:t>使用粉末涂料替代</w:t>
                  </w:r>
                  <w:r>
                    <w:rPr>
                      <w:rFonts w:ascii="Calibri" w:hAnsi="Calibri" w:cs="Calibri"/>
                      <w:color w:val="auto"/>
                      <w:szCs w:val="21"/>
                    </w:rPr>
                    <w:t>溶剂型涂料</w:t>
                  </w:r>
                  <w:r>
                    <w:rPr>
                      <w:rFonts w:hint="eastAsia" w:ascii="Calibri" w:hAnsi="Calibri" w:cs="Calibri"/>
                      <w:color w:val="auto"/>
                      <w:szCs w:val="21"/>
                    </w:rPr>
                    <w:t>，可从源头减少VOCs的</w:t>
                  </w:r>
                  <w:r>
                    <w:rPr>
                      <w:rFonts w:hint="eastAsia" w:ascii="Calibri" w:hAnsi="Calibri" w:cs="Calibri"/>
                      <w:color w:val="auto"/>
                    </w:rPr>
                    <w:t>产生，脱脂剂使用不含VOCs 的清洗剂</w:t>
                  </w:r>
                  <w:r>
                    <w:rPr>
                      <w:rFonts w:ascii="Calibri" w:hAnsi="Calibri" w:cs="Calibri"/>
                      <w:color w:val="auto"/>
                    </w:rPr>
                    <w:t>。</w:t>
                  </w:r>
                  <w:r>
                    <w:rPr>
                      <w:rFonts w:hint="default" w:ascii="Times New Roman" w:hAnsi="Times New Roman" w:cs="Times New Roman"/>
                      <w:color w:val="auto"/>
                      <w:szCs w:val="21"/>
                      <w:highlight w:val="none"/>
                    </w:rPr>
                    <w:t>生产过程中产生的</w:t>
                  </w:r>
                  <w:r>
                    <w:rPr>
                      <w:rFonts w:hint="eastAsia" w:ascii="Times New Roman" w:hAnsi="Times New Roman" w:cs="Times New Roman"/>
                      <w:color w:val="auto"/>
                      <w:szCs w:val="21"/>
                      <w:highlight w:val="none"/>
                      <w:lang w:val="en-US" w:eastAsia="zh-CN"/>
                    </w:rPr>
                    <w:t>有机</w:t>
                  </w:r>
                  <w:r>
                    <w:rPr>
                      <w:rFonts w:hint="default" w:ascii="Times New Roman" w:hAnsi="Times New Roman" w:cs="Times New Roman"/>
                      <w:color w:val="auto"/>
                      <w:szCs w:val="21"/>
                      <w:highlight w:val="none"/>
                    </w:rPr>
                    <w:t>废气均经过管道/换风等方式进行收集，废气收集后经二级活性炭吸附等装置处理达标后通过排气筒高空排放。</w:t>
                  </w:r>
                </w:p>
              </w:tc>
              <w:tc>
                <w:tcPr>
                  <w:tcW w:w="920" w:type="dxa"/>
                  <w:tcBorders>
                    <w:tl2br w:val="nil"/>
                    <w:tr2bl w:val="nil"/>
                  </w:tcBorders>
                  <w:vAlign w:val="center"/>
                </w:tcPr>
                <w:p>
                  <w:pPr>
                    <w:adjustRightInd w:val="0"/>
                    <w:snapToGrid w:val="0"/>
                    <w:jc w:val="center"/>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符合</w:t>
                  </w:r>
                </w:p>
              </w:tc>
            </w:tr>
          </w:tbl>
          <w:p>
            <w:pPr>
              <w:spacing w:line="360" w:lineRule="auto"/>
              <w:ind w:firstLine="480" w:firstLineChars="200"/>
              <w:rPr>
                <w:color w:val="auto"/>
                <w:sz w:val="24"/>
              </w:rPr>
            </w:pPr>
            <w:r>
              <w:rPr>
                <w:rFonts w:hint="eastAsia"/>
                <w:color w:val="auto"/>
                <w:sz w:val="24"/>
                <w:lang w:val="en-US" w:eastAsia="zh-CN"/>
              </w:rPr>
              <w:t>综合以上</w:t>
            </w:r>
            <w:r>
              <w:rPr>
                <w:rFonts w:hint="eastAsia"/>
                <w:color w:val="auto"/>
                <w:sz w:val="24"/>
              </w:rPr>
              <w:t>：</w:t>
            </w:r>
            <w:r>
              <w:rPr>
                <w:color w:val="auto"/>
                <w:sz w:val="24"/>
              </w:rPr>
              <w:t>本项目建设与挥发性有机污染防治相关文件的相关要求均相符。</w:t>
            </w:r>
          </w:p>
          <w:p>
            <w:pPr>
              <w:spacing w:line="360" w:lineRule="auto"/>
              <w:ind w:firstLine="482" w:firstLineChars="200"/>
              <w:rPr>
                <w:b/>
                <w:bCs/>
                <w:color w:val="auto"/>
              </w:rPr>
            </w:pPr>
            <w:r>
              <w:rPr>
                <w:b/>
                <w:bCs/>
                <w:color w:val="auto"/>
                <w:sz w:val="24"/>
              </w:rPr>
              <w:t>（</w:t>
            </w:r>
            <w:r>
              <w:rPr>
                <w:rFonts w:hint="eastAsia"/>
                <w:b/>
                <w:bCs/>
                <w:color w:val="auto"/>
                <w:sz w:val="24"/>
                <w:lang w:val="en-US" w:eastAsia="zh-CN"/>
              </w:rPr>
              <w:t>4</w:t>
            </w:r>
            <w:r>
              <w:rPr>
                <w:b/>
                <w:bCs/>
                <w:color w:val="auto"/>
                <w:sz w:val="24"/>
              </w:rPr>
              <w:t>）与《关于在环评审批阶段开展源头管控行动的工作意见 》相符性</w:t>
            </w:r>
          </w:p>
          <w:p>
            <w:pPr>
              <w:spacing w:line="360" w:lineRule="auto"/>
              <w:ind w:firstLine="480" w:firstLineChars="200"/>
              <w:jc w:val="left"/>
              <w:rPr>
                <w:b/>
                <w:bCs/>
                <w:color w:val="auto"/>
                <w:sz w:val="24"/>
              </w:rPr>
            </w:pPr>
            <w:r>
              <w:rPr>
                <w:color w:val="auto"/>
                <w:sz w:val="24"/>
              </w:rPr>
              <w:t>本项目与《关于在环评审批阶段开展“源头管控行动”的工作意见 》（锡环办[2021]142号）相符性分析如下：</w:t>
            </w:r>
          </w:p>
          <w:p>
            <w:pPr>
              <w:numPr>
                <w:ilvl w:val="0"/>
                <w:numId w:val="2"/>
              </w:numPr>
              <w:jc w:val="center"/>
              <w:rPr>
                <w:b/>
                <w:bCs/>
                <w:color w:val="auto"/>
                <w:sz w:val="24"/>
              </w:rPr>
            </w:pPr>
            <w:r>
              <w:rPr>
                <w:b/>
                <w:bCs/>
                <w:color w:val="auto"/>
                <w:sz w:val="24"/>
              </w:rPr>
              <w:t>与锡环办[2021]142号的相符性分析</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90"/>
              <w:gridCol w:w="4835"/>
              <w:gridCol w:w="1700"/>
              <w:gridCol w:w="9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1"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要求</w:t>
                  </w:r>
                </w:p>
              </w:tc>
              <w:tc>
                <w:tcPr>
                  <w:tcW w:w="2950"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内容</w:t>
                  </w:r>
                </w:p>
              </w:tc>
              <w:tc>
                <w:tcPr>
                  <w:tcW w:w="1037"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本项目情况</w:t>
                  </w:r>
                </w:p>
              </w:tc>
              <w:tc>
                <w:tcPr>
                  <w:tcW w:w="589"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1"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（一）生产工艺、装备、原料、环境四替代</w:t>
                  </w:r>
                </w:p>
              </w:tc>
              <w:tc>
                <w:tcPr>
                  <w:tcW w:w="2950" w:type="pct"/>
                  <w:tcBorders>
                    <w:tl2br w:val="nil"/>
                    <w:tr2bl w:val="nil"/>
                  </w:tcBorders>
                  <w:tcMar>
                    <w:top w:w="0" w:type="dxa"/>
                    <w:left w:w="0" w:type="dxa"/>
                    <w:bottom w:w="0" w:type="dxa"/>
                    <w:right w:w="0" w:type="dxa"/>
                  </w:tcMar>
                  <w:vAlign w:val="center"/>
                </w:tcPr>
                <w:p>
                  <w:pPr>
                    <w:autoSpaceDE w:val="0"/>
                    <w:autoSpaceDN w:val="0"/>
                    <w:adjustRightInd w:val="0"/>
                    <w:snapToGrid w:val="0"/>
                    <w:ind w:firstLine="420" w:firstLineChars="200"/>
                    <w:rPr>
                      <w:color w:val="auto"/>
                      <w:szCs w:val="21"/>
                    </w:rPr>
                  </w:pPr>
                  <w:r>
                    <w:rPr>
                      <w:color w:val="auto"/>
                      <w:szCs w:val="21"/>
                    </w:rPr>
                    <w:t xml:space="preserve">用国际国内先进工艺、装备、低挥发水性溶剂等环境友好型原材料、先进高效的污染治理设施替代传统工艺、普通装备、高挥发性原料、落后的污染治理设施，从场址选取、厂区布局、厂房设计、设备选型等方面充分考虑环境保护的需求，从源头控制无组织排放、初期雨水收集、环境风险防范等问题。生产工艺选用的各种涂料、厂房建筑用涂料、工业设备防护涂料等，除有特殊要求外，必须选用符合《低挥发性有机化合物含量涂料产品技术要求》（GB/T38597-2020）标准的产品。对“两高”项目（当前按煤电、石化、化工、钢铁、有色、建材界定）要严格环境准入，满足总量控制、碳达峰碳中和目标、生态环境准入清单、规划环评及行业建设环境准入条件。 </w:t>
                  </w:r>
                </w:p>
              </w:tc>
              <w:tc>
                <w:tcPr>
                  <w:tcW w:w="1037" w:type="pct"/>
                  <w:tcBorders>
                    <w:tl2br w:val="nil"/>
                    <w:tr2bl w:val="nil"/>
                  </w:tcBorders>
                  <w:tcMar>
                    <w:top w:w="0" w:type="dxa"/>
                    <w:left w:w="0" w:type="dxa"/>
                    <w:bottom w:w="0" w:type="dxa"/>
                    <w:right w:w="0" w:type="dxa"/>
                  </w:tcMar>
                  <w:vAlign w:val="center"/>
                </w:tcPr>
                <w:p>
                  <w:pPr>
                    <w:adjustRightInd w:val="0"/>
                    <w:snapToGrid w:val="0"/>
                    <w:rPr>
                      <w:color w:val="auto"/>
                      <w:szCs w:val="21"/>
                    </w:rPr>
                  </w:pPr>
                  <w:r>
                    <w:rPr>
                      <w:color w:val="auto"/>
                      <w:szCs w:val="21"/>
                    </w:rPr>
                    <w:t>项目生产过程中不使用溶剂型涂料等，本项目行业类别为C3311金属结构制造、C3525模具制造，不属于“两高”项目。</w:t>
                  </w:r>
                </w:p>
              </w:tc>
              <w:tc>
                <w:tcPr>
                  <w:tcW w:w="58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1"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（二）生产过程中回用、物料回收</w:t>
                  </w:r>
                </w:p>
              </w:tc>
              <w:tc>
                <w:tcPr>
                  <w:tcW w:w="2950" w:type="pct"/>
                  <w:tcBorders>
                    <w:tl2br w:val="nil"/>
                    <w:tr2bl w:val="nil"/>
                  </w:tcBorders>
                  <w:tcMar>
                    <w:top w:w="0" w:type="dxa"/>
                    <w:left w:w="0" w:type="dxa"/>
                    <w:bottom w:w="0" w:type="dxa"/>
                    <w:right w:w="0" w:type="dxa"/>
                  </w:tcMar>
                  <w:vAlign w:val="center"/>
                </w:tcPr>
                <w:p>
                  <w:pPr>
                    <w:autoSpaceDE w:val="0"/>
                    <w:autoSpaceDN w:val="0"/>
                    <w:adjustRightInd w:val="0"/>
                    <w:snapToGrid w:val="0"/>
                    <w:ind w:firstLine="420" w:firstLineChars="200"/>
                    <w:rPr>
                      <w:color w:val="auto"/>
                      <w:szCs w:val="21"/>
                    </w:rPr>
                  </w:pPr>
                  <w:r>
                    <w:rPr>
                      <w:color w:val="auto"/>
                      <w:szCs w:val="21"/>
                    </w:rPr>
                    <w:t xml:space="preserve">强化项目的节水设计，提高项目中水回用率，新建、改建项目的中水回用水平必须高于行业平均水平，达到国内先进水平以上。根据《江苏省太湖水污染防治条例》规定，非战略性新兴产业，不得新增含磷、氮的生产废水。用水量较大的印染、电子等行业必须大幅提高中水回用率。冷却水强排水、反渗透（RO）尾水等“清净下水”必须按照生产废水接管，不得接入雨水口排放。强化生产过程中的物料回收利用，鼓励有条件的挥发性有机物排放企业（如印刷、包装类企业）通过冷凝、吸附、吸收等技术实现物料回用，强化固体废物源头减量和综合利用，配套的回收利用设施必须达到主生产装置同样的设计水平和环保要求，提升回收效率，需外送利用处置固体废物和危险废物的，在本市应具有稳定可靠的承接单位。 </w:t>
                  </w:r>
                </w:p>
              </w:tc>
              <w:tc>
                <w:tcPr>
                  <w:tcW w:w="1037" w:type="pct"/>
                  <w:tcBorders>
                    <w:tl2br w:val="nil"/>
                    <w:tr2bl w:val="nil"/>
                  </w:tcBorders>
                  <w:tcMar>
                    <w:top w:w="0" w:type="dxa"/>
                    <w:left w:w="0" w:type="dxa"/>
                    <w:bottom w:w="0" w:type="dxa"/>
                    <w:right w:w="0" w:type="dxa"/>
                  </w:tcMar>
                  <w:vAlign w:val="center"/>
                </w:tcPr>
                <w:p>
                  <w:pPr>
                    <w:autoSpaceDE w:val="0"/>
                    <w:autoSpaceDN w:val="0"/>
                    <w:adjustRightInd w:val="0"/>
                    <w:snapToGrid w:val="0"/>
                    <w:rPr>
                      <w:color w:val="auto"/>
                      <w:szCs w:val="21"/>
                    </w:rPr>
                  </w:pPr>
                  <w:r>
                    <w:rPr>
                      <w:color w:val="auto"/>
                      <w:szCs w:val="21"/>
                    </w:rPr>
                    <w:t>本项目</w:t>
                  </w:r>
                  <w:r>
                    <w:rPr>
                      <w:rFonts w:hint="eastAsia"/>
                      <w:color w:val="auto"/>
                      <w:szCs w:val="21"/>
                    </w:rPr>
                    <w:t>生产废水经厂内污水处理系统处理后回用，</w:t>
                  </w:r>
                  <w:r>
                    <w:rPr>
                      <w:color w:val="auto"/>
                      <w:szCs w:val="21"/>
                    </w:rPr>
                    <w:t>不外排</w:t>
                  </w:r>
                  <w:r>
                    <w:rPr>
                      <w:rFonts w:hint="eastAsia"/>
                      <w:color w:val="auto"/>
                      <w:szCs w:val="21"/>
                    </w:rPr>
                    <w:t>；</w:t>
                  </w:r>
                  <w:r>
                    <w:rPr>
                      <w:color w:val="auto"/>
                      <w:szCs w:val="21"/>
                    </w:rPr>
                    <w:t>纯水制备浓水、反冲洗废水一并接入梅村水处理厂处理；固体废物由相关单位回收利用，危险废物由有资质单位处置。</w:t>
                  </w:r>
                </w:p>
              </w:tc>
              <w:tc>
                <w:tcPr>
                  <w:tcW w:w="58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1"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（三）污染设施提高标准、提高效率</w:t>
                  </w:r>
                </w:p>
              </w:tc>
              <w:tc>
                <w:tcPr>
                  <w:tcW w:w="2950" w:type="pct"/>
                  <w:tcBorders>
                    <w:tl2br w:val="nil"/>
                    <w:tr2bl w:val="nil"/>
                  </w:tcBorders>
                  <w:tcMar>
                    <w:top w:w="0" w:type="dxa"/>
                    <w:left w:w="0" w:type="dxa"/>
                    <w:bottom w:w="0" w:type="dxa"/>
                    <w:right w:w="0" w:type="dxa"/>
                  </w:tcMar>
                  <w:vAlign w:val="center"/>
                </w:tcPr>
                <w:p>
                  <w:pPr>
                    <w:autoSpaceDE w:val="0"/>
                    <w:autoSpaceDN w:val="0"/>
                    <w:adjustRightInd w:val="0"/>
                    <w:snapToGrid w:val="0"/>
                    <w:ind w:firstLine="420" w:firstLineChars="200"/>
                    <w:rPr>
                      <w:color w:val="auto"/>
                      <w:szCs w:val="21"/>
                    </w:rPr>
                  </w:pPr>
                  <w:r>
                    <w:rPr>
                      <w:color w:val="auto"/>
                      <w:szCs w:val="21"/>
                    </w:rPr>
                    <w:t>项目审批阶段必须征求水、气、固体等要素部门意见，审核项目污染防治措施是否已达到目前上级要求的最先进水平，未达最严标准、最新要求的一律不得审批。要按照所属行业的《排污许可证申请与核发技术规范》要求，选择采用可行性技术，提高治污设施的标准和要求，对于未采用污染防治可行技术的项目不予受理；鼓励采用具备应用案例或中试数据等条件的新型污染防治技术。</w:t>
                  </w:r>
                </w:p>
                <w:p>
                  <w:pPr>
                    <w:autoSpaceDE w:val="0"/>
                    <w:autoSpaceDN w:val="0"/>
                    <w:adjustRightInd w:val="0"/>
                    <w:snapToGrid w:val="0"/>
                    <w:ind w:firstLine="420" w:firstLineChars="200"/>
                    <w:rPr>
                      <w:color w:val="auto"/>
                      <w:szCs w:val="21"/>
                    </w:rPr>
                  </w:pPr>
                  <w:r>
                    <w:rPr>
                      <w:color w:val="auto"/>
                      <w:szCs w:val="21"/>
                    </w:rPr>
                    <w:t xml:space="preserve">涉挥发性有机物排放的项目，必须严格落实国家《重点行业挥发性有机物综合治理方案》的要求，对挥发性有机物要有效收集、提高效率，鼓励采用吸附、吸收、生物净化、催化燃烧、蓄热燃烧等多种治理技术联合应用的工艺路线，确保稳定达标并符合《挥发性有机物无组织排放控制标准》的相关要求。对于无组织排放点多、难以有效收集的情况，要整体建设负压车间，对含挥发性有机物的废气进行全收集和治理。对涉水、涉气重点项目，必须要求安装用电工况和自动在线监控设备设施并联网。新建天然气锅炉必须采用低氮燃烧技术，工业炉窑达到深度治理要求。 </w:t>
                  </w:r>
                </w:p>
              </w:tc>
              <w:tc>
                <w:tcPr>
                  <w:tcW w:w="1037" w:type="pct"/>
                  <w:tcBorders>
                    <w:tl2br w:val="nil"/>
                    <w:tr2bl w:val="nil"/>
                  </w:tcBorders>
                  <w:tcMar>
                    <w:top w:w="0" w:type="dxa"/>
                    <w:left w:w="0" w:type="dxa"/>
                    <w:bottom w:w="0" w:type="dxa"/>
                    <w:right w:w="0" w:type="dxa"/>
                  </w:tcMar>
                  <w:vAlign w:val="center"/>
                </w:tcPr>
                <w:p>
                  <w:pPr>
                    <w:autoSpaceDE w:val="0"/>
                    <w:autoSpaceDN w:val="0"/>
                    <w:adjustRightInd w:val="0"/>
                    <w:snapToGrid w:val="0"/>
                    <w:rPr>
                      <w:rFonts w:hint="default" w:eastAsia="宋体"/>
                      <w:color w:val="auto"/>
                      <w:szCs w:val="21"/>
                      <w:lang w:val="en-US" w:eastAsia="zh-CN"/>
                    </w:rPr>
                  </w:pPr>
                  <w:r>
                    <w:rPr>
                      <w:color w:val="auto"/>
                      <w:szCs w:val="21"/>
                    </w:rPr>
                    <w:t>本项目已选取采用可行性技术。本项目不属于涉水、涉气重点项目。</w:t>
                  </w:r>
                  <w:r>
                    <w:rPr>
                      <w:rFonts w:hint="eastAsia"/>
                      <w:color w:val="auto"/>
                      <w:szCs w:val="21"/>
                      <w:lang w:val="en-US" w:eastAsia="zh-CN"/>
                    </w:rPr>
                    <w:t>本项目</w:t>
                  </w:r>
                  <w:r>
                    <w:rPr>
                      <w:rFonts w:hint="eastAsia"/>
                      <w:color w:val="auto"/>
                      <w:lang w:val="en-US" w:eastAsia="zh-CN"/>
                    </w:rPr>
                    <w:t>天然气采用低氮燃烧。</w:t>
                  </w:r>
                </w:p>
              </w:tc>
              <w:tc>
                <w:tcPr>
                  <w:tcW w:w="589"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符合</w:t>
                  </w:r>
                </w:p>
              </w:tc>
            </w:tr>
          </w:tbl>
          <w:p>
            <w:pPr>
              <w:spacing w:line="360" w:lineRule="auto"/>
              <w:ind w:firstLine="480" w:firstLineChars="200"/>
              <w:rPr>
                <w:bCs/>
                <w:color w:val="auto"/>
                <w:sz w:val="24"/>
              </w:rPr>
            </w:pPr>
            <w:r>
              <w:rPr>
                <w:bCs/>
                <w:color w:val="auto"/>
                <w:sz w:val="24"/>
              </w:rPr>
              <w:t>由上表可知，本项目符合《关于在环评审批阶段开展源头管控行动的工作意见 》（锡环办[2021]142号）中相关要求。</w:t>
            </w:r>
          </w:p>
          <w:p>
            <w:pPr>
              <w:pStyle w:val="2"/>
              <w:ind w:firstLine="482" w:firstLineChars="200"/>
              <w:rPr>
                <w:rFonts w:hint="eastAsia" w:eastAsia="宋体"/>
                <w:color w:val="auto"/>
                <w:lang w:val="en-US" w:eastAsia="zh-CN"/>
              </w:rPr>
            </w:pPr>
            <w:r>
              <w:rPr>
                <w:b/>
                <w:bCs/>
                <w:color w:val="auto"/>
                <w:sz w:val="24"/>
              </w:rPr>
              <w:t>（</w:t>
            </w:r>
            <w:r>
              <w:rPr>
                <w:rFonts w:hint="eastAsia"/>
                <w:b/>
                <w:bCs/>
                <w:color w:val="auto"/>
                <w:sz w:val="24"/>
                <w:lang w:val="en-US" w:eastAsia="zh-CN"/>
              </w:rPr>
              <w:t>5</w:t>
            </w:r>
            <w:r>
              <w:rPr>
                <w:b/>
                <w:bCs/>
                <w:color w:val="auto"/>
                <w:sz w:val="24"/>
              </w:rPr>
              <w:t>）与</w:t>
            </w:r>
            <w:r>
              <w:rPr>
                <w:b/>
                <w:bCs w:val="0"/>
                <w:color w:val="auto"/>
                <w:sz w:val="24"/>
              </w:rPr>
              <w:t>《关于加快解决当前挥发性有机物治理突出问题的通知》（环大气[2021]65号）</w:t>
            </w:r>
            <w:r>
              <w:rPr>
                <w:b/>
                <w:bCs/>
                <w:color w:val="auto"/>
                <w:sz w:val="24"/>
              </w:rPr>
              <w:t>相符性</w:t>
            </w:r>
            <w:r>
              <w:rPr>
                <w:rFonts w:hint="eastAsia"/>
                <w:b/>
                <w:bCs/>
                <w:color w:val="auto"/>
                <w:sz w:val="24"/>
                <w:lang w:val="en-US" w:eastAsia="zh-CN"/>
              </w:rPr>
              <w:t>分析</w:t>
            </w:r>
          </w:p>
          <w:p>
            <w:pPr>
              <w:numPr>
                <w:ilvl w:val="0"/>
                <w:numId w:val="2"/>
              </w:numPr>
              <w:jc w:val="center"/>
              <w:rPr>
                <w:rFonts w:hint="default" w:ascii="Times New Roman" w:hAnsi="Times New Roman" w:cs="Times New Roman"/>
                <w:b/>
                <w:bCs/>
                <w:color w:val="auto"/>
                <w:sz w:val="24"/>
                <w:highlight w:val="none"/>
              </w:rPr>
            </w:pPr>
            <w:r>
              <w:rPr>
                <w:color w:val="auto"/>
              </w:rPr>
              <w:commentReference w:id="7"/>
            </w:r>
            <w:r>
              <w:rPr>
                <w:rFonts w:hint="default" w:ascii="Times New Roman" w:hAnsi="Times New Roman" w:cs="Times New Roman"/>
                <w:b/>
                <w:bCs/>
                <w:color w:val="auto"/>
                <w:sz w:val="24"/>
                <w:highlight w:val="none"/>
              </w:rPr>
              <w:t>与环大气[2021]65号的相符性分析</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91"/>
              <w:gridCol w:w="3885"/>
              <w:gridCol w:w="2649"/>
              <w:gridCol w:w="9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1" w:type="pct"/>
                  <w:tcBorders>
                    <w:tl2br w:val="nil"/>
                    <w:tr2bl w:val="nil"/>
                  </w:tcBorders>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要求</w:t>
                  </w:r>
                </w:p>
              </w:tc>
              <w:tc>
                <w:tcPr>
                  <w:tcW w:w="2371" w:type="pct"/>
                  <w:tcBorders>
                    <w:tl2br w:val="nil"/>
                    <w:tr2bl w:val="nil"/>
                  </w:tcBorders>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内容</w:t>
                  </w:r>
                </w:p>
              </w:tc>
              <w:tc>
                <w:tcPr>
                  <w:tcW w:w="1616" w:type="pct"/>
                  <w:tcBorders>
                    <w:tl2br w:val="nil"/>
                    <w:tr2bl w:val="nil"/>
                  </w:tcBorders>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本项目情况</w:t>
                  </w:r>
                </w:p>
              </w:tc>
              <w:tc>
                <w:tcPr>
                  <w:tcW w:w="589" w:type="pct"/>
                  <w:tcBorders>
                    <w:tl2br w:val="nil"/>
                    <w:tr2bl w:val="nil"/>
                  </w:tcBorders>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1" w:type="pct"/>
                  <w:tcBorders>
                    <w:tl2br w:val="nil"/>
                    <w:tr2bl w:val="nil"/>
                  </w:tcBorders>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废气收集设施</w:t>
                  </w:r>
                </w:p>
              </w:tc>
              <w:tc>
                <w:tcPr>
                  <w:tcW w:w="2371" w:type="pct"/>
                  <w:tcBorders>
                    <w:tl2br w:val="nil"/>
                    <w:tr2bl w:val="nil"/>
                  </w:tcBorders>
                  <w:tcMar>
                    <w:top w:w="0" w:type="dxa"/>
                    <w:left w:w="0" w:type="dxa"/>
                    <w:bottom w:w="0" w:type="dxa"/>
                    <w:right w:w="0" w:type="dxa"/>
                  </w:tcMar>
                  <w:vAlign w:val="center"/>
                </w:tcPr>
                <w:p>
                  <w:pPr>
                    <w:autoSpaceDE w:val="0"/>
                    <w:autoSpaceDN w:val="0"/>
                    <w:adjustRightInd w:val="0"/>
                    <w:snapToGri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生VOCs的生产环节优先采用密闭设备、在密闭空间中操作或采用全密闭集气罩收集方式，并保持负压运行。无尘等级要求车间需设置成正压的，宜建设内层正压、外层微负压的双层整体密闭收集空间。对采用局部收集方式的企业，距废气收集系统排风罩开口面最远处的VOCs 无组织排放位置控制风速不低于0.3m/s；推广以生产线或设备为单位设置隔间，收集风量应确保隔间保持微负压。当废气产生点较多、彼此距离较远时，在满足设计规范、风压平衡的基础上，适当分设多套收集系统或中继风机。废气收集系统的输送管道应密闭、无破损。焦化行业加强焦炉密封性</w:t>
                  </w:r>
                </w:p>
                <w:p>
                  <w:pPr>
                    <w:autoSpaceDE w:val="0"/>
                    <w:autoSpaceDN w:val="0"/>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检查，对于变形炉门、炉顶炉盖及时修复更换；加强焦炉工况监督，对焦炉墙串漏及时修缮。制药、农药、涂料、油墨、胶粘剂等间歇性生产工序较多的行业应对进出料、物料输送、搅拌、固液分离、干燥、灌装、取样等过程采取密闭化措施，提升工艺装备水平；含</w:t>
                  </w:r>
                </w:p>
                <w:p>
                  <w:pPr>
                    <w:autoSpaceDE w:val="0"/>
                    <w:autoSpaceDN w:val="0"/>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VOCs物料输送原则上采用重力流或泵送方式；有机液体进料鼓励采用底部、浸入管给料方式；固体物料投加逐步推进采用密闭式投料装置。工业涂装行业建设密闭喷漆房，对于大型构件（船舶、钢结构）实施分段涂装，废气进行收集治理；对于确需露天涂装的，应采用符合国家或地方标准要求的低（无） VOCs含量涂料，或使用移动式废气收集治理设施。包装印刷行业的印刷、复合、涂布工序实施密闭化改造，全面采用VOCs质量占比小于10%的原辅材料的除外。</w:t>
                  </w:r>
                </w:p>
                <w:p>
                  <w:pPr>
                    <w:autoSpaceDE w:val="0"/>
                    <w:autoSpaceDN w:val="0"/>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xml:space="preserve">鼓励石油炼制企业开展冷焦水、切焦水等废气收集治理。使用VOCs质量占比大于等于10%的涂料、油墨、胶粘剂、稀释剂、清洗剂等物料存储、调配、转移、输送等环节应密闭。 </w:t>
                  </w:r>
                </w:p>
              </w:tc>
              <w:tc>
                <w:tcPr>
                  <w:tcW w:w="1616" w:type="pct"/>
                  <w:tcBorders>
                    <w:tl2br w:val="nil"/>
                    <w:tr2bl w:val="nil"/>
                  </w:tcBorders>
                  <w:tcMar>
                    <w:top w:w="0" w:type="dxa"/>
                    <w:left w:w="0" w:type="dxa"/>
                    <w:bottom w:w="0" w:type="dxa"/>
                    <w:right w:w="0" w:type="dxa"/>
                  </w:tcMar>
                  <w:vAlign w:val="center"/>
                </w:tcPr>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本项目生产过程中产生的有机废气经集气罩/管道/换风收集等方式收集。</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w:t>
                  </w:r>
                  <w:r>
                    <w:rPr>
                      <w:rFonts w:hint="eastAsia" w:ascii="Calibri" w:hAnsi="Calibri" w:cs="Calibri"/>
                      <w:color w:val="auto"/>
                      <w:szCs w:val="21"/>
                    </w:rPr>
                    <w:t>使用粉末涂料替代</w:t>
                  </w:r>
                  <w:r>
                    <w:rPr>
                      <w:rFonts w:ascii="Calibri" w:hAnsi="Calibri" w:cs="Calibri"/>
                      <w:color w:val="auto"/>
                      <w:szCs w:val="21"/>
                    </w:rPr>
                    <w:t>溶剂型涂料</w:t>
                  </w:r>
                  <w:r>
                    <w:rPr>
                      <w:rFonts w:hint="eastAsia" w:ascii="Calibri" w:hAnsi="Calibri" w:cs="Calibri"/>
                      <w:color w:val="auto"/>
                      <w:szCs w:val="21"/>
                    </w:rPr>
                    <w:t>，可从源头减少VOCs的</w:t>
                  </w:r>
                  <w:r>
                    <w:rPr>
                      <w:rFonts w:hint="eastAsia" w:ascii="Calibri" w:hAnsi="Calibri" w:cs="Calibri"/>
                      <w:color w:val="auto"/>
                    </w:rPr>
                    <w:t>产生，脱脂剂使用不含VOCs 的清洗剂</w:t>
                  </w:r>
                  <w:r>
                    <w:rPr>
                      <w:rFonts w:ascii="Calibri" w:hAnsi="Calibri" w:cs="Calibri"/>
                      <w:color w:val="auto"/>
                    </w:rPr>
                    <w:t>。</w:t>
                  </w:r>
                </w:p>
              </w:tc>
              <w:tc>
                <w:tcPr>
                  <w:tcW w:w="589" w:type="pct"/>
                  <w:tcBorders>
                    <w:tl2br w:val="nil"/>
                    <w:tr2bl w:val="nil"/>
                  </w:tcBorders>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21" w:type="pct"/>
                  <w:tcBorders>
                    <w:tl2br w:val="nil"/>
                    <w:tr2bl w:val="nil"/>
                  </w:tcBorders>
                  <w:tcMar>
                    <w:top w:w="0" w:type="dxa"/>
                    <w:left w:w="0" w:type="dxa"/>
                    <w:bottom w:w="0" w:type="dxa"/>
                    <w:right w:w="0" w:type="dxa"/>
                  </w:tcMar>
                  <w:vAlign w:val="center"/>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有机废气治理设施</w:t>
                  </w:r>
                </w:p>
              </w:tc>
              <w:tc>
                <w:tcPr>
                  <w:tcW w:w="2371" w:type="pct"/>
                  <w:tcBorders>
                    <w:tl2br w:val="nil"/>
                    <w:tr2bl w:val="nil"/>
                  </w:tcBorders>
                  <w:tcMar>
                    <w:top w:w="0" w:type="dxa"/>
                    <w:left w:w="0" w:type="dxa"/>
                    <w:bottom w:w="0" w:type="dxa"/>
                    <w:right w:w="0" w:type="dxa"/>
                  </w:tcMar>
                  <w:vAlign w:val="center"/>
                </w:tcPr>
                <w:p>
                  <w:pPr>
                    <w:autoSpaceDE w:val="0"/>
                    <w:autoSpaceDN w:val="0"/>
                    <w:adjustRightInd w:val="0"/>
                    <w:snapToGri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w:t>
                  </w:r>
                </w:p>
                <w:p>
                  <w:pPr>
                    <w:autoSpaceDE w:val="0"/>
                    <w:autoSpaceDN w:val="0"/>
                    <w:adjustRightInd w:val="0"/>
                    <w:snapToGri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加强运行维护管理，做到治理设施较生产设备“先启后停”，在治理设施达到正常运行条件后方可启动生产设备，在生产设备停止、残留VOCs废气收集处理完毕后，方可停运治理设施；及时清理、更换吸附剂、吸收剂、催化剂、蓄热体、过滤棉、灯管、电器元件等治理设施耗材，确保设施能够稳定高效运行；做好生产设备和治理设施启停机时间、检维修情况、治理设施耗材维护更换、处置情况等台账记录；对于VOCs治理设施产生的废过滤棉、废催化剂、废吸附剂、废吸收剂、废有机溶剂等，应及时清运，属于危险废物的应交有资质的单位处理处置。</w:t>
                  </w:r>
                </w:p>
                <w:p>
                  <w:pPr>
                    <w:autoSpaceDE w:val="0"/>
                    <w:autoSpaceDN w:val="0"/>
                    <w:adjustRightInd w:val="0"/>
                    <w:snapToGri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/g （BET法）。一次性活性炭吸附工艺宜采用颗粒活性炭作为吸附剂。活性炭、活性炭纤维产品销售时应提供产品质量证明材料。</w:t>
                  </w:r>
                </w:p>
                <w:p>
                  <w:pPr>
                    <w:autoSpaceDE w:val="0"/>
                    <w:autoSpaceDN w:val="0"/>
                    <w:adjustRightInd w:val="0"/>
                    <w:snapToGri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采用催化燃烧工艺的企业应使用合格的催化剂并足额添加，催化剂床层的设计空速宜低于40000h</w:t>
                  </w:r>
                  <w:r>
                    <w:rPr>
                      <w:rFonts w:hint="default" w:ascii="Times New Roman" w:hAnsi="Times New Roman" w:cs="Times New Roman"/>
                      <w:color w:val="auto"/>
                      <w:szCs w:val="21"/>
                      <w:highlight w:val="none"/>
                      <w:vertAlign w:val="superscript"/>
                    </w:rPr>
                    <w:t>-1</w:t>
                  </w:r>
                  <w:r>
                    <w:rPr>
                      <w:rFonts w:hint="default" w:ascii="Times New Roman" w:hAnsi="Times New Roman" w:cs="Times New Roman"/>
                      <w:color w:val="auto"/>
                      <w:szCs w:val="21"/>
                      <w:highlight w:val="none"/>
                    </w:rPr>
                    <w:t>。 采用非连续吸脱附治理工艺的，应按设计要求及时解吸吸附的VOCs，解吸气体应保证采用高效处理工艺处理后达标排放。蓄热式燃烧装置（RTO）燃烧温度一般不低于760℃，催化燃烧装置（CO）燃烧温度一般不低于300℃，相关温度参数应自动记录存储。</w:t>
                  </w:r>
                </w:p>
                <w:p>
                  <w:pPr>
                    <w:autoSpaceDE w:val="0"/>
                    <w:autoSpaceDN w:val="0"/>
                    <w:adjustRightInd w:val="0"/>
                    <w:snapToGri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有条件的工业园区和企业集群鼓励建设集中涂装中心，分散吸附、集中脱附模式的活性炭集中再生中心，溶剂回收中心等涉VOCs“绿岛”项目，实现VOCs集中高效处理。</w:t>
                  </w:r>
                </w:p>
              </w:tc>
              <w:tc>
                <w:tcPr>
                  <w:tcW w:w="1616" w:type="pct"/>
                  <w:tcBorders>
                    <w:tl2br w:val="nil"/>
                    <w:tr2bl w:val="nil"/>
                  </w:tcBorders>
                  <w:tcMar>
                    <w:top w:w="0" w:type="dxa"/>
                    <w:left w:w="0" w:type="dxa"/>
                    <w:bottom w:w="0" w:type="dxa"/>
                    <w:right w:w="0" w:type="dxa"/>
                  </w:tcMar>
                  <w:vAlign w:val="center"/>
                </w:tcPr>
                <w:p>
                  <w:pPr>
                    <w:autoSpaceDE w:val="0"/>
                    <w:autoSpaceDN w:val="0"/>
                    <w:adjustRightInd w:val="0"/>
                    <w:snapToGri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w:t>
                  </w:r>
                  <w:r>
                    <w:rPr>
                      <w:rFonts w:hint="eastAsia" w:ascii="Times New Roman" w:hAnsi="Times New Roman" w:cs="Times New Roman"/>
                      <w:color w:val="auto"/>
                      <w:szCs w:val="21"/>
                      <w:highlight w:val="none"/>
                      <w:lang w:val="en-US" w:eastAsia="zh-CN"/>
                    </w:rPr>
                    <w:t>粉末固化工序</w:t>
                  </w:r>
                  <w:r>
                    <w:rPr>
                      <w:rFonts w:hint="default" w:ascii="Times New Roman" w:hAnsi="Times New Roman" w:cs="Times New Roman"/>
                      <w:color w:val="auto"/>
                      <w:szCs w:val="21"/>
                      <w:highlight w:val="none"/>
                    </w:rPr>
                    <w:t>产生的非甲烷总烃经</w:t>
                  </w:r>
                  <w:r>
                    <w:rPr>
                      <w:rFonts w:hint="eastAsia" w:ascii="Times New Roman" w:hAnsi="Times New Roman" w:cs="Times New Roman"/>
                      <w:color w:val="auto"/>
                      <w:szCs w:val="21"/>
                      <w:highlight w:val="none"/>
                      <w:lang w:val="en-US" w:eastAsia="zh-CN"/>
                    </w:rPr>
                    <w:t>管道收集</w:t>
                  </w:r>
                  <w:r>
                    <w:rPr>
                      <w:rFonts w:hint="default" w:ascii="Times New Roman" w:hAnsi="Times New Roman" w:cs="Times New Roman"/>
                      <w:color w:val="auto"/>
                      <w:szCs w:val="21"/>
                      <w:highlight w:val="none"/>
                    </w:rPr>
                    <w:t>+二级活性炭吸附装置处理后通过排气筒排放；本项目废气收集率和去除率均不低于90%。</w:t>
                  </w:r>
                </w:p>
                <w:p>
                  <w:pPr>
                    <w:autoSpaceDE w:val="0"/>
                    <w:autoSpaceDN w:val="0"/>
                    <w:adjustRightInd w:val="0"/>
                    <w:snapToGrid w:val="0"/>
                    <w:ind w:firstLine="420" w:firstLineChars="20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本项目废气处理采用活性炭吸附工艺，采用颗粒状活性炭作为吸附剂，碘值不低于800mg/g，比表面积不低于1100m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/g （BET法），在后期实际运行过程中将足额充填、及时更换。</w:t>
                  </w:r>
                </w:p>
              </w:tc>
              <w:tc>
                <w:tcPr>
                  <w:tcW w:w="589" w:type="pct"/>
                  <w:tcBorders>
                    <w:tl2br w:val="nil"/>
                    <w:tr2bl w:val="nil"/>
                  </w:tcBorders>
                  <w:tcMar>
                    <w:top w:w="0" w:type="dxa"/>
                    <w:left w:w="0" w:type="dxa"/>
                    <w:bottom w:w="0" w:type="dxa"/>
                    <w:right w:w="0"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bl>
          <w:p>
            <w:pPr>
              <w:spacing w:line="360" w:lineRule="auto"/>
              <w:ind w:firstLine="480" w:firstLineChars="200"/>
              <w:rPr>
                <w:color w:val="auto"/>
                <w:kern w:val="0"/>
                <w:szCs w:val="21"/>
              </w:rPr>
            </w:pPr>
            <w:r>
              <w:rPr>
                <w:bCs/>
                <w:color w:val="auto"/>
                <w:sz w:val="24"/>
              </w:rPr>
              <w:t>由上表可知，本项目符合《关于加快解决当前挥发性有机物治理突出问题的通知》（环大气[2021]65号）中相关要求。</w:t>
            </w:r>
          </w:p>
        </w:tc>
      </w:tr>
    </w:tbl>
    <w:p>
      <w:pPr>
        <w:rPr>
          <w:rFonts w:eastAsia="黑体"/>
          <w:snapToGrid w:val="0"/>
          <w:color w:val="auto"/>
          <w:sz w:val="30"/>
          <w:szCs w:val="30"/>
        </w:rPr>
      </w:pPr>
      <w:r>
        <w:rPr>
          <w:rFonts w:eastAsia="黑体"/>
          <w:snapToGrid w:val="0"/>
          <w:color w:val="auto"/>
          <w:sz w:val="30"/>
          <w:szCs w:val="30"/>
        </w:rPr>
        <w:br w:type="page"/>
      </w:r>
    </w:p>
    <w:p>
      <w:pPr>
        <w:pStyle w:val="23"/>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二、建设项目工程分析</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8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9" w:hRule="atLeast"/>
        </w:trPr>
        <w:tc>
          <w:tcPr>
            <w:tcW w:w="475" w:type="dxa"/>
            <w:vAlign w:val="center"/>
          </w:tcPr>
          <w:p>
            <w:pPr>
              <w:jc w:val="center"/>
              <w:rPr>
                <w:rFonts w:ascii="Calibri" w:hAnsi="Calibri" w:eastAsia="黑体" w:cs="Calibri"/>
                <w:snapToGrid w:val="0"/>
                <w:color w:val="auto"/>
                <w:sz w:val="30"/>
                <w:szCs w:val="30"/>
              </w:rPr>
            </w:pPr>
            <w:r>
              <w:rPr>
                <w:rFonts w:ascii="Calibri" w:hAnsi="Calibri" w:cs="Calibri"/>
                <w:color w:val="auto"/>
                <w:sz w:val="24"/>
              </w:rPr>
              <w:t>建设内容</w:t>
            </w:r>
            <w:r>
              <w:rPr>
                <w:rFonts w:ascii="Calibri" w:hAnsi="Calibri" w:eastAsia="黑体" w:cs="Calibri"/>
                <w:snapToGrid w:val="0"/>
                <w:color w:val="auto"/>
                <w:sz w:val="30"/>
                <w:szCs w:val="30"/>
              </w:rPr>
              <w:br w:type="page"/>
            </w:r>
          </w:p>
        </w:tc>
        <w:tc>
          <w:tcPr>
            <w:tcW w:w="8047" w:type="dxa"/>
          </w:tcPr>
          <w:p>
            <w:pPr>
              <w:adjustRightInd w:val="0"/>
              <w:snapToGrid w:val="0"/>
              <w:spacing w:line="360" w:lineRule="auto"/>
              <w:rPr>
                <w:rFonts w:ascii="Calibri" w:hAnsi="Calibri" w:cs="Calibri"/>
                <w:color w:val="auto"/>
                <w:sz w:val="24"/>
              </w:rPr>
            </w:pPr>
            <w:r>
              <w:rPr>
                <w:rFonts w:ascii="Calibri" w:hAnsi="Calibri" w:cs="Calibri"/>
                <w:b/>
                <w:bCs/>
                <w:color w:val="auto"/>
                <w:szCs w:val="21"/>
              </w:rPr>
              <w:t>1、</w:t>
            </w:r>
            <w:r>
              <w:rPr>
                <w:rFonts w:ascii="Calibri" w:hAnsi="Calibri" w:cs="Calibri"/>
                <w:b/>
                <w:bCs/>
                <w:color w:val="auto"/>
                <w:sz w:val="24"/>
              </w:rPr>
              <w:t>项目由来</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无锡丰科金属制品有限公司</w:t>
            </w:r>
            <w:ins w:id="69" w:author="Sunny" w:date="2022-12-28T08:50:00Z">
              <w:r>
                <w:rPr>
                  <w:rFonts w:hint="default" w:ascii="Times New Roman" w:hAnsi="Times New Roman" w:cs="Times New Roman"/>
                  <w:color w:val="auto"/>
                  <w:sz w:val="24"/>
                </w:rPr>
                <w:t>2005年10月通过工商部门预核准，注册</w:t>
              </w:r>
            </w:ins>
            <w:ins w:id="70" w:author="Sunny" w:date="2022-12-28T09:05:00Z">
              <w:r>
                <w:rPr>
                  <w:rFonts w:hint="default" w:ascii="Times New Roman" w:hAnsi="Times New Roman" w:cs="Times New Roman"/>
                  <w:color w:val="auto"/>
                  <w:sz w:val="24"/>
                </w:rPr>
                <w:t>资本</w:t>
              </w:r>
            </w:ins>
            <w:ins w:id="71" w:author="Sunny" w:date="2022-12-28T08:56:00Z">
              <w:r>
                <w:rPr>
                  <w:rFonts w:hint="default" w:ascii="Times New Roman" w:hAnsi="Times New Roman" w:cs="Times New Roman"/>
                  <w:color w:val="auto"/>
                  <w:sz w:val="24"/>
                </w:rPr>
                <w:t>为</w:t>
              </w:r>
            </w:ins>
            <w:ins w:id="72" w:author="Sunny" w:date="2022-12-28T08:50:00Z">
              <w:r>
                <w:rPr>
                  <w:rFonts w:hint="default" w:ascii="Times New Roman" w:hAnsi="Times New Roman" w:cs="Times New Roman"/>
                  <w:color w:val="auto"/>
                  <w:sz w:val="24"/>
                </w:rPr>
                <w:t>300万元。</w:t>
              </w:r>
            </w:ins>
            <w:ins w:id="73" w:author="Sunny" w:date="2022-12-28T08:52:00Z">
              <w:r>
                <w:rPr>
                  <w:rFonts w:hint="default" w:ascii="Times New Roman" w:hAnsi="Times New Roman" w:cs="Times New Roman"/>
                  <w:color w:val="auto"/>
                  <w:sz w:val="24"/>
                </w:rPr>
                <w:t>于200</w:t>
              </w:r>
            </w:ins>
            <w:ins w:id="74" w:author="Sunny" w:date="2022-12-28T08:56:00Z">
              <w:r>
                <w:rPr>
                  <w:rFonts w:hint="default" w:ascii="Times New Roman" w:hAnsi="Times New Roman" w:cs="Times New Roman"/>
                  <w:color w:val="auto"/>
                  <w:sz w:val="24"/>
                </w:rPr>
                <w:t>5</w:t>
              </w:r>
            </w:ins>
            <w:ins w:id="75" w:author="Sunny" w:date="2022-12-28T08:52:00Z">
              <w:r>
                <w:rPr>
                  <w:rFonts w:hint="default" w:ascii="Times New Roman" w:hAnsi="Times New Roman" w:cs="Times New Roman"/>
                  <w:color w:val="auto"/>
                  <w:sz w:val="24"/>
                </w:rPr>
                <w:t>年</w:t>
              </w:r>
            </w:ins>
            <w:r>
              <w:rPr>
                <w:rFonts w:hint="default" w:ascii="Times New Roman" w:hAnsi="Times New Roman" w:cs="Times New Roman"/>
                <w:color w:val="auto"/>
                <w:sz w:val="24"/>
                <w:lang w:eastAsia="zh-CN"/>
              </w:rPr>
              <w:t>申报</w:t>
            </w:r>
            <w:ins w:id="76" w:author="Sunny" w:date="2022-12-28T08:53:00Z">
              <w:r>
                <w:rPr>
                  <w:rFonts w:hint="default" w:ascii="Times New Roman" w:hAnsi="Times New Roman" w:cs="Times New Roman"/>
                  <w:color w:val="auto"/>
                  <w:sz w:val="24"/>
                </w:rPr>
                <w:t>《五金、冲压</w:t>
              </w:r>
            </w:ins>
            <w:ins w:id="77" w:author="Sunny" w:date="2022-12-28T08:54:00Z">
              <w:r>
                <w:rPr>
                  <w:rFonts w:hint="default" w:ascii="Times New Roman" w:hAnsi="Times New Roman" w:cs="Times New Roman"/>
                  <w:color w:val="auto"/>
                  <w:sz w:val="24"/>
                </w:rPr>
                <w:t>建设项目环境影响申报（登记）表</w:t>
              </w:r>
            </w:ins>
            <w:ins w:id="78" w:author="Sunny" w:date="2022-12-28T08:53:00Z">
              <w:r>
                <w:rPr>
                  <w:rFonts w:hint="default" w:ascii="Times New Roman" w:hAnsi="Times New Roman" w:cs="Times New Roman"/>
                  <w:color w:val="auto"/>
                  <w:sz w:val="24"/>
                </w:rPr>
                <w:t>》</w:t>
              </w:r>
            </w:ins>
            <w:r>
              <w:rPr>
                <w:rFonts w:hint="default" w:ascii="Times New Roman" w:hAnsi="Times New Roman" w:cs="Times New Roman"/>
                <w:color w:val="auto"/>
                <w:sz w:val="24"/>
                <w:lang w:eastAsia="zh-CN"/>
              </w:rPr>
              <w:t>，现有</w:t>
            </w:r>
            <w:ins w:id="79" w:author="Sunny" w:date="2022-12-28T08:55:00Z">
              <w:r>
                <w:rPr>
                  <w:rFonts w:hint="default" w:ascii="Times New Roman" w:hAnsi="Times New Roman" w:cs="Times New Roman"/>
                  <w:color w:val="auto"/>
                  <w:sz w:val="24"/>
                </w:rPr>
                <w:t>主要产品</w:t>
              </w:r>
            </w:ins>
            <w:r>
              <w:rPr>
                <w:rFonts w:hint="default" w:ascii="Times New Roman" w:hAnsi="Times New Roman" w:cs="Times New Roman"/>
                <w:color w:val="auto"/>
                <w:sz w:val="24"/>
                <w:lang w:eastAsia="zh-CN"/>
              </w:rPr>
              <w:t>及产能为</w:t>
            </w:r>
            <w:ins w:id="80" w:author="Sunny" w:date="2022-12-28T08:55:00Z">
              <w:r>
                <w:rPr>
                  <w:rFonts w:hint="default" w:ascii="Times New Roman" w:hAnsi="Times New Roman" w:cs="Times New Roman"/>
                  <w:color w:val="auto"/>
                  <w:sz w:val="24"/>
                </w:rPr>
                <w:t>冲压件28800件</w:t>
              </w:r>
            </w:ins>
            <w:r>
              <w:rPr>
                <w:rFonts w:hint="default" w:ascii="Times New Roman" w:hAnsi="Times New Roman" w:cs="Times New Roman"/>
                <w:color w:val="auto"/>
                <w:sz w:val="24"/>
                <w:lang w:val="en-US" w:eastAsia="zh-CN"/>
              </w:rPr>
              <w:t>/年</w:t>
            </w:r>
            <w:ins w:id="81" w:author="Sunny" w:date="2022-12-28T08:55:00Z">
              <w:r>
                <w:rPr>
                  <w:rFonts w:hint="default" w:ascii="Times New Roman" w:hAnsi="Times New Roman" w:cs="Times New Roman"/>
                  <w:color w:val="auto"/>
                  <w:sz w:val="24"/>
                </w:rPr>
                <w:t>，</w:t>
              </w:r>
            </w:ins>
            <w:ins w:id="82" w:author="Sunny" w:date="2022-12-28T08:57:00Z">
              <w:r>
                <w:rPr>
                  <w:rFonts w:hint="default" w:ascii="Times New Roman" w:hAnsi="Times New Roman" w:cs="Times New Roman"/>
                  <w:color w:val="auto"/>
                  <w:sz w:val="24"/>
                </w:rPr>
                <w:t>地址为梅村工业集中区锡鸿路15</w:t>
              </w:r>
            </w:ins>
            <w:ins w:id="83" w:author="Sunny" w:date="2022-12-28T09:05:00Z">
              <w:r>
                <w:rPr>
                  <w:rFonts w:hint="default" w:ascii="Times New Roman" w:hAnsi="Times New Roman" w:cs="Times New Roman"/>
                  <w:color w:val="auto"/>
                  <w:sz w:val="24"/>
                </w:rPr>
                <w:t>号</w:t>
              </w:r>
            </w:ins>
            <w:ins w:id="84" w:author="Sunny" w:date="2022-12-28T08:57:00Z">
              <w:r>
                <w:rPr>
                  <w:rFonts w:hint="default" w:ascii="Times New Roman" w:hAnsi="Times New Roman" w:cs="Times New Roman"/>
                  <w:color w:val="auto"/>
                  <w:sz w:val="24"/>
                </w:rPr>
                <w:t>，</w:t>
              </w:r>
            </w:ins>
            <w:ins w:id="85" w:author="Sunny" w:date="2022-12-28T08:59:00Z">
              <w:r>
                <w:rPr>
                  <w:rFonts w:hint="default" w:ascii="Times New Roman" w:hAnsi="Times New Roman" w:cs="Times New Roman"/>
                  <w:color w:val="auto"/>
                  <w:sz w:val="24"/>
                </w:rPr>
                <w:t>并取得原</w:t>
              </w:r>
            </w:ins>
            <w:ins w:id="86" w:author="Sunny" w:date="2022-12-28T09:00:00Z">
              <w:r>
                <w:rPr>
                  <w:rFonts w:hint="default" w:ascii="Times New Roman" w:hAnsi="Times New Roman" w:cs="Times New Roman"/>
                  <w:color w:val="auto"/>
                  <w:sz w:val="24"/>
                </w:rPr>
                <w:t>无锡市新区规划建设环保局审批意见</w:t>
              </w:r>
            </w:ins>
            <w:ins w:id="87" w:author="Sunny" w:date="2022-12-28T09:01:00Z">
              <w:r>
                <w:rPr>
                  <w:rFonts w:hint="default" w:ascii="Times New Roman" w:hAnsi="Times New Roman" w:cs="Times New Roman"/>
                  <w:color w:val="auto"/>
                  <w:sz w:val="24"/>
                </w:rPr>
                <w:t>。</w:t>
              </w:r>
            </w:ins>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现</w:t>
            </w:r>
            <w:ins w:id="88" w:author="Sunny" w:date="2022-12-28T09:07:00Z">
              <w:r>
                <w:rPr>
                  <w:rFonts w:hint="default" w:ascii="Times New Roman" w:hAnsi="Times New Roman" w:cs="Times New Roman"/>
                  <w:color w:val="auto"/>
                  <w:sz w:val="24"/>
                </w:rPr>
                <w:t>无锡丰科金属制品有限公司因发展需要</w:t>
              </w:r>
            </w:ins>
            <w:r>
              <w:rPr>
                <w:rFonts w:hint="default" w:ascii="Times New Roman" w:hAnsi="Times New Roman" w:cs="Times New Roman"/>
                <w:color w:val="auto"/>
                <w:sz w:val="24"/>
              </w:rPr>
              <w:t>搬迁至新风路69号，原项目不再生产。</w:t>
            </w:r>
            <w:r>
              <w:rPr>
                <w:rFonts w:hint="default" w:ascii="Times New Roman" w:hAnsi="Times New Roman" w:cs="Times New Roman"/>
                <w:color w:val="auto"/>
                <w:sz w:val="24"/>
                <w:lang w:eastAsia="zh-CN"/>
              </w:rPr>
              <w:t>本次公司</w:t>
            </w:r>
            <w:r>
              <w:rPr>
                <w:rFonts w:hint="default" w:ascii="Times New Roman" w:hAnsi="Times New Roman" w:cs="Times New Roman"/>
                <w:color w:val="auto"/>
                <w:sz w:val="24"/>
              </w:rPr>
              <w:t>总投资5000万元，租用无锡迪润工贸有限公司（位于无锡市新吴区新风路69号）占地面积15953.56平方米，厂房面积11584.97平方米，购置切割机、剪板机、压力机、液压机、喷涂线（含前处理）、车床、钻床、磨床、铣床、焊机、机器人、起重机等设备，建设年产洗衣机冲压件200万件、热水器冲压件300万件、模具40副建设项目。本项目建成后全厂生产能力为：洗衣机冲压件200万件/年、热水器冲压件300万件/年、模具40副/年的生产能力。</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本项目于202</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年</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1月</w:t>
            </w:r>
            <w:r>
              <w:rPr>
                <w:rFonts w:hint="default" w:ascii="Times New Roman" w:hAnsi="Times New Roman" w:cs="Times New Roman"/>
                <w:color w:val="auto"/>
                <w:sz w:val="24"/>
                <w:lang w:val="en-US" w:eastAsia="zh-CN"/>
              </w:rPr>
              <w:t>04</w:t>
            </w:r>
            <w:r>
              <w:rPr>
                <w:rFonts w:hint="default" w:ascii="Times New Roman" w:hAnsi="Times New Roman" w:cs="Times New Roman"/>
                <w:color w:val="auto"/>
                <w:sz w:val="24"/>
              </w:rPr>
              <w:t>日完成项目备案（备案证号：锡新行审投备〔2023〕15号，项目代码2211-320214-89-05-770624），同意开展项目前期及报批准备工作。</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中华人民共和国环境保护法》以及国务院第682号文件《建设项目环境保护管理条例》的有关规定，本项目属于《建设项目环境影响评价分类管理名录》（2021年）中“三十、金属制品业33-66结构性金属制品制造331-其他（仅分割、焊接、组装的除外；年用非溶剂型低VOCs含量涂料10吨以下的除外）、三十二、专用设备制造业35-70化工、木材、非金属加工专用设备制造352-其他（仅分割、焊接、组装的除外；年用非溶剂型低VOCs含量涂料10吨以下的除外）”类别，应编制环评报告表，因此公司委托无锡新视野环保有限公司对本项目进行环境影响评价。</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本项目所涉及的安全、消防、卫生等问题不属于本评价的范围，请公司按照国家相关法律、法规和有关标准执行。</w:t>
            </w:r>
          </w:p>
          <w:p>
            <w:pPr>
              <w:spacing w:line="360" w:lineRule="auto"/>
              <w:jc w:val="left"/>
              <w:rPr>
                <w:rFonts w:ascii="Calibri" w:hAnsi="Calibri" w:cs="Calibri"/>
                <w:b/>
                <w:bCs/>
                <w:color w:val="auto"/>
                <w:kern w:val="0"/>
                <w:sz w:val="24"/>
              </w:rPr>
            </w:pPr>
            <w:r>
              <w:rPr>
                <w:rFonts w:ascii="Calibri" w:hAnsi="Calibri" w:cs="Calibri"/>
                <w:b/>
                <w:bCs/>
                <w:color w:val="auto"/>
                <w:kern w:val="0"/>
                <w:sz w:val="24"/>
              </w:rPr>
              <w:t>2、项目概况</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项目名称：年产洗衣机冲压件200万件、热水器冲压件300万件、模具40副建设项目；</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行业类别：C3311金属结构制造、C3525模具制造；</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项目性质：迁建；</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建设地点：无锡市新吴区新风路69号；</w:t>
            </w:r>
          </w:p>
          <w:p>
            <w:pPr>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投资总额：5000万元，其中环保投资100万元，占总投资的2%</w:t>
            </w:r>
            <w:r>
              <w:rPr>
                <w:rFonts w:hint="eastAsia" w:ascii="Times New Roman" w:hAnsi="Times New Roman" w:cs="Times New Roman"/>
                <w:color w:val="auto"/>
                <w:sz w:val="24"/>
                <w:lang w:eastAsia="zh-CN"/>
              </w:rPr>
              <w:t>。</w:t>
            </w:r>
          </w:p>
          <w:p>
            <w:pPr>
              <w:spacing w:line="360" w:lineRule="auto"/>
              <w:jc w:val="left"/>
              <w:rPr>
                <w:rFonts w:ascii="Calibri" w:hAnsi="Calibri" w:cs="Calibri"/>
                <w:b/>
                <w:bCs/>
                <w:color w:val="auto"/>
                <w:kern w:val="0"/>
                <w:sz w:val="24"/>
              </w:rPr>
            </w:pPr>
            <w:r>
              <w:rPr>
                <w:rFonts w:ascii="Calibri" w:hAnsi="Calibri" w:cs="Calibri"/>
                <w:b/>
                <w:bCs/>
                <w:color w:val="auto"/>
                <w:kern w:val="0"/>
                <w:sz w:val="24"/>
              </w:rPr>
              <w:t>3、工程内容</w:t>
            </w:r>
          </w:p>
          <w:p>
            <w:pPr>
              <w:widowControl/>
              <w:numPr>
                <w:ilvl w:val="0"/>
                <w:numId w:val="4"/>
              </w:numPr>
              <w:jc w:val="center"/>
              <w:rPr>
                <w:rFonts w:ascii="Calibri" w:hAnsi="Calibri" w:cs="Calibri"/>
                <w:b/>
                <w:bCs/>
                <w:color w:val="auto"/>
                <w:sz w:val="24"/>
              </w:rPr>
            </w:pPr>
            <w:r>
              <w:rPr>
                <w:rFonts w:hint="eastAsia" w:ascii="Calibri" w:hAnsi="Calibri" w:cs="Calibri"/>
                <w:b/>
                <w:bCs/>
                <w:color w:val="auto"/>
                <w:sz w:val="24"/>
              </w:rPr>
              <w:t>建设项目主体工程及产品方案表</w:t>
            </w:r>
          </w:p>
          <w:tbl>
            <w:tblPr>
              <w:tblStyle w:val="26"/>
              <w:tblW w:w="494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620"/>
              <w:gridCol w:w="1485"/>
              <w:gridCol w:w="975"/>
              <w:gridCol w:w="975"/>
              <w:gridCol w:w="954"/>
              <w:gridCol w:w="12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333" w:type="pct"/>
                  <w:vMerge w:val="restart"/>
                  <w:vAlign w:val="center"/>
                </w:tcPr>
                <w:p>
                  <w:pPr>
                    <w:widowControl/>
                    <w:spacing w:line="144" w:lineRule="auto"/>
                    <w:jc w:val="center"/>
                    <w:rPr>
                      <w:b/>
                      <w:bCs/>
                      <w:color w:val="auto"/>
                      <w:szCs w:val="21"/>
                    </w:rPr>
                  </w:pPr>
                  <w:r>
                    <w:rPr>
                      <w:b/>
                      <w:bCs/>
                      <w:color w:val="auto"/>
                      <w:szCs w:val="21"/>
                    </w:rPr>
                    <w:t>序号</w:t>
                  </w:r>
                </w:p>
              </w:tc>
              <w:tc>
                <w:tcPr>
                  <w:tcW w:w="1046" w:type="pct"/>
                  <w:vMerge w:val="restart"/>
                  <w:vAlign w:val="center"/>
                </w:tcPr>
                <w:p>
                  <w:pPr>
                    <w:widowControl/>
                    <w:jc w:val="center"/>
                    <w:rPr>
                      <w:b/>
                      <w:bCs/>
                      <w:color w:val="auto"/>
                      <w:szCs w:val="21"/>
                    </w:rPr>
                  </w:pPr>
                  <w:r>
                    <w:rPr>
                      <w:b/>
                      <w:bCs/>
                      <w:color w:val="auto"/>
                      <w:szCs w:val="21"/>
                    </w:rPr>
                    <w:t>工程名称</w:t>
                  </w:r>
                </w:p>
                <w:p>
                  <w:pPr>
                    <w:widowControl/>
                    <w:jc w:val="center"/>
                    <w:rPr>
                      <w:b/>
                      <w:bCs/>
                      <w:color w:val="auto"/>
                      <w:szCs w:val="21"/>
                    </w:rPr>
                  </w:pPr>
                  <w:r>
                    <w:rPr>
                      <w:b/>
                      <w:bCs/>
                      <w:color w:val="auto"/>
                      <w:szCs w:val="21"/>
                    </w:rPr>
                    <w:t>（车间、生产装置或生产线）</w:t>
                  </w:r>
                </w:p>
              </w:tc>
              <w:tc>
                <w:tcPr>
                  <w:tcW w:w="959" w:type="pct"/>
                  <w:vMerge w:val="restart"/>
                  <w:vAlign w:val="center"/>
                </w:tcPr>
                <w:p>
                  <w:pPr>
                    <w:widowControl/>
                    <w:jc w:val="center"/>
                    <w:rPr>
                      <w:b/>
                      <w:bCs/>
                      <w:color w:val="auto"/>
                      <w:szCs w:val="21"/>
                    </w:rPr>
                  </w:pPr>
                  <w:r>
                    <w:rPr>
                      <w:b/>
                      <w:bCs/>
                      <w:color w:val="auto"/>
                      <w:szCs w:val="21"/>
                    </w:rPr>
                    <w:t>产品名称</w:t>
                  </w:r>
                </w:p>
              </w:tc>
              <w:tc>
                <w:tcPr>
                  <w:tcW w:w="1875" w:type="pct"/>
                  <w:gridSpan w:val="3"/>
                  <w:tcBorders>
                    <w:bottom w:val="single" w:color="000000" w:sz="4" w:space="0"/>
                  </w:tcBorders>
                  <w:vAlign w:val="center"/>
                </w:tcPr>
                <w:p>
                  <w:pPr>
                    <w:widowControl/>
                    <w:jc w:val="center"/>
                    <w:rPr>
                      <w:b/>
                      <w:bCs/>
                      <w:color w:val="auto"/>
                      <w:szCs w:val="21"/>
                    </w:rPr>
                  </w:pPr>
                  <w:r>
                    <w:rPr>
                      <w:b/>
                      <w:bCs/>
                      <w:color w:val="auto"/>
                      <w:szCs w:val="21"/>
                    </w:rPr>
                    <w:t>设计产能</w:t>
                  </w:r>
                </w:p>
              </w:tc>
              <w:tc>
                <w:tcPr>
                  <w:tcW w:w="784" w:type="pct"/>
                  <w:vMerge w:val="restart"/>
                  <w:vAlign w:val="center"/>
                </w:tcPr>
                <w:p>
                  <w:pPr>
                    <w:widowControl/>
                    <w:jc w:val="center"/>
                    <w:rPr>
                      <w:b/>
                      <w:bCs/>
                      <w:color w:val="auto"/>
                      <w:szCs w:val="21"/>
                    </w:rPr>
                  </w:pPr>
                  <w:r>
                    <w:rPr>
                      <w:b/>
                      <w:bCs/>
                      <w:color w:val="auto"/>
                      <w:szCs w:val="21"/>
                    </w:rPr>
                    <w:t>年运行时数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333" w:type="pct"/>
                  <w:vMerge w:val="continue"/>
                  <w:vAlign w:val="center"/>
                </w:tcPr>
                <w:p>
                  <w:pPr>
                    <w:widowControl/>
                    <w:spacing w:line="144" w:lineRule="auto"/>
                    <w:jc w:val="center"/>
                    <w:rPr>
                      <w:b/>
                      <w:bCs/>
                      <w:color w:val="auto"/>
                      <w:szCs w:val="21"/>
                    </w:rPr>
                  </w:pPr>
                </w:p>
              </w:tc>
              <w:tc>
                <w:tcPr>
                  <w:tcW w:w="1046" w:type="pct"/>
                  <w:vMerge w:val="continue"/>
                  <w:vAlign w:val="center"/>
                </w:tcPr>
                <w:p>
                  <w:pPr>
                    <w:widowControl/>
                    <w:jc w:val="center"/>
                    <w:rPr>
                      <w:b/>
                      <w:bCs/>
                      <w:color w:val="auto"/>
                      <w:szCs w:val="21"/>
                    </w:rPr>
                  </w:pPr>
                </w:p>
              </w:tc>
              <w:tc>
                <w:tcPr>
                  <w:tcW w:w="959" w:type="pct"/>
                  <w:vMerge w:val="continue"/>
                  <w:vAlign w:val="center"/>
                </w:tcPr>
                <w:p>
                  <w:pPr>
                    <w:widowControl/>
                    <w:jc w:val="center"/>
                    <w:rPr>
                      <w:b/>
                      <w:bCs/>
                      <w:color w:val="auto"/>
                      <w:szCs w:val="21"/>
                    </w:rPr>
                  </w:pPr>
                </w:p>
              </w:tc>
              <w:tc>
                <w:tcPr>
                  <w:tcW w:w="629" w:type="pct"/>
                  <w:tcBorders>
                    <w:top w:val="single" w:color="000000" w:sz="4" w:space="0"/>
                    <w:right w:val="single" w:color="000000" w:sz="4" w:space="0"/>
                  </w:tcBorders>
                  <w:vAlign w:val="center"/>
                </w:tcPr>
                <w:p>
                  <w:pPr>
                    <w:widowControl/>
                    <w:jc w:val="center"/>
                    <w:rPr>
                      <w:rFonts w:hint="eastAsia" w:eastAsia="宋体"/>
                      <w:b/>
                      <w:bCs/>
                      <w:color w:val="auto"/>
                      <w:szCs w:val="21"/>
                      <w:lang w:val="en-US" w:eastAsia="zh-CN"/>
                    </w:rPr>
                  </w:pPr>
                  <w:r>
                    <w:rPr>
                      <w:rFonts w:hint="eastAsia"/>
                      <w:b/>
                      <w:bCs/>
                      <w:color w:val="auto"/>
                      <w:szCs w:val="21"/>
                      <w:lang w:val="en-US" w:eastAsia="zh-CN"/>
                    </w:rPr>
                    <w:t>迁建前</w:t>
                  </w:r>
                </w:p>
              </w:tc>
              <w:tc>
                <w:tcPr>
                  <w:tcW w:w="629" w:type="pct"/>
                  <w:tcBorders>
                    <w:top w:val="single" w:color="000000" w:sz="4" w:space="0"/>
                    <w:left w:val="single" w:color="000000" w:sz="4" w:space="0"/>
                    <w:right w:val="single" w:color="000000" w:sz="4" w:space="0"/>
                  </w:tcBorders>
                  <w:vAlign w:val="center"/>
                </w:tcPr>
                <w:p>
                  <w:pPr>
                    <w:widowControl/>
                    <w:jc w:val="center"/>
                    <w:rPr>
                      <w:rFonts w:hint="default" w:eastAsia="宋体"/>
                      <w:b/>
                      <w:bCs/>
                      <w:color w:val="auto"/>
                      <w:szCs w:val="21"/>
                      <w:lang w:val="en-US" w:eastAsia="zh-CN"/>
                    </w:rPr>
                  </w:pPr>
                  <w:r>
                    <w:rPr>
                      <w:rFonts w:hint="eastAsia"/>
                      <w:b/>
                      <w:bCs/>
                      <w:color w:val="auto"/>
                      <w:szCs w:val="21"/>
                      <w:lang w:val="en-US" w:eastAsia="zh-CN"/>
                    </w:rPr>
                    <w:t>迁建后</w:t>
                  </w:r>
                </w:p>
              </w:tc>
              <w:tc>
                <w:tcPr>
                  <w:tcW w:w="616" w:type="pct"/>
                  <w:tcBorders>
                    <w:top w:val="single" w:color="000000" w:sz="4" w:space="0"/>
                    <w:left w:val="single" w:color="000000" w:sz="4" w:space="0"/>
                  </w:tcBorders>
                  <w:vAlign w:val="center"/>
                </w:tcPr>
                <w:p>
                  <w:pPr>
                    <w:widowControl/>
                    <w:jc w:val="center"/>
                    <w:rPr>
                      <w:rFonts w:hint="eastAsia" w:eastAsia="宋体"/>
                      <w:b/>
                      <w:bCs/>
                      <w:color w:val="auto"/>
                      <w:szCs w:val="21"/>
                      <w:lang w:val="en-US" w:eastAsia="zh-CN"/>
                    </w:rPr>
                  </w:pPr>
                  <w:r>
                    <w:rPr>
                      <w:rFonts w:hint="eastAsia"/>
                      <w:b/>
                      <w:bCs/>
                      <w:color w:val="auto"/>
                      <w:szCs w:val="21"/>
                      <w:lang w:val="en-US" w:eastAsia="zh-CN"/>
                    </w:rPr>
                    <w:t>增量</w:t>
                  </w:r>
                </w:p>
              </w:tc>
              <w:tc>
                <w:tcPr>
                  <w:tcW w:w="784" w:type="pct"/>
                  <w:vMerge w:val="continue"/>
                  <w:vAlign w:val="center"/>
                </w:tcPr>
                <w:p>
                  <w:pPr>
                    <w:widowControl/>
                    <w:jc w:val="center"/>
                    <w:rPr>
                      <w:b/>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vAlign w:val="center"/>
                </w:tcPr>
                <w:p>
                  <w:pPr>
                    <w:widowControl/>
                    <w:spacing w:line="144" w:lineRule="auto"/>
                    <w:jc w:val="center"/>
                    <w:rPr>
                      <w:rFonts w:hint="eastAsia" w:eastAsia="宋体"/>
                      <w:color w:val="auto"/>
                      <w:szCs w:val="21"/>
                      <w:lang w:val="en-US" w:eastAsia="zh-CN"/>
                    </w:rPr>
                  </w:pPr>
                  <w:r>
                    <w:rPr>
                      <w:rFonts w:hint="eastAsia"/>
                      <w:color w:val="auto"/>
                      <w:szCs w:val="21"/>
                      <w:lang w:val="en-US" w:eastAsia="zh-CN"/>
                    </w:rPr>
                    <w:t>1</w:t>
                  </w:r>
                </w:p>
              </w:tc>
              <w:tc>
                <w:tcPr>
                  <w:tcW w:w="1046" w:type="pct"/>
                  <w:vAlign w:val="center"/>
                </w:tcPr>
                <w:p>
                  <w:pPr>
                    <w:widowControl/>
                    <w:spacing w:line="144" w:lineRule="auto"/>
                    <w:jc w:val="center"/>
                    <w:rPr>
                      <w:rFonts w:hint="default" w:eastAsia="宋体"/>
                      <w:color w:val="auto"/>
                      <w:szCs w:val="21"/>
                      <w:lang w:val="en-US" w:eastAsia="zh-CN"/>
                    </w:rPr>
                  </w:pPr>
                  <w:r>
                    <w:rPr>
                      <w:rFonts w:hint="eastAsia"/>
                      <w:color w:val="auto"/>
                      <w:szCs w:val="21"/>
                      <w:lang w:val="en-US" w:eastAsia="zh-CN"/>
                    </w:rPr>
                    <w:t>冲压件生产</w:t>
                  </w:r>
                </w:p>
              </w:tc>
              <w:tc>
                <w:tcPr>
                  <w:tcW w:w="959" w:type="pct"/>
                  <w:vAlign w:val="center"/>
                </w:tcPr>
                <w:p>
                  <w:pPr>
                    <w:widowControl/>
                    <w:spacing w:line="144" w:lineRule="auto"/>
                    <w:jc w:val="center"/>
                    <w:rPr>
                      <w:rFonts w:hint="default" w:eastAsia="宋体"/>
                      <w:color w:val="auto"/>
                      <w:szCs w:val="21"/>
                      <w:lang w:val="en-US" w:eastAsia="zh-CN"/>
                    </w:rPr>
                  </w:pPr>
                  <w:r>
                    <w:rPr>
                      <w:color w:val="auto"/>
                    </w:rPr>
                    <w:commentReference w:id="8"/>
                  </w:r>
                  <w:r>
                    <w:rPr>
                      <w:rFonts w:hint="eastAsia"/>
                      <w:color w:val="auto"/>
                      <w:szCs w:val="21"/>
                      <w:lang w:val="en-US" w:eastAsia="zh-CN"/>
                    </w:rPr>
                    <w:t>冲压件</w:t>
                  </w:r>
                </w:p>
              </w:tc>
              <w:tc>
                <w:tcPr>
                  <w:tcW w:w="629" w:type="pct"/>
                  <w:tcBorders>
                    <w:right w:val="single" w:color="000000" w:sz="4" w:space="0"/>
                  </w:tcBorders>
                  <w:vAlign w:val="center"/>
                </w:tcPr>
                <w:p>
                  <w:pPr>
                    <w:widowControl/>
                    <w:spacing w:line="144" w:lineRule="auto"/>
                    <w:jc w:val="center"/>
                    <w:rPr>
                      <w:rFonts w:hint="eastAsia"/>
                      <w:color w:val="auto"/>
                      <w:szCs w:val="21"/>
                      <w:lang w:val="en-US" w:eastAsia="zh-CN"/>
                    </w:rPr>
                  </w:pPr>
                  <w:r>
                    <w:rPr>
                      <w:rFonts w:hint="eastAsia"/>
                      <w:color w:val="auto"/>
                      <w:szCs w:val="21"/>
                      <w:lang w:val="en-US" w:eastAsia="zh-CN"/>
                    </w:rPr>
                    <w:t>28800件/年</w:t>
                  </w:r>
                </w:p>
              </w:tc>
              <w:tc>
                <w:tcPr>
                  <w:tcW w:w="629" w:type="pct"/>
                  <w:tcBorders>
                    <w:left w:val="single" w:color="000000" w:sz="4" w:space="0"/>
                    <w:right w:val="single" w:color="000000" w:sz="4" w:space="0"/>
                  </w:tcBorders>
                  <w:vAlign w:val="center"/>
                </w:tcPr>
                <w:p>
                  <w:pPr>
                    <w:widowControl/>
                    <w:spacing w:line="144" w:lineRule="auto"/>
                    <w:jc w:val="center"/>
                    <w:rPr>
                      <w:rFonts w:hint="eastAsia" w:eastAsia="宋体"/>
                      <w:color w:val="auto"/>
                      <w:szCs w:val="21"/>
                      <w:lang w:val="en-US" w:eastAsia="zh-CN"/>
                    </w:rPr>
                  </w:pPr>
                  <w:r>
                    <w:rPr>
                      <w:rFonts w:hint="eastAsia"/>
                      <w:color w:val="auto"/>
                      <w:szCs w:val="21"/>
                      <w:lang w:val="en-US" w:eastAsia="zh-CN"/>
                    </w:rPr>
                    <w:t>0</w:t>
                  </w:r>
                </w:p>
              </w:tc>
              <w:tc>
                <w:tcPr>
                  <w:tcW w:w="616" w:type="pct"/>
                  <w:tcBorders>
                    <w:left w:val="single" w:color="000000" w:sz="4" w:space="0"/>
                  </w:tcBorders>
                  <w:vAlign w:val="center"/>
                </w:tcPr>
                <w:p>
                  <w:pPr>
                    <w:widowControl/>
                    <w:spacing w:line="144" w:lineRule="auto"/>
                    <w:jc w:val="center"/>
                    <w:rPr>
                      <w:rFonts w:hint="default"/>
                      <w:color w:val="auto"/>
                      <w:szCs w:val="21"/>
                      <w:lang w:val="en-US" w:eastAsia="zh-CN"/>
                    </w:rPr>
                  </w:pPr>
                  <w:r>
                    <w:rPr>
                      <w:rFonts w:hint="eastAsia"/>
                      <w:color w:val="auto"/>
                      <w:szCs w:val="21"/>
                      <w:lang w:val="en-US" w:eastAsia="zh-CN"/>
                    </w:rPr>
                    <w:t>-28800件/年</w:t>
                  </w:r>
                </w:p>
              </w:tc>
              <w:tc>
                <w:tcPr>
                  <w:tcW w:w="784" w:type="pct"/>
                  <w:vAlign w:val="center"/>
                </w:tcPr>
                <w:p>
                  <w:pPr>
                    <w:widowControl/>
                    <w:spacing w:line="144" w:lineRule="auto"/>
                    <w:jc w:val="center"/>
                    <w:rPr>
                      <w:rFonts w:hint="default" w:eastAsia="宋体"/>
                      <w:color w:val="auto"/>
                      <w:szCs w:val="21"/>
                      <w:lang w:val="en-US" w:eastAsia="zh-CN"/>
                    </w:rPr>
                  </w:pPr>
                  <w:r>
                    <w:rPr>
                      <w:rFonts w:hint="eastAsia"/>
                      <w:color w:val="auto"/>
                      <w:szCs w:val="21"/>
                      <w:lang w:val="en-US" w:eastAsia="zh-CN"/>
                    </w:rPr>
                    <w:t>6000h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vAlign w:val="center"/>
                </w:tcPr>
                <w:p>
                  <w:pPr>
                    <w:widowControl/>
                    <w:spacing w:line="144" w:lineRule="auto"/>
                    <w:jc w:val="center"/>
                    <w:rPr>
                      <w:rFonts w:hint="eastAsia" w:eastAsia="宋体"/>
                      <w:color w:val="auto"/>
                      <w:szCs w:val="21"/>
                      <w:lang w:eastAsia="zh-CN"/>
                    </w:rPr>
                  </w:pPr>
                  <w:r>
                    <w:rPr>
                      <w:rFonts w:hint="eastAsia"/>
                      <w:color w:val="auto"/>
                      <w:szCs w:val="21"/>
                      <w:lang w:val="en-US" w:eastAsia="zh-CN"/>
                    </w:rPr>
                    <w:t>2</w:t>
                  </w:r>
                </w:p>
              </w:tc>
              <w:tc>
                <w:tcPr>
                  <w:tcW w:w="1046" w:type="pct"/>
                  <w:vMerge w:val="restart"/>
                  <w:vAlign w:val="center"/>
                </w:tcPr>
                <w:p>
                  <w:pPr>
                    <w:widowControl/>
                    <w:spacing w:line="144" w:lineRule="auto"/>
                    <w:jc w:val="center"/>
                    <w:rPr>
                      <w:color w:val="auto"/>
                      <w:szCs w:val="21"/>
                    </w:rPr>
                  </w:pPr>
                  <w:r>
                    <w:rPr>
                      <w:color w:val="auto"/>
                      <w:szCs w:val="21"/>
                    </w:rPr>
                    <w:t>冲压件生产</w:t>
                  </w:r>
                </w:p>
              </w:tc>
              <w:tc>
                <w:tcPr>
                  <w:tcW w:w="959" w:type="pct"/>
                  <w:vAlign w:val="center"/>
                </w:tcPr>
                <w:p>
                  <w:pPr>
                    <w:widowControl/>
                    <w:spacing w:line="144" w:lineRule="auto"/>
                    <w:jc w:val="center"/>
                    <w:rPr>
                      <w:color w:val="auto"/>
                      <w:szCs w:val="21"/>
                    </w:rPr>
                  </w:pPr>
                  <w:r>
                    <w:rPr>
                      <w:color w:val="auto"/>
                      <w:szCs w:val="21"/>
                    </w:rPr>
                    <w:t>洗衣机冲压件</w:t>
                  </w:r>
                </w:p>
              </w:tc>
              <w:tc>
                <w:tcPr>
                  <w:tcW w:w="629" w:type="pct"/>
                  <w:tcBorders>
                    <w:right w:val="single" w:color="000000" w:sz="4" w:space="0"/>
                  </w:tcBorders>
                  <w:vAlign w:val="center"/>
                </w:tcPr>
                <w:p>
                  <w:pPr>
                    <w:widowControl/>
                    <w:spacing w:line="144" w:lineRule="auto"/>
                    <w:jc w:val="center"/>
                    <w:rPr>
                      <w:rFonts w:hint="default" w:eastAsia="宋体"/>
                      <w:color w:val="auto"/>
                      <w:szCs w:val="21"/>
                      <w:lang w:val="en-US" w:eastAsia="zh-CN"/>
                    </w:rPr>
                  </w:pPr>
                  <w:r>
                    <w:rPr>
                      <w:rFonts w:hint="eastAsia"/>
                      <w:color w:val="auto"/>
                      <w:szCs w:val="21"/>
                      <w:lang w:val="en-US" w:eastAsia="zh-CN"/>
                    </w:rPr>
                    <w:t>0</w:t>
                  </w:r>
                </w:p>
              </w:tc>
              <w:tc>
                <w:tcPr>
                  <w:tcW w:w="629" w:type="pct"/>
                  <w:tcBorders>
                    <w:left w:val="single" w:color="000000" w:sz="4" w:space="0"/>
                    <w:right w:val="single" w:color="000000" w:sz="4" w:space="0"/>
                  </w:tcBorders>
                  <w:vAlign w:val="center"/>
                </w:tcPr>
                <w:p>
                  <w:pPr>
                    <w:widowControl/>
                    <w:spacing w:line="144" w:lineRule="auto"/>
                    <w:jc w:val="center"/>
                    <w:rPr>
                      <w:color w:val="auto"/>
                      <w:szCs w:val="21"/>
                    </w:rPr>
                  </w:pPr>
                  <w:r>
                    <w:rPr>
                      <w:color w:val="auto"/>
                      <w:szCs w:val="21"/>
                    </w:rPr>
                    <w:t>200万件/年</w:t>
                  </w:r>
                </w:p>
              </w:tc>
              <w:tc>
                <w:tcPr>
                  <w:tcW w:w="616" w:type="pct"/>
                  <w:tcBorders>
                    <w:left w:val="single" w:color="000000" w:sz="4" w:space="0"/>
                  </w:tcBorders>
                  <w:vAlign w:val="center"/>
                </w:tcPr>
                <w:p>
                  <w:pPr>
                    <w:widowControl/>
                    <w:spacing w:line="144" w:lineRule="auto"/>
                    <w:jc w:val="center"/>
                    <w:rPr>
                      <w:rFonts w:hint="default" w:eastAsia="宋体"/>
                      <w:color w:val="auto"/>
                      <w:szCs w:val="21"/>
                      <w:lang w:val="en-US" w:eastAsia="zh-CN"/>
                    </w:rPr>
                  </w:pPr>
                  <w:r>
                    <w:rPr>
                      <w:rFonts w:hint="eastAsia"/>
                      <w:color w:val="auto"/>
                      <w:szCs w:val="21"/>
                      <w:lang w:val="en-US" w:eastAsia="zh-CN"/>
                    </w:rPr>
                    <w:t>+</w:t>
                  </w:r>
                  <w:r>
                    <w:rPr>
                      <w:color w:val="auto"/>
                      <w:szCs w:val="21"/>
                    </w:rPr>
                    <w:t>200万件/年</w:t>
                  </w:r>
                </w:p>
              </w:tc>
              <w:tc>
                <w:tcPr>
                  <w:tcW w:w="784" w:type="pct"/>
                  <w:vAlign w:val="center"/>
                </w:tcPr>
                <w:p>
                  <w:pPr>
                    <w:widowControl/>
                    <w:spacing w:line="144" w:lineRule="auto"/>
                    <w:jc w:val="center"/>
                    <w:rPr>
                      <w:color w:val="auto"/>
                      <w:szCs w:val="21"/>
                    </w:rPr>
                  </w:pPr>
                  <w:r>
                    <w:rPr>
                      <w:rFonts w:hint="eastAsia"/>
                      <w:color w:val="auto"/>
                      <w:szCs w:val="21"/>
                    </w:rPr>
                    <w:t>72</w:t>
                  </w:r>
                  <w:r>
                    <w:rPr>
                      <w:color w:val="auto"/>
                      <w:szCs w:val="21"/>
                    </w:rPr>
                    <w:t>00h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vAlign w:val="center"/>
                </w:tcPr>
                <w:p>
                  <w:pPr>
                    <w:widowControl/>
                    <w:spacing w:line="144" w:lineRule="auto"/>
                    <w:jc w:val="center"/>
                    <w:rPr>
                      <w:rFonts w:hint="eastAsia" w:eastAsia="宋体"/>
                      <w:color w:val="auto"/>
                      <w:szCs w:val="21"/>
                      <w:lang w:eastAsia="zh-CN"/>
                    </w:rPr>
                  </w:pPr>
                  <w:r>
                    <w:rPr>
                      <w:rFonts w:hint="eastAsia"/>
                      <w:color w:val="auto"/>
                      <w:szCs w:val="21"/>
                      <w:lang w:val="en-US" w:eastAsia="zh-CN"/>
                    </w:rPr>
                    <w:t>3</w:t>
                  </w:r>
                </w:p>
              </w:tc>
              <w:tc>
                <w:tcPr>
                  <w:tcW w:w="1046" w:type="pct"/>
                  <w:vMerge w:val="continue"/>
                  <w:vAlign w:val="center"/>
                </w:tcPr>
                <w:p>
                  <w:pPr>
                    <w:widowControl/>
                    <w:spacing w:line="144" w:lineRule="auto"/>
                    <w:jc w:val="center"/>
                    <w:rPr>
                      <w:color w:val="auto"/>
                      <w:szCs w:val="21"/>
                    </w:rPr>
                  </w:pPr>
                </w:p>
              </w:tc>
              <w:tc>
                <w:tcPr>
                  <w:tcW w:w="959" w:type="pct"/>
                  <w:vAlign w:val="center"/>
                </w:tcPr>
                <w:p>
                  <w:pPr>
                    <w:widowControl/>
                    <w:spacing w:line="144" w:lineRule="auto"/>
                    <w:jc w:val="center"/>
                    <w:rPr>
                      <w:b/>
                      <w:bCs/>
                      <w:color w:val="auto"/>
                      <w:szCs w:val="21"/>
                    </w:rPr>
                  </w:pPr>
                  <w:r>
                    <w:rPr>
                      <w:color w:val="auto"/>
                      <w:szCs w:val="21"/>
                    </w:rPr>
                    <w:t>热水器冲压件</w:t>
                  </w:r>
                </w:p>
              </w:tc>
              <w:tc>
                <w:tcPr>
                  <w:tcW w:w="629" w:type="pct"/>
                  <w:tcBorders>
                    <w:right w:val="single" w:color="000000" w:sz="4" w:space="0"/>
                  </w:tcBorders>
                  <w:vAlign w:val="center"/>
                </w:tcPr>
                <w:p>
                  <w:pPr>
                    <w:widowControl/>
                    <w:spacing w:line="144" w:lineRule="auto"/>
                    <w:jc w:val="center"/>
                    <w:rPr>
                      <w:rFonts w:hint="eastAsia" w:eastAsia="宋体"/>
                      <w:b/>
                      <w:bCs/>
                      <w:color w:val="auto"/>
                      <w:szCs w:val="21"/>
                      <w:lang w:val="en-US" w:eastAsia="zh-CN"/>
                    </w:rPr>
                  </w:pPr>
                  <w:r>
                    <w:rPr>
                      <w:rFonts w:hint="eastAsia"/>
                      <w:b w:val="0"/>
                      <w:bCs w:val="0"/>
                      <w:color w:val="auto"/>
                      <w:szCs w:val="21"/>
                      <w:lang w:val="en-US" w:eastAsia="zh-CN"/>
                    </w:rPr>
                    <w:t>0</w:t>
                  </w:r>
                </w:p>
              </w:tc>
              <w:tc>
                <w:tcPr>
                  <w:tcW w:w="629" w:type="pct"/>
                  <w:tcBorders>
                    <w:left w:val="single" w:color="000000" w:sz="4" w:space="0"/>
                    <w:right w:val="single" w:color="000000" w:sz="4" w:space="0"/>
                  </w:tcBorders>
                  <w:vAlign w:val="center"/>
                </w:tcPr>
                <w:p>
                  <w:pPr>
                    <w:widowControl/>
                    <w:spacing w:line="144" w:lineRule="auto"/>
                    <w:jc w:val="center"/>
                    <w:rPr>
                      <w:color w:val="auto"/>
                      <w:szCs w:val="21"/>
                    </w:rPr>
                  </w:pPr>
                  <w:r>
                    <w:rPr>
                      <w:color w:val="auto"/>
                      <w:szCs w:val="21"/>
                    </w:rPr>
                    <w:t>300万件/年</w:t>
                  </w:r>
                </w:p>
              </w:tc>
              <w:tc>
                <w:tcPr>
                  <w:tcW w:w="616" w:type="pct"/>
                  <w:tcBorders>
                    <w:left w:val="single" w:color="000000" w:sz="4" w:space="0"/>
                  </w:tcBorders>
                  <w:vAlign w:val="center"/>
                </w:tcPr>
                <w:p>
                  <w:pPr>
                    <w:widowControl/>
                    <w:spacing w:line="144" w:lineRule="auto"/>
                    <w:jc w:val="center"/>
                    <w:rPr>
                      <w:color w:val="auto"/>
                      <w:szCs w:val="21"/>
                    </w:rPr>
                  </w:pPr>
                  <w:r>
                    <w:rPr>
                      <w:rFonts w:hint="eastAsia"/>
                      <w:color w:val="auto"/>
                      <w:szCs w:val="21"/>
                      <w:lang w:val="en-US" w:eastAsia="zh-CN"/>
                    </w:rPr>
                    <w:t>+</w:t>
                  </w:r>
                  <w:r>
                    <w:rPr>
                      <w:color w:val="auto"/>
                      <w:szCs w:val="21"/>
                    </w:rPr>
                    <w:t>300万件/年</w:t>
                  </w:r>
                </w:p>
              </w:tc>
              <w:tc>
                <w:tcPr>
                  <w:tcW w:w="784" w:type="pct"/>
                  <w:vAlign w:val="center"/>
                </w:tcPr>
                <w:p>
                  <w:pPr>
                    <w:widowControl/>
                    <w:spacing w:line="144" w:lineRule="auto"/>
                    <w:jc w:val="center"/>
                    <w:rPr>
                      <w:color w:val="auto"/>
                      <w:szCs w:val="21"/>
                    </w:rPr>
                  </w:pPr>
                  <w:r>
                    <w:rPr>
                      <w:rFonts w:hint="eastAsia"/>
                      <w:color w:val="auto"/>
                      <w:szCs w:val="21"/>
                    </w:rPr>
                    <w:t>72</w:t>
                  </w:r>
                  <w:r>
                    <w:rPr>
                      <w:color w:val="auto"/>
                      <w:szCs w:val="21"/>
                    </w:rPr>
                    <w:t>00h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vAlign w:val="center"/>
                </w:tcPr>
                <w:p>
                  <w:pPr>
                    <w:widowControl/>
                    <w:spacing w:line="144" w:lineRule="auto"/>
                    <w:jc w:val="center"/>
                    <w:rPr>
                      <w:rFonts w:hint="eastAsia" w:eastAsia="宋体"/>
                      <w:color w:val="auto"/>
                      <w:szCs w:val="21"/>
                      <w:lang w:val="en-US" w:eastAsia="zh-CN"/>
                    </w:rPr>
                  </w:pPr>
                  <w:r>
                    <w:rPr>
                      <w:rFonts w:hint="eastAsia"/>
                      <w:color w:val="auto"/>
                      <w:szCs w:val="21"/>
                      <w:lang w:val="en-US" w:eastAsia="zh-CN"/>
                    </w:rPr>
                    <w:t>4</w:t>
                  </w:r>
                </w:p>
              </w:tc>
              <w:tc>
                <w:tcPr>
                  <w:tcW w:w="1046" w:type="pct"/>
                  <w:vAlign w:val="center"/>
                </w:tcPr>
                <w:p>
                  <w:pPr>
                    <w:widowControl/>
                    <w:spacing w:line="144" w:lineRule="auto"/>
                    <w:jc w:val="center"/>
                    <w:rPr>
                      <w:color w:val="auto"/>
                      <w:szCs w:val="21"/>
                    </w:rPr>
                  </w:pPr>
                  <w:r>
                    <w:rPr>
                      <w:color w:val="auto"/>
                      <w:szCs w:val="21"/>
                    </w:rPr>
                    <w:t>模具</w:t>
                  </w:r>
                  <w:r>
                    <w:rPr>
                      <w:rFonts w:hint="eastAsia"/>
                      <w:color w:val="auto"/>
                      <w:szCs w:val="21"/>
                    </w:rPr>
                    <w:t>生产</w:t>
                  </w:r>
                </w:p>
              </w:tc>
              <w:tc>
                <w:tcPr>
                  <w:tcW w:w="959" w:type="pct"/>
                  <w:vAlign w:val="center"/>
                </w:tcPr>
                <w:p>
                  <w:pPr>
                    <w:widowControl/>
                    <w:spacing w:line="144" w:lineRule="auto"/>
                    <w:jc w:val="center"/>
                    <w:rPr>
                      <w:color w:val="auto"/>
                      <w:szCs w:val="21"/>
                    </w:rPr>
                  </w:pPr>
                  <w:r>
                    <w:rPr>
                      <w:color w:val="auto"/>
                      <w:szCs w:val="21"/>
                    </w:rPr>
                    <w:t>模具</w:t>
                  </w:r>
                </w:p>
              </w:tc>
              <w:tc>
                <w:tcPr>
                  <w:tcW w:w="629" w:type="pct"/>
                  <w:tcBorders>
                    <w:right w:val="single" w:color="000000" w:sz="4" w:space="0"/>
                  </w:tcBorders>
                  <w:vAlign w:val="center"/>
                </w:tcPr>
                <w:p>
                  <w:pPr>
                    <w:widowControl/>
                    <w:spacing w:line="144" w:lineRule="auto"/>
                    <w:jc w:val="center"/>
                    <w:rPr>
                      <w:rFonts w:hint="eastAsia" w:eastAsia="宋体"/>
                      <w:color w:val="auto"/>
                      <w:szCs w:val="21"/>
                      <w:lang w:val="en-US" w:eastAsia="zh-CN"/>
                    </w:rPr>
                  </w:pPr>
                  <w:r>
                    <w:rPr>
                      <w:rFonts w:hint="eastAsia"/>
                      <w:color w:val="auto"/>
                      <w:szCs w:val="21"/>
                      <w:lang w:val="en-US" w:eastAsia="zh-CN"/>
                    </w:rPr>
                    <w:t>0</w:t>
                  </w:r>
                </w:p>
              </w:tc>
              <w:tc>
                <w:tcPr>
                  <w:tcW w:w="629" w:type="pct"/>
                  <w:tcBorders>
                    <w:left w:val="single" w:color="000000" w:sz="4" w:space="0"/>
                    <w:right w:val="single" w:color="000000" w:sz="4" w:space="0"/>
                  </w:tcBorders>
                  <w:vAlign w:val="center"/>
                </w:tcPr>
                <w:p>
                  <w:pPr>
                    <w:widowControl/>
                    <w:spacing w:line="144" w:lineRule="auto"/>
                    <w:jc w:val="center"/>
                    <w:rPr>
                      <w:color w:val="auto"/>
                      <w:szCs w:val="21"/>
                    </w:rPr>
                  </w:pPr>
                  <w:r>
                    <w:rPr>
                      <w:color w:val="auto"/>
                      <w:szCs w:val="21"/>
                    </w:rPr>
                    <w:t>40副/年</w:t>
                  </w:r>
                </w:p>
              </w:tc>
              <w:tc>
                <w:tcPr>
                  <w:tcW w:w="616" w:type="pct"/>
                  <w:tcBorders>
                    <w:left w:val="single" w:color="000000" w:sz="4" w:space="0"/>
                  </w:tcBorders>
                  <w:vAlign w:val="center"/>
                </w:tcPr>
                <w:p>
                  <w:pPr>
                    <w:widowControl/>
                    <w:spacing w:line="144" w:lineRule="auto"/>
                    <w:jc w:val="center"/>
                    <w:rPr>
                      <w:color w:val="auto"/>
                      <w:szCs w:val="21"/>
                    </w:rPr>
                  </w:pPr>
                  <w:r>
                    <w:rPr>
                      <w:rFonts w:hint="eastAsia"/>
                      <w:color w:val="auto"/>
                      <w:szCs w:val="21"/>
                      <w:lang w:val="en-US" w:eastAsia="zh-CN"/>
                    </w:rPr>
                    <w:t>+</w:t>
                  </w:r>
                  <w:r>
                    <w:rPr>
                      <w:color w:val="auto"/>
                      <w:szCs w:val="21"/>
                    </w:rPr>
                    <w:t>40副/年</w:t>
                  </w:r>
                </w:p>
              </w:tc>
              <w:tc>
                <w:tcPr>
                  <w:tcW w:w="784" w:type="pct"/>
                  <w:vAlign w:val="center"/>
                </w:tcPr>
                <w:p>
                  <w:pPr>
                    <w:widowControl/>
                    <w:spacing w:line="144" w:lineRule="auto"/>
                    <w:jc w:val="center"/>
                    <w:rPr>
                      <w:color w:val="auto"/>
                      <w:szCs w:val="21"/>
                    </w:rPr>
                  </w:pPr>
                  <w:r>
                    <w:rPr>
                      <w:rFonts w:hint="eastAsia"/>
                      <w:color w:val="auto"/>
                      <w:szCs w:val="21"/>
                    </w:rPr>
                    <w:t>4800</w:t>
                  </w:r>
                  <w:r>
                    <w:rPr>
                      <w:color w:val="auto"/>
                      <w:szCs w:val="21"/>
                    </w:rPr>
                    <w:t>h</w:t>
                  </w:r>
                </w:p>
              </w:tc>
            </w:tr>
          </w:tbl>
          <w:p>
            <w:pPr>
              <w:ind w:firstLine="600" w:firstLineChars="200"/>
              <w:rPr>
                <w:rFonts w:ascii="Calibri" w:hAnsi="Calibri" w:eastAsia="黑体" w:cs="Calibri"/>
                <w:snapToGrid w:val="0"/>
                <w:color w:val="auto"/>
                <w:sz w:val="30"/>
                <w:szCs w:val="30"/>
              </w:rPr>
            </w:pPr>
          </w:p>
        </w:tc>
      </w:tr>
    </w:tbl>
    <w:p>
      <w:pPr>
        <w:rPr>
          <w:rFonts w:eastAsia="黑体"/>
          <w:snapToGrid w:val="0"/>
          <w:color w:val="auto"/>
          <w:sz w:val="30"/>
          <w:szCs w:val="30"/>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7"/>
        <w:tblW w:w="8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
        <w:gridCol w:w="8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4" w:hRule="atLeast"/>
        </w:trPr>
        <w:tc>
          <w:tcPr>
            <w:tcW w:w="324" w:type="dxa"/>
          </w:tcPr>
          <w:p>
            <w:pPr>
              <w:pStyle w:val="2"/>
              <w:rPr>
                <w:rFonts w:ascii="Calibri" w:hAnsi="Calibri" w:cs="Calibri"/>
                <w:color w:val="auto"/>
              </w:rPr>
            </w:pPr>
          </w:p>
        </w:tc>
        <w:tc>
          <w:tcPr>
            <w:tcW w:w="8628" w:type="dxa"/>
          </w:tcPr>
          <w:p>
            <w:pPr>
              <w:spacing w:line="360" w:lineRule="auto"/>
              <w:rPr>
                <w:rFonts w:ascii="Calibri" w:hAnsi="Calibri" w:cs="Calibri"/>
                <w:b/>
                <w:bCs/>
                <w:color w:val="auto"/>
                <w:sz w:val="24"/>
                <w:szCs w:val="32"/>
              </w:rPr>
            </w:pPr>
            <w:r>
              <w:rPr>
                <w:rFonts w:ascii="Calibri" w:hAnsi="Calibri" w:cs="Calibri"/>
                <w:b/>
                <w:bCs/>
                <w:color w:val="auto"/>
                <w:sz w:val="24"/>
                <w:szCs w:val="32"/>
              </w:rPr>
              <w:t>4、项目建设内容组成表</w:t>
            </w:r>
          </w:p>
          <w:p>
            <w:pPr>
              <w:pStyle w:val="2"/>
              <w:snapToGrid/>
              <w:spacing w:before="0" w:after="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项目租用无锡迪润工贸有限公司厂房11584.97平方米，建设年产洗衣机冲压件200万件、热水器冲压件300万件、模具40副建设项目，主要布局在三个</w:t>
            </w:r>
            <w:ins w:id="89" w:author="admin" w:date="2022-12-27T14:11:00Z">
              <w:r>
                <w:rPr>
                  <w:rFonts w:hint="default" w:ascii="Times New Roman" w:hAnsi="Times New Roman" w:cs="Times New Roman"/>
                  <w:color w:val="auto"/>
                  <w:sz w:val="24"/>
                  <w:szCs w:val="24"/>
                </w:rPr>
                <w:t>生产</w:t>
              </w:r>
            </w:ins>
            <w:r>
              <w:rPr>
                <w:rFonts w:hint="default" w:ascii="Times New Roman" w:hAnsi="Times New Roman" w:cs="Times New Roman"/>
                <w:color w:val="auto"/>
                <w:sz w:val="24"/>
                <w:szCs w:val="24"/>
              </w:rPr>
              <w:t>车间，车间一、车间二主要</w:t>
            </w:r>
            <w:ins w:id="90" w:author="admin" w:date="2022-12-27T13:14:00Z">
              <w:r>
                <w:rPr>
                  <w:rFonts w:hint="default" w:ascii="Times New Roman" w:hAnsi="Times New Roman" w:cs="Times New Roman"/>
                  <w:color w:val="auto"/>
                  <w:sz w:val="24"/>
                  <w:szCs w:val="24"/>
                </w:rPr>
                <w:t>进行</w:t>
              </w:r>
            </w:ins>
            <w:r>
              <w:rPr>
                <w:rFonts w:hint="default" w:ascii="Times New Roman" w:hAnsi="Times New Roman" w:cs="Times New Roman"/>
                <w:color w:val="auto"/>
                <w:sz w:val="24"/>
                <w:szCs w:val="24"/>
              </w:rPr>
              <w:t>冲压</w:t>
            </w:r>
            <w:ins w:id="91" w:author="admin" w:date="2022-12-27T13:14:00Z">
              <w:r>
                <w:rPr>
                  <w:rFonts w:hint="default" w:ascii="Times New Roman" w:hAnsi="Times New Roman" w:cs="Times New Roman"/>
                  <w:color w:val="auto"/>
                  <w:sz w:val="24"/>
                  <w:szCs w:val="24"/>
                </w:rPr>
                <w:t>加工</w:t>
              </w:r>
            </w:ins>
            <w:r>
              <w:rPr>
                <w:rFonts w:hint="default" w:ascii="Times New Roman" w:hAnsi="Times New Roman" w:cs="Times New Roman"/>
                <w:color w:val="auto"/>
                <w:sz w:val="24"/>
                <w:szCs w:val="24"/>
              </w:rPr>
              <w:t>及模具</w:t>
            </w:r>
            <w:ins w:id="92" w:author="admin" w:date="2022-12-27T13:14:00Z">
              <w:r>
                <w:rPr>
                  <w:rFonts w:hint="default" w:ascii="Times New Roman" w:hAnsi="Times New Roman" w:cs="Times New Roman"/>
                  <w:color w:val="auto"/>
                  <w:sz w:val="24"/>
                  <w:szCs w:val="24"/>
                </w:rPr>
                <w:t>加工</w:t>
              </w:r>
            </w:ins>
            <w:r>
              <w:rPr>
                <w:rFonts w:hint="default" w:ascii="Times New Roman" w:hAnsi="Times New Roman" w:cs="Times New Roman"/>
                <w:color w:val="auto"/>
                <w:sz w:val="24"/>
                <w:szCs w:val="24"/>
              </w:rPr>
              <w:t>，车间三主要</w:t>
            </w:r>
            <w:ins w:id="93" w:author="admin" w:date="2022-12-27T13:14:00Z">
              <w:r>
                <w:rPr>
                  <w:rFonts w:hint="default" w:ascii="Times New Roman" w:hAnsi="Times New Roman" w:cs="Times New Roman"/>
                  <w:color w:val="auto"/>
                  <w:sz w:val="24"/>
                  <w:szCs w:val="24"/>
                </w:rPr>
                <w:t>进行喷粉固化加工</w:t>
              </w:r>
            </w:ins>
            <w:r>
              <w:rPr>
                <w:rFonts w:hint="default" w:ascii="Times New Roman" w:hAnsi="Times New Roman" w:cs="Times New Roman"/>
                <w:color w:val="auto"/>
                <w:sz w:val="24"/>
                <w:szCs w:val="24"/>
              </w:rPr>
              <w:t>。</w:t>
            </w:r>
            <w:ins w:id="94" w:author="Sunny" w:date="2022-12-28T08:32:00Z">
              <w:r>
                <w:rPr>
                  <w:rFonts w:hint="default" w:ascii="Times New Roman" w:hAnsi="Times New Roman" w:cs="Times New Roman"/>
                  <w:color w:val="auto"/>
                  <w:sz w:val="24"/>
                  <w:szCs w:val="24"/>
                </w:rPr>
                <w:t>本项目</w:t>
              </w:r>
            </w:ins>
            <w:r>
              <w:rPr>
                <w:rFonts w:hint="default" w:ascii="Times New Roman" w:hAnsi="Times New Roman" w:cs="Times New Roman"/>
                <w:color w:val="auto"/>
                <w:sz w:val="24"/>
                <w:szCs w:val="24"/>
              </w:rPr>
              <w:t>主体工程建设见表2-2。</w:t>
            </w:r>
          </w:p>
          <w:p>
            <w:pPr>
              <w:widowControl/>
              <w:numPr>
                <w:ilvl w:val="0"/>
                <w:numId w:val="4"/>
              </w:numPr>
              <w:jc w:val="center"/>
              <w:rPr>
                <w:rFonts w:ascii="Calibri" w:hAnsi="Calibri" w:cs="Calibri"/>
                <w:b/>
                <w:bCs/>
                <w:color w:val="auto"/>
                <w:sz w:val="24"/>
              </w:rPr>
            </w:pPr>
            <w:r>
              <w:rPr>
                <w:rFonts w:hint="eastAsia" w:ascii="Calibri" w:hAnsi="Calibri" w:cs="Calibri"/>
                <w:b/>
                <w:bCs/>
                <w:color w:val="auto"/>
                <w:sz w:val="24"/>
              </w:rPr>
              <w:t>建设项目公用工程及辅助工程表</w:t>
            </w:r>
          </w:p>
          <w:tbl>
            <w:tblPr>
              <w:tblStyle w:val="26"/>
              <w:tblW w:w="84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32"/>
              <w:gridCol w:w="592"/>
              <w:gridCol w:w="841"/>
              <w:gridCol w:w="930"/>
              <w:gridCol w:w="2550"/>
              <w:gridCol w:w="840"/>
              <w:gridCol w:w="2093"/>
              <w:tblGridChange w:id="95">
                <w:tblGrid>
                  <w:gridCol w:w="632"/>
                  <w:gridCol w:w="592"/>
                  <w:gridCol w:w="841"/>
                  <w:gridCol w:w="505"/>
                  <w:gridCol w:w="425"/>
                  <w:gridCol w:w="2550"/>
                  <w:gridCol w:w="525"/>
                  <w:gridCol w:w="315"/>
                  <w:gridCol w:w="2093"/>
                  <w:gridCol w:w="1333029778"/>
                  <w:gridCol w:w="360"/>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0" w:hRule="atLeast"/>
                <w:jc w:val="center"/>
              </w:trPr>
              <w:tc>
                <w:tcPr>
                  <w:tcW w:w="372" w:type="pct"/>
                  <w:vMerge w:val="restart"/>
                  <w:vAlign w:val="center"/>
                </w:tcPr>
                <w:p>
                  <w:pPr>
                    <w:spacing w:line="144" w:lineRule="auto"/>
                    <w:jc w:val="center"/>
                    <w:rPr>
                      <w:b/>
                      <w:bCs/>
                      <w:color w:val="auto"/>
                      <w:szCs w:val="21"/>
                    </w:rPr>
                  </w:pPr>
                  <w:r>
                    <w:rPr>
                      <w:b/>
                      <w:bCs/>
                      <w:color w:val="auto"/>
                      <w:szCs w:val="21"/>
                    </w:rPr>
                    <w:t>类别</w:t>
                  </w:r>
                </w:p>
              </w:tc>
              <w:tc>
                <w:tcPr>
                  <w:tcW w:w="845" w:type="pct"/>
                  <w:gridSpan w:val="2"/>
                  <w:vMerge w:val="restart"/>
                  <w:vAlign w:val="center"/>
                </w:tcPr>
                <w:p>
                  <w:pPr>
                    <w:spacing w:line="144" w:lineRule="auto"/>
                    <w:jc w:val="center"/>
                    <w:rPr>
                      <w:b/>
                      <w:bCs/>
                      <w:color w:val="auto"/>
                      <w:szCs w:val="21"/>
                    </w:rPr>
                  </w:pPr>
                  <w:r>
                    <w:rPr>
                      <w:b/>
                      <w:bCs/>
                      <w:color w:val="auto"/>
                      <w:szCs w:val="21"/>
                    </w:rPr>
                    <w:t>名称</w:t>
                  </w:r>
                </w:p>
              </w:tc>
              <w:tc>
                <w:tcPr>
                  <w:tcW w:w="2547" w:type="pct"/>
                  <w:gridSpan w:val="3"/>
                  <w:tcBorders>
                    <w:bottom w:val="single" w:color="000000" w:sz="4" w:space="0"/>
                  </w:tcBorders>
                  <w:vAlign w:val="center"/>
                </w:tcPr>
                <w:p>
                  <w:pPr>
                    <w:spacing w:line="144" w:lineRule="auto"/>
                    <w:jc w:val="center"/>
                    <w:rPr>
                      <w:b/>
                      <w:bCs/>
                      <w:color w:val="auto"/>
                      <w:szCs w:val="21"/>
                    </w:rPr>
                  </w:pPr>
                  <w:r>
                    <w:rPr>
                      <w:b/>
                      <w:bCs/>
                      <w:color w:val="auto"/>
                      <w:szCs w:val="21"/>
                    </w:rPr>
                    <w:t>设计能力</w:t>
                  </w:r>
                </w:p>
              </w:tc>
              <w:tc>
                <w:tcPr>
                  <w:tcW w:w="1234" w:type="pct"/>
                  <w:vMerge w:val="restart"/>
                  <w:vAlign w:val="center"/>
                </w:tcPr>
                <w:p>
                  <w:pPr>
                    <w:spacing w:line="144" w:lineRule="auto"/>
                    <w:jc w:val="center"/>
                    <w:rPr>
                      <w:b/>
                      <w:bCs/>
                      <w:color w:val="auto"/>
                      <w:szCs w:val="21"/>
                    </w:rPr>
                  </w:pPr>
                  <w:r>
                    <w:rPr>
                      <w:b/>
                      <w:bCs/>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372" w:type="pct"/>
                  <w:vMerge w:val="continue"/>
                  <w:vAlign w:val="center"/>
                </w:tcPr>
                <w:p>
                  <w:pPr>
                    <w:spacing w:line="144" w:lineRule="auto"/>
                    <w:jc w:val="center"/>
                    <w:rPr>
                      <w:b/>
                      <w:bCs/>
                      <w:color w:val="auto"/>
                      <w:szCs w:val="21"/>
                    </w:rPr>
                  </w:pPr>
                </w:p>
              </w:tc>
              <w:tc>
                <w:tcPr>
                  <w:tcW w:w="845" w:type="pct"/>
                  <w:gridSpan w:val="2"/>
                  <w:vMerge w:val="continue"/>
                  <w:vAlign w:val="center"/>
                </w:tcPr>
                <w:p>
                  <w:pPr>
                    <w:spacing w:line="144" w:lineRule="auto"/>
                    <w:jc w:val="center"/>
                    <w:rPr>
                      <w:b/>
                      <w:bCs/>
                      <w:color w:val="auto"/>
                      <w:szCs w:val="21"/>
                    </w:rPr>
                  </w:pPr>
                </w:p>
              </w:tc>
              <w:tc>
                <w:tcPr>
                  <w:tcW w:w="548" w:type="pct"/>
                  <w:tcBorders>
                    <w:top w:val="single" w:color="000000" w:sz="4" w:space="0"/>
                    <w:right w:val="single" w:color="000000" w:sz="4" w:space="0"/>
                  </w:tcBorders>
                  <w:vAlign w:val="center"/>
                </w:tcPr>
                <w:p>
                  <w:pPr>
                    <w:spacing w:line="144" w:lineRule="auto"/>
                    <w:jc w:val="center"/>
                    <w:rPr>
                      <w:rFonts w:hint="eastAsia" w:eastAsia="宋体"/>
                      <w:b/>
                      <w:bCs/>
                      <w:color w:val="auto"/>
                      <w:szCs w:val="21"/>
                      <w:lang w:val="en-US" w:eastAsia="zh-CN"/>
                    </w:rPr>
                  </w:pPr>
                  <w:r>
                    <w:rPr>
                      <w:rFonts w:hint="eastAsia"/>
                      <w:b/>
                      <w:bCs/>
                      <w:color w:val="auto"/>
                      <w:szCs w:val="21"/>
                      <w:lang w:val="en-US" w:eastAsia="zh-CN"/>
                    </w:rPr>
                    <w:t>迁建前</w:t>
                  </w:r>
                </w:p>
              </w:tc>
              <w:tc>
                <w:tcPr>
                  <w:tcW w:w="1503" w:type="pct"/>
                  <w:tcBorders>
                    <w:top w:val="single" w:color="000000" w:sz="4" w:space="0"/>
                    <w:left w:val="single" w:color="000000" w:sz="4" w:space="0"/>
                    <w:right w:val="single" w:color="000000" w:sz="4" w:space="0"/>
                  </w:tcBorders>
                  <w:vAlign w:val="center"/>
                </w:tcPr>
                <w:p>
                  <w:pPr>
                    <w:spacing w:line="144" w:lineRule="auto"/>
                    <w:jc w:val="center"/>
                    <w:rPr>
                      <w:rFonts w:hint="default" w:eastAsia="宋体"/>
                      <w:b/>
                      <w:bCs/>
                      <w:color w:val="auto"/>
                      <w:szCs w:val="21"/>
                      <w:lang w:val="en-US" w:eastAsia="zh-CN"/>
                    </w:rPr>
                  </w:pPr>
                  <w:r>
                    <w:rPr>
                      <w:rFonts w:hint="eastAsia"/>
                      <w:b/>
                      <w:bCs/>
                      <w:color w:val="auto"/>
                      <w:szCs w:val="21"/>
                      <w:lang w:val="en-US" w:eastAsia="zh-CN"/>
                    </w:rPr>
                    <w:t>迁建后</w:t>
                  </w:r>
                </w:p>
              </w:tc>
              <w:tc>
                <w:tcPr>
                  <w:tcW w:w="495" w:type="pct"/>
                  <w:tcBorders>
                    <w:top w:val="single" w:color="000000" w:sz="4" w:space="0"/>
                    <w:left w:val="single" w:color="000000" w:sz="4" w:space="0"/>
                  </w:tcBorders>
                  <w:vAlign w:val="center"/>
                </w:tcPr>
                <w:p>
                  <w:pPr>
                    <w:spacing w:line="144" w:lineRule="auto"/>
                    <w:jc w:val="center"/>
                    <w:rPr>
                      <w:rFonts w:hint="eastAsia" w:eastAsia="宋体"/>
                      <w:b/>
                      <w:bCs/>
                      <w:color w:val="auto"/>
                      <w:szCs w:val="21"/>
                      <w:lang w:val="en-US" w:eastAsia="zh-CN"/>
                    </w:rPr>
                  </w:pPr>
                  <w:r>
                    <w:rPr>
                      <w:rFonts w:hint="eastAsia"/>
                      <w:b/>
                      <w:bCs/>
                      <w:color w:val="auto"/>
                      <w:szCs w:val="21"/>
                      <w:lang w:val="en-US" w:eastAsia="zh-CN"/>
                    </w:rPr>
                    <w:t>变化量</w:t>
                  </w:r>
                </w:p>
              </w:tc>
              <w:tc>
                <w:tcPr>
                  <w:tcW w:w="1234" w:type="pct"/>
                  <w:vMerge w:val="continue"/>
                  <w:vAlign w:val="center"/>
                </w:tcPr>
                <w:p>
                  <w:pPr>
                    <w:spacing w:line="144" w:lineRule="auto"/>
                    <w:jc w:val="center"/>
                    <w:rPr>
                      <w:b/>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34" w:hRule="atLeast"/>
                <w:jc w:val="center"/>
              </w:trPr>
              <w:tc>
                <w:tcPr>
                  <w:tcW w:w="372" w:type="pct"/>
                  <w:vMerge w:val="restart"/>
                  <w:vAlign w:val="center"/>
                </w:tcPr>
                <w:p>
                  <w:pPr>
                    <w:spacing w:line="144" w:lineRule="auto"/>
                    <w:jc w:val="center"/>
                    <w:rPr>
                      <w:color w:val="auto"/>
                      <w:szCs w:val="21"/>
                    </w:rPr>
                  </w:pPr>
                  <w:r>
                    <w:rPr>
                      <w:color w:val="auto"/>
                      <w:szCs w:val="21"/>
                    </w:rPr>
                    <w:t>主体工程</w:t>
                  </w:r>
                </w:p>
              </w:tc>
              <w:tc>
                <w:tcPr>
                  <w:tcW w:w="845" w:type="pct"/>
                  <w:gridSpan w:val="2"/>
                  <w:vAlign w:val="center"/>
                </w:tcPr>
                <w:p>
                  <w:pPr>
                    <w:widowControl/>
                    <w:spacing w:line="144" w:lineRule="auto"/>
                    <w:jc w:val="center"/>
                    <w:rPr>
                      <w:color w:val="auto"/>
                      <w:szCs w:val="21"/>
                    </w:rPr>
                  </w:pPr>
                  <w:r>
                    <w:rPr>
                      <w:rFonts w:hint="eastAsia"/>
                      <w:color w:val="auto"/>
                      <w:szCs w:val="21"/>
                    </w:rPr>
                    <w:t>办公区</w:t>
                  </w:r>
                </w:p>
              </w:tc>
              <w:tc>
                <w:tcPr>
                  <w:tcW w:w="548" w:type="pct"/>
                  <w:tcBorders>
                    <w:right w:val="single" w:color="000000" w:sz="4" w:space="0"/>
                  </w:tcBorders>
                  <w:vAlign w:val="center"/>
                </w:tcPr>
                <w:p>
                  <w:pPr>
                    <w:widowControl/>
                    <w:snapToGrid w:val="0"/>
                    <w:spacing w:line="240" w:lineRule="auto"/>
                    <w:jc w:val="center"/>
                    <w:rPr>
                      <w:color w:val="auto"/>
                      <w:szCs w:val="21"/>
                    </w:rPr>
                  </w:pPr>
                </w:p>
                <w:p>
                  <w:pPr>
                    <w:widowControl/>
                    <w:spacing w:line="144" w:lineRule="auto"/>
                    <w:jc w:val="center"/>
                    <w:rPr>
                      <w:rFonts w:hint="default" w:eastAsia="宋体"/>
                      <w:color w:val="auto"/>
                      <w:szCs w:val="21"/>
                      <w:lang w:val="en-US" w:eastAsia="zh-CN"/>
                    </w:rPr>
                  </w:pPr>
                  <w:r>
                    <w:rPr>
                      <w:rFonts w:hint="eastAsia"/>
                      <w:color w:val="auto"/>
                      <w:szCs w:val="21"/>
                      <w:lang w:val="en-US" w:eastAsia="zh-CN"/>
                    </w:rPr>
                    <w:t>100m</w:t>
                  </w:r>
                  <w:r>
                    <w:rPr>
                      <w:rFonts w:hint="eastAsia"/>
                      <w:color w:val="auto"/>
                      <w:szCs w:val="21"/>
                      <w:vertAlign w:val="superscript"/>
                      <w:lang w:val="en-US" w:eastAsia="zh-CN"/>
                    </w:rPr>
                    <w:t>2</w:t>
                  </w:r>
                </w:p>
              </w:tc>
              <w:tc>
                <w:tcPr>
                  <w:tcW w:w="1503" w:type="pct"/>
                  <w:tcBorders>
                    <w:left w:val="single" w:color="000000" w:sz="4" w:space="0"/>
                    <w:right w:val="single" w:color="000000" w:sz="4" w:space="0"/>
                  </w:tcBorders>
                  <w:vAlign w:val="center"/>
                </w:tcPr>
                <w:p>
                  <w:pPr>
                    <w:widowControl/>
                    <w:spacing w:line="144" w:lineRule="auto"/>
                    <w:jc w:val="center"/>
                    <w:rPr>
                      <w:color w:val="auto"/>
                      <w:szCs w:val="21"/>
                    </w:rPr>
                  </w:pPr>
                  <w:r>
                    <w:rPr>
                      <w:rFonts w:hint="eastAsia"/>
                      <w:color w:val="auto"/>
                      <w:szCs w:val="21"/>
                    </w:rPr>
                    <w:t>车间一办公区4层砖混结构，面积1344m</w:t>
                  </w:r>
                  <w:r>
                    <w:rPr>
                      <w:rFonts w:hint="eastAsia"/>
                      <w:color w:val="auto"/>
                      <w:szCs w:val="21"/>
                      <w:vertAlign w:val="superscript"/>
                    </w:rPr>
                    <w:t>2</w:t>
                  </w:r>
                  <w:r>
                    <w:rPr>
                      <w:rFonts w:hint="eastAsia"/>
                      <w:color w:val="auto"/>
                      <w:szCs w:val="21"/>
                    </w:rPr>
                    <w:t>，车间二办公区3层砖混结构，面积约1152m</w:t>
                  </w:r>
                  <w:r>
                    <w:rPr>
                      <w:rFonts w:hint="eastAsia"/>
                      <w:color w:val="auto"/>
                      <w:szCs w:val="21"/>
                      <w:vertAlign w:val="superscript"/>
                    </w:rPr>
                    <w:t>2</w:t>
                  </w:r>
                  <w:r>
                    <w:rPr>
                      <w:rFonts w:hint="eastAsia"/>
                      <w:color w:val="auto"/>
                      <w:szCs w:val="21"/>
                    </w:rPr>
                    <w:t>，车间三办公区3层砖混结构，占地面积576m</w:t>
                  </w:r>
                  <w:r>
                    <w:rPr>
                      <w:rFonts w:hint="eastAsia"/>
                      <w:color w:val="auto"/>
                      <w:szCs w:val="21"/>
                      <w:vertAlign w:val="superscript"/>
                    </w:rPr>
                    <w:t>2</w:t>
                  </w:r>
                </w:p>
              </w:tc>
              <w:tc>
                <w:tcPr>
                  <w:tcW w:w="495" w:type="pct"/>
                  <w:tcBorders>
                    <w:left w:val="single" w:color="000000" w:sz="4" w:space="0"/>
                  </w:tcBorders>
                  <w:vAlign w:val="center"/>
                </w:tcPr>
                <w:p>
                  <w:pPr>
                    <w:widowControl/>
                    <w:spacing w:line="144" w:lineRule="auto"/>
                    <w:jc w:val="center"/>
                    <w:rPr>
                      <w:rFonts w:hint="default" w:eastAsia="宋体"/>
                      <w:color w:val="auto"/>
                      <w:szCs w:val="21"/>
                      <w:lang w:val="en-US" w:eastAsia="zh-CN"/>
                    </w:rPr>
                  </w:pPr>
                  <w:r>
                    <w:rPr>
                      <w:rFonts w:hint="eastAsia"/>
                      <w:color w:val="auto"/>
                      <w:szCs w:val="21"/>
                      <w:lang w:val="en-US" w:eastAsia="zh-CN"/>
                    </w:rPr>
                    <w:t>+2972</w:t>
                  </w:r>
                  <w:r>
                    <w:rPr>
                      <w:rFonts w:hint="eastAsia"/>
                      <w:color w:val="auto"/>
                      <w:szCs w:val="21"/>
                    </w:rPr>
                    <w:t>m</w:t>
                  </w:r>
                  <w:r>
                    <w:rPr>
                      <w:rFonts w:hint="eastAsia"/>
                      <w:color w:val="auto"/>
                      <w:szCs w:val="21"/>
                      <w:vertAlign w:val="superscript"/>
                    </w:rPr>
                    <w:t>2</w:t>
                  </w:r>
                </w:p>
              </w:tc>
              <w:tc>
                <w:tcPr>
                  <w:tcW w:w="1234" w:type="pct"/>
                  <w:vAlign w:val="center"/>
                </w:tcPr>
                <w:p>
                  <w:pPr>
                    <w:spacing w:line="144" w:lineRule="auto"/>
                    <w:jc w:val="center"/>
                    <w:rPr>
                      <w:rFonts w:hint="default" w:eastAsia="宋体"/>
                      <w:b/>
                      <w:bCs/>
                      <w:color w:val="auto"/>
                      <w:szCs w:val="21"/>
                      <w:lang w:val="en-US" w:eastAsia="zh-CN"/>
                    </w:rPr>
                  </w:pPr>
                  <w:r>
                    <w:rPr>
                      <w:rFonts w:hint="eastAsia"/>
                      <w:color w:val="auto"/>
                      <w:szCs w:val="21"/>
                      <w:lang w:val="en-US" w:eastAsia="zh-CN"/>
                    </w:rPr>
                    <w:t>利用</w:t>
                  </w:r>
                  <w:r>
                    <w:rPr>
                      <w:rFonts w:hint="eastAsia"/>
                      <w:color w:val="auto"/>
                      <w:szCs w:val="21"/>
                    </w:rPr>
                    <w:t>租用</w:t>
                  </w:r>
                  <w:r>
                    <w:rPr>
                      <w:rFonts w:hint="eastAsia"/>
                      <w:color w:val="auto"/>
                      <w:kern w:val="0"/>
                      <w:szCs w:val="21"/>
                      <w:lang w:bidi="ar"/>
                    </w:rPr>
                    <w:t>厂房</w:t>
                  </w:r>
                  <w:r>
                    <w:rPr>
                      <w:rFonts w:hint="eastAsia"/>
                      <w:color w:val="auto"/>
                      <w:kern w:val="0"/>
                      <w:szCs w:val="21"/>
                      <w:lang w:val="en-US" w:eastAsia="zh-CN" w:bidi="ar"/>
                    </w:rPr>
                    <w:t>办公区域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continue"/>
                  <w:vAlign w:val="center"/>
                </w:tcPr>
                <w:p>
                  <w:pPr>
                    <w:spacing w:line="144" w:lineRule="auto"/>
                    <w:jc w:val="center"/>
                    <w:rPr>
                      <w:color w:val="auto"/>
                      <w:szCs w:val="21"/>
                    </w:rPr>
                  </w:pPr>
                </w:p>
              </w:tc>
              <w:tc>
                <w:tcPr>
                  <w:tcW w:w="845" w:type="pct"/>
                  <w:gridSpan w:val="2"/>
                  <w:vMerge w:val="restart"/>
                  <w:vAlign w:val="center"/>
                </w:tcPr>
                <w:p>
                  <w:pPr>
                    <w:widowControl/>
                    <w:spacing w:line="144" w:lineRule="auto"/>
                    <w:jc w:val="center"/>
                    <w:rPr>
                      <w:color w:val="auto"/>
                      <w:szCs w:val="21"/>
                    </w:rPr>
                  </w:pPr>
                  <w:r>
                    <w:rPr>
                      <w:rFonts w:hint="eastAsia"/>
                      <w:color w:val="auto"/>
                      <w:szCs w:val="21"/>
                    </w:rPr>
                    <w:t>车间</w:t>
                  </w:r>
                </w:p>
              </w:tc>
              <w:tc>
                <w:tcPr>
                  <w:tcW w:w="548" w:type="pct"/>
                  <w:vMerge w:val="restart"/>
                  <w:tcBorders>
                    <w:right w:val="single" w:color="000000" w:sz="4" w:space="0"/>
                  </w:tcBorders>
                  <w:vAlign w:val="center"/>
                </w:tcPr>
                <w:p>
                  <w:pPr>
                    <w:widowControl/>
                    <w:spacing w:line="144" w:lineRule="auto"/>
                    <w:jc w:val="center"/>
                    <w:rPr>
                      <w:rFonts w:hint="default" w:eastAsia="宋体"/>
                      <w:color w:val="auto"/>
                      <w:szCs w:val="21"/>
                      <w:lang w:val="en-US" w:eastAsia="zh-CN"/>
                    </w:rPr>
                  </w:pPr>
                  <w:r>
                    <w:rPr>
                      <w:rFonts w:hint="eastAsia"/>
                      <w:color w:val="auto"/>
                      <w:szCs w:val="21"/>
                      <w:lang w:val="en-US" w:eastAsia="zh-CN"/>
                    </w:rPr>
                    <w:t>2880</w:t>
                  </w:r>
                  <w:r>
                    <w:rPr>
                      <w:rFonts w:hint="eastAsia"/>
                      <w:color w:val="auto"/>
                      <w:szCs w:val="21"/>
                    </w:rPr>
                    <w:t>m</w:t>
                  </w:r>
                  <w:r>
                    <w:rPr>
                      <w:rFonts w:hint="eastAsia"/>
                      <w:color w:val="auto"/>
                      <w:szCs w:val="21"/>
                      <w:vertAlign w:val="superscript"/>
                    </w:rPr>
                    <w:t>2</w:t>
                  </w:r>
                </w:p>
              </w:tc>
              <w:tc>
                <w:tcPr>
                  <w:tcW w:w="1503" w:type="pct"/>
                  <w:tcBorders>
                    <w:left w:val="single" w:color="000000" w:sz="4" w:space="0"/>
                    <w:right w:val="single" w:color="000000" w:sz="4" w:space="0"/>
                  </w:tcBorders>
                  <w:vAlign w:val="center"/>
                </w:tcPr>
                <w:p>
                  <w:pPr>
                    <w:widowControl/>
                    <w:spacing w:line="144" w:lineRule="auto"/>
                    <w:jc w:val="center"/>
                    <w:rPr>
                      <w:rFonts w:hint="eastAsia"/>
                      <w:color w:val="auto"/>
                      <w:szCs w:val="21"/>
                    </w:rPr>
                  </w:pPr>
                  <w:r>
                    <w:rPr>
                      <w:rFonts w:hint="eastAsia"/>
                      <w:color w:val="auto"/>
                      <w:szCs w:val="21"/>
                      <w:lang w:val="en-US" w:eastAsia="zh-CN"/>
                    </w:rPr>
                    <w:t>车间一：</w:t>
                  </w:r>
                  <w:r>
                    <w:rPr>
                      <w:rFonts w:hint="eastAsia"/>
                      <w:color w:val="auto"/>
                      <w:szCs w:val="21"/>
                    </w:rPr>
                    <w:t>1层钢架结构，占地面积2357.65m</w:t>
                  </w:r>
                  <w:r>
                    <w:rPr>
                      <w:rFonts w:hint="eastAsia"/>
                      <w:color w:val="auto"/>
                      <w:szCs w:val="21"/>
                      <w:vertAlign w:val="superscript"/>
                    </w:rPr>
                    <w:t>2</w:t>
                  </w:r>
                </w:p>
              </w:tc>
              <w:tc>
                <w:tcPr>
                  <w:tcW w:w="495" w:type="pct"/>
                  <w:vMerge w:val="restart"/>
                  <w:tcBorders>
                    <w:left w:val="single" w:color="000000" w:sz="4" w:space="0"/>
                  </w:tcBorders>
                  <w:vAlign w:val="center"/>
                </w:tcPr>
                <w:p>
                  <w:pPr>
                    <w:widowControl/>
                    <w:spacing w:line="144" w:lineRule="auto"/>
                    <w:jc w:val="center"/>
                    <w:rPr>
                      <w:rFonts w:hint="eastAsia" w:eastAsia="宋体"/>
                      <w:color w:val="auto"/>
                      <w:szCs w:val="21"/>
                      <w:lang w:val="en-US" w:eastAsia="zh-CN"/>
                    </w:rPr>
                  </w:pPr>
                  <w:r>
                    <w:rPr>
                      <w:rFonts w:hint="eastAsia"/>
                      <w:color w:val="auto"/>
                      <w:szCs w:val="21"/>
                      <w:lang w:val="en-US" w:eastAsia="zh-CN"/>
                    </w:rPr>
                    <w:t>+5604.89</w:t>
                  </w:r>
                  <w:r>
                    <w:rPr>
                      <w:rFonts w:hint="eastAsia"/>
                      <w:color w:val="auto"/>
                      <w:szCs w:val="21"/>
                    </w:rPr>
                    <w:t>m</w:t>
                  </w:r>
                  <w:r>
                    <w:rPr>
                      <w:rFonts w:hint="eastAsia"/>
                      <w:color w:val="auto"/>
                      <w:szCs w:val="21"/>
                      <w:vertAlign w:val="superscript"/>
                    </w:rPr>
                    <w:t>2</w:t>
                  </w:r>
                </w:p>
              </w:tc>
              <w:tc>
                <w:tcPr>
                  <w:tcW w:w="1234" w:type="pct"/>
                  <w:vAlign w:val="center"/>
                </w:tcPr>
                <w:p>
                  <w:pPr>
                    <w:spacing w:line="144" w:lineRule="auto"/>
                    <w:jc w:val="center"/>
                    <w:rPr>
                      <w:color w:val="auto"/>
                      <w:szCs w:val="21"/>
                    </w:rPr>
                  </w:pPr>
                  <w:r>
                    <w:rPr>
                      <w:rFonts w:hint="eastAsia"/>
                      <w:color w:val="auto"/>
                      <w:szCs w:val="21"/>
                    </w:rPr>
                    <w:t>布置开料区、模具维修保养区、打磨作业区、入库成品区以及原材料退库区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continue"/>
                  <w:vAlign w:val="center"/>
                </w:tcPr>
                <w:p>
                  <w:pPr>
                    <w:spacing w:line="144" w:lineRule="auto"/>
                    <w:jc w:val="center"/>
                    <w:rPr>
                      <w:color w:val="auto"/>
                      <w:szCs w:val="21"/>
                    </w:rPr>
                  </w:pPr>
                </w:p>
              </w:tc>
              <w:tc>
                <w:tcPr>
                  <w:tcW w:w="845" w:type="pct"/>
                  <w:gridSpan w:val="2"/>
                  <w:vMerge w:val="continue"/>
                  <w:vAlign w:val="center"/>
                </w:tcPr>
                <w:p>
                  <w:pPr>
                    <w:widowControl/>
                    <w:spacing w:line="144" w:lineRule="auto"/>
                    <w:jc w:val="center"/>
                    <w:rPr>
                      <w:color w:val="auto"/>
                      <w:szCs w:val="21"/>
                    </w:rPr>
                  </w:pPr>
                </w:p>
              </w:tc>
              <w:tc>
                <w:tcPr>
                  <w:tcW w:w="548" w:type="pct"/>
                  <w:vMerge w:val="continue"/>
                  <w:tcBorders>
                    <w:right w:val="single" w:color="000000" w:sz="4" w:space="0"/>
                  </w:tcBorders>
                  <w:vAlign w:val="center"/>
                </w:tcPr>
                <w:p>
                  <w:pPr>
                    <w:widowControl/>
                    <w:spacing w:line="144" w:lineRule="auto"/>
                    <w:jc w:val="center"/>
                    <w:rPr>
                      <w:color w:val="auto"/>
                      <w:szCs w:val="21"/>
                    </w:rPr>
                  </w:pPr>
                </w:p>
              </w:tc>
              <w:tc>
                <w:tcPr>
                  <w:tcW w:w="1503" w:type="pct"/>
                  <w:tcBorders>
                    <w:left w:val="single" w:color="000000" w:sz="4" w:space="0"/>
                    <w:right w:val="single" w:color="000000" w:sz="4" w:space="0"/>
                  </w:tcBorders>
                  <w:vAlign w:val="center"/>
                </w:tcPr>
                <w:p>
                  <w:pPr>
                    <w:widowControl/>
                    <w:spacing w:line="144" w:lineRule="auto"/>
                    <w:jc w:val="center"/>
                    <w:rPr>
                      <w:rFonts w:hint="eastAsia"/>
                      <w:color w:val="auto"/>
                      <w:szCs w:val="21"/>
                    </w:rPr>
                  </w:pPr>
                  <w:r>
                    <w:rPr>
                      <w:rFonts w:hint="eastAsia"/>
                      <w:color w:val="auto"/>
                      <w:szCs w:val="21"/>
                      <w:lang w:val="en-US" w:eastAsia="zh-CN"/>
                    </w:rPr>
                    <w:t>车间二：</w:t>
                  </w:r>
                  <w:r>
                    <w:rPr>
                      <w:rFonts w:hint="eastAsia"/>
                      <w:color w:val="auto"/>
                      <w:szCs w:val="21"/>
                    </w:rPr>
                    <w:t>1层钢架结构，占地面积4067.64m</w:t>
                  </w:r>
                  <w:r>
                    <w:rPr>
                      <w:rFonts w:hint="eastAsia"/>
                      <w:color w:val="auto"/>
                      <w:szCs w:val="21"/>
                      <w:vertAlign w:val="superscript"/>
                    </w:rPr>
                    <w:t>2</w:t>
                  </w:r>
                </w:p>
              </w:tc>
              <w:tc>
                <w:tcPr>
                  <w:tcW w:w="495" w:type="pct"/>
                  <w:vMerge w:val="continue"/>
                  <w:tcBorders>
                    <w:left w:val="single" w:color="000000" w:sz="4" w:space="0"/>
                  </w:tcBorders>
                  <w:vAlign w:val="center"/>
                </w:tcPr>
                <w:p>
                  <w:pPr>
                    <w:widowControl/>
                    <w:spacing w:line="144" w:lineRule="auto"/>
                    <w:jc w:val="center"/>
                    <w:rPr>
                      <w:rFonts w:hint="eastAsia"/>
                      <w:color w:val="auto"/>
                      <w:szCs w:val="21"/>
                    </w:rPr>
                  </w:pPr>
                </w:p>
              </w:tc>
              <w:tc>
                <w:tcPr>
                  <w:tcW w:w="1234" w:type="pct"/>
                  <w:vAlign w:val="center"/>
                </w:tcPr>
                <w:p>
                  <w:pPr>
                    <w:spacing w:line="144" w:lineRule="auto"/>
                    <w:jc w:val="center"/>
                    <w:rPr>
                      <w:color w:val="auto"/>
                      <w:szCs w:val="21"/>
                    </w:rPr>
                  </w:pPr>
                  <w:r>
                    <w:rPr>
                      <w:rFonts w:hint="eastAsia"/>
                      <w:color w:val="auto"/>
                      <w:szCs w:val="21"/>
                    </w:rPr>
                    <w:t>布置小机台冲压区、大机台冲压区、半成品暂存区、点焊作业区、油压机区、模具配件区、原材料存放区等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continue"/>
                  <w:vAlign w:val="center"/>
                </w:tcPr>
                <w:p>
                  <w:pPr>
                    <w:spacing w:line="144" w:lineRule="auto"/>
                    <w:jc w:val="center"/>
                    <w:rPr>
                      <w:color w:val="auto"/>
                      <w:szCs w:val="21"/>
                    </w:rPr>
                  </w:pPr>
                </w:p>
              </w:tc>
              <w:tc>
                <w:tcPr>
                  <w:tcW w:w="845" w:type="pct"/>
                  <w:gridSpan w:val="2"/>
                  <w:vMerge w:val="continue"/>
                  <w:vAlign w:val="center"/>
                </w:tcPr>
                <w:p>
                  <w:pPr>
                    <w:widowControl/>
                    <w:spacing w:line="144" w:lineRule="auto"/>
                    <w:jc w:val="center"/>
                    <w:rPr>
                      <w:color w:val="auto"/>
                      <w:szCs w:val="21"/>
                    </w:rPr>
                  </w:pPr>
                </w:p>
              </w:tc>
              <w:tc>
                <w:tcPr>
                  <w:tcW w:w="548" w:type="pct"/>
                  <w:vMerge w:val="continue"/>
                  <w:tcBorders>
                    <w:right w:val="single" w:color="000000" w:sz="4" w:space="0"/>
                  </w:tcBorders>
                  <w:vAlign w:val="center"/>
                </w:tcPr>
                <w:p>
                  <w:pPr>
                    <w:widowControl/>
                    <w:spacing w:line="144" w:lineRule="auto"/>
                    <w:jc w:val="center"/>
                    <w:rPr>
                      <w:color w:val="auto"/>
                      <w:szCs w:val="21"/>
                    </w:rPr>
                  </w:pPr>
                </w:p>
              </w:tc>
              <w:tc>
                <w:tcPr>
                  <w:tcW w:w="1503" w:type="pct"/>
                  <w:tcBorders>
                    <w:left w:val="single" w:color="000000" w:sz="4" w:space="0"/>
                    <w:right w:val="single" w:color="000000" w:sz="4" w:space="0"/>
                  </w:tcBorders>
                  <w:vAlign w:val="center"/>
                </w:tcPr>
                <w:p>
                  <w:pPr>
                    <w:widowControl/>
                    <w:spacing w:line="144" w:lineRule="auto"/>
                    <w:jc w:val="center"/>
                    <w:rPr>
                      <w:rFonts w:hint="eastAsia"/>
                      <w:color w:val="auto"/>
                      <w:szCs w:val="21"/>
                    </w:rPr>
                  </w:pPr>
                  <w:r>
                    <w:rPr>
                      <w:rFonts w:hint="eastAsia"/>
                      <w:color w:val="auto"/>
                      <w:szCs w:val="21"/>
                      <w:lang w:val="en-US" w:eastAsia="zh-CN"/>
                    </w:rPr>
                    <w:t>车间三：1</w:t>
                  </w:r>
                  <w:r>
                    <w:rPr>
                      <w:rFonts w:hint="eastAsia"/>
                      <w:color w:val="auto"/>
                      <w:szCs w:val="21"/>
                    </w:rPr>
                    <w:t>层钢架结构，占地面积2059.6m</w:t>
                  </w:r>
                  <w:r>
                    <w:rPr>
                      <w:rFonts w:hint="eastAsia"/>
                      <w:color w:val="auto"/>
                      <w:szCs w:val="21"/>
                      <w:vertAlign w:val="superscript"/>
                    </w:rPr>
                    <w:t>2</w:t>
                  </w:r>
                </w:p>
              </w:tc>
              <w:tc>
                <w:tcPr>
                  <w:tcW w:w="495" w:type="pct"/>
                  <w:vMerge w:val="continue"/>
                  <w:tcBorders>
                    <w:left w:val="single" w:color="000000" w:sz="4" w:space="0"/>
                  </w:tcBorders>
                  <w:vAlign w:val="center"/>
                </w:tcPr>
                <w:p>
                  <w:pPr>
                    <w:widowControl/>
                    <w:spacing w:line="144" w:lineRule="auto"/>
                    <w:jc w:val="center"/>
                    <w:rPr>
                      <w:rFonts w:hint="eastAsia"/>
                      <w:color w:val="auto"/>
                      <w:szCs w:val="21"/>
                    </w:rPr>
                  </w:pPr>
                </w:p>
              </w:tc>
              <w:tc>
                <w:tcPr>
                  <w:tcW w:w="1234" w:type="pct"/>
                  <w:vAlign w:val="center"/>
                </w:tcPr>
                <w:p>
                  <w:pPr>
                    <w:spacing w:line="144" w:lineRule="auto"/>
                    <w:jc w:val="center"/>
                    <w:rPr>
                      <w:color w:val="auto"/>
                      <w:szCs w:val="21"/>
                    </w:rPr>
                  </w:pPr>
                  <w:r>
                    <w:rPr>
                      <w:rFonts w:hint="eastAsia"/>
                      <w:color w:val="auto"/>
                      <w:szCs w:val="21"/>
                    </w:rPr>
                    <w:t>布置喷粉生产线1条、纯水制备系统1套、废水处理设施1套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continue"/>
                  <w:vAlign w:val="center"/>
                </w:tcPr>
                <w:p>
                  <w:pPr>
                    <w:spacing w:line="144" w:lineRule="auto"/>
                    <w:jc w:val="center"/>
                    <w:rPr>
                      <w:color w:val="auto"/>
                      <w:szCs w:val="21"/>
                    </w:rPr>
                  </w:pPr>
                </w:p>
              </w:tc>
              <w:tc>
                <w:tcPr>
                  <w:tcW w:w="845" w:type="pct"/>
                  <w:gridSpan w:val="2"/>
                  <w:vAlign w:val="center"/>
                </w:tcPr>
                <w:p>
                  <w:pPr>
                    <w:widowControl/>
                    <w:spacing w:line="144" w:lineRule="auto"/>
                    <w:jc w:val="center"/>
                    <w:rPr>
                      <w:color w:val="auto"/>
                      <w:szCs w:val="21"/>
                    </w:rPr>
                  </w:pPr>
                  <w:r>
                    <w:rPr>
                      <w:rFonts w:hint="eastAsia"/>
                      <w:color w:val="auto"/>
                      <w:szCs w:val="21"/>
                    </w:rPr>
                    <w:t>门卫室</w:t>
                  </w:r>
                </w:p>
              </w:tc>
              <w:tc>
                <w:tcPr>
                  <w:tcW w:w="548" w:type="pct"/>
                  <w:tcBorders>
                    <w:right w:val="single" w:color="000000" w:sz="4" w:space="0"/>
                  </w:tcBorders>
                  <w:vAlign w:val="center"/>
                </w:tcPr>
                <w:p>
                  <w:pPr>
                    <w:widowControl/>
                    <w:spacing w:line="144" w:lineRule="auto"/>
                    <w:jc w:val="center"/>
                    <w:rPr>
                      <w:rFonts w:hint="default" w:eastAsia="宋体"/>
                      <w:color w:val="auto"/>
                      <w:szCs w:val="21"/>
                      <w:lang w:val="en-US" w:eastAsia="zh-CN"/>
                    </w:rPr>
                  </w:pPr>
                  <w:r>
                    <w:rPr>
                      <w:rFonts w:hint="eastAsia"/>
                      <w:color w:val="auto"/>
                      <w:szCs w:val="21"/>
                      <w:lang w:val="en-US" w:eastAsia="zh-CN"/>
                    </w:rPr>
                    <w:t>20</w:t>
                  </w:r>
                  <w:r>
                    <w:rPr>
                      <w:rFonts w:hint="eastAsia"/>
                      <w:color w:val="auto"/>
                      <w:szCs w:val="21"/>
                    </w:rPr>
                    <w:t>m</w:t>
                  </w:r>
                  <w:r>
                    <w:rPr>
                      <w:rFonts w:hint="eastAsia"/>
                      <w:color w:val="auto"/>
                      <w:szCs w:val="21"/>
                      <w:vertAlign w:val="superscript"/>
                    </w:rPr>
                    <w:t>2</w:t>
                  </w:r>
                </w:p>
              </w:tc>
              <w:tc>
                <w:tcPr>
                  <w:tcW w:w="1503" w:type="pct"/>
                  <w:tcBorders>
                    <w:left w:val="single" w:color="000000" w:sz="4" w:space="0"/>
                    <w:right w:val="single" w:color="000000" w:sz="4" w:space="0"/>
                  </w:tcBorders>
                  <w:vAlign w:val="center"/>
                </w:tcPr>
                <w:p>
                  <w:pPr>
                    <w:widowControl/>
                    <w:spacing w:line="144" w:lineRule="auto"/>
                    <w:jc w:val="center"/>
                    <w:rPr>
                      <w:rFonts w:hint="eastAsia"/>
                      <w:color w:val="auto"/>
                      <w:szCs w:val="21"/>
                    </w:rPr>
                  </w:pPr>
                  <w:r>
                    <w:rPr>
                      <w:rFonts w:hint="eastAsia"/>
                      <w:color w:val="auto"/>
                      <w:szCs w:val="21"/>
                    </w:rPr>
                    <w:t>1层砖混结构，占地面积28.08m</w:t>
                  </w:r>
                  <w:r>
                    <w:rPr>
                      <w:rFonts w:hint="eastAsia"/>
                      <w:color w:val="auto"/>
                      <w:szCs w:val="21"/>
                      <w:vertAlign w:val="superscript"/>
                    </w:rPr>
                    <w:t>2</w:t>
                  </w:r>
                </w:p>
              </w:tc>
              <w:tc>
                <w:tcPr>
                  <w:tcW w:w="495" w:type="pct"/>
                  <w:tcBorders>
                    <w:left w:val="single" w:color="000000" w:sz="4" w:space="0"/>
                  </w:tcBorders>
                  <w:vAlign w:val="center"/>
                </w:tcPr>
                <w:p>
                  <w:pPr>
                    <w:widowControl/>
                    <w:spacing w:line="144" w:lineRule="auto"/>
                    <w:jc w:val="center"/>
                    <w:rPr>
                      <w:rFonts w:hint="default" w:eastAsia="宋体"/>
                      <w:color w:val="auto"/>
                      <w:szCs w:val="21"/>
                      <w:lang w:val="en-US" w:eastAsia="zh-CN"/>
                    </w:rPr>
                  </w:pPr>
                  <w:r>
                    <w:rPr>
                      <w:rFonts w:hint="eastAsia"/>
                      <w:color w:val="auto"/>
                      <w:szCs w:val="21"/>
                      <w:lang w:val="en-US" w:eastAsia="zh-CN"/>
                    </w:rPr>
                    <w:t>+8.08m</w:t>
                  </w:r>
                  <w:r>
                    <w:rPr>
                      <w:rFonts w:hint="eastAsia"/>
                      <w:color w:val="auto"/>
                      <w:szCs w:val="21"/>
                      <w:vertAlign w:val="superscript"/>
                      <w:lang w:val="en-US" w:eastAsia="zh-CN"/>
                    </w:rPr>
                    <w:t>2</w:t>
                  </w:r>
                </w:p>
              </w:tc>
              <w:tc>
                <w:tcPr>
                  <w:tcW w:w="1234" w:type="pct"/>
                  <w:vAlign w:val="center"/>
                </w:tcPr>
                <w:p>
                  <w:pPr>
                    <w:spacing w:line="144" w:lineRule="auto"/>
                    <w:jc w:val="center"/>
                    <w:rPr>
                      <w:rFonts w:hint="default" w:eastAsia="宋体"/>
                      <w:color w:val="auto"/>
                      <w:szCs w:val="21"/>
                      <w:lang w:val="en-US" w:eastAsia="zh-CN"/>
                    </w:rPr>
                  </w:pPr>
                  <w:r>
                    <w:rPr>
                      <w:rFonts w:hint="eastAsia"/>
                      <w:color w:val="auto"/>
                      <w:szCs w:val="21"/>
                      <w:lang w:val="en-US" w:eastAsia="zh-CN"/>
                    </w:rPr>
                    <w:t>利用</w:t>
                  </w:r>
                  <w:r>
                    <w:rPr>
                      <w:rFonts w:hint="eastAsia"/>
                      <w:color w:val="auto"/>
                      <w:szCs w:val="21"/>
                    </w:rPr>
                    <w:t>租用</w:t>
                  </w:r>
                  <w:r>
                    <w:rPr>
                      <w:rFonts w:hint="eastAsia"/>
                      <w:color w:val="auto"/>
                      <w:kern w:val="0"/>
                      <w:szCs w:val="21"/>
                      <w:lang w:bidi="ar"/>
                    </w:rPr>
                    <w:t>厂房</w:t>
                  </w:r>
                  <w:r>
                    <w:rPr>
                      <w:rFonts w:hint="eastAsia"/>
                      <w:color w:val="auto"/>
                      <w:kern w:val="0"/>
                      <w:szCs w:val="21"/>
                      <w:lang w:val="en-US" w:eastAsia="zh-CN" w:bidi="ar"/>
                    </w:rPr>
                    <w:t>建筑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restart"/>
                  <w:vAlign w:val="center"/>
                </w:tcPr>
                <w:p>
                  <w:pPr>
                    <w:spacing w:line="144" w:lineRule="auto"/>
                    <w:jc w:val="center"/>
                    <w:rPr>
                      <w:color w:val="auto"/>
                      <w:szCs w:val="21"/>
                    </w:rPr>
                  </w:pPr>
                  <w:r>
                    <w:rPr>
                      <w:color w:val="auto"/>
                      <w:szCs w:val="21"/>
                    </w:rPr>
                    <w:t>贮运工程</w:t>
                  </w:r>
                </w:p>
              </w:tc>
              <w:tc>
                <w:tcPr>
                  <w:tcW w:w="845" w:type="pct"/>
                  <w:gridSpan w:val="2"/>
                  <w:vAlign w:val="center"/>
                </w:tcPr>
                <w:p>
                  <w:pPr>
                    <w:spacing w:line="144" w:lineRule="auto"/>
                    <w:jc w:val="center"/>
                    <w:rPr>
                      <w:color w:val="auto"/>
                      <w:szCs w:val="21"/>
                    </w:rPr>
                  </w:pPr>
                  <w:r>
                    <w:rPr>
                      <w:rFonts w:hint="eastAsia"/>
                      <w:color w:val="auto"/>
                      <w:szCs w:val="21"/>
                    </w:rPr>
                    <w:t>入库</w:t>
                  </w:r>
                  <w:r>
                    <w:rPr>
                      <w:color w:val="auto"/>
                      <w:szCs w:val="21"/>
                    </w:rPr>
                    <w:t>成品区</w:t>
                  </w:r>
                </w:p>
              </w:tc>
              <w:tc>
                <w:tcPr>
                  <w:tcW w:w="548" w:type="pct"/>
                  <w:tcBorders>
                    <w:right w:val="single" w:color="000000" w:sz="4" w:space="0"/>
                  </w:tcBorders>
                  <w:vAlign w:val="center"/>
                </w:tcPr>
                <w:p>
                  <w:pPr>
                    <w:spacing w:line="144" w:lineRule="auto"/>
                    <w:jc w:val="center"/>
                    <w:rPr>
                      <w:rFonts w:hint="eastAsia" w:eastAsia="宋体"/>
                      <w:color w:val="auto"/>
                      <w:szCs w:val="21"/>
                      <w:lang w:val="en-US" w:eastAsia="zh-CN"/>
                    </w:rPr>
                  </w:pPr>
                  <w:r>
                    <w:rPr>
                      <w:rFonts w:hint="eastAsia"/>
                      <w:color w:val="auto"/>
                      <w:szCs w:val="21"/>
                      <w:lang w:val="en-US" w:eastAsia="zh-CN"/>
                    </w:rPr>
                    <w:t>0</w:t>
                  </w:r>
                </w:p>
              </w:tc>
              <w:tc>
                <w:tcPr>
                  <w:tcW w:w="1503" w:type="pct"/>
                  <w:tcBorders>
                    <w:left w:val="single" w:color="000000" w:sz="4" w:space="0"/>
                    <w:right w:val="single" w:color="000000" w:sz="4" w:space="0"/>
                  </w:tcBorders>
                  <w:vAlign w:val="center"/>
                </w:tcPr>
                <w:p>
                  <w:pPr>
                    <w:spacing w:line="144" w:lineRule="auto"/>
                    <w:jc w:val="center"/>
                    <w:rPr>
                      <w:rFonts w:hint="eastAsia"/>
                      <w:color w:val="auto"/>
                      <w:szCs w:val="21"/>
                    </w:rPr>
                  </w:pPr>
                  <w:r>
                    <w:rPr>
                      <w:rFonts w:hint="eastAsia"/>
                      <w:color w:val="auto"/>
                      <w:szCs w:val="21"/>
                    </w:rPr>
                    <w:t>1150</w:t>
                  </w:r>
                  <w:r>
                    <w:rPr>
                      <w:color w:val="auto"/>
                      <w:szCs w:val="21"/>
                    </w:rPr>
                    <w:t>m</w:t>
                  </w:r>
                  <w:r>
                    <w:rPr>
                      <w:color w:val="auto"/>
                      <w:szCs w:val="21"/>
                      <w:vertAlign w:val="superscript"/>
                    </w:rPr>
                    <w:t>2</w:t>
                  </w:r>
                </w:p>
              </w:tc>
              <w:tc>
                <w:tcPr>
                  <w:tcW w:w="495" w:type="pct"/>
                  <w:tcBorders>
                    <w:left w:val="single" w:color="000000" w:sz="4" w:space="0"/>
                  </w:tcBorders>
                  <w:vAlign w:val="center"/>
                </w:tcPr>
                <w:p>
                  <w:pPr>
                    <w:spacing w:line="144" w:lineRule="auto"/>
                    <w:jc w:val="center"/>
                    <w:rPr>
                      <w:rFonts w:hint="eastAsia"/>
                      <w:color w:val="auto"/>
                      <w:szCs w:val="21"/>
                    </w:rPr>
                  </w:pPr>
                  <w:r>
                    <w:rPr>
                      <w:rFonts w:hint="eastAsia"/>
                      <w:color w:val="auto"/>
                      <w:szCs w:val="21"/>
                      <w:lang w:val="en-US" w:eastAsia="zh-CN"/>
                    </w:rPr>
                    <w:t>+</w:t>
                  </w:r>
                  <w:r>
                    <w:rPr>
                      <w:rFonts w:hint="eastAsia"/>
                      <w:color w:val="auto"/>
                      <w:szCs w:val="21"/>
                    </w:rPr>
                    <w:t>1150</w:t>
                  </w:r>
                  <w:r>
                    <w:rPr>
                      <w:color w:val="auto"/>
                      <w:szCs w:val="21"/>
                    </w:rPr>
                    <w:t>m</w:t>
                  </w:r>
                  <w:r>
                    <w:rPr>
                      <w:color w:val="auto"/>
                      <w:szCs w:val="21"/>
                      <w:vertAlign w:val="superscript"/>
                    </w:rPr>
                    <w:t>2</w:t>
                  </w:r>
                </w:p>
              </w:tc>
              <w:tc>
                <w:tcPr>
                  <w:tcW w:w="1234" w:type="pct"/>
                  <w:vAlign w:val="center"/>
                </w:tcPr>
                <w:p>
                  <w:pPr>
                    <w:spacing w:line="144" w:lineRule="auto"/>
                    <w:jc w:val="center"/>
                    <w:rPr>
                      <w:color w:val="auto"/>
                      <w:szCs w:val="21"/>
                    </w:rPr>
                  </w:pPr>
                  <w:r>
                    <w:rPr>
                      <w:rFonts w:hint="eastAsia"/>
                      <w:color w:val="auto"/>
                      <w:szCs w:val="21"/>
                    </w:rPr>
                    <w:t>位于车间一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continue"/>
                  <w:vAlign w:val="center"/>
                </w:tcPr>
                <w:p>
                  <w:pPr>
                    <w:spacing w:line="144" w:lineRule="auto"/>
                    <w:jc w:val="center"/>
                    <w:rPr>
                      <w:color w:val="auto"/>
                      <w:szCs w:val="21"/>
                    </w:rPr>
                  </w:pPr>
                </w:p>
              </w:tc>
              <w:tc>
                <w:tcPr>
                  <w:tcW w:w="845" w:type="pct"/>
                  <w:gridSpan w:val="2"/>
                  <w:vAlign w:val="center"/>
                </w:tcPr>
                <w:p>
                  <w:pPr>
                    <w:spacing w:line="144" w:lineRule="auto"/>
                    <w:jc w:val="center"/>
                    <w:rPr>
                      <w:color w:val="auto"/>
                      <w:szCs w:val="21"/>
                    </w:rPr>
                  </w:pPr>
                  <w:r>
                    <w:rPr>
                      <w:rFonts w:hint="eastAsia"/>
                      <w:color w:val="auto"/>
                      <w:szCs w:val="21"/>
                    </w:rPr>
                    <w:t>半成品存放区</w:t>
                  </w:r>
                </w:p>
              </w:tc>
              <w:tc>
                <w:tcPr>
                  <w:tcW w:w="548" w:type="pct"/>
                  <w:tcBorders>
                    <w:right w:val="single" w:color="000000" w:sz="4" w:space="0"/>
                  </w:tcBorders>
                  <w:vAlign w:val="center"/>
                </w:tcPr>
                <w:p>
                  <w:pPr>
                    <w:spacing w:line="144" w:lineRule="auto"/>
                    <w:jc w:val="center"/>
                    <w:rPr>
                      <w:rFonts w:hint="eastAsia" w:eastAsia="宋体"/>
                      <w:color w:val="auto"/>
                      <w:szCs w:val="21"/>
                      <w:lang w:val="en-US" w:eastAsia="zh-CN"/>
                    </w:rPr>
                  </w:pPr>
                  <w:r>
                    <w:rPr>
                      <w:rFonts w:hint="eastAsia"/>
                      <w:color w:val="auto"/>
                      <w:szCs w:val="21"/>
                      <w:lang w:val="en-US" w:eastAsia="zh-CN"/>
                    </w:rPr>
                    <w:t>0</w:t>
                  </w:r>
                </w:p>
              </w:tc>
              <w:tc>
                <w:tcPr>
                  <w:tcW w:w="1503" w:type="pct"/>
                  <w:tcBorders>
                    <w:left w:val="single" w:color="000000" w:sz="4" w:space="0"/>
                    <w:right w:val="single" w:color="000000" w:sz="4" w:space="0"/>
                  </w:tcBorders>
                  <w:vAlign w:val="center"/>
                </w:tcPr>
                <w:p>
                  <w:pPr>
                    <w:spacing w:line="144" w:lineRule="auto"/>
                    <w:jc w:val="center"/>
                    <w:rPr>
                      <w:rFonts w:hint="eastAsia"/>
                      <w:color w:val="auto"/>
                      <w:szCs w:val="21"/>
                    </w:rPr>
                  </w:pPr>
                  <w:r>
                    <w:rPr>
                      <w:rFonts w:hint="eastAsia"/>
                      <w:color w:val="auto"/>
                      <w:szCs w:val="21"/>
                    </w:rPr>
                    <w:t>550</w:t>
                  </w:r>
                  <w:r>
                    <w:rPr>
                      <w:color w:val="auto"/>
                      <w:szCs w:val="21"/>
                    </w:rPr>
                    <w:t>m</w:t>
                  </w:r>
                  <w:r>
                    <w:rPr>
                      <w:color w:val="auto"/>
                      <w:szCs w:val="21"/>
                      <w:vertAlign w:val="superscript"/>
                    </w:rPr>
                    <w:t>2</w:t>
                  </w:r>
                </w:p>
              </w:tc>
              <w:tc>
                <w:tcPr>
                  <w:tcW w:w="495" w:type="pct"/>
                  <w:tcBorders>
                    <w:left w:val="single" w:color="000000" w:sz="4" w:space="0"/>
                  </w:tcBorders>
                  <w:vAlign w:val="center"/>
                </w:tcPr>
                <w:p>
                  <w:pPr>
                    <w:spacing w:line="144" w:lineRule="auto"/>
                    <w:jc w:val="center"/>
                    <w:rPr>
                      <w:rFonts w:hint="eastAsia"/>
                      <w:color w:val="auto"/>
                      <w:szCs w:val="21"/>
                    </w:rPr>
                  </w:pPr>
                  <w:r>
                    <w:rPr>
                      <w:rFonts w:hint="eastAsia"/>
                      <w:color w:val="auto"/>
                      <w:szCs w:val="21"/>
                      <w:lang w:val="en-US" w:eastAsia="zh-CN"/>
                    </w:rPr>
                    <w:t>+</w:t>
                  </w:r>
                  <w:r>
                    <w:rPr>
                      <w:rFonts w:hint="eastAsia"/>
                      <w:color w:val="auto"/>
                      <w:szCs w:val="21"/>
                    </w:rPr>
                    <w:t>550</w:t>
                  </w:r>
                  <w:r>
                    <w:rPr>
                      <w:color w:val="auto"/>
                      <w:szCs w:val="21"/>
                    </w:rPr>
                    <w:t>m</w:t>
                  </w:r>
                  <w:r>
                    <w:rPr>
                      <w:color w:val="auto"/>
                      <w:szCs w:val="21"/>
                      <w:vertAlign w:val="superscript"/>
                    </w:rPr>
                    <w:t>2</w:t>
                  </w:r>
                </w:p>
              </w:tc>
              <w:tc>
                <w:tcPr>
                  <w:tcW w:w="1234" w:type="pct"/>
                  <w:vAlign w:val="center"/>
                </w:tcPr>
                <w:p>
                  <w:pPr>
                    <w:spacing w:line="144" w:lineRule="auto"/>
                    <w:jc w:val="center"/>
                    <w:rPr>
                      <w:color w:val="auto"/>
                      <w:szCs w:val="21"/>
                    </w:rPr>
                  </w:pPr>
                  <w:r>
                    <w:rPr>
                      <w:rFonts w:hint="eastAsia"/>
                      <w:color w:val="auto"/>
                      <w:szCs w:val="21"/>
                    </w:rPr>
                    <w:t>位于车间二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Change w:id="96" w:author="admin" w:date="2022-12-27T14:16:00Z">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blPrExChange>
              </w:tblPrEx>
              <w:trPr>
                <w:trHeight w:val="90" w:hRule="atLeast"/>
                <w:jc w:val="center"/>
                <w:trPrChange w:id="96" w:author="admin" w:date="2022-12-27T14:16:00Z">
                  <w:trPr>
                    <w:trHeight w:val="340" w:hRule="atLeast"/>
                    <w:jc w:val="center"/>
                  </w:trPr>
                </w:trPrChange>
              </w:trPr>
              <w:tc>
                <w:tcPr>
                  <w:tcW w:w="372" w:type="pct"/>
                  <w:vMerge w:val="continue"/>
                  <w:vAlign w:val="center"/>
                  <w:tcPrChange w:id="97" w:author="admin" w:date="2022-12-27T14:16:00Z">
                    <w:tcPr>
                      <w:tcW w:w="373" w:type="pct"/>
                      <w:vMerge w:val="continue"/>
                      <w:vAlign w:val="center"/>
                    </w:tcPr>
                  </w:tcPrChange>
                </w:tcPr>
                <w:p>
                  <w:pPr>
                    <w:spacing w:line="144" w:lineRule="auto"/>
                    <w:jc w:val="center"/>
                    <w:rPr>
                      <w:color w:val="auto"/>
                      <w:szCs w:val="21"/>
                    </w:rPr>
                  </w:pPr>
                </w:p>
              </w:tc>
              <w:tc>
                <w:tcPr>
                  <w:tcW w:w="845" w:type="pct"/>
                  <w:gridSpan w:val="2"/>
                  <w:vAlign w:val="center"/>
                  <w:tcPrChange w:id="98" w:author="admin" w:date="2022-12-27T14:16:00Z">
                    <w:tcPr>
                      <w:tcW w:w="1143" w:type="pct"/>
                      <w:gridSpan w:val="3"/>
                      <w:vAlign w:val="center"/>
                    </w:tcPr>
                  </w:tcPrChange>
                </w:tcPr>
                <w:p>
                  <w:pPr>
                    <w:spacing w:line="144" w:lineRule="auto"/>
                    <w:jc w:val="center"/>
                    <w:rPr>
                      <w:color w:val="auto"/>
                      <w:szCs w:val="21"/>
                    </w:rPr>
                  </w:pPr>
                  <w:r>
                    <w:rPr>
                      <w:color w:val="auto"/>
                      <w:szCs w:val="21"/>
                    </w:rPr>
                    <w:t>原</w:t>
                  </w:r>
                  <w:r>
                    <w:rPr>
                      <w:rFonts w:hint="eastAsia"/>
                      <w:color w:val="auto"/>
                      <w:szCs w:val="21"/>
                    </w:rPr>
                    <w:t>材料</w:t>
                  </w:r>
                  <w:r>
                    <w:rPr>
                      <w:color w:val="auto"/>
                      <w:szCs w:val="21"/>
                    </w:rPr>
                    <w:t>存放区</w:t>
                  </w:r>
                </w:p>
              </w:tc>
              <w:tc>
                <w:tcPr>
                  <w:tcW w:w="548" w:type="pct"/>
                  <w:tcBorders>
                    <w:right w:val="single" w:color="000000" w:sz="4" w:space="0"/>
                  </w:tcBorders>
                  <w:vAlign w:val="center"/>
                  <w:tcPrChange w:id="99" w:author="admin" w:date="2022-12-27T14:16:00Z">
                    <w:tcPr>
                      <w:tcW w:w="2064" w:type="pct"/>
                      <w:gridSpan w:val="3"/>
                      <w:vAlign w:val="center"/>
                    </w:tcPr>
                  </w:tcPrChange>
                </w:tcPr>
                <w:p>
                  <w:pPr>
                    <w:spacing w:line="144" w:lineRule="auto"/>
                    <w:jc w:val="center"/>
                    <w:rPr>
                      <w:rFonts w:hint="eastAsia" w:eastAsia="宋体"/>
                      <w:color w:val="auto"/>
                      <w:szCs w:val="21"/>
                      <w:lang w:val="en-US" w:eastAsia="zh-CN"/>
                    </w:rPr>
                  </w:pPr>
                  <w:r>
                    <w:rPr>
                      <w:rFonts w:hint="eastAsia"/>
                      <w:color w:val="auto"/>
                      <w:szCs w:val="21"/>
                      <w:lang w:val="en-US" w:eastAsia="zh-CN"/>
                    </w:rPr>
                    <w:t>0</w:t>
                  </w:r>
                </w:p>
              </w:tc>
              <w:tc>
                <w:tcPr>
                  <w:tcW w:w="1503" w:type="pct"/>
                  <w:tcBorders>
                    <w:left w:val="single" w:color="000000" w:sz="4" w:space="0"/>
                    <w:right w:val="single" w:color="000000" w:sz="4" w:space="0"/>
                  </w:tcBorders>
                  <w:vAlign w:val="center"/>
                  <w:tcPrChange w:id="100" w:author="admin" w:date="2022-12-27T14:16:00Z">
                    <w:tcPr>
                      <w:tcW w:w="1420" w:type="pct"/>
                      <w:gridSpan w:val="2"/>
                      <w:vAlign w:val="center"/>
                    </w:tcPr>
                  </w:tcPrChange>
                </w:tcPr>
                <w:p>
                  <w:pPr>
                    <w:spacing w:line="144" w:lineRule="auto"/>
                    <w:jc w:val="center"/>
                    <w:rPr>
                      <w:rFonts w:hint="eastAsia"/>
                      <w:color w:val="auto"/>
                      <w:szCs w:val="21"/>
                    </w:rPr>
                  </w:pPr>
                  <w:r>
                    <w:rPr>
                      <w:rFonts w:hint="eastAsia"/>
                      <w:color w:val="auto"/>
                      <w:szCs w:val="21"/>
                    </w:rPr>
                    <w:t>200</w:t>
                  </w:r>
                  <w:r>
                    <w:rPr>
                      <w:color w:val="auto"/>
                      <w:szCs w:val="21"/>
                    </w:rPr>
                    <w:t>m</w:t>
                  </w:r>
                  <w:r>
                    <w:rPr>
                      <w:color w:val="auto"/>
                      <w:szCs w:val="21"/>
                      <w:vertAlign w:val="superscript"/>
                    </w:rPr>
                    <w:t>2</w:t>
                  </w:r>
                </w:p>
              </w:tc>
              <w:tc>
                <w:tcPr>
                  <w:tcW w:w="495" w:type="pct"/>
                  <w:tcBorders>
                    <w:left w:val="single" w:color="000000" w:sz="4" w:space="0"/>
                  </w:tcBorders>
                  <w:vAlign w:val="center"/>
                  <w:tcPrChange w:id="101" w:author="admin" w:date="2022-12-27T14:16:00Z">
                    <w:tcPr>
                      <w:tcW w:w="2064" w:type="pct"/>
                      <w:vAlign w:val="center"/>
                    </w:tcPr>
                  </w:tcPrChange>
                </w:tcPr>
                <w:p>
                  <w:pPr>
                    <w:spacing w:line="144" w:lineRule="auto"/>
                    <w:jc w:val="center"/>
                    <w:rPr>
                      <w:rFonts w:hint="eastAsia"/>
                      <w:color w:val="auto"/>
                      <w:szCs w:val="21"/>
                    </w:rPr>
                  </w:pPr>
                  <w:r>
                    <w:rPr>
                      <w:rFonts w:hint="eastAsia"/>
                      <w:color w:val="auto"/>
                      <w:szCs w:val="21"/>
                      <w:lang w:val="en-US" w:eastAsia="zh-CN"/>
                    </w:rPr>
                    <w:t>+</w:t>
                  </w:r>
                  <w:r>
                    <w:rPr>
                      <w:rFonts w:hint="eastAsia"/>
                      <w:color w:val="auto"/>
                      <w:szCs w:val="21"/>
                    </w:rPr>
                    <w:t>200</w:t>
                  </w:r>
                  <w:r>
                    <w:rPr>
                      <w:color w:val="auto"/>
                      <w:szCs w:val="21"/>
                    </w:rPr>
                    <w:t>m</w:t>
                  </w:r>
                  <w:r>
                    <w:rPr>
                      <w:color w:val="auto"/>
                      <w:szCs w:val="21"/>
                      <w:vertAlign w:val="superscript"/>
                    </w:rPr>
                    <w:t>2</w:t>
                  </w:r>
                </w:p>
              </w:tc>
              <w:tc>
                <w:tcPr>
                  <w:tcW w:w="1234" w:type="pct"/>
                  <w:vAlign w:val="center"/>
                  <w:tcPrChange w:id="102" w:author="admin" w:date="2022-12-27T14:16:00Z">
                    <w:tcPr>
                      <w:tcW w:w="1420" w:type="pct"/>
                      <w:vAlign w:val="center"/>
                    </w:tcPr>
                  </w:tcPrChange>
                </w:tcPr>
                <w:p>
                  <w:pPr>
                    <w:spacing w:line="144" w:lineRule="auto"/>
                    <w:jc w:val="center"/>
                    <w:rPr>
                      <w:color w:val="auto"/>
                      <w:szCs w:val="21"/>
                    </w:rPr>
                  </w:pPr>
                  <w:r>
                    <w:rPr>
                      <w:rFonts w:hint="eastAsia"/>
                      <w:color w:val="auto"/>
                      <w:szCs w:val="21"/>
                    </w:rPr>
                    <w:t>位于车间二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restart"/>
                  <w:vAlign w:val="center"/>
                </w:tcPr>
                <w:p>
                  <w:pPr>
                    <w:spacing w:line="144" w:lineRule="auto"/>
                    <w:jc w:val="center"/>
                    <w:rPr>
                      <w:color w:val="auto"/>
                      <w:szCs w:val="21"/>
                    </w:rPr>
                  </w:pPr>
                  <w:r>
                    <w:rPr>
                      <w:color w:val="auto"/>
                      <w:szCs w:val="21"/>
                    </w:rPr>
                    <w:t>公用工程</w:t>
                  </w:r>
                </w:p>
              </w:tc>
              <w:tc>
                <w:tcPr>
                  <w:tcW w:w="845" w:type="pct"/>
                  <w:gridSpan w:val="2"/>
                  <w:vAlign w:val="center"/>
                </w:tcPr>
                <w:p>
                  <w:pPr>
                    <w:spacing w:line="144" w:lineRule="auto"/>
                    <w:jc w:val="center"/>
                    <w:rPr>
                      <w:color w:val="auto"/>
                      <w:szCs w:val="21"/>
                    </w:rPr>
                  </w:pPr>
                  <w:r>
                    <w:rPr>
                      <w:color w:val="auto"/>
                      <w:szCs w:val="21"/>
                    </w:rPr>
                    <w:t>给水</w:t>
                  </w:r>
                </w:p>
              </w:tc>
              <w:tc>
                <w:tcPr>
                  <w:tcW w:w="548" w:type="pct"/>
                  <w:tcBorders>
                    <w:right w:val="single" w:color="000000" w:sz="4" w:space="0"/>
                  </w:tcBorders>
                  <w:vAlign w:val="center"/>
                </w:tcPr>
                <w:p>
                  <w:pPr>
                    <w:pStyle w:val="57"/>
                    <w:widowControl w:val="0"/>
                    <w:adjustRightInd w:val="0"/>
                    <w:snapToGrid w:val="0"/>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50</w:t>
                  </w:r>
                  <w:r>
                    <w:rPr>
                      <w:rFonts w:ascii="Times New Roman" w:hAnsi="Times New Roman"/>
                      <w:color w:val="auto"/>
                      <w:sz w:val="21"/>
                      <w:szCs w:val="21"/>
                    </w:rPr>
                    <w:t>t/a</w:t>
                  </w:r>
                </w:p>
              </w:tc>
              <w:tc>
                <w:tcPr>
                  <w:tcW w:w="1503" w:type="pct"/>
                  <w:tcBorders>
                    <w:left w:val="single" w:color="000000" w:sz="4" w:space="0"/>
                    <w:right w:val="single" w:color="000000" w:sz="4" w:space="0"/>
                  </w:tcBorders>
                  <w:vAlign w:val="center"/>
                </w:tcPr>
                <w:p>
                  <w:pPr>
                    <w:pStyle w:val="57"/>
                    <w:widowControl w:val="0"/>
                    <w:adjustRightInd w:val="0"/>
                    <w:snapToGrid w:val="0"/>
                    <w:rPr>
                      <w:rFonts w:hint="eastAsia" w:ascii="Times New Roman" w:hAnsi="Times New Roman"/>
                      <w:color w:val="auto"/>
                      <w:sz w:val="21"/>
                      <w:szCs w:val="21"/>
                    </w:rPr>
                  </w:pPr>
                  <w:r>
                    <w:rPr>
                      <w:rFonts w:hint="eastAsia" w:ascii="Times New Roman" w:hAnsi="Times New Roman"/>
                      <w:color w:val="auto"/>
                      <w:sz w:val="21"/>
                      <w:szCs w:val="21"/>
                    </w:rPr>
                    <w:t>327</w:t>
                  </w:r>
                  <w:r>
                    <w:rPr>
                      <w:rFonts w:hint="eastAsia" w:ascii="Times New Roman" w:hAnsi="Times New Roman"/>
                      <w:color w:val="auto"/>
                      <w:sz w:val="21"/>
                      <w:szCs w:val="21"/>
                      <w:lang w:val="en-US" w:eastAsia="zh-CN"/>
                    </w:rPr>
                    <w:t>9.1</w:t>
                  </w:r>
                  <w:r>
                    <w:rPr>
                      <w:rFonts w:ascii="Times New Roman" w:hAnsi="Times New Roman"/>
                      <w:color w:val="auto"/>
                      <w:sz w:val="21"/>
                      <w:szCs w:val="21"/>
                    </w:rPr>
                    <w:t>t/a</w:t>
                  </w:r>
                </w:p>
              </w:tc>
              <w:tc>
                <w:tcPr>
                  <w:tcW w:w="495" w:type="pct"/>
                  <w:tcBorders>
                    <w:left w:val="single" w:color="000000" w:sz="4" w:space="0"/>
                  </w:tcBorders>
                  <w:vAlign w:val="center"/>
                </w:tcPr>
                <w:p>
                  <w:pPr>
                    <w:pStyle w:val="57"/>
                    <w:widowControl w:val="0"/>
                    <w:adjustRightInd w:val="0"/>
                    <w:snapToGrid w:val="0"/>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+3220.4</w:t>
                  </w:r>
                  <w:r>
                    <w:rPr>
                      <w:rFonts w:ascii="Times New Roman" w:hAnsi="Times New Roman"/>
                      <w:color w:val="auto"/>
                      <w:sz w:val="21"/>
                      <w:szCs w:val="21"/>
                    </w:rPr>
                    <w:t>t/a</w:t>
                  </w:r>
                </w:p>
              </w:tc>
              <w:tc>
                <w:tcPr>
                  <w:tcW w:w="1234" w:type="pct"/>
                  <w:vAlign w:val="center"/>
                </w:tcPr>
                <w:p>
                  <w:pPr>
                    <w:spacing w:line="144" w:lineRule="auto"/>
                    <w:jc w:val="center"/>
                    <w:rPr>
                      <w:color w:val="auto"/>
                      <w:szCs w:val="21"/>
                    </w:rPr>
                  </w:pPr>
                  <w:r>
                    <w:rPr>
                      <w:rFonts w:hint="eastAsia"/>
                      <w:color w:val="auto"/>
                      <w:szCs w:val="21"/>
                    </w:rPr>
                    <w:t>由</w:t>
                  </w:r>
                  <w:r>
                    <w:rPr>
                      <w:color w:val="auto"/>
                      <w:szCs w:val="21"/>
                    </w:rPr>
                    <w:t>市政管网</w:t>
                  </w:r>
                  <w:r>
                    <w:rPr>
                      <w:rFonts w:hint="eastAsia"/>
                      <w:color w:val="auto"/>
                      <w:szCs w:val="21"/>
                    </w:rPr>
                    <w:t>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372" w:type="pct"/>
                  <w:vMerge w:val="continue"/>
                  <w:vAlign w:val="center"/>
                </w:tcPr>
                <w:p>
                  <w:pPr>
                    <w:spacing w:line="144" w:lineRule="auto"/>
                    <w:jc w:val="center"/>
                    <w:rPr>
                      <w:color w:val="auto"/>
                      <w:szCs w:val="21"/>
                    </w:rPr>
                  </w:pPr>
                </w:p>
              </w:tc>
              <w:tc>
                <w:tcPr>
                  <w:tcW w:w="845" w:type="pct"/>
                  <w:gridSpan w:val="2"/>
                  <w:vAlign w:val="center"/>
                </w:tcPr>
                <w:p>
                  <w:pPr>
                    <w:spacing w:line="144" w:lineRule="auto"/>
                    <w:jc w:val="center"/>
                    <w:rPr>
                      <w:color w:val="auto"/>
                      <w:szCs w:val="21"/>
                    </w:rPr>
                  </w:pPr>
                  <w:r>
                    <w:rPr>
                      <w:color w:val="auto"/>
                      <w:szCs w:val="21"/>
                    </w:rPr>
                    <w:t>排水</w:t>
                  </w:r>
                </w:p>
              </w:tc>
              <w:tc>
                <w:tcPr>
                  <w:tcW w:w="548" w:type="pct"/>
                  <w:tcBorders>
                    <w:right w:val="single" w:color="000000" w:sz="4" w:space="0"/>
                  </w:tcBorders>
                  <w:vAlign w:val="center"/>
                </w:tcPr>
                <w:p>
                  <w:pPr>
                    <w:pStyle w:val="57"/>
                    <w:widowControl w:val="0"/>
                    <w:adjustRightInd w:val="0"/>
                    <w:snapToGrid w:val="0"/>
                    <w:rPr>
                      <w:rFonts w:hint="eastAsia" w:ascii="Times New Roman" w:hAnsi="Times New Roman" w:eastAsia="宋体"/>
                      <w:color w:val="auto"/>
                      <w:sz w:val="21"/>
                      <w:szCs w:val="21"/>
                      <w:lang w:val="en-US" w:eastAsia="zh-CN"/>
                    </w:rPr>
                  </w:pPr>
                  <w:r>
                    <w:rPr>
                      <w:color w:val="auto"/>
                      <w:szCs w:val="21"/>
                    </w:rPr>
                    <w:t>—</w:t>
                  </w:r>
                </w:p>
              </w:tc>
              <w:tc>
                <w:tcPr>
                  <w:tcW w:w="1503" w:type="pct"/>
                  <w:tcBorders>
                    <w:left w:val="single" w:color="000000" w:sz="4" w:space="0"/>
                    <w:right w:val="single" w:color="000000" w:sz="4" w:space="0"/>
                  </w:tcBorders>
                  <w:vAlign w:val="center"/>
                </w:tcPr>
                <w:p>
                  <w:pPr>
                    <w:pStyle w:val="57"/>
                    <w:widowControl w:val="0"/>
                    <w:adjustRightInd w:val="0"/>
                    <w:snapToGrid w:val="0"/>
                    <w:rPr>
                      <w:rFonts w:hint="eastAsia" w:ascii="Times New Roman" w:hAnsi="Times New Roman"/>
                      <w:color w:val="auto"/>
                      <w:sz w:val="21"/>
                      <w:szCs w:val="21"/>
                    </w:rPr>
                  </w:pPr>
                  <w:r>
                    <w:rPr>
                      <w:rFonts w:hint="eastAsia" w:ascii="Times New Roman" w:hAnsi="Times New Roman"/>
                      <w:color w:val="auto"/>
                      <w:sz w:val="21"/>
                      <w:szCs w:val="21"/>
                    </w:rPr>
                    <w:t>2436.3</w:t>
                  </w:r>
                  <w:r>
                    <w:rPr>
                      <w:rFonts w:ascii="Times New Roman" w:hAnsi="Times New Roman"/>
                      <w:color w:val="auto"/>
                      <w:sz w:val="21"/>
                      <w:szCs w:val="21"/>
                    </w:rPr>
                    <w:t>t/a</w:t>
                  </w:r>
                </w:p>
              </w:tc>
              <w:tc>
                <w:tcPr>
                  <w:tcW w:w="495" w:type="pct"/>
                  <w:tcBorders>
                    <w:left w:val="single" w:color="000000" w:sz="4" w:space="0"/>
                  </w:tcBorders>
                  <w:vAlign w:val="center"/>
                </w:tcPr>
                <w:p>
                  <w:pPr>
                    <w:pStyle w:val="57"/>
                    <w:widowControl w:val="0"/>
                    <w:adjustRightInd w:val="0"/>
                    <w:snapToGrid w:val="0"/>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w:t>
                  </w:r>
                  <w:r>
                    <w:rPr>
                      <w:rFonts w:hint="eastAsia" w:ascii="Times New Roman" w:hAnsi="Times New Roman"/>
                      <w:color w:val="auto"/>
                      <w:sz w:val="21"/>
                      <w:szCs w:val="21"/>
                    </w:rPr>
                    <w:t>2436.3</w:t>
                  </w:r>
                  <w:r>
                    <w:rPr>
                      <w:rFonts w:ascii="Times New Roman" w:hAnsi="Times New Roman"/>
                      <w:color w:val="auto"/>
                      <w:sz w:val="21"/>
                      <w:szCs w:val="21"/>
                    </w:rPr>
                    <w:t>t/a</w:t>
                  </w:r>
                </w:p>
              </w:tc>
              <w:tc>
                <w:tcPr>
                  <w:tcW w:w="1234" w:type="pct"/>
                  <w:vAlign w:val="center"/>
                </w:tcPr>
                <w:p>
                  <w:pPr>
                    <w:spacing w:line="144" w:lineRule="auto"/>
                    <w:jc w:val="center"/>
                    <w:rPr>
                      <w:color w:val="auto"/>
                      <w:szCs w:val="21"/>
                    </w:rPr>
                  </w:pPr>
                  <w:r>
                    <w:rPr>
                      <w:color w:val="auto"/>
                      <w:szCs w:val="21"/>
                    </w:rPr>
                    <w:t xml:space="preserve">接管至梅村水处理厂集中处理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continue"/>
                  <w:vAlign w:val="center"/>
                </w:tcPr>
                <w:p>
                  <w:pPr>
                    <w:spacing w:line="144" w:lineRule="auto"/>
                    <w:jc w:val="center"/>
                    <w:rPr>
                      <w:color w:val="auto"/>
                      <w:szCs w:val="21"/>
                    </w:rPr>
                  </w:pPr>
                </w:p>
              </w:tc>
              <w:tc>
                <w:tcPr>
                  <w:tcW w:w="845" w:type="pct"/>
                  <w:gridSpan w:val="2"/>
                  <w:vAlign w:val="center"/>
                </w:tcPr>
                <w:p>
                  <w:pPr>
                    <w:spacing w:line="144" w:lineRule="auto"/>
                    <w:jc w:val="center"/>
                    <w:rPr>
                      <w:color w:val="auto"/>
                      <w:szCs w:val="21"/>
                    </w:rPr>
                  </w:pPr>
                  <w:r>
                    <w:rPr>
                      <w:color w:val="auto"/>
                      <w:szCs w:val="21"/>
                    </w:rPr>
                    <w:t>供电</w:t>
                  </w:r>
                </w:p>
              </w:tc>
              <w:tc>
                <w:tcPr>
                  <w:tcW w:w="548" w:type="pct"/>
                  <w:tcBorders>
                    <w:right w:val="single" w:color="000000" w:sz="4" w:space="0"/>
                  </w:tcBorders>
                  <w:vAlign w:val="center"/>
                </w:tcPr>
                <w:p>
                  <w:pPr>
                    <w:spacing w:line="144" w:lineRule="auto"/>
                    <w:jc w:val="center"/>
                    <w:rPr>
                      <w:rFonts w:hint="default" w:eastAsia="宋体"/>
                      <w:color w:val="auto"/>
                      <w:szCs w:val="21"/>
                      <w:lang w:val="en-US" w:eastAsia="zh-CN"/>
                    </w:rPr>
                  </w:pPr>
                  <w:r>
                    <w:rPr>
                      <w:rFonts w:hint="eastAsia"/>
                      <w:color w:val="auto"/>
                      <w:szCs w:val="21"/>
                      <w:lang w:val="en-US" w:eastAsia="zh-CN"/>
                    </w:rPr>
                    <w:t>300千瓦时/年</w:t>
                  </w:r>
                </w:p>
              </w:tc>
              <w:tc>
                <w:tcPr>
                  <w:tcW w:w="1503" w:type="pct"/>
                  <w:tcBorders>
                    <w:left w:val="single" w:color="000000" w:sz="4" w:space="0"/>
                    <w:right w:val="single" w:color="000000" w:sz="4" w:space="0"/>
                  </w:tcBorders>
                  <w:vAlign w:val="center"/>
                </w:tcPr>
                <w:p>
                  <w:pPr>
                    <w:spacing w:line="144" w:lineRule="auto"/>
                    <w:jc w:val="center"/>
                    <w:rPr>
                      <w:rFonts w:hint="eastAsia"/>
                      <w:color w:val="auto"/>
                      <w:szCs w:val="21"/>
                    </w:rPr>
                  </w:pPr>
                  <w:r>
                    <w:rPr>
                      <w:rFonts w:hint="eastAsia"/>
                      <w:color w:val="auto"/>
                      <w:szCs w:val="21"/>
                    </w:rPr>
                    <w:t>150</w:t>
                  </w:r>
                  <w:r>
                    <w:rPr>
                      <w:color w:val="auto"/>
                      <w:szCs w:val="21"/>
                    </w:rPr>
                    <w:t>万</w:t>
                  </w:r>
                  <w:r>
                    <w:rPr>
                      <w:rFonts w:hint="eastAsia"/>
                      <w:color w:val="auto"/>
                      <w:szCs w:val="21"/>
                      <w:lang w:val="en-US" w:eastAsia="zh-CN"/>
                    </w:rPr>
                    <w:t>千瓦时</w:t>
                  </w:r>
                  <w:r>
                    <w:rPr>
                      <w:color w:val="auto"/>
                      <w:szCs w:val="21"/>
                    </w:rPr>
                    <w:t>/年</w:t>
                  </w:r>
                </w:p>
              </w:tc>
              <w:tc>
                <w:tcPr>
                  <w:tcW w:w="495" w:type="pct"/>
                  <w:tcBorders>
                    <w:left w:val="single" w:color="000000" w:sz="4" w:space="0"/>
                  </w:tcBorders>
                  <w:vAlign w:val="center"/>
                </w:tcPr>
                <w:p>
                  <w:pPr>
                    <w:spacing w:line="144" w:lineRule="auto"/>
                    <w:jc w:val="center"/>
                    <w:rPr>
                      <w:rFonts w:hint="default" w:eastAsia="宋体"/>
                      <w:color w:val="auto"/>
                      <w:szCs w:val="21"/>
                      <w:lang w:val="en-US" w:eastAsia="zh-CN"/>
                    </w:rPr>
                  </w:pPr>
                  <w:r>
                    <w:rPr>
                      <w:rFonts w:hint="eastAsia"/>
                      <w:color w:val="auto"/>
                      <w:szCs w:val="21"/>
                      <w:lang w:val="en-US" w:eastAsia="zh-CN"/>
                    </w:rPr>
                    <w:t>+149.97</w:t>
                  </w:r>
                  <w:r>
                    <w:rPr>
                      <w:color w:val="auto"/>
                      <w:szCs w:val="21"/>
                    </w:rPr>
                    <w:t>万</w:t>
                  </w:r>
                  <w:r>
                    <w:rPr>
                      <w:rFonts w:hint="eastAsia"/>
                      <w:color w:val="auto"/>
                      <w:szCs w:val="21"/>
                      <w:lang w:val="en-US" w:eastAsia="zh-CN"/>
                    </w:rPr>
                    <w:t>千瓦时</w:t>
                  </w:r>
                  <w:r>
                    <w:rPr>
                      <w:color w:val="auto"/>
                      <w:szCs w:val="21"/>
                    </w:rPr>
                    <w:t>/年</w:t>
                  </w:r>
                </w:p>
              </w:tc>
              <w:tc>
                <w:tcPr>
                  <w:tcW w:w="1234" w:type="pct"/>
                  <w:vAlign w:val="center"/>
                </w:tcPr>
                <w:p>
                  <w:pPr>
                    <w:spacing w:line="144" w:lineRule="auto"/>
                    <w:jc w:val="center"/>
                    <w:rPr>
                      <w:color w:val="auto"/>
                      <w:szCs w:val="21"/>
                    </w:rPr>
                  </w:pPr>
                  <w:r>
                    <w:rPr>
                      <w:color w:val="auto"/>
                      <w:szCs w:val="21"/>
                    </w:rPr>
                    <w:t>由市政管网供给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continue"/>
                  <w:vAlign w:val="center"/>
                </w:tcPr>
                <w:p>
                  <w:pPr>
                    <w:spacing w:line="144" w:lineRule="auto"/>
                    <w:jc w:val="center"/>
                    <w:rPr>
                      <w:color w:val="auto"/>
                      <w:szCs w:val="21"/>
                    </w:rPr>
                  </w:pPr>
                </w:p>
              </w:tc>
              <w:tc>
                <w:tcPr>
                  <w:tcW w:w="845" w:type="pct"/>
                  <w:gridSpan w:val="2"/>
                  <w:vAlign w:val="center"/>
                </w:tcPr>
                <w:p>
                  <w:pPr>
                    <w:spacing w:line="144" w:lineRule="auto"/>
                    <w:jc w:val="center"/>
                    <w:rPr>
                      <w:color w:val="auto"/>
                      <w:szCs w:val="21"/>
                    </w:rPr>
                  </w:pPr>
                  <w:r>
                    <w:rPr>
                      <w:color w:val="auto"/>
                      <w:szCs w:val="21"/>
                    </w:rPr>
                    <w:t>供气（天然气）</w:t>
                  </w:r>
                </w:p>
              </w:tc>
              <w:tc>
                <w:tcPr>
                  <w:tcW w:w="548" w:type="pct"/>
                  <w:tcBorders>
                    <w:right w:val="single" w:color="000000" w:sz="4" w:space="0"/>
                  </w:tcBorders>
                  <w:vAlign w:val="center"/>
                </w:tcPr>
                <w:p>
                  <w:pPr>
                    <w:spacing w:line="144" w:lineRule="auto"/>
                    <w:jc w:val="center"/>
                    <w:rPr>
                      <w:rFonts w:hint="eastAsia" w:eastAsia="宋体"/>
                      <w:color w:val="auto"/>
                      <w:szCs w:val="21"/>
                      <w:lang w:val="en-US" w:eastAsia="zh-CN"/>
                    </w:rPr>
                  </w:pPr>
                  <w:r>
                    <w:rPr>
                      <w:rFonts w:hint="eastAsia"/>
                      <w:color w:val="auto"/>
                      <w:szCs w:val="21"/>
                      <w:lang w:val="en-US" w:eastAsia="zh-CN"/>
                    </w:rPr>
                    <w:t>0</w:t>
                  </w:r>
                </w:p>
              </w:tc>
              <w:tc>
                <w:tcPr>
                  <w:tcW w:w="1503" w:type="pct"/>
                  <w:tcBorders>
                    <w:left w:val="single" w:color="000000" w:sz="4" w:space="0"/>
                    <w:right w:val="single" w:color="000000" w:sz="4" w:space="0"/>
                  </w:tcBorders>
                  <w:vAlign w:val="center"/>
                </w:tcPr>
                <w:p>
                  <w:pPr>
                    <w:spacing w:line="144" w:lineRule="auto"/>
                    <w:jc w:val="center"/>
                    <w:rPr>
                      <w:rFonts w:hint="eastAsia"/>
                      <w:color w:val="auto"/>
                      <w:szCs w:val="21"/>
                    </w:rPr>
                  </w:pPr>
                  <w:r>
                    <w:rPr>
                      <w:rFonts w:hint="eastAsia"/>
                      <w:color w:val="auto"/>
                      <w:szCs w:val="21"/>
                    </w:rPr>
                    <w:t>18</w:t>
                  </w:r>
                  <w:r>
                    <w:rPr>
                      <w:color w:val="auto"/>
                      <w:szCs w:val="21"/>
                    </w:rPr>
                    <w:t>万m</w:t>
                  </w:r>
                  <w:r>
                    <w:rPr>
                      <w:color w:val="auto"/>
                      <w:szCs w:val="21"/>
                      <w:vertAlign w:val="superscript"/>
                    </w:rPr>
                    <w:t>3</w:t>
                  </w:r>
                  <w:r>
                    <w:rPr>
                      <w:color w:val="auto"/>
                      <w:szCs w:val="21"/>
                    </w:rPr>
                    <w:t>/a</w:t>
                  </w:r>
                </w:p>
              </w:tc>
              <w:tc>
                <w:tcPr>
                  <w:tcW w:w="495" w:type="pct"/>
                  <w:tcBorders>
                    <w:left w:val="single" w:color="000000" w:sz="4" w:space="0"/>
                  </w:tcBorders>
                  <w:vAlign w:val="center"/>
                </w:tcPr>
                <w:p>
                  <w:pPr>
                    <w:spacing w:line="144" w:lineRule="auto"/>
                    <w:jc w:val="center"/>
                    <w:rPr>
                      <w:rFonts w:hint="eastAsia" w:eastAsia="宋体"/>
                      <w:color w:val="auto"/>
                      <w:szCs w:val="21"/>
                      <w:lang w:val="en-US" w:eastAsia="zh-CN"/>
                    </w:rPr>
                  </w:pPr>
                  <w:r>
                    <w:rPr>
                      <w:rFonts w:hint="eastAsia"/>
                      <w:color w:val="auto"/>
                      <w:szCs w:val="21"/>
                      <w:lang w:val="en-US" w:eastAsia="zh-CN"/>
                    </w:rPr>
                    <w:t>+</w:t>
                  </w:r>
                  <w:r>
                    <w:rPr>
                      <w:rFonts w:hint="eastAsia"/>
                      <w:color w:val="auto"/>
                      <w:szCs w:val="21"/>
                    </w:rPr>
                    <w:t>18</w:t>
                  </w:r>
                  <w:r>
                    <w:rPr>
                      <w:color w:val="auto"/>
                      <w:szCs w:val="21"/>
                    </w:rPr>
                    <w:t>万m</w:t>
                  </w:r>
                  <w:r>
                    <w:rPr>
                      <w:color w:val="auto"/>
                      <w:szCs w:val="21"/>
                      <w:vertAlign w:val="superscript"/>
                    </w:rPr>
                    <w:t>3</w:t>
                  </w:r>
                  <w:r>
                    <w:rPr>
                      <w:color w:val="auto"/>
                      <w:szCs w:val="21"/>
                    </w:rPr>
                    <w:t>/a</w:t>
                  </w:r>
                </w:p>
              </w:tc>
              <w:tc>
                <w:tcPr>
                  <w:tcW w:w="1234" w:type="pct"/>
                  <w:vAlign w:val="center"/>
                </w:tcPr>
                <w:p>
                  <w:pPr>
                    <w:spacing w:line="144" w:lineRule="auto"/>
                    <w:jc w:val="center"/>
                    <w:rPr>
                      <w:color w:val="auto"/>
                      <w:szCs w:val="21"/>
                      <w:highlight w:val="yellow"/>
                    </w:rPr>
                  </w:pPr>
                  <w:r>
                    <w:rPr>
                      <w:rFonts w:hint="eastAsia"/>
                      <w:color w:val="auto"/>
                      <w:szCs w:val="21"/>
                    </w:rPr>
                    <w:t>华润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continue"/>
                  <w:vAlign w:val="center"/>
                </w:tcPr>
                <w:p>
                  <w:pPr>
                    <w:spacing w:line="144" w:lineRule="auto"/>
                    <w:jc w:val="center"/>
                    <w:rPr>
                      <w:color w:val="auto"/>
                      <w:szCs w:val="21"/>
                    </w:rPr>
                  </w:pPr>
                </w:p>
              </w:tc>
              <w:tc>
                <w:tcPr>
                  <w:tcW w:w="845" w:type="pct"/>
                  <w:gridSpan w:val="2"/>
                  <w:vAlign w:val="center"/>
                </w:tcPr>
                <w:p>
                  <w:pPr>
                    <w:spacing w:line="144" w:lineRule="auto"/>
                    <w:jc w:val="center"/>
                    <w:rPr>
                      <w:color w:val="auto"/>
                      <w:szCs w:val="21"/>
                    </w:rPr>
                  </w:pPr>
                  <w:r>
                    <w:rPr>
                      <w:rFonts w:hint="eastAsia"/>
                      <w:color w:val="auto"/>
                      <w:szCs w:val="21"/>
                    </w:rPr>
                    <w:t>纯水</w:t>
                  </w:r>
                  <w:r>
                    <w:rPr>
                      <w:color w:val="auto"/>
                      <w:szCs w:val="21"/>
                    </w:rPr>
                    <w:t>制备系统</w:t>
                  </w:r>
                </w:p>
              </w:tc>
              <w:tc>
                <w:tcPr>
                  <w:tcW w:w="548" w:type="pct"/>
                  <w:tcBorders>
                    <w:right w:val="single" w:color="000000" w:sz="4" w:space="0"/>
                  </w:tcBorders>
                  <w:vAlign w:val="center"/>
                </w:tcPr>
                <w:p>
                  <w:pPr>
                    <w:spacing w:line="144" w:lineRule="auto"/>
                    <w:jc w:val="center"/>
                    <w:rPr>
                      <w:rFonts w:hint="eastAsia" w:eastAsia="宋体"/>
                      <w:color w:val="auto"/>
                      <w:szCs w:val="21"/>
                      <w:lang w:val="en-US" w:eastAsia="zh-CN"/>
                    </w:rPr>
                  </w:pPr>
                  <w:r>
                    <w:rPr>
                      <w:color w:val="auto"/>
                      <w:szCs w:val="21"/>
                    </w:rPr>
                    <w:t>—</w:t>
                  </w:r>
                </w:p>
              </w:tc>
              <w:tc>
                <w:tcPr>
                  <w:tcW w:w="1999" w:type="pct"/>
                  <w:gridSpan w:val="2"/>
                  <w:tcBorders>
                    <w:left w:val="single" w:color="000000" w:sz="4" w:space="0"/>
                  </w:tcBorders>
                  <w:vAlign w:val="center"/>
                </w:tcPr>
                <w:p>
                  <w:pPr>
                    <w:spacing w:line="144" w:lineRule="auto"/>
                    <w:jc w:val="center"/>
                    <w:rPr>
                      <w:color w:val="auto"/>
                      <w:szCs w:val="21"/>
                    </w:rPr>
                  </w:pPr>
                  <w:r>
                    <w:rPr>
                      <w:color w:val="auto"/>
                      <w:szCs w:val="21"/>
                    </w:rPr>
                    <w:t>1个规格2t/h的制备系统</w:t>
                  </w:r>
                </w:p>
              </w:tc>
              <w:tc>
                <w:tcPr>
                  <w:tcW w:w="1234" w:type="pct"/>
                  <w:vAlign w:val="center"/>
                </w:tcPr>
                <w:p>
                  <w:pPr>
                    <w:spacing w:line="144" w:lineRule="auto"/>
                    <w:jc w:val="center"/>
                    <w:rPr>
                      <w:color w:val="auto"/>
                      <w:szCs w:val="21"/>
                    </w:rPr>
                  </w:pPr>
                  <w:r>
                    <w:rPr>
                      <w:rFonts w:hint="eastAsia"/>
                      <w:color w:val="auto"/>
                      <w:szCs w:val="21"/>
                    </w:rPr>
                    <w:t>制备纯水浓水及设备反冲洗水接管梅村水处理厂集中处理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continue"/>
                  <w:vAlign w:val="center"/>
                </w:tcPr>
                <w:p>
                  <w:pPr>
                    <w:spacing w:line="144" w:lineRule="auto"/>
                    <w:jc w:val="center"/>
                    <w:rPr>
                      <w:color w:val="auto"/>
                      <w:szCs w:val="21"/>
                    </w:rPr>
                  </w:pPr>
                </w:p>
              </w:tc>
              <w:tc>
                <w:tcPr>
                  <w:tcW w:w="845" w:type="pct"/>
                  <w:gridSpan w:val="2"/>
                  <w:vAlign w:val="center"/>
                </w:tcPr>
                <w:p>
                  <w:pPr>
                    <w:spacing w:line="144" w:lineRule="auto"/>
                    <w:jc w:val="center"/>
                    <w:rPr>
                      <w:color w:val="auto"/>
                      <w:szCs w:val="21"/>
                    </w:rPr>
                  </w:pPr>
                  <w:r>
                    <w:rPr>
                      <w:color w:val="auto"/>
                      <w:szCs w:val="21"/>
                    </w:rPr>
                    <w:t>绿化</w:t>
                  </w:r>
                </w:p>
              </w:tc>
              <w:tc>
                <w:tcPr>
                  <w:tcW w:w="2547" w:type="pct"/>
                  <w:gridSpan w:val="3"/>
                  <w:vAlign w:val="center"/>
                </w:tcPr>
                <w:p>
                  <w:pPr>
                    <w:spacing w:line="144" w:lineRule="auto"/>
                    <w:jc w:val="center"/>
                    <w:rPr>
                      <w:color w:val="auto"/>
                      <w:szCs w:val="21"/>
                    </w:rPr>
                  </w:pPr>
                  <w:r>
                    <w:rPr>
                      <w:color w:val="auto"/>
                      <w:szCs w:val="21"/>
                    </w:rPr>
                    <w:t>—</w:t>
                  </w:r>
                </w:p>
              </w:tc>
              <w:tc>
                <w:tcPr>
                  <w:tcW w:w="1234" w:type="pct"/>
                  <w:vAlign w:val="center"/>
                </w:tcPr>
                <w:p>
                  <w:pPr>
                    <w:spacing w:line="144" w:lineRule="auto"/>
                    <w:jc w:val="center"/>
                    <w:rPr>
                      <w:color w:val="auto"/>
                      <w:szCs w:val="21"/>
                    </w:rPr>
                  </w:pPr>
                  <w:r>
                    <w:rPr>
                      <w:rFonts w:hint="eastAsia"/>
                      <w:color w:val="auto"/>
                      <w:szCs w:val="21"/>
                    </w:rPr>
                    <w:t>依托</w:t>
                  </w:r>
                  <w:r>
                    <w:rPr>
                      <w:rFonts w:hint="eastAsia"/>
                      <w:color w:val="auto"/>
                      <w:kern w:val="0"/>
                      <w:szCs w:val="21"/>
                      <w:lang w:val="en-US" w:eastAsia="zh-CN" w:bidi="ar"/>
                    </w:rPr>
                    <w:t>租用</w:t>
                  </w:r>
                  <w:r>
                    <w:rPr>
                      <w:color w:val="auto"/>
                      <w:szCs w:val="21"/>
                    </w:rPr>
                    <w:t>厂区现有绿化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restart"/>
                  <w:vAlign w:val="center"/>
                </w:tcPr>
                <w:p>
                  <w:pPr>
                    <w:spacing w:line="144" w:lineRule="auto"/>
                    <w:jc w:val="center"/>
                    <w:rPr>
                      <w:color w:val="auto"/>
                      <w:szCs w:val="21"/>
                    </w:rPr>
                  </w:pPr>
                  <w:r>
                    <w:rPr>
                      <w:color w:val="auto"/>
                      <w:szCs w:val="21"/>
                    </w:rPr>
                    <w:t>环保工程</w:t>
                  </w:r>
                </w:p>
              </w:tc>
              <w:tc>
                <w:tcPr>
                  <w:tcW w:w="349" w:type="pct"/>
                  <w:vMerge w:val="restart"/>
                  <w:vAlign w:val="center"/>
                </w:tcPr>
                <w:p>
                  <w:pPr>
                    <w:spacing w:line="144" w:lineRule="auto"/>
                    <w:jc w:val="center"/>
                    <w:rPr>
                      <w:color w:val="auto"/>
                      <w:szCs w:val="21"/>
                    </w:rPr>
                  </w:pPr>
                  <w:r>
                    <w:rPr>
                      <w:color w:val="auto"/>
                      <w:szCs w:val="21"/>
                    </w:rPr>
                    <w:t>废气处理</w:t>
                  </w:r>
                </w:p>
              </w:tc>
              <w:tc>
                <w:tcPr>
                  <w:tcW w:w="495" w:type="pct"/>
                  <w:vAlign w:val="center"/>
                </w:tcPr>
                <w:p>
                  <w:pPr>
                    <w:widowControl/>
                    <w:jc w:val="center"/>
                    <w:textAlignment w:val="center"/>
                    <w:rPr>
                      <w:color w:val="auto"/>
                      <w:szCs w:val="21"/>
                      <w:highlight w:val="yellow"/>
                    </w:rPr>
                  </w:pPr>
                  <w:r>
                    <w:rPr>
                      <w:rFonts w:hint="eastAsia"/>
                      <w:color w:val="auto"/>
                      <w:szCs w:val="21"/>
                    </w:rPr>
                    <w:t>成品检验区域（打磨工序粉尘）</w:t>
                  </w:r>
                </w:p>
              </w:tc>
              <w:tc>
                <w:tcPr>
                  <w:tcW w:w="548" w:type="pct"/>
                  <w:tcBorders>
                    <w:right w:val="single" w:color="000000" w:sz="4" w:space="0"/>
                  </w:tcBorders>
                  <w:vAlign w:val="center"/>
                </w:tcPr>
                <w:p>
                  <w:pPr>
                    <w:spacing w:line="144" w:lineRule="auto"/>
                    <w:jc w:val="center"/>
                    <w:rPr>
                      <w:rFonts w:hint="eastAsia" w:eastAsia="宋体"/>
                      <w:color w:val="auto"/>
                      <w:szCs w:val="21"/>
                      <w:lang w:val="en-US" w:eastAsia="zh-CN"/>
                    </w:rPr>
                  </w:pPr>
                  <w:r>
                    <w:rPr>
                      <w:color w:val="auto"/>
                      <w:szCs w:val="21"/>
                    </w:rPr>
                    <w:t>—</w:t>
                  </w:r>
                </w:p>
              </w:tc>
              <w:tc>
                <w:tcPr>
                  <w:tcW w:w="1999" w:type="pct"/>
                  <w:gridSpan w:val="2"/>
                  <w:tcBorders>
                    <w:left w:val="single" w:color="000000" w:sz="4" w:space="0"/>
                  </w:tcBorders>
                  <w:vAlign w:val="center"/>
                </w:tcPr>
                <w:p>
                  <w:pPr>
                    <w:spacing w:line="144" w:lineRule="auto"/>
                    <w:jc w:val="center"/>
                    <w:rPr>
                      <w:rFonts w:hint="eastAsia"/>
                      <w:color w:val="auto"/>
                      <w:szCs w:val="21"/>
                    </w:rPr>
                  </w:pPr>
                  <w:r>
                    <w:rPr>
                      <w:rFonts w:hint="eastAsia"/>
                      <w:color w:val="auto"/>
                      <w:szCs w:val="21"/>
                    </w:rPr>
                    <w:t>集气罩+袋式除尘器</w:t>
                  </w:r>
                </w:p>
              </w:tc>
              <w:tc>
                <w:tcPr>
                  <w:tcW w:w="1234" w:type="pct"/>
                  <w:vAlign w:val="center"/>
                </w:tcPr>
                <w:p>
                  <w:pPr>
                    <w:spacing w:line="144" w:lineRule="auto"/>
                    <w:jc w:val="center"/>
                    <w:rPr>
                      <w:color w:val="auto"/>
                      <w:szCs w:val="21"/>
                    </w:rPr>
                  </w:pPr>
                  <w:r>
                    <w:rPr>
                      <w:rFonts w:hint="eastAsia"/>
                      <w:color w:val="auto"/>
                      <w:szCs w:val="21"/>
                    </w:rPr>
                    <w:t>车间内无组织排放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continue"/>
                  <w:vAlign w:val="center"/>
                </w:tcPr>
                <w:p>
                  <w:pPr>
                    <w:spacing w:line="144" w:lineRule="auto"/>
                    <w:jc w:val="center"/>
                    <w:rPr>
                      <w:color w:val="auto"/>
                      <w:szCs w:val="21"/>
                    </w:rPr>
                  </w:pPr>
                </w:p>
              </w:tc>
              <w:tc>
                <w:tcPr>
                  <w:tcW w:w="349" w:type="pct"/>
                  <w:vMerge w:val="continue"/>
                  <w:vAlign w:val="center"/>
                </w:tcPr>
                <w:p>
                  <w:pPr>
                    <w:spacing w:line="144" w:lineRule="auto"/>
                    <w:jc w:val="center"/>
                    <w:rPr>
                      <w:color w:val="auto"/>
                      <w:szCs w:val="21"/>
                    </w:rPr>
                  </w:pPr>
                </w:p>
              </w:tc>
              <w:tc>
                <w:tcPr>
                  <w:tcW w:w="495" w:type="pct"/>
                  <w:vAlign w:val="center"/>
                </w:tcPr>
                <w:p>
                  <w:pPr>
                    <w:widowControl/>
                    <w:jc w:val="center"/>
                    <w:textAlignment w:val="center"/>
                    <w:rPr>
                      <w:color w:val="auto"/>
                      <w:highlight w:val="yellow"/>
                    </w:rPr>
                  </w:pPr>
                  <w:ins w:id="103" w:author="Sunny" w:date="2022-12-30T08:37:00Z">
                    <w:r>
                      <w:rPr>
                        <w:rFonts w:hint="eastAsia"/>
                        <w:color w:val="auto"/>
                        <w:kern w:val="0"/>
                        <w:szCs w:val="21"/>
                        <w:lang w:bidi="ar"/>
                      </w:rPr>
                      <w:t>静电喷粉</w:t>
                    </w:r>
                  </w:ins>
                </w:p>
              </w:tc>
              <w:tc>
                <w:tcPr>
                  <w:tcW w:w="548" w:type="pct"/>
                  <w:tcBorders>
                    <w:right w:val="single" w:color="000000" w:sz="4" w:space="0"/>
                  </w:tcBorders>
                  <w:vAlign w:val="center"/>
                </w:tcPr>
                <w:p>
                  <w:pPr>
                    <w:spacing w:line="144" w:lineRule="auto"/>
                    <w:jc w:val="center"/>
                    <w:rPr>
                      <w:color w:val="auto"/>
                    </w:rPr>
                  </w:pPr>
                  <w:r>
                    <w:rPr>
                      <w:color w:val="auto"/>
                      <w:szCs w:val="21"/>
                    </w:rPr>
                    <w:t>—</w:t>
                  </w:r>
                </w:p>
              </w:tc>
              <w:tc>
                <w:tcPr>
                  <w:tcW w:w="1999" w:type="pct"/>
                  <w:gridSpan w:val="2"/>
                  <w:tcBorders>
                    <w:left w:val="single" w:color="000000" w:sz="4" w:space="0"/>
                  </w:tcBorders>
                  <w:vAlign w:val="center"/>
                </w:tcPr>
                <w:p>
                  <w:pPr>
                    <w:spacing w:line="144" w:lineRule="auto"/>
                    <w:jc w:val="center"/>
                    <w:rPr>
                      <w:rFonts w:hint="eastAsia"/>
                      <w:color w:val="auto"/>
                      <w:szCs w:val="21"/>
                    </w:rPr>
                  </w:pPr>
                  <w:r>
                    <w:rPr>
                      <w:rFonts w:hint="eastAsia"/>
                      <w:color w:val="auto"/>
                      <w:szCs w:val="21"/>
                    </w:rPr>
                    <w:t>大旋风分离器以及回收系统+转翼式滤芯过滤器二级回收系统（最大</w:t>
                  </w:r>
                  <w:r>
                    <w:rPr>
                      <w:color w:val="auto"/>
                      <w:szCs w:val="21"/>
                    </w:rPr>
                    <w:t>风量</w:t>
                  </w:r>
                  <w:r>
                    <w:rPr>
                      <w:rFonts w:hint="eastAsia"/>
                      <w:color w:val="auto"/>
                      <w:szCs w:val="21"/>
                    </w:rPr>
                    <w:t>18000</w:t>
                  </w:r>
                  <w:r>
                    <w:rPr>
                      <w:color w:val="auto"/>
                      <w:szCs w:val="21"/>
                    </w:rPr>
                    <w:t>m</w:t>
                  </w:r>
                  <w:r>
                    <w:rPr>
                      <w:color w:val="auto"/>
                      <w:szCs w:val="21"/>
                      <w:vertAlign w:val="superscript"/>
                    </w:rPr>
                    <w:t>3</w:t>
                  </w:r>
                  <w:r>
                    <w:rPr>
                      <w:color w:val="auto"/>
                      <w:szCs w:val="21"/>
                    </w:rPr>
                    <w:t>/h</w:t>
                  </w:r>
                  <w:r>
                    <w:rPr>
                      <w:rFonts w:hint="eastAsia"/>
                      <w:color w:val="auto"/>
                      <w:szCs w:val="21"/>
                    </w:rPr>
                    <w:t>）</w:t>
                  </w:r>
                </w:p>
              </w:tc>
              <w:tc>
                <w:tcPr>
                  <w:tcW w:w="1234" w:type="pct"/>
                  <w:vAlign w:val="center"/>
                </w:tcPr>
                <w:p>
                  <w:pPr>
                    <w:spacing w:line="144" w:lineRule="auto"/>
                    <w:jc w:val="center"/>
                    <w:rPr>
                      <w:color w:val="auto"/>
                      <w:szCs w:val="21"/>
                    </w:rPr>
                  </w:pPr>
                  <w:ins w:id="104" w:author="Sunny" w:date="2022-12-29T14:07:00Z">
                    <w:r>
                      <w:rPr>
                        <w:rFonts w:hint="eastAsia"/>
                        <w:color w:val="auto"/>
                        <w:szCs w:val="21"/>
                      </w:rPr>
                      <w:t>新建15m排气筒DA002排放</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9" w:hRule="atLeast"/>
                <w:jc w:val="center"/>
              </w:trPr>
              <w:tc>
                <w:tcPr>
                  <w:tcW w:w="372" w:type="pct"/>
                  <w:vMerge w:val="continue"/>
                  <w:vAlign w:val="center"/>
                </w:tcPr>
                <w:p>
                  <w:pPr>
                    <w:spacing w:line="144" w:lineRule="auto"/>
                    <w:jc w:val="center"/>
                    <w:rPr>
                      <w:color w:val="auto"/>
                      <w:szCs w:val="21"/>
                    </w:rPr>
                  </w:pPr>
                </w:p>
              </w:tc>
              <w:tc>
                <w:tcPr>
                  <w:tcW w:w="349" w:type="pct"/>
                  <w:vMerge w:val="continue"/>
                  <w:vAlign w:val="center"/>
                </w:tcPr>
                <w:p>
                  <w:pPr>
                    <w:spacing w:line="144" w:lineRule="auto"/>
                    <w:jc w:val="center"/>
                    <w:rPr>
                      <w:color w:val="auto"/>
                      <w:szCs w:val="21"/>
                    </w:rPr>
                  </w:pPr>
                </w:p>
              </w:tc>
              <w:tc>
                <w:tcPr>
                  <w:tcW w:w="495" w:type="pct"/>
                  <w:vAlign w:val="center"/>
                </w:tcPr>
                <w:p>
                  <w:pPr>
                    <w:widowControl/>
                    <w:jc w:val="center"/>
                    <w:textAlignment w:val="center"/>
                    <w:rPr>
                      <w:color w:val="auto"/>
                      <w:szCs w:val="21"/>
                      <w:highlight w:val="yellow"/>
                    </w:rPr>
                  </w:pPr>
                  <w:ins w:id="105" w:author="Sunny" w:date="2022-12-30T08:37:00Z">
                    <w:r>
                      <w:rPr>
                        <w:rFonts w:hint="eastAsia"/>
                        <w:color w:val="auto"/>
                        <w:szCs w:val="21"/>
                      </w:rPr>
                      <w:t>喷粉生产线粉末</w:t>
                    </w:r>
                  </w:ins>
                  <w:r>
                    <w:rPr>
                      <w:rFonts w:hint="eastAsia"/>
                      <w:color w:val="auto"/>
                      <w:szCs w:val="21"/>
                    </w:rPr>
                    <w:t>固化工序有机废气</w:t>
                  </w:r>
                </w:p>
              </w:tc>
              <w:tc>
                <w:tcPr>
                  <w:tcW w:w="548" w:type="pct"/>
                  <w:tcBorders>
                    <w:right w:val="single" w:color="000000" w:sz="4" w:space="0"/>
                  </w:tcBorders>
                  <w:vAlign w:val="center"/>
                </w:tcPr>
                <w:p>
                  <w:pPr>
                    <w:widowControl/>
                    <w:jc w:val="center"/>
                    <w:rPr>
                      <w:color w:val="auto"/>
                      <w:highlight w:val="yellow"/>
                    </w:rPr>
                  </w:pPr>
                  <w:r>
                    <w:rPr>
                      <w:color w:val="auto"/>
                      <w:szCs w:val="21"/>
                    </w:rPr>
                    <w:t>—</w:t>
                  </w:r>
                </w:p>
              </w:tc>
              <w:tc>
                <w:tcPr>
                  <w:tcW w:w="1999" w:type="pct"/>
                  <w:gridSpan w:val="2"/>
                  <w:tcBorders>
                    <w:left w:val="single" w:color="000000" w:sz="4" w:space="0"/>
                  </w:tcBorders>
                  <w:vAlign w:val="center"/>
                </w:tcPr>
                <w:p>
                  <w:pPr>
                    <w:widowControl/>
                    <w:jc w:val="center"/>
                    <w:rPr>
                      <w:color w:val="auto"/>
                      <w:kern w:val="0"/>
                      <w:szCs w:val="21"/>
                      <w:lang w:bidi="ar"/>
                    </w:rPr>
                  </w:pPr>
                  <w:r>
                    <w:rPr>
                      <w:color w:val="auto"/>
                      <w:kern w:val="0"/>
                      <w:szCs w:val="21"/>
                      <w:lang w:bidi="ar"/>
                    </w:rPr>
                    <w:t>二级活性炭废气处理设备一套（风量5000m</w:t>
                  </w:r>
                  <w:r>
                    <w:rPr>
                      <w:color w:val="auto"/>
                      <w:kern w:val="0"/>
                      <w:szCs w:val="21"/>
                      <w:vertAlign w:val="superscript"/>
                      <w:lang w:bidi="ar"/>
                    </w:rPr>
                    <w:t>3</w:t>
                  </w:r>
                  <w:r>
                    <w:rPr>
                      <w:color w:val="auto"/>
                      <w:kern w:val="0"/>
                      <w:szCs w:val="21"/>
                      <w:lang w:bidi="ar"/>
                    </w:rPr>
                    <w:t>/</w:t>
                  </w:r>
                  <w:r>
                    <w:rPr>
                      <w:rFonts w:hint="eastAsia"/>
                      <w:color w:val="auto"/>
                      <w:kern w:val="0"/>
                      <w:szCs w:val="21"/>
                      <w:lang w:bidi="ar"/>
                    </w:rPr>
                    <w:t>h</w:t>
                  </w:r>
                  <w:r>
                    <w:rPr>
                      <w:color w:val="auto"/>
                      <w:kern w:val="0"/>
                      <w:szCs w:val="21"/>
                      <w:lang w:bidi="ar"/>
                    </w:rPr>
                    <w:t>）</w:t>
                  </w:r>
                </w:p>
              </w:tc>
              <w:tc>
                <w:tcPr>
                  <w:tcW w:w="1234" w:type="pct"/>
                  <w:vAlign w:val="center"/>
                </w:tcPr>
                <w:p>
                  <w:pPr>
                    <w:spacing w:line="144" w:lineRule="auto"/>
                    <w:jc w:val="center"/>
                    <w:rPr>
                      <w:color w:val="auto"/>
                      <w:szCs w:val="21"/>
                      <w:highlight w:val="yellow"/>
                    </w:rPr>
                  </w:pPr>
                  <w:r>
                    <w:rPr>
                      <w:color w:val="auto"/>
                      <w:szCs w:val="21"/>
                    </w:rPr>
                    <w:t>新</w:t>
                  </w:r>
                  <w:r>
                    <w:rPr>
                      <w:rFonts w:hint="eastAsia"/>
                      <w:color w:val="auto"/>
                      <w:szCs w:val="21"/>
                    </w:rPr>
                    <w:t>建</w:t>
                  </w:r>
                  <w:r>
                    <w:rPr>
                      <w:color w:val="auto"/>
                      <w:szCs w:val="21"/>
                    </w:rPr>
                    <w:t>15m排气筒DA0</w:t>
                  </w:r>
                  <w:r>
                    <w:rPr>
                      <w:rFonts w:hint="eastAsia"/>
                      <w:color w:val="auto"/>
                      <w:szCs w:val="21"/>
                    </w:rPr>
                    <w:t>0</w:t>
                  </w:r>
                  <w:ins w:id="106" w:author="Sunny" w:date="2022-12-29T14:07:00Z">
                    <w:r>
                      <w:rPr>
                        <w:rFonts w:hint="eastAsia"/>
                        <w:color w:val="auto"/>
                        <w:szCs w:val="21"/>
                      </w:rPr>
                      <w:t>3</w:t>
                    </w:r>
                  </w:ins>
                  <w:r>
                    <w:rPr>
                      <w:color w:val="auto"/>
                      <w:szCs w:val="21"/>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9" w:hRule="atLeast"/>
                <w:jc w:val="center"/>
              </w:trPr>
              <w:tc>
                <w:tcPr>
                  <w:tcW w:w="372" w:type="pct"/>
                  <w:vMerge w:val="continue"/>
                  <w:vAlign w:val="center"/>
                </w:tcPr>
                <w:p>
                  <w:pPr>
                    <w:spacing w:line="144" w:lineRule="auto"/>
                    <w:jc w:val="center"/>
                    <w:rPr>
                      <w:color w:val="auto"/>
                      <w:szCs w:val="21"/>
                    </w:rPr>
                  </w:pPr>
                </w:p>
              </w:tc>
              <w:tc>
                <w:tcPr>
                  <w:tcW w:w="349" w:type="pct"/>
                  <w:vMerge w:val="continue"/>
                  <w:vAlign w:val="center"/>
                </w:tcPr>
                <w:p>
                  <w:pPr>
                    <w:spacing w:line="144" w:lineRule="auto"/>
                    <w:jc w:val="center"/>
                    <w:rPr>
                      <w:color w:val="auto"/>
                      <w:szCs w:val="21"/>
                    </w:rPr>
                  </w:pPr>
                </w:p>
              </w:tc>
              <w:tc>
                <w:tcPr>
                  <w:tcW w:w="495" w:type="pct"/>
                  <w:vAlign w:val="center"/>
                </w:tcPr>
                <w:p>
                  <w:pPr>
                    <w:widowControl/>
                    <w:jc w:val="center"/>
                    <w:textAlignment w:val="center"/>
                    <w:rPr>
                      <w:color w:val="auto"/>
                      <w:szCs w:val="21"/>
                    </w:rPr>
                  </w:pPr>
                  <w:r>
                    <w:rPr>
                      <w:rFonts w:hint="eastAsia"/>
                      <w:color w:val="auto"/>
                      <w:szCs w:val="21"/>
                    </w:rPr>
                    <w:t>天然气低氮燃烧废气</w:t>
                  </w:r>
                </w:p>
              </w:tc>
              <w:tc>
                <w:tcPr>
                  <w:tcW w:w="548" w:type="pct"/>
                  <w:tcBorders>
                    <w:right w:val="single" w:color="000000" w:sz="4" w:space="0"/>
                  </w:tcBorders>
                  <w:vAlign w:val="center"/>
                </w:tcPr>
                <w:p>
                  <w:pPr>
                    <w:widowControl/>
                    <w:jc w:val="center"/>
                    <w:rPr>
                      <w:rFonts w:ascii="宋体" w:hAnsi="宋体" w:cs="宋体"/>
                      <w:color w:val="auto"/>
                      <w:kern w:val="0"/>
                      <w:sz w:val="31"/>
                      <w:szCs w:val="31"/>
                      <w:lang w:bidi="ar"/>
                    </w:rPr>
                  </w:pPr>
                  <w:r>
                    <w:rPr>
                      <w:color w:val="auto"/>
                      <w:szCs w:val="21"/>
                    </w:rPr>
                    <w:t>—</w:t>
                  </w:r>
                </w:p>
              </w:tc>
              <w:tc>
                <w:tcPr>
                  <w:tcW w:w="1999" w:type="pct"/>
                  <w:gridSpan w:val="2"/>
                  <w:tcBorders>
                    <w:left w:val="single" w:color="000000" w:sz="4" w:space="0"/>
                  </w:tcBorders>
                  <w:vAlign w:val="center"/>
                </w:tcPr>
                <w:p>
                  <w:pPr>
                    <w:widowControl/>
                    <w:jc w:val="center"/>
                    <w:rPr>
                      <w:rFonts w:hint="eastAsia"/>
                      <w:color w:val="auto"/>
                      <w:szCs w:val="21"/>
                    </w:rPr>
                  </w:pPr>
                  <w:r>
                    <w:rPr>
                      <w:rFonts w:hint="eastAsia"/>
                      <w:color w:val="auto"/>
                      <w:szCs w:val="21"/>
                    </w:rPr>
                    <w:t>风机风量3000m</w:t>
                  </w:r>
                  <w:r>
                    <w:rPr>
                      <w:rFonts w:hint="eastAsia"/>
                      <w:color w:val="auto"/>
                      <w:szCs w:val="21"/>
                      <w:vertAlign w:val="superscript"/>
                    </w:rPr>
                    <w:t>3</w:t>
                  </w:r>
                  <w:r>
                    <w:rPr>
                      <w:rFonts w:hint="eastAsia"/>
                      <w:color w:val="auto"/>
                      <w:szCs w:val="21"/>
                    </w:rPr>
                    <w:t>/h</w:t>
                  </w:r>
                </w:p>
              </w:tc>
              <w:tc>
                <w:tcPr>
                  <w:tcW w:w="1234" w:type="pct"/>
                  <w:vAlign w:val="center"/>
                </w:tcPr>
                <w:p>
                  <w:pPr>
                    <w:spacing w:line="144" w:lineRule="auto"/>
                    <w:jc w:val="center"/>
                    <w:rPr>
                      <w:color w:val="auto"/>
                      <w:szCs w:val="21"/>
                    </w:rPr>
                  </w:pPr>
                  <w:r>
                    <w:rPr>
                      <w:color w:val="auto"/>
                      <w:szCs w:val="21"/>
                    </w:rPr>
                    <w:t>新</w:t>
                  </w:r>
                  <w:r>
                    <w:rPr>
                      <w:rFonts w:hint="eastAsia"/>
                      <w:color w:val="auto"/>
                      <w:szCs w:val="21"/>
                    </w:rPr>
                    <w:t>建</w:t>
                  </w:r>
                  <w:r>
                    <w:rPr>
                      <w:color w:val="auto"/>
                      <w:szCs w:val="21"/>
                    </w:rPr>
                    <w:t>15m排气筒DA0</w:t>
                  </w:r>
                  <w:r>
                    <w:rPr>
                      <w:rFonts w:hint="eastAsia"/>
                      <w:color w:val="auto"/>
                      <w:szCs w:val="21"/>
                    </w:rPr>
                    <w:t>01</w:t>
                  </w:r>
                  <w:r>
                    <w:rPr>
                      <w:color w:val="auto"/>
                      <w:szCs w:val="21"/>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29" w:hRule="atLeast"/>
                <w:jc w:val="center"/>
              </w:trPr>
              <w:tc>
                <w:tcPr>
                  <w:tcW w:w="372" w:type="pct"/>
                  <w:vMerge w:val="continue"/>
                  <w:vAlign w:val="center"/>
                </w:tcPr>
                <w:p>
                  <w:pPr>
                    <w:spacing w:line="144" w:lineRule="auto"/>
                    <w:jc w:val="center"/>
                    <w:rPr>
                      <w:color w:val="auto"/>
                      <w:szCs w:val="21"/>
                    </w:rPr>
                  </w:pPr>
                </w:p>
              </w:tc>
              <w:tc>
                <w:tcPr>
                  <w:tcW w:w="349" w:type="pct"/>
                  <w:vMerge w:val="continue"/>
                  <w:vAlign w:val="center"/>
                </w:tcPr>
                <w:p>
                  <w:pPr>
                    <w:spacing w:line="144" w:lineRule="auto"/>
                    <w:jc w:val="center"/>
                    <w:rPr>
                      <w:color w:val="auto"/>
                      <w:szCs w:val="21"/>
                    </w:rPr>
                  </w:pPr>
                </w:p>
              </w:tc>
              <w:tc>
                <w:tcPr>
                  <w:tcW w:w="495" w:type="pct"/>
                  <w:vAlign w:val="center"/>
                </w:tcPr>
                <w:p>
                  <w:pPr>
                    <w:widowControl/>
                    <w:jc w:val="center"/>
                    <w:textAlignment w:val="center"/>
                    <w:rPr>
                      <w:color w:val="auto"/>
                      <w:szCs w:val="21"/>
                    </w:rPr>
                  </w:pPr>
                  <w:r>
                    <w:rPr>
                      <w:rFonts w:hint="eastAsia"/>
                      <w:color w:val="auto"/>
                      <w:szCs w:val="21"/>
                    </w:rPr>
                    <w:t>危废仓库有机废气</w:t>
                  </w:r>
                </w:p>
              </w:tc>
              <w:tc>
                <w:tcPr>
                  <w:tcW w:w="548" w:type="pct"/>
                  <w:tcBorders>
                    <w:right w:val="single" w:color="000000" w:sz="4" w:space="0"/>
                  </w:tcBorders>
                  <w:vAlign w:val="center"/>
                </w:tcPr>
                <w:p>
                  <w:pPr>
                    <w:spacing w:line="144" w:lineRule="auto"/>
                    <w:jc w:val="center"/>
                    <w:rPr>
                      <w:color w:val="auto"/>
                    </w:rPr>
                  </w:pPr>
                  <w:r>
                    <w:rPr>
                      <w:color w:val="auto"/>
                      <w:szCs w:val="21"/>
                    </w:rPr>
                    <w:t>—</w:t>
                  </w:r>
                </w:p>
              </w:tc>
              <w:tc>
                <w:tcPr>
                  <w:tcW w:w="1999" w:type="pct"/>
                  <w:gridSpan w:val="2"/>
                  <w:tcBorders>
                    <w:left w:val="single" w:color="000000" w:sz="4" w:space="0"/>
                  </w:tcBorders>
                  <w:vAlign w:val="center"/>
                </w:tcPr>
                <w:p>
                  <w:pPr>
                    <w:spacing w:line="144" w:lineRule="auto"/>
                    <w:jc w:val="center"/>
                    <w:rPr>
                      <w:color w:val="auto"/>
                      <w:kern w:val="0"/>
                      <w:szCs w:val="21"/>
                      <w:lang w:bidi="ar"/>
                    </w:rPr>
                  </w:pPr>
                  <w:r>
                    <w:rPr>
                      <w:color w:val="auto"/>
                      <w:kern w:val="0"/>
                      <w:szCs w:val="21"/>
                      <w:lang w:bidi="ar"/>
                    </w:rPr>
                    <w:t>二级活性炭废气处理设备一套（风量</w:t>
                  </w:r>
                  <w:r>
                    <w:rPr>
                      <w:rFonts w:hint="eastAsia"/>
                      <w:color w:val="auto"/>
                      <w:kern w:val="0"/>
                      <w:szCs w:val="21"/>
                      <w:lang w:bidi="ar"/>
                    </w:rPr>
                    <w:t>2</w:t>
                  </w:r>
                  <w:r>
                    <w:rPr>
                      <w:color w:val="auto"/>
                      <w:kern w:val="0"/>
                      <w:szCs w:val="21"/>
                      <w:lang w:bidi="ar"/>
                    </w:rPr>
                    <w:t>000m</w:t>
                  </w:r>
                  <w:r>
                    <w:rPr>
                      <w:color w:val="auto"/>
                      <w:kern w:val="0"/>
                      <w:szCs w:val="21"/>
                      <w:vertAlign w:val="superscript"/>
                      <w:lang w:bidi="ar"/>
                    </w:rPr>
                    <w:t>3</w:t>
                  </w:r>
                  <w:r>
                    <w:rPr>
                      <w:color w:val="auto"/>
                      <w:kern w:val="0"/>
                      <w:szCs w:val="21"/>
                      <w:lang w:bidi="ar"/>
                    </w:rPr>
                    <w:t>/</w:t>
                  </w:r>
                  <w:r>
                    <w:rPr>
                      <w:rFonts w:hint="eastAsia"/>
                      <w:color w:val="auto"/>
                      <w:kern w:val="0"/>
                      <w:szCs w:val="21"/>
                      <w:lang w:bidi="ar"/>
                    </w:rPr>
                    <w:t>h</w:t>
                  </w:r>
                  <w:r>
                    <w:rPr>
                      <w:color w:val="auto"/>
                      <w:kern w:val="0"/>
                      <w:szCs w:val="21"/>
                      <w:lang w:bidi="ar"/>
                    </w:rPr>
                    <w:t>）</w:t>
                  </w:r>
                </w:p>
              </w:tc>
              <w:tc>
                <w:tcPr>
                  <w:tcW w:w="1234" w:type="pct"/>
                  <w:vAlign w:val="center"/>
                </w:tcPr>
                <w:p>
                  <w:pPr>
                    <w:spacing w:line="144" w:lineRule="auto"/>
                    <w:jc w:val="center"/>
                    <w:rPr>
                      <w:color w:val="auto"/>
                      <w:szCs w:val="21"/>
                    </w:rPr>
                  </w:pPr>
                  <w:r>
                    <w:rPr>
                      <w:rFonts w:hint="eastAsia"/>
                      <w:color w:val="auto"/>
                      <w:szCs w:val="21"/>
                    </w:rPr>
                    <w:t>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continue"/>
                  <w:vAlign w:val="center"/>
                </w:tcPr>
                <w:p>
                  <w:pPr>
                    <w:spacing w:line="144" w:lineRule="auto"/>
                    <w:jc w:val="center"/>
                    <w:rPr>
                      <w:color w:val="auto"/>
                      <w:szCs w:val="21"/>
                    </w:rPr>
                  </w:pPr>
                </w:p>
              </w:tc>
              <w:tc>
                <w:tcPr>
                  <w:tcW w:w="349" w:type="pct"/>
                  <w:vMerge w:val="restart"/>
                  <w:vAlign w:val="center"/>
                </w:tcPr>
                <w:p>
                  <w:pPr>
                    <w:spacing w:line="144" w:lineRule="auto"/>
                    <w:jc w:val="center"/>
                    <w:rPr>
                      <w:color w:val="auto"/>
                      <w:szCs w:val="21"/>
                    </w:rPr>
                  </w:pPr>
                  <w:r>
                    <w:rPr>
                      <w:color w:val="auto"/>
                      <w:szCs w:val="21"/>
                    </w:rPr>
                    <w:t>废水处理</w:t>
                  </w:r>
                </w:p>
              </w:tc>
              <w:tc>
                <w:tcPr>
                  <w:tcW w:w="495" w:type="pct"/>
                  <w:vAlign w:val="center"/>
                </w:tcPr>
                <w:p>
                  <w:pPr>
                    <w:spacing w:line="144" w:lineRule="auto"/>
                    <w:jc w:val="center"/>
                    <w:rPr>
                      <w:color w:val="auto"/>
                      <w:szCs w:val="21"/>
                    </w:rPr>
                  </w:pPr>
                  <w:r>
                    <w:rPr>
                      <w:rFonts w:hint="eastAsia"/>
                      <w:color w:val="auto"/>
                      <w:szCs w:val="21"/>
                    </w:rPr>
                    <w:t>生活污水</w:t>
                  </w:r>
                </w:p>
              </w:tc>
              <w:tc>
                <w:tcPr>
                  <w:tcW w:w="548" w:type="pct"/>
                  <w:tcBorders>
                    <w:right w:val="single" w:color="000000" w:sz="4" w:space="0"/>
                  </w:tcBorders>
                  <w:vAlign w:val="center"/>
                </w:tcPr>
                <w:p>
                  <w:pPr>
                    <w:spacing w:line="144" w:lineRule="auto"/>
                    <w:jc w:val="center"/>
                    <w:rPr>
                      <w:rFonts w:hint="default" w:eastAsia="宋体"/>
                      <w:color w:val="auto"/>
                      <w:szCs w:val="21"/>
                      <w:lang w:val="en-US" w:eastAsia="zh-CN"/>
                    </w:rPr>
                  </w:pPr>
                  <w:r>
                    <w:rPr>
                      <w:rFonts w:hint="eastAsia"/>
                      <w:color w:val="auto"/>
                      <w:szCs w:val="21"/>
                      <w:lang w:val="en-US" w:eastAsia="zh-CN"/>
                    </w:rPr>
                    <w:t>化粪池10</w:t>
                  </w:r>
                  <w:r>
                    <w:rPr>
                      <w:rFonts w:hint="eastAsia"/>
                      <w:color w:val="auto"/>
                      <w:szCs w:val="21"/>
                    </w:rPr>
                    <w:t>m</w:t>
                  </w:r>
                  <w:r>
                    <w:rPr>
                      <w:rFonts w:hint="eastAsia"/>
                      <w:color w:val="auto"/>
                      <w:szCs w:val="21"/>
                      <w:vertAlign w:val="superscript"/>
                    </w:rPr>
                    <w:t>3</w:t>
                  </w:r>
                </w:p>
              </w:tc>
              <w:tc>
                <w:tcPr>
                  <w:tcW w:w="1503" w:type="pct"/>
                  <w:tcBorders>
                    <w:left w:val="single" w:color="000000" w:sz="4" w:space="0"/>
                    <w:right w:val="single" w:color="000000" w:sz="4" w:space="0"/>
                  </w:tcBorders>
                  <w:vAlign w:val="center"/>
                </w:tcPr>
                <w:p>
                  <w:pPr>
                    <w:spacing w:line="144" w:lineRule="auto"/>
                    <w:jc w:val="center"/>
                    <w:rPr>
                      <w:color w:val="auto"/>
                      <w:szCs w:val="21"/>
                    </w:rPr>
                  </w:pPr>
                  <w:r>
                    <w:rPr>
                      <w:color w:val="auto"/>
                      <w:szCs w:val="21"/>
                    </w:rPr>
                    <w:t>化粪池</w:t>
                  </w:r>
                  <w:r>
                    <w:rPr>
                      <w:rFonts w:hint="eastAsia"/>
                      <w:color w:val="auto"/>
                      <w:szCs w:val="21"/>
                    </w:rPr>
                    <w:t>3</w:t>
                  </w:r>
                  <w:r>
                    <w:rPr>
                      <w:color w:val="auto"/>
                      <w:szCs w:val="21"/>
                    </w:rPr>
                    <w:t>座，</w:t>
                  </w:r>
                  <w:r>
                    <w:rPr>
                      <w:rFonts w:hint="eastAsia"/>
                      <w:color w:val="auto"/>
                      <w:szCs w:val="21"/>
                    </w:rPr>
                    <w:t>车间一化粪池20m</w:t>
                  </w:r>
                  <w:r>
                    <w:rPr>
                      <w:rFonts w:hint="eastAsia"/>
                      <w:color w:val="auto"/>
                      <w:szCs w:val="21"/>
                      <w:vertAlign w:val="superscript"/>
                    </w:rPr>
                    <w:t>3</w:t>
                  </w:r>
                  <w:r>
                    <w:rPr>
                      <w:color w:val="auto"/>
                      <w:szCs w:val="21"/>
                    </w:rPr>
                    <w:t xml:space="preserve"> </w:t>
                  </w:r>
                  <w:r>
                    <w:rPr>
                      <w:rFonts w:hint="eastAsia"/>
                      <w:color w:val="auto"/>
                      <w:szCs w:val="21"/>
                    </w:rPr>
                    <w:t>，车间二化粪池20m</w:t>
                  </w:r>
                  <w:r>
                    <w:rPr>
                      <w:rFonts w:hint="eastAsia"/>
                      <w:color w:val="auto"/>
                      <w:szCs w:val="21"/>
                      <w:vertAlign w:val="superscript"/>
                    </w:rPr>
                    <w:t>3</w:t>
                  </w:r>
                  <w:r>
                    <w:rPr>
                      <w:rFonts w:hint="eastAsia"/>
                      <w:color w:val="auto"/>
                      <w:szCs w:val="21"/>
                    </w:rPr>
                    <w:t>，车间三化粪池15m</w:t>
                  </w:r>
                  <w:r>
                    <w:rPr>
                      <w:rFonts w:hint="eastAsia"/>
                      <w:color w:val="auto"/>
                      <w:szCs w:val="21"/>
                      <w:vertAlign w:val="superscript"/>
                    </w:rPr>
                    <w:t>3</w:t>
                  </w:r>
                </w:p>
              </w:tc>
              <w:tc>
                <w:tcPr>
                  <w:tcW w:w="495" w:type="pct"/>
                  <w:tcBorders>
                    <w:left w:val="single" w:color="000000" w:sz="4" w:space="0"/>
                  </w:tcBorders>
                  <w:vAlign w:val="center"/>
                </w:tcPr>
                <w:p>
                  <w:pPr>
                    <w:spacing w:line="144" w:lineRule="auto"/>
                    <w:jc w:val="center"/>
                    <w:rPr>
                      <w:rFonts w:hint="default" w:eastAsia="宋体"/>
                      <w:color w:val="auto"/>
                      <w:szCs w:val="21"/>
                      <w:lang w:val="en-US" w:eastAsia="zh-CN"/>
                    </w:rPr>
                  </w:pPr>
                  <w:r>
                    <w:rPr>
                      <w:rFonts w:hint="eastAsia"/>
                      <w:color w:val="auto"/>
                      <w:szCs w:val="21"/>
                      <w:lang w:val="en-US" w:eastAsia="zh-CN"/>
                    </w:rPr>
                    <w:t>+45</w:t>
                  </w:r>
                  <w:r>
                    <w:rPr>
                      <w:rFonts w:hint="eastAsia"/>
                      <w:color w:val="auto"/>
                      <w:szCs w:val="21"/>
                    </w:rPr>
                    <w:t>m</w:t>
                  </w:r>
                  <w:r>
                    <w:rPr>
                      <w:rFonts w:hint="eastAsia"/>
                      <w:color w:val="auto"/>
                      <w:szCs w:val="21"/>
                      <w:vertAlign w:val="superscript"/>
                    </w:rPr>
                    <w:t>3</w:t>
                  </w:r>
                </w:p>
              </w:tc>
              <w:tc>
                <w:tcPr>
                  <w:tcW w:w="1234" w:type="pct"/>
                  <w:vAlign w:val="center"/>
                </w:tcPr>
                <w:p>
                  <w:pPr>
                    <w:spacing w:line="144" w:lineRule="auto"/>
                    <w:jc w:val="center"/>
                    <w:rPr>
                      <w:color w:val="auto"/>
                      <w:szCs w:val="21"/>
                    </w:rPr>
                  </w:pPr>
                  <w:r>
                    <w:rPr>
                      <w:color w:val="auto"/>
                      <w:szCs w:val="21"/>
                    </w:rPr>
                    <w:t>生活污水</w:t>
                  </w:r>
                  <w:r>
                    <w:rPr>
                      <w:rFonts w:hint="eastAsia"/>
                      <w:color w:val="auto"/>
                      <w:szCs w:val="21"/>
                    </w:rPr>
                    <w:t>依托</w:t>
                  </w:r>
                  <w:r>
                    <w:rPr>
                      <w:rFonts w:hint="eastAsia"/>
                      <w:color w:val="auto"/>
                      <w:kern w:val="0"/>
                      <w:szCs w:val="21"/>
                      <w:lang w:val="en-US" w:eastAsia="zh-CN" w:bidi="ar"/>
                    </w:rPr>
                    <w:t>租用厂房</w:t>
                  </w:r>
                  <w:r>
                    <w:rPr>
                      <w:rFonts w:hint="eastAsia"/>
                      <w:color w:val="auto"/>
                      <w:kern w:val="0"/>
                      <w:szCs w:val="21"/>
                      <w:lang w:bidi="ar"/>
                    </w:rPr>
                    <w:t>已建化粪池处理后</w:t>
                  </w:r>
                  <w:r>
                    <w:rPr>
                      <w:color w:val="auto"/>
                      <w:szCs w:val="21"/>
                    </w:rPr>
                    <w:t>接管至梅村水处理厂，尾水排放至梅花港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90" w:hRule="atLeast"/>
                <w:jc w:val="center"/>
              </w:trPr>
              <w:tc>
                <w:tcPr>
                  <w:tcW w:w="372" w:type="pct"/>
                  <w:vMerge w:val="continue"/>
                  <w:vAlign w:val="center"/>
                </w:tcPr>
                <w:p>
                  <w:pPr>
                    <w:spacing w:line="144" w:lineRule="auto"/>
                    <w:jc w:val="center"/>
                    <w:rPr>
                      <w:color w:val="auto"/>
                      <w:szCs w:val="21"/>
                    </w:rPr>
                  </w:pPr>
                </w:p>
              </w:tc>
              <w:tc>
                <w:tcPr>
                  <w:tcW w:w="349" w:type="pct"/>
                  <w:vMerge w:val="continue"/>
                  <w:vAlign w:val="center"/>
                </w:tcPr>
                <w:p>
                  <w:pPr>
                    <w:spacing w:line="144" w:lineRule="auto"/>
                    <w:jc w:val="center"/>
                    <w:rPr>
                      <w:color w:val="auto"/>
                      <w:szCs w:val="21"/>
                    </w:rPr>
                  </w:pPr>
                </w:p>
              </w:tc>
              <w:tc>
                <w:tcPr>
                  <w:tcW w:w="495" w:type="pct"/>
                  <w:vAlign w:val="center"/>
                </w:tcPr>
                <w:p>
                  <w:pPr>
                    <w:adjustRightInd w:val="0"/>
                    <w:snapToGrid w:val="0"/>
                    <w:jc w:val="center"/>
                    <w:rPr>
                      <w:color w:val="auto"/>
                      <w:szCs w:val="21"/>
                    </w:rPr>
                  </w:pPr>
                  <w:r>
                    <w:rPr>
                      <w:rFonts w:hint="eastAsia"/>
                      <w:color w:val="auto"/>
                      <w:szCs w:val="21"/>
                    </w:rPr>
                    <w:t>生产废水</w:t>
                  </w:r>
                </w:p>
              </w:tc>
              <w:tc>
                <w:tcPr>
                  <w:tcW w:w="548" w:type="pct"/>
                  <w:tcBorders>
                    <w:right w:val="single" w:color="000000" w:sz="4" w:space="0"/>
                  </w:tcBorders>
                  <w:vAlign w:val="center"/>
                </w:tcPr>
                <w:p>
                  <w:pPr>
                    <w:adjustRightInd w:val="0"/>
                    <w:snapToGrid w:val="0"/>
                    <w:jc w:val="center"/>
                    <w:rPr>
                      <w:color w:val="auto"/>
                      <w:kern w:val="0"/>
                      <w:szCs w:val="21"/>
                    </w:rPr>
                  </w:pPr>
                  <w:r>
                    <w:rPr>
                      <w:color w:val="auto"/>
                      <w:szCs w:val="21"/>
                    </w:rPr>
                    <w:t>—</w:t>
                  </w:r>
                </w:p>
              </w:tc>
              <w:tc>
                <w:tcPr>
                  <w:tcW w:w="1999" w:type="pct"/>
                  <w:gridSpan w:val="2"/>
                  <w:tcBorders>
                    <w:left w:val="single" w:color="000000" w:sz="4" w:space="0"/>
                  </w:tcBorders>
                  <w:vAlign w:val="center"/>
                </w:tcPr>
                <w:p>
                  <w:pPr>
                    <w:adjustRightInd w:val="0"/>
                    <w:snapToGrid w:val="0"/>
                    <w:jc w:val="center"/>
                    <w:rPr>
                      <w:color w:val="auto"/>
                      <w:kern w:val="0"/>
                      <w:szCs w:val="21"/>
                      <w:lang w:bidi="ar"/>
                    </w:rPr>
                  </w:pPr>
                  <w:r>
                    <w:rPr>
                      <w:rFonts w:hint="eastAsia"/>
                      <w:color w:val="auto"/>
                      <w:kern w:val="0"/>
                      <w:szCs w:val="21"/>
                      <w:lang w:bidi="ar"/>
                    </w:rPr>
                    <w:t>处理能力2m</w:t>
                  </w:r>
                  <w:r>
                    <w:rPr>
                      <w:rFonts w:hint="eastAsia"/>
                      <w:color w:val="auto"/>
                      <w:kern w:val="0"/>
                      <w:szCs w:val="21"/>
                      <w:vertAlign w:val="superscript"/>
                      <w:lang w:bidi="ar"/>
                    </w:rPr>
                    <w:t>3</w:t>
                  </w:r>
                  <w:r>
                    <w:rPr>
                      <w:rFonts w:hint="eastAsia"/>
                      <w:color w:val="auto"/>
                      <w:kern w:val="0"/>
                      <w:szCs w:val="21"/>
                      <w:lang w:bidi="ar"/>
                    </w:rPr>
                    <w:t>/h“</w:t>
                  </w:r>
                  <w:r>
                    <w:rPr>
                      <w:rFonts w:hint="eastAsia"/>
                      <w:color w:val="auto"/>
                      <w:szCs w:val="21"/>
                    </w:rPr>
                    <w:t>隔油+混凝气浮+砂滤+二级反渗透+浓缩液蒸发</w:t>
                  </w:r>
                  <w:r>
                    <w:rPr>
                      <w:rFonts w:hint="eastAsia"/>
                      <w:color w:val="auto"/>
                      <w:kern w:val="0"/>
                      <w:szCs w:val="21"/>
                      <w:lang w:bidi="ar"/>
                    </w:rPr>
                    <w:t>”污水处理设施</w:t>
                  </w:r>
                  <w:r>
                    <w:rPr>
                      <w:color w:val="auto"/>
                      <w:kern w:val="0"/>
                      <w:szCs w:val="21"/>
                      <w:lang w:bidi="ar"/>
                    </w:rPr>
                    <w:t>1 套</w:t>
                  </w:r>
                </w:p>
              </w:tc>
              <w:tc>
                <w:tcPr>
                  <w:tcW w:w="1234" w:type="pct"/>
                  <w:vAlign w:val="center"/>
                </w:tcPr>
                <w:p>
                  <w:pPr>
                    <w:spacing w:line="144" w:lineRule="auto"/>
                    <w:jc w:val="center"/>
                    <w:rPr>
                      <w:color w:val="auto"/>
                      <w:szCs w:val="21"/>
                    </w:rPr>
                  </w:pPr>
                  <w:r>
                    <w:rPr>
                      <w:rFonts w:hint="eastAsia"/>
                      <w:color w:val="auto"/>
                      <w:szCs w:val="21"/>
                    </w:rPr>
                    <w:t>生产废水</w:t>
                  </w:r>
                  <w:r>
                    <w:rPr>
                      <w:color w:val="auto"/>
                      <w:szCs w:val="21"/>
                    </w:rPr>
                    <w:t>经收集后</w:t>
                  </w:r>
                  <w:r>
                    <w:rPr>
                      <w:rFonts w:hint="eastAsia"/>
                      <w:color w:val="auto"/>
                      <w:szCs w:val="21"/>
                    </w:rPr>
                    <w:t>进入1套</w:t>
                  </w:r>
                  <w:r>
                    <w:rPr>
                      <w:color w:val="auto"/>
                      <w:kern w:val="0"/>
                      <w:szCs w:val="21"/>
                      <w:lang w:bidi="ar"/>
                    </w:rPr>
                    <w:t>2</w:t>
                  </w:r>
                  <w:r>
                    <w:rPr>
                      <w:rFonts w:hint="eastAsia"/>
                      <w:color w:val="auto"/>
                      <w:kern w:val="0"/>
                      <w:szCs w:val="21"/>
                      <w:lang w:bidi="ar"/>
                    </w:rPr>
                    <w:t>t/h</w:t>
                  </w:r>
                  <w:r>
                    <w:rPr>
                      <w:color w:val="auto"/>
                      <w:kern w:val="0"/>
                      <w:szCs w:val="21"/>
                      <w:lang w:bidi="ar"/>
                    </w:rPr>
                    <w:t xml:space="preserve"> 废水处理回用装置</w:t>
                  </w:r>
                  <w:ins w:id="107" w:author="Sunny" w:date="2022-12-29T14:50:00Z">
                    <w:r>
                      <w:rPr>
                        <w:rFonts w:hint="eastAsia"/>
                        <w:color w:val="auto"/>
                        <w:kern w:val="0"/>
                        <w:szCs w:val="21"/>
                        <w:lang w:bidi="ar"/>
                      </w:rPr>
                      <w:t>（浓缩液蒸发装置1套500kg/h）</w:t>
                    </w:r>
                  </w:ins>
                  <w:r>
                    <w:rPr>
                      <w:rFonts w:hint="eastAsia"/>
                      <w:color w:val="auto"/>
                      <w:kern w:val="0"/>
                      <w:szCs w:val="21"/>
                      <w:lang w:bidi="ar"/>
                    </w:rPr>
                    <w:t>回用，不外排</w:t>
                  </w:r>
                  <w:ins w:id="108" w:author="Sunny" w:date="2022-12-28T08:36:00Z">
                    <w:r>
                      <w:rPr>
                        <w:rFonts w:hint="eastAsia"/>
                        <w:color w:val="auto"/>
                        <w:kern w:val="0"/>
                        <w:szCs w:val="21"/>
                        <w:lang w:bidi="ar"/>
                      </w:rPr>
                      <w:t>。</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continue"/>
                  <w:vAlign w:val="center"/>
                </w:tcPr>
                <w:p>
                  <w:pPr>
                    <w:spacing w:line="144" w:lineRule="auto"/>
                    <w:jc w:val="center"/>
                    <w:rPr>
                      <w:color w:val="auto"/>
                      <w:szCs w:val="21"/>
                    </w:rPr>
                  </w:pPr>
                </w:p>
              </w:tc>
              <w:tc>
                <w:tcPr>
                  <w:tcW w:w="845" w:type="pct"/>
                  <w:gridSpan w:val="2"/>
                  <w:vAlign w:val="center"/>
                </w:tcPr>
                <w:p>
                  <w:pPr>
                    <w:spacing w:line="144" w:lineRule="auto"/>
                    <w:jc w:val="center"/>
                    <w:rPr>
                      <w:color w:val="auto"/>
                      <w:szCs w:val="21"/>
                    </w:rPr>
                  </w:pPr>
                  <w:r>
                    <w:rPr>
                      <w:color w:val="auto"/>
                      <w:szCs w:val="21"/>
                    </w:rPr>
                    <w:t>噪声</w:t>
                  </w:r>
                </w:p>
              </w:tc>
              <w:tc>
                <w:tcPr>
                  <w:tcW w:w="2547" w:type="pct"/>
                  <w:gridSpan w:val="3"/>
                  <w:vAlign w:val="center"/>
                </w:tcPr>
                <w:p>
                  <w:pPr>
                    <w:spacing w:line="144" w:lineRule="auto"/>
                    <w:jc w:val="center"/>
                    <w:rPr>
                      <w:rFonts w:hint="eastAsia"/>
                      <w:color w:val="auto"/>
                      <w:szCs w:val="21"/>
                    </w:rPr>
                  </w:pPr>
                  <w:r>
                    <w:rPr>
                      <w:rFonts w:hint="eastAsia"/>
                      <w:color w:val="auto"/>
                      <w:szCs w:val="21"/>
                    </w:rPr>
                    <w:t>合理布局、厂房隔声；安装隔声罩；距离衰减</w:t>
                  </w:r>
                </w:p>
              </w:tc>
              <w:tc>
                <w:tcPr>
                  <w:tcW w:w="1234" w:type="pct"/>
                  <w:vAlign w:val="center"/>
                </w:tcPr>
                <w:p>
                  <w:pPr>
                    <w:spacing w:line="144" w:lineRule="auto"/>
                    <w:jc w:val="center"/>
                    <w:rPr>
                      <w:color w:val="auto"/>
                      <w:szCs w:val="21"/>
                    </w:rPr>
                  </w:pPr>
                  <w:r>
                    <w:rPr>
                      <w:color w:val="auto"/>
                      <w:szCs w:val="21"/>
                    </w:rPr>
                    <w:t>厂界达标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continue"/>
                  <w:vAlign w:val="center"/>
                </w:tcPr>
                <w:p>
                  <w:pPr>
                    <w:spacing w:line="144" w:lineRule="auto"/>
                    <w:jc w:val="center"/>
                    <w:rPr>
                      <w:color w:val="auto"/>
                      <w:szCs w:val="21"/>
                    </w:rPr>
                  </w:pPr>
                </w:p>
              </w:tc>
              <w:tc>
                <w:tcPr>
                  <w:tcW w:w="349" w:type="pct"/>
                  <w:vMerge w:val="restart"/>
                  <w:vAlign w:val="center"/>
                </w:tcPr>
                <w:p>
                  <w:pPr>
                    <w:spacing w:line="144" w:lineRule="auto"/>
                    <w:jc w:val="center"/>
                    <w:rPr>
                      <w:color w:val="auto"/>
                      <w:szCs w:val="21"/>
                    </w:rPr>
                  </w:pPr>
                  <w:r>
                    <w:rPr>
                      <w:color w:val="auto"/>
                      <w:szCs w:val="21"/>
                    </w:rPr>
                    <w:t>固废</w:t>
                  </w:r>
                </w:p>
              </w:tc>
              <w:tc>
                <w:tcPr>
                  <w:tcW w:w="495" w:type="pct"/>
                  <w:vAlign w:val="center"/>
                </w:tcPr>
                <w:p>
                  <w:pPr>
                    <w:spacing w:line="144" w:lineRule="auto"/>
                    <w:jc w:val="center"/>
                    <w:rPr>
                      <w:color w:val="auto"/>
                      <w:szCs w:val="21"/>
                    </w:rPr>
                  </w:pPr>
                  <w:r>
                    <w:rPr>
                      <w:color w:val="auto"/>
                      <w:szCs w:val="21"/>
                    </w:rPr>
                    <w:t>一般固废堆场</w:t>
                  </w:r>
                </w:p>
              </w:tc>
              <w:tc>
                <w:tcPr>
                  <w:tcW w:w="548" w:type="pct"/>
                  <w:tcBorders>
                    <w:right w:val="single" w:color="000000" w:sz="4" w:space="0"/>
                  </w:tcBorders>
                  <w:vAlign w:val="center"/>
                </w:tcPr>
                <w:p>
                  <w:pPr>
                    <w:spacing w:line="144" w:lineRule="auto"/>
                    <w:jc w:val="center"/>
                    <w:rPr>
                      <w:rFonts w:hint="default" w:eastAsia="宋体"/>
                      <w:color w:val="auto"/>
                      <w:szCs w:val="21"/>
                      <w:lang w:val="en-US" w:eastAsia="zh-CN"/>
                    </w:rPr>
                  </w:pPr>
                  <w:r>
                    <w:rPr>
                      <w:rFonts w:hint="eastAsia"/>
                      <w:color w:val="auto"/>
                      <w:szCs w:val="21"/>
                      <w:lang w:val="en-US" w:eastAsia="zh-CN"/>
                    </w:rPr>
                    <w:t>30</w:t>
                  </w:r>
                  <w:r>
                    <w:rPr>
                      <w:color w:val="auto"/>
                      <w:szCs w:val="21"/>
                    </w:rPr>
                    <w:t>m</w:t>
                  </w:r>
                  <w:r>
                    <w:rPr>
                      <w:color w:val="auto"/>
                      <w:szCs w:val="21"/>
                      <w:vertAlign w:val="superscript"/>
                    </w:rPr>
                    <w:t>2</w:t>
                  </w:r>
                </w:p>
              </w:tc>
              <w:tc>
                <w:tcPr>
                  <w:tcW w:w="1503" w:type="pct"/>
                  <w:tcBorders>
                    <w:left w:val="single" w:color="000000" w:sz="4" w:space="0"/>
                    <w:right w:val="single" w:color="000000" w:sz="4" w:space="0"/>
                  </w:tcBorders>
                  <w:vAlign w:val="center"/>
                </w:tcPr>
                <w:p>
                  <w:pPr>
                    <w:spacing w:line="144" w:lineRule="auto"/>
                    <w:jc w:val="center"/>
                    <w:rPr>
                      <w:rFonts w:hint="eastAsia"/>
                      <w:color w:val="auto"/>
                      <w:szCs w:val="21"/>
                    </w:rPr>
                  </w:pPr>
                  <w:r>
                    <w:rPr>
                      <w:rFonts w:hint="eastAsia"/>
                      <w:color w:val="auto"/>
                      <w:szCs w:val="21"/>
                    </w:rPr>
                    <w:t>300</w:t>
                  </w:r>
                  <w:r>
                    <w:rPr>
                      <w:color w:val="auto"/>
                      <w:szCs w:val="21"/>
                    </w:rPr>
                    <w:t>m</w:t>
                  </w:r>
                  <w:r>
                    <w:rPr>
                      <w:color w:val="auto"/>
                      <w:szCs w:val="21"/>
                      <w:vertAlign w:val="superscript"/>
                    </w:rPr>
                    <w:t>2</w:t>
                  </w:r>
                </w:p>
              </w:tc>
              <w:tc>
                <w:tcPr>
                  <w:tcW w:w="495" w:type="pct"/>
                  <w:tcBorders>
                    <w:left w:val="single" w:color="000000" w:sz="4" w:space="0"/>
                  </w:tcBorders>
                  <w:vAlign w:val="center"/>
                </w:tcPr>
                <w:p>
                  <w:pPr>
                    <w:spacing w:line="144" w:lineRule="auto"/>
                    <w:jc w:val="center"/>
                    <w:rPr>
                      <w:rFonts w:hint="default" w:eastAsia="宋体"/>
                      <w:color w:val="auto"/>
                      <w:szCs w:val="21"/>
                      <w:lang w:val="en-US" w:eastAsia="zh-CN"/>
                    </w:rPr>
                  </w:pPr>
                  <w:r>
                    <w:rPr>
                      <w:rFonts w:hint="eastAsia"/>
                      <w:color w:val="auto"/>
                      <w:szCs w:val="21"/>
                      <w:lang w:val="en-US" w:eastAsia="zh-CN"/>
                    </w:rPr>
                    <w:t>+270</w:t>
                  </w:r>
                  <w:r>
                    <w:rPr>
                      <w:color w:val="auto"/>
                      <w:szCs w:val="21"/>
                    </w:rPr>
                    <w:t>m</w:t>
                  </w:r>
                  <w:r>
                    <w:rPr>
                      <w:color w:val="auto"/>
                      <w:szCs w:val="21"/>
                      <w:vertAlign w:val="superscript"/>
                    </w:rPr>
                    <w:t>2</w:t>
                  </w:r>
                </w:p>
              </w:tc>
              <w:tc>
                <w:tcPr>
                  <w:tcW w:w="1234" w:type="pct"/>
                  <w:vAlign w:val="center"/>
                </w:tcPr>
                <w:p>
                  <w:pPr>
                    <w:spacing w:line="144" w:lineRule="auto"/>
                    <w:jc w:val="center"/>
                    <w:rPr>
                      <w:color w:val="auto"/>
                      <w:szCs w:val="21"/>
                    </w:rPr>
                  </w:pPr>
                  <w:r>
                    <w:rPr>
                      <w:rFonts w:hint="eastAsia"/>
                      <w:color w:val="auto"/>
                      <w:szCs w:val="21"/>
                    </w:rPr>
                    <w:t>位于厂区西北侧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continue"/>
                  <w:vAlign w:val="center"/>
                </w:tcPr>
                <w:p>
                  <w:pPr>
                    <w:spacing w:line="144" w:lineRule="auto"/>
                    <w:jc w:val="center"/>
                    <w:rPr>
                      <w:color w:val="auto"/>
                      <w:szCs w:val="21"/>
                    </w:rPr>
                  </w:pPr>
                </w:p>
              </w:tc>
              <w:tc>
                <w:tcPr>
                  <w:tcW w:w="349" w:type="pct"/>
                  <w:vMerge w:val="continue"/>
                  <w:vAlign w:val="center"/>
                </w:tcPr>
                <w:p>
                  <w:pPr>
                    <w:spacing w:line="144" w:lineRule="auto"/>
                    <w:jc w:val="center"/>
                    <w:rPr>
                      <w:color w:val="auto"/>
                      <w:szCs w:val="21"/>
                    </w:rPr>
                  </w:pPr>
                </w:p>
              </w:tc>
              <w:tc>
                <w:tcPr>
                  <w:tcW w:w="495" w:type="pct"/>
                  <w:vAlign w:val="center"/>
                </w:tcPr>
                <w:p>
                  <w:pPr>
                    <w:spacing w:line="144" w:lineRule="auto"/>
                    <w:jc w:val="center"/>
                    <w:rPr>
                      <w:color w:val="auto"/>
                      <w:szCs w:val="21"/>
                    </w:rPr>
                  </w:pPr>
                  <w:r>
                    <w:rPr>
                      <w:color w:val="auto"/>
                      <w:szCs w:val="21"/>
                    </w:rPr>
                    <w:t>危废仓库</w:t>
                  </w:r>
                </w:p>
              </w:tc>
              <w:tc>
                <w:tcPr>
                  <w:tcW w:w="548" w:type="pct"/>
                  <w:tcBorders>
                    <w:right w:val="single" w:color="000000" w:sz="4" w:space="0"/>
                  </w:tcBorders>
                  <w:vAlign w:val="center"/>
                </w:tcPr>
                <w:p>
                  <w:pPr>
                    <w:spacing w:line="144" w:lineRule="auto"/>
                    <w:jc w:val="center"/>
                    <w:rPr>
                      <w:rFonts w:hint="eastAsia" w:eastAsia="宋体"/>
                      <w:color w:val="auto"/>
                      <w:szCs w:val="21"/>
                      <w:lang w:val="en-US" w:eastAsia="zh-CN"/>
                    </w:rPr>
                  </w:pPr>
                  <w:r>
                    <w:rPr>
                      <w:color w:val="auto"/>
                      <w:szCs w:val="21"/>
                    </w:rPr>
                    <w:t>—</w:t>
                  </w:r>
                </w:p>
              </w:tc>
              <w:tc>
                <w:tcPr>
                  <w:tcW w:w="1503" w:type="pct"/>
                  <w:tcBorders>
                    <w:left w:val="single" w:color="000000" w:sz="4" w:space="0"/>
                    <w:right w:val="single" w:color="000000" w:sz="4" w:space="0"/>
                  </w:tcBorders>
                  <w:vAlign w:val="center"/>
                </w:tcPr>
                <w:p>
                  <w:pPr>
                    <w:spacing w:line="144" w:lineRule="auto"/>
                    <w:jc w:val="center"/>
                    <w:rPr>
                      <w:rFonts w:hint="eastAsia"/>
                      <w:color w:val="auto"/>
                      <w:szCs w:val="21"/>
                    </w:rPr>
                  </w:pPr>
                  <w:r>
                    <w:rPr>
                      <w:rFonts w:hint="eastAsia"/>
                      <w:color w:val="auto"/>
                      <w:szCs w:val="21"/>
                    </w:rPr>
                    <w:t>约30m</w:t>
                  </w:r>
                  <w:r>
                    <w:rPr>
                      <w:rFonts w:hint="eastAsia"/>
                      <w:color w:val="auto"/>
                      <w:szCs w:val="21"/>
                      <w:vertAlign w:val="superscript"/>
                    </w:rPr>
                    <w:t>2</w:t>
                  </w:r>
                </w:p>
              </w:tc>
              <w:tc>
                <w:tcPr>
                  <w:tcW w:w="495" w:type="pct"/>
                  <w:tcBorders>
                    <w:left w:val="single" w:color="000000" w:sz="4" w:space="0"/>
                  </w:tcBorders>
                  <w:vAlign w:val="center"/>
                </w:tcPr>
                <w:p>
                  <w:pPr>
                    <w:spacing w:line="144" w:lineRule="auto"/>
                    <w:jc w:val="center"/>
                    <w:rPr>
                      <w:rFonts w:hint="eastAsia" w:eastAsia="宋体"/>
                      <w:color w:val="auto"/>
                      <w:szCs w:val="21"/>
                      <w:lang w:val="en-US" w:eastAsia="zh-CN"/>
                    </w:rPr>
                  </w:pPr>
                  <w:r>
                    <w:rPr>
                      <w:rFonts w:hint="eastAsia"/>
                      <w:color w:val="auto"/>
                      <w:szCs w:val="21"/>
                      <w:lang w:val="en-US" w:eastAsia="zh-CN"/>
                    </w:rPr>
                    <w:t>+</w:t>
                  </w:r>
                  <w:r>
                    <w:rPr>
                      <w:rFonts w:hint="eastAsia"/>
                      <w:color w:val="auto"/>
                      <w:szCs w:val="21"/>
                    </w:rPr>
                    <w:t>30m</w:t>
                  </w:r>
                  <w:r>
                    <w:rPr>
                      <w:rFonts w:hint="eastAsia"/>
                      <w:color w:val="auto"/>
                      <w:szCs w:val="21"/>
                      <w:vertAlign w:val="superscript"/>
                    </w:rPr>
                    <w:t>2</w:t>
                  </w:r>
                </w:p>
              </w:tc>
              <w:tc>
                <w:tcPr>
                  <w:tcW w:w="1234" w:type="pct"/>
                  <w:vAlign w:val="center"/>
                </w:tcPr>
                <w:p>
                  <w:pPr>
                    <w:spacing w:line="144" w:lineRule="auto"/>
                    <w:jc w:val="center"/>
                    <w:rPr>
                      <w:color w:val="auto"/>
                      <w:szCs w:val="21"/>
                    </w:rPr>
                  </w:pPr>
                  <w:r>
                    <w:rPr>
                      <w:rFonts w:hint="eastAsia"/>
                      <w:color w:val="auto"/>
                      <w:szCs w:val="21"/>
                    </w:rPr>
                    <w:t>位于厂区西北侧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continue"/>
                  <w:vAlign w:val="center"/>
                </w:tcPr>
                <w:p>
                  <w:pPr>
                    <w:spacing w:line="144" w:lineRule="auto"/>
                    <w:jc w:val="center"/>
                    <w:rPr>
                      <w:color w:val="auto"/>
                      <w:szCs w:val="21"/>
                    </w:rPr>
                  </w:pPr>
                </w:p>
              </w:tc>
              <w:tc>
                <w:tcPr>
                  <w:tcW w:w="845" w:type="pct"/>
                  <w:gridSpan w:val="2"/>
                  <w:vAlign w:val="center"/>
                </w:tcPr>
                <w:p>
                  <w:pPr>
                    <w:spacing w:line="144" w:lineRule="auto"/>
                    <w:jc w:val="center"/>
                    <w:rPr>
                      <w:color w:val="auto"/>
                    </w:rPr>
                  </w:pPr>
                  <w:r>
                    <w:rPr>
                      <w:rFonts w:hint="eastAsia"/>
                      <w:color w:val="auto"/>
                    </w:rPr>
                    <w:t>振动</w:t>
                  </w:r>
                </w:p>
              </w:tc>
              <w:tc>
                <w:tcPr>
                  <w:tcW w:w="2547" w:type="pct"/>
                  <w:gridSpan w:val="3"/>
                  <w:vAlign w:val="center"/>
                </w:tcPr>
                <w:p>
                  <w:pPr>
                    <w:spacing w:line="144" w:lineRule="auto"/>
                    <w:jc w:val="center"/>
                    <w:rPr>
                      <w:rFonts w:hint="eastAsia"/>
                      <w:bCs/>
                      <w:color w:val="auto"/>
                      <w:szCs w:val="21"/>
                    </w:rPr>
                  </w:pPr>
                  <w:r>
                    <w:rPr>
                      <w:rFonts w:hint="eastAsia"/>
                      <w:bCs/>
                      <w:color w:val="auto"/>
                      <w:szCs w:val="21"/>
                    </w:rPr>
                    <w:t>加装减震垫</w:t>
                  </w:r>
                </w:p>
              </w:tc>
              <w:tc>
                <w:tcPr>
                  <w:tcW w:w="1234" w:type="pct"/>
                  <w:vAlign w:val="center"/>
                </w:tcPr>
                <w:p>
                  <w:pPr>
                    <w:spacing w:line="144" w:lineRule="auto"/>
                    <w:jc w:val="center"/>
                    <w:rPr>
                      <w:color w:val="auto"/>
                    </w:rPr>
                  </w:pPr>
                  <w:r>
                    <w:rPr>
                      <w:rFonts w:hint="eastAsia"/>
                      <w:color w:val="auto"/>
                      <w:szCs w:val="21"/>
                    </w:rPr>
                    <w:t>达到《城市区域环境振动标准》（GB10070-88）混合区标准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72" w:type="pct"/>
                  <w:vMerge w:val="continue"/>
                  <w:vAlign w:val="center"/>
                </w:tcPr>
                <w:p>
                  <w:pPr>
                    <w:spacing w:line="144" w:lineRule="auto"/>
                    <w:jc w:val="center"/>
                    <w:rPr>
                      <w:color w:val="auto"/>
                      <w:szCs w:val="21"/>
                    </w:rPr>
                  </w:pPr>
                </w:p>
              </w:tc>
              <w:tc>
                <w:tcPr>
                  <w:tcW w:w="845" w:type="pct"/>
                  <w:gridSpan w:val="2"/>
                  <w:vAlign w:val="center"/>
                </w:tcPr>
                <w:p>
                  <w:pPr>
                    <w:spacing w:line="144" w:lineRule="auto"/>
                    <w:jc w:val="center"/>
                    <w:rPr>
                      <w:color w:val="auto"/>
                      <w:szCs w:val="21"/>
                    </w:rPr>
                  </w:pPr>
                  <w:r>
                    <w:rPr>
                      <w:color w:val="auto"/>
                    </w:rPr>
                    <w:t>环境风险</w:t>
                  </w:r>
                </w:p>
              </w:tc>
              <w:tc>
                <w:tcPr>
                  <w:tcW w:w="2547" w:type="pct"/>
                  <w:gridSpan w:val="3"/>
                  <w:vAlign w:val="center"/>
                </w:tcPr>
                <w:p>
                  <w:pPr>
                    <w:spacing w:line="144" w:lineRule="auto"/>
                    <w:jc w:val="center"/>
                    <w:rPr>
                      <w:color w:val="auto"/>
                      <w:szCs w:val="21"/>
                    </w:rPr>
                  </w:pPr>
                  <w:r>
                    <w:rPr>
                      <w:color w:val="auto"/>
                      <w:szCs w:val="21"/>
                    </w:rPr>
                    <w:t>/</w:t>
                  </w:r>
                </w:p>
              </w:tc>
              <w:tc>
                <w:tcPr>
                  <w:tcW w:w="1234" w:type="pct"/>
                  <w:vAlign w:val="center"/>
                </w:tcPr>
                <w:p>
                  <w:pPr>
                    <w:spacing w:line="144" w:lineRule="auto"/>
                    <w:jc w:val="center"/>
                    <w:rPr>
                      <w:color w:val="auto"/>
                      <w:szCs w:val="21"/>
                    </w:rPr>
                  </w:pPr>
                  <w:r>
                    <w:rPr>
                      <w:color w:val="auto"/>
                    </w:rPr>
                    <w:t>厂区内储备灭火器、消防栓、隔离及卫生防护用品、吸附材料等应急物资</w:t>
                  </w:r>
                </w:p>
              </w:tc>
            </w:tr>
          </w:tbl>
          <w:p>
            <w:pPr>
              <w:numPr>
                <w:ilvl w:val="0"/>
                <w:numId w:val="5"/>
              </w:numPr>
              <w:spacing w:line="360" w:lineRule="auto"/>
              <w:jc w:val="left"/>
              <w:rPr>
                <w:ins w:id="109" w:author="Sunny" w:date="2022-12-29T09:14:00Z"/>
                <w:rFonts w:ascii="Calibri" w:hAnsi="Calibri" w:cs="Calibri"/>
                <w:b/>
                <w:bCs/>
                <w:color w:val="auto"/>
                <w:sz w:val="24"/>
                <w:szCs w:val="32"/>
              </w:rPr>
            </w:pPr>
            <w:r>
              <w:rPr>
                <w:rFonts w:ascii="Calibri" w:hAnsi="Calibri" w:cs="Calibri"/>
                <w:b/>
                <w:bCs/>
                <w:color w:val="auto"/>
                <w:sz w:val="24"/>
                <w:szCs w:val="32"/>
              </w:rPr>
              <w:t>主要原辅材料</w:t>
            </w:r>
          </w:p>
          <w:p>
            <w:pPr>
              <w:widowControl/>
              <w:numPr>
                <w:ilvl w:val="0"/>
                <w:numId w:val="4"/>
              </w:numPr>
              <w:jc w:val="center"/>
              <w:rPr>
                <w:rFonts w:ascii="Calibri" w:hAnsi="Calibri" w:cs="Calibri"/>
                <w:b/>
                <w:bCs/>
                <w:color w:val="auto"/>
                <w:sz w:val="24"/>
              </w:rPr>
            </w:pPr>
            <w:r>
              <w:rPr>
                <w:rFonts w:hint="eastAsia" w:ascii="Calibri" w:hAnsi="Calibri" w:cs="Calibri"/>
                <w:b/>
                <w:bCs/>
                <w:color w:val="auto"/>
                <w:sz w:val="24"/>
              </w:rPr>
              <w:t>主要原辅材料及其用量一览表</w:t>
            </w:r>
          </w:p>
          <w:tbl>
            <w:tblPr>
              <w:tblStyle w:val="2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260"/>
              <w:gridCol w:w="750"/>
              <w:gridCol w:w="852"/>
              <w:gridCol w:w="963"/>
              <w:gridCol w:w="825"/>
              <w:gridCol w:w="945"/>
              <w:gridCol w:w="855"/>
              <w:gridCol w:w="862"/>
              <w:gridCol w:w="7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50" w:type="dxa"/>
                  <w:vMerge w:val="restart"/>
                  <w:tcBorders>
                    <w:tl2br w:val="nil"/>
                    <w:tr2bl w:val="nil"/>
                  </w:tcBorders>
                  <w:vAlign w:val="center"/>
                </w:tcPr>
                <w:p>
                  <w:pPr>
                    <w:pStyle w:val="3"/>
                    <w:numPr>
                      <w:ilvl w:val="0"/>
                      <w:numId w:val="0"/>
                    </w:numPr>
                    <w:jc w:val="center"/>
                    <w:rPr>
                      <w:b/>
                      <w:bCs/>
                      <w:color w:val="auto"/>
                    </w:rPr>
                  </w:pPr>
                  <w:r>
                    <w:rPr>
                      <w:rFonts w:hint="eastAsia"/>
                      <w:b/>
                      <w:bCs/>
                      <w:color w:val="auto"/>
                    </w:rPr>
                    <w:t>序号</w:t>
                  </w:r>
                </w:p>
              </w:tc>
              <w:tc>
                <w:tcPr>
                  <w:tcW w:w="1260" w:type="dxa"/>
                  <w:vMerge w:val="restart"/>
                  <w:tcBorders>
                    <w:tl2br w:val="nil"/>
                    <w:tr2bl w:val="nil"/>
                  </w:tcBorders>
                  <w:vAlign w:val="center"/>
                </w:tcPr>
                <w:p>
                  <w:pPr>
                    <w:pStyle w:val="3"/>
                    <w:numPr>
                      <w:ilvl w:val="0"/>
                      <w:numId w:val="0"/>
                    </w:numPr>
                    <w:jc w:val="center"/>
                    <w:rPr>
                      <w:b/>
                      <w:bCs/>
                      <w:color w:val="auto"/>
                    </w:rPr>
                  </w:pPr>
                  <w:r>
                    <w:rPr>
                      <w:rFonts w:hint="eastAsia"/>
                      <w:b/>
                      <w:bCs/>
                      <w:color w:val="auto"/>
                    </w:rPr>
                    <w:t>名称</w:t>
                  </w:r>
                </w:p>
              </w:tc>
              <w:tc>
                <w:tcPr>
                  <w:tcW w:w="2565" w:type="dxa"/>
                  <w:gridSpan w:val="3"/>
                  <w:tcBorders>
                    <w:bottom w:val="single" w:color="000000" w:sz="4" w:space="0"/>
                    <w:tl2br w:val="nil"/>
                    <w:tr2bl w:val="nil"/>
                  </w:tcBorders>
                  <w:vAlign w:val="center"/>
                </w:tcPr>
                <w:p>
                  <w:pPr>
                    <w:pStyle w:val="3"/>
                    <w:numPr>
                      <w:ilvl w:val="0"/>
                      <w:numId w:val="0"/>
                    </w:numPr>
                    <w:jc w:val="center"/>
                    <w:rPr>
                      <w:b/>
                      <w:bCs/>
                      <w:color w:val="auto"/>
                    </w:rPr>
                  </w:pPr>
                  <w:r>
                    <w:rPr>
                      <w:rFonts w:hint="eastAsia"/>
                      <w:b/>
                      <w:bCs/>
                      <w:color w:val="auto"/>
                    </w:rPr>
                    <w:t>年用量</w:t>
                  </w:r>
                </w:p>
              </w:tc>
              <w:tc>
                <w:tcPr>
                  <w:tcW w:w="825" w:type="dxa"/>
                  <w:vMerge w:val="restart"/>
                  <w:tcBorders>
                    <w:tl2br w:val="nil"/>
                    <w:tr2bl w:val="nil"/>
                  </w:tcBorders>
                  <w:vAlign w:val="center"/>
                </w:tcPr>
                <w:p>
                  <w:pPr>
                    <w:pStyle w:val="3"/>
                    <w:numPr>
                      <w:ilvl w:val="0"/>
                      <w:numId w:val="0"/>
                    </w:numPr>
                    <w:jc w:val="center"/>
                    <w:rPr>
                      <w:rFonts w:hint="default" w:eastAsia="宋体"/>
                      <w:b/>
                      <w:bCs/>
                      <w:color w:val="auto"/>
                      <w:lang w:val="en-US" w:eastAsia="zh-CN"/>
                    </w:rPr>
                  </w:pPr>
                  <w:r>
                    <w:rPr>
                      <w:rFonts w:hint="eastAsia"/>
                      <w:b/>
                      <w:bCs/>
                      <w:color w:val="auto"/>
                    </w:rPr>
                    <w:t>性状</w:t>
                  </w:r>
                  <w:r>
                    <w:rPr>
                      <w:rFonts w:hint="eastAsia"/>
                      <w:b/>
                      <w:bCs/>
                      <w:color w:val="auto"/>
                      <w:lang w:val="en-US" w:eastAsia="zh-CN"/>
                    </w:rPr>
                    <w:t>及规格</w:t>
                  </w:r>
                </w:p>
              </w:tc>
              <w:tc>
                <w:tcPr>
                  <w:tcW w:w="945" w:type="dxa"/>
                  <w:vMerge w:val="restart"/>
                  <w:tcBorders>
                    <w:tl2br w:val="nil"/>
                    <w:tr2bl w:val="nil"/>
                  </w:tcBorders>
                  <w:vAlign w:val="center"/>
                </w:tcPr>
                <w:p>
                  <w:pPr>
                    <w:pStyle w:val="3"/>
                    <w:numPr>
                      <w:ilvl w:val="0"/>
                      <w:numId w:val="0"/>
                    </w:numPr>
                    <w:jc w:val="center"/>
                    <w:rPr>
                      <w:b/>
                      <w:bCs/>
                      <w:color w:val="auto"/>
                    </w:rPr>
                  </w:pPr>
                  <w:r>
                    <w:rPr>
                      <w:rFonts w:hint="eastAsia"/>
                      <w:b/>
                      <w:bCs/>
                      <w:color w:val="auto"/>
                    </w:rPr>
                    <w:t>包装规格</w:t>
                  </w:r>
                </w:p>
              </w:tc>
              <w:tc>
                <w:tcPr>
                  <w:tcW w:w="855" w:type="dxa"/>
                  <w:vMerge w:val="restart"/>
                  <w:tcBorders>
                    <w:tl2br w:val="nil"/>
                    <w:tr2bl w:val="nil"/>
                  </w:tcBorders>
                  <w:vAlign w:val="center"/>
                </w:tcPr>
                <w:p>
                  <w:pPr>
                    <w:pStyle w:val="3"/>
                    <w:numPr>
                      <w:ilvl w:val="0"/>
                      <w:numId w:val="0"/>
                    </w:numPr>
                    <w:jc w:val="center"/>
                    <w:rPr>
                      <w:b/>
                      <w:bCs/>
                      <w:color w:val="auto"/>
                    </w:rPr>
                  </w:pPr>
                  <w:r>
                    <w:rPr>
                      <w:rFonts w:hint="eastAsia"/>
                      <w:b/>
                      <w:bCs/>
                      <w:color w:val="auto"/>
                    </w:rPr>
                    <w:t>最大储存量</w:t>
                  </w:r>
                </w:p>
              </w:tc>
              <w:tc>
                <w:tcPr>
                  <w:tcW w:w="862" w:type="dxa"/>
                  <w:vMerge w:val="restart"/>
                  <w:tcBorders>
                    <w:tl2br w:val="nil"/>
                    <w:tr2bl w:val="nil"/>
                  </w:tcBorders>
                  <w:vAlign w:val="center"/>
                </w:tcPr>
                <w:p>
                  <w:pPr>
                    <w:pStyle w:val="3"/>
                    <w:numPr>
                      <w:ilvl w:val="0"/>
                      <w:numId w:val="0"/>
                    </w:numPr>
                    <w:jc w:val="center"/>
                    <w:rPr>
                      <w:b/>
                      <w:bCs/>
                      <w:color w:val="auto"/>
                    </w:rPr>
                  </w:pPr>
                  <w:r>
                    <w:rPr>
                      <w:rFonts w:hint="eastAsia"/>
                      <w:b/>
                      <w:bCs/>
                      <w:color w:val="auto"/>
                    </w:rPr>
                    <w:t>存储位置</w:t>
                  </w:r>
                </w:p>
              </w:tc>
              <w:tc>
                <w:tcPr>
                  <w:tcW w:w="779" w:type="dxa"/>
                  <w:vMerge w:val="restart"/>
                  <w:tcBorders>
                    <w:tl2br w:val="nil"/>
                    <w:tr2bl w:val="nil"/>
                  </w:tcBorders>
                  <w:vAlign w:val="center"/>
                </w:tcPr>
                <w:p>
                  <w:pPr>
                    <w:pStyle w:val="3"/>
                    <w:numPr>
                      <w:ilvl w:val="0"/>
                      <w:numId w:val="0"/>
                    </w:numPr>
                    <w:jc w:val="center"/>
                    <w:rPr>
                      <w:b/>
                      <w:bCs/>
                      <w:color w:val="auto"/>
                    </w:rPr>
                  </w:pPr>
                  <w:r>
                    <w:rPr>
                      <w:rFonts w:hint="eastAsia"/>
                      <w:b/>
                      <w:bCs/>
                      <w:color w:val="auto"/>
                    </w:rPr>
                    <w:t>对应工序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50" w:type="dxa"/>
                  <w:vMerge w:val="continue"/>
                  <w:tcBorders>
                    <w:tl2br w:val="nil"/>
                    <w:tr2bl w:val="nil"/>
                  </w:tcBorders>
                  <w:vAlign w:val="center"/>
                </w:tcPr>
                <w:p>
                  <w:pPr>
                    <w:pStyle w:val="3"/>
                    <w:numPr>
                      <w:ilvl w:val="0"/>
                      <w:numId w:val="0"/>
                    </w:numPr>
                    <w:jc w:val="center"/>
                    <w:rPr>
                      <w:rFonts w:hint="eastAsia"/>
                      <w:b/>
                      <w:bCs/>
                      <w:color w:val="auto"/>
                    </w:rPr>
                  </w:pPr>
                </w:p>
              </w:tc>
              <w:tc>
                <w:tcPr>
                  <w:tcW w:w="1260" w:type="dxa"/>
                  <w:vMerge w:val="continue"/>
                  <w:tcBorders>
                    <w:tl2br w:val="nil"/>
                    <w:tr2bl w:val="nil"/>
                  </w:tcBorders>
                  <w:vAlign w:val="center"/>
                </w:tcPr>
                <w:p>
                  <w:pPr>
                    <w:pStyle w:val="3"/>
                    <w:numPr>
                      <w:ilvl w:val="0"/>
                      <w:numId w:val="0"/>
                    </w:numPr>
                    <w:jc w:val="center"/>
                    <w:rPr>
                      <w:rFonts w:hint="eastAsia"/>
                      <w:b/>
                      <w:bCs/>
                      <w:color w:val="auto"/>
                    </w:rPr>
                  </w:pPr>
                </w:p>
              </w:tc>
              <w:tc>
                <w:tcPr>
                  <w:tcW w:w="750" w:type="dxa"/>
                  <w:tcBorders>
                    <w:top w:val="single" w:color="000000" w:sz="4" w:space="0"/>
                    <w:right w:val="single" w:color="000000" w:sz="4" w:space="0"/>
                    <w:tl2br w:val="nil"/>
                    <w:tr2bl w:val="nil"/>
                  </w:tcBorders>
                  <w:vAlign w:val="center"/>
                </w:tcPr>
                <w:p>
                  <w:pPr>
                    <w:pStyle w:val="3"/>
                    <w:numPr>
                      <w:ilvl w:val="0"/>
                      <w:numId w:val="0"/>
                    </w:numPr>
                    <w:jc w:val="center"/>
                    <w:rPr>
                      <w:rFonts w:hint="eastAsia" w:eastAsia="宋体"/>
                      <w:b/>
                      <w:bCs/>
                      <w:color w:val="auto"/>
                      <w:lang w:val="en-US" w:eastAsia="zh-CN"/>
                    </w:rPr>
                  </w:pPr>
                  <w:r>
                    <w:rPr>
                      <w:rFonts w:hint="eastAsia"/>
                      <w:b/>
                      <w:bCs/>
                      <w:color w:val="auto"/>
                      <w:lang w:val="en-US" w:eastAsia="zh-CN"/>
                    </w:rPr>
                    <w:t>迁建前</w:t>
                  </w:r>
                </w:p>
              </w:tc>
              <w:tc>
                <w:tcPr>
                  <w:tcW w:w="852" w:type="dxa"/>
                  <w:tcBorders>
                    <w:top w:val="single" w:color="000000" w:sz="4" w:space="0"/>
                    <w:left w:val="single" w:color="000000" w:sz="4" w:space="0"/>
                    <w:right w:val="single" w:color="000000" w:sz="4" w:space="0"/>
                    <w:tl2br w:val="nil"/>
                    <w:tr2bl w:val="nil"/>
                  </w:tcBorders>
                  <w:vAlign w:val="center"/>
                </w:tcPr>
                <w:p>
                  <w:pPr>
                    <w:pStyle w:val="3"/>
                    <w:numPr>
                      <w:ilvl w:val="0"/>
                      <w:numId w:val="0"/>
                    </w:numPr>
                    <w:jc w:val="center"/>
                    <w:rPr>
                      <w:rFonts w:hint="default" w:eastAsia="宋体"/>
                      <w:b/>
                      <w:bCs/>
                      <w:color w:val="auto"/>
                      <w:lang w:val="en-US" w:eastAsia="zh-CN"/>
                    </w:rPr>
                  </w:pPr>
                  <w:r>
                    <w:rPr>
                      <w:rFonts w:hint="eastAsia"/>
                      <w:b/>
                      <w:bCs/>
                      <w:color w:val="auto"/>
                      <w:lang w:val="en-US" w:eastAsia="zh-CN"/>
                    </w:rPr>
                    <w:t>迁建后</w:t>
                  </w:r>
                </w:p>
              </w:tc>
              <w:tc>
                <w:tcPr>
                  <w:tcW w:w="963" w:type="dxa"/>
                  <w:tcBorders>
                    <w:top w:val="single" w:color="000000" w:sz="4" w:space="0"/>
                    <w:left w:val="single" w:color="000000" w:sz="4" w:space="0"/>
                    <w:tl2br w:val="nil"/>
                    <w:tr2bl w:val="nil"/>
                  </w:tcBorders>
                  <w:vAlign w:val="center"/>
                </w:tcPr>
                <w:p>
                  <w:pPr>
                    <w:pStyle w:val="3"/>
                    <w:numPr>
                      <w:ilvl w:val="0"/>
                      <w:numId w:val="0"/>
                    </w:numPr>
                    <w:jc w:val="center"/>
                    <w:rPr>
                      <w:rFonts w:hint="eastAsia" w:eastAsia="宋体"/>
                      <w:b/>
                      <w:bCs/>
                      <w:color w:val="auto"/>
                      <w:lang w:val="en-US" w:eastAsia="zh-CN"/>
                    </w:rPr>
                  </w:pPr>
                  <w:r>
                    <w:rPr>
                      <w:rFonts w:hint="eastAsia"/>
                      <w:b/>
                      <w:bCs/>
                      <w:color w:val="auto"/>
                      <w:lang w:val="en-US" w:eastAsia="zh-CN"/>
                    </w:rPr>
                    <w:t>变化量</w:t>
                  </w:r>
                </w:p>
              </w:tc>
              <w:tc>
                <w:tcPr>
                  <w:tcW w:w="825" w:type="dxa"/>
                  <w:vMerge w:val="continue"/>
                  <w:tcBorders>
                    <w:tl2br w:val="nil"/>
                    <w:tr2bl w:val="nil"/>
                  </w:tcBorders>
                  <w:vAlign w:val="center"/>
                </w:tcPr>
                <w:p>
                  <w:pPr>
                    <w:pStyle w:val="3"/>
                    <w:numPr>
                      <w:ilvl w:val="0"/>
                      <w:numId w:val="0"/>
                    </w:numPr>
                    <w:jc w:val="center"/>
                    <w:rPr>
                      <w:rFonts w:hint="eastAsia"/>
                      <w:b/>
                      <w:bCs/>
                      <w:color w:val="auto"/>
                    </w:rPr>
                  </w:pPr>
                </w:p>
              </w:tc>
              <w:tc>
                <w:tcPr>
                  <w:tcW w:w="945" w:type="dxa"/>
                  <w:vMerge w:val="continue"/>
                  <w:tcBorders>
                    <w:tl2br w:val="nil"/>
                    <w:tr2bl w:val="nil"/>
                  </w:tcBorders>
                  <w:vAlign w:val="center"/>
                </w:tcPr>
                <w:p>
                  <w:pPr>
                    <w:pStyle w:val="3"/>
                    <w:numPr>
                      <w:ilvl w:val="0"/>
                      <w:numId w:val="0"/>
                    </w:numPr>
                    <w:jc w:val="center"/>
                    <w:rPr>
                      <w:rFonts w:hint="eastAsia"/>
                      <w:b/>
                      <w:bCs/>
                      <w:color w:val="auto"/>
                    </w:rPr>
                  </w:pPr>
                </w:p>
              </w:tc>
              <w:tc>
                <w:tcPr>
                  <w:tcW w:w="855" w:type="dxa"/>
                  <w:vMerge w:val="continue"/>
                  <w:tcBorders>
                    <w:tl2br w:val="nil"/>
                    <w:tr2bl w:val="nil"/>
                  </w:tcBorders>
                  <w:vAlign w:val="center"/>
                </w:tcPr>
                <w:p>
                  <w:pPr>
                    <w:pStyle w:val="3"/>
                    <w:numPr>
                      <w:ilvl w:val="0"/>
                      <w:numId w:val="0"/>
                    </w:numPr>
                    <w:jc w:val="center"/>
                    <w:rPr>
                      <w:rFonts w:hint="eastAsia"/>
                      <w:b/>
                      <w:bCs/>
                      <w:color w:val="auto"/>
                    </w:rPr>
                  </w:pPr>
                </w:p>
              </w:tc>
              <w:tc>
                <w:tcPr>
                  <w:tcW w:w="862" w:type="dxa"/>
                  <w:vMerge w:val="continue"/>
                  <w:tcBorders>
                    <w:tl2br w:val="nil"/>
                    <w:tr2bl w:val="nil"/>
                  </w:tcBorders>
                  <w:vAlign w:val="center"/>
                </w:tcPr>
                <w:p>
                  <w:pPr>
                    <w:pStyle w:val="3"/>
                    <w:numPr>
                      <w:ilvl w:val="0"/>
                      <w:numId w:val="0"/>
                    </w:numPr>
                    <w:jc w:val="center"/>
                    <w:rPr>
                      <w:rFonts w:hint="eastAsia"/>
                      <w:b/>
                      <w:bCs/>
                      <w:color w:val="auto"/>
                    </w:rPr>
                  </w:pPr>
                </w:p>
              </w:tc>
              <w:tc>
                <w:tcPr>
                  <w:tcW w:w="779" w:type="dxa"/>
                  <w:vMerge w:val="continue"/>
                  <w:tcBorders>
                    <w:tl2br w:val="nil"/>
                    <w:tr2bl w:val="nil"/>
                  </w:tcBorders>
                  <w:vAlign w:val="center"/>
                </w:tcPr>
                <w:p>
                  <w:pPr>
                    <w:pStyle w:val="3"/>
                    <w:numPr>
                      <w:ilvl w:val="0"/>
                      <w:numId w:val="0"/>
                    </w:numPr>
                    <w:jc w:val="center"/>
                    <w:rPr>
                      <w:rFonts w:hint="eastAsia"/>
                      <w:b/>
                      <w:bCs/>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50" w:type="dxa"/>
                  <w:tcBorders>
                    <w:tl2br w:val="nil"/>
                    <w:tr2bl w:val="nil"/>
                  </w:tcBorders>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1</w:t>
                  </w:r>
                </w:p>
              </w:tc>
              <w:tc>
                <w:tcPr>
                  <w:tcW w:w="1260" w:type="dxa"/>
                  <w:tcBorders>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铁皮</w:t>
                  </w:r>
                </w:p>
              </w:tc>
              <w:tc>
                <w:tcPr>
                  <w:tcW w:w="750" w:type="dxa"/>
                  <w:tcBorders>
                    <w:right w:val="single" w:color="000000" w:sz="4" w:space="0"/>
                    <w:tl2br w:val="nil"/>
                    <w:tr2bl w:val="nil"/>
                  </w:tcBorders>
                  <w:vAlign w:val="center"/>
                </w:tcPr>
                <w:p>
                  <w:pPr>
                    <w:jc w:val="center"/>
                    <w:rPr>
                      <w:rFonts w:hint="default" w:eastAsia="宋体"/>
                      <w:color w:val="auto"/>
                      <w:szCs w:val="21"/>
                      <w:lang w:val="en-US" w:eastAsia="zh-CN"/>
                    </w:rPr>
                  </w:pPr>
                  <w:r>
                    <w:rPr>
                      <w:rFonts w:hint="eastAsia"/>
                      <w:color w:val="auto"/>
                      <w:szCs w:val="21"/>
                      <w:lang w:val="en-US" w:eastAsia="zh-CN"/>
                    </w:rPr>
                    <w:t>28800件</w:t>
                  </w:r>
                </w:p>
              </w:tc>
              <w:tc>
                <w:tcPr>
                  <w:tcW w:w="852" w:type="dxa"/>
                  <w:tcBorders>
                    <w:left w:val="single" w:color="000000" w:sz="4" w:space="0"/>
                    <w:right w:val="single" w:color="000000" w:sz="4" w:space="0"/>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0</w:t>
                  </w:r>
                </w:p>
              </w:tc>
              <w:tc>
                <w:tcPr>
                  <w:tcW w:w="963" w:type="dxa"/>
                  <w:tcBorders>
                    <w:left w:val="single" w:color="000000" w:sz="4" w:space="0"/>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-28800件</w:t>
                  </w:r>
                </w:p>
              </w:tc>
              <w:tc>
                <w:tcPr>
                  <w:tcW w:w="825" w:type="dxa"/>
                  <w:tcBorders>
                    <w:tl2br w:val="nil"/>
                    <w:tr2bl w:val="nil"/>
                  </w:tcBorders>
                  <w:vAlign w:val="center"/>
                </w:tcPr>
                <w:p>
                  <w:pPr>
                    <w:pStyle w:val="3"/>
                    <w:numPr>
                      <w:ilvl w:val="0"/>
                      <w:numId w:val="0"/>
                    </w:numPr>
                    <w:jc w:val="center"/>
                    <w:rPr>
                      <w:rFonts w:hint="eastAsia"/>
                      <w:color w:val="auto"/>
                    </w:rPr>
                  </w:pPr>
                  <w:ins w:id="110" w:author="Sunny" w:date="2022-12-29T14:51:00Z">
                    <w:r>
                      <w:rPr>
                        <w:rFonts w:hint="eastAsia"/>
                        <w:color w:val="auto"/>
                      </w:rPr>
                      <w:t>固态</w:t>
                    </w:r>
                  </w:ins>
                </w:p>
              </w:tc>
              <w:tc>
                <w:tcPr>
                  <w:tcW w:w="945" w:type="dxa"/>
                  <w:tcBorders>
                    <w:tl2br w:val="nil"/>
                    <w:tr2bl w:val="nil"/>
                  </w:tcBorders>
                  <w:vAlign w:val="center"/>
                </w:tcPr>
                <w:p>
                  <w:pPr>
                    <w:pStyle w:val="3"/>
                    <w:numPr>
                      <w:ilvl w:val="0"/>
                      <w:numId w:val="0"/>
                    </w:numPr>
                    <w:jc w:val="center"/>
                    <w:rPr>
                      <w:rFonts w:hint="default" w:eastAsia="宋体"/>
                      <w:color w:val="auto"/>
                      <w:lang w:val="en-US" w:eastAsia="zh-CN"/>
                    </w:rPr>
                  </w:pPr>
                  <w:r>
                    <w:rPr>
                      <w:rFonts w:hint="eastAsia"/>
                      <w:color w:val="auto"/>
                      <w:lang w:val="en-US" w:eastAsia="zh-CN"/>
                    </w:rPr>
                    <w:t>10件/包</w:t>
                  </w:r>
                </w:p>
              </w:tc>
              <w:tc>
                <w:tcPr>
                  <w:tcW w:w="855" w:type="dxa"/>
                  <w:tcBorders>
                    <w:tl2br w:val="nil"/>
                    <w:tr2bl w:val="nil"/>
                  </w:tcBorders>
                  <w:vAlign w:val="center"/>
                </w:tcPr>
                <w:p>
                  <w:pPr>
                    <w:pStyle w:val="3"/>
                    <w:numPr>
                      <w:ilvl w:val="0"/>
                      <w:numId w:val="0"/>
                    </w:numPr>
                    <w:jc w:val="center"/>
                    <w:rPr>
                      <w:rFonts w:hint="default" w:eastAsia="宋体"/>
                      <w:color w:val="auto"/>
                      <w:lang w:val="en-US" w:eastAsia="zh-CN"/>
                    </w:rPr>
                  </w:pPr>
                  <w:r>
                    <w:rPr>
                      <w:rFonts w:hint="eastAsia"/>
                      <w:color w:val="auto"/>
                      <w:lang w:val="en-US" w:eastAsia="zh-CN"/>
                    </w:rPr>
                    <w:t>2400件</w:t>
                  </w:r>
                </w:p>
              </w:tc>
              <w:tc>
                <w:tcPr>
                  <w:tcW w:w="862" w:type="dxa"/>
                  <w:tcBorders>
                    <w:tl2br w:val="nil"/>
                    <w:tr2bl w:val="nil"/>
                  </w:tcBorders>
                  <w:vAlign w:val="center"/>
                </w:tcPr>
                <w:p>
                  <w:pPr>
                    <w:numPr>
                      <w:ilvl w:val="0"/>
                      <w:numId w:val="0"/>
                    </w:numPr>
                    <w:jc w:val="center"/>
                    <w:rPr>
                      <w:rFonts w:hint="eastAsia"/>
                      <w:color w:val="auto"/>
                    </w:rPr>
                  </w:pPr>
                  <w:r>
                    <w:rPr>
                      <w:color w:val="auto"/>
                      <w:szCs w:val="21"/>
                    </w:rPr>
                    <w:t>—</w:t>
                  </w:r>
                </w:p>
              </w:tc>
              <w:tc>
                <w:tcPr>
                  <w:tcW w:w="779" w:type="dxa"/>
                  <w:tcBorders>
                    <w:tl2br w:val="nil"/>
                    <w:tr2bl w:val="nil"/>
                  </w:tcBorders>
                  <w:vAlign w:val="center"/>
                </w:tcPr>
                <w:p>
                  <w:pPr>
                    <w:numPr>
                      <w:ilvl w:val="0"/>
                      <w:numId w:val="0"/>
                    </w:numPr>
                    <w:jc w:val="center"/>
                    <w:rPr>
                      <w:rFonts w:hint="eastAsia"/>
                      <w:color w:val="auto"/>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50"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4"/>
                      <w:lang w:val="en-US" w:eastAsia="zh-CN" w:bidi="ar-SA"/>
                    </w:rPr>
                  </w:pPr>
                  <w:r>
                    <w:rPr>
                      <w:color w:val="auto"/>
                      <w:szCs w:val="21"/>
                    </w:rPr>
                    <w:t>2</w:t>
                  </w:r>
                </w:p>
              </w:tc>
              <w:tc>
                <w:tcPr>
                  <w:tcW w:w="1260" w:type="dxa"/>
                  <w:tcBorders>
                    <w:tl2br w:val="nil"/>
                    <w:tr2bl w:val="nil"/>
                  </w:tcBorders>
                  <w:vAlign w:val="center"/>
                </w:tcPr>
                <w:p>
                  <w:pPr>
                    <w:jc w:val="center"/>
                    <w:rPr>
                      <w:color w:val="auto"/>
                      <w:szCs w:val="21"/>
                    </w:rPr>
                  </w:pPr>
                  <w:r>
                    <w:rPr>
                      <w:color w:val="auto"/>
                      <w:szCs w:val="21"/>
                    </w:rPr>
                    <w:t>电镀锌板</w:t>
                  </w:r>
                </w:p>
              </w:tc>
              <w:tc>
                <w:tcPr>
                  <w:tcW w:w="750" w:type="dxa"/>
                  <w:tcBorders>
                    <w:right w:val="single" w:color="000000" w:sz="4" w:space="0"/>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0</w:t>
                  </w:r>
                </w:p>
              </w:tc>
              <w:tc>
                <w:tcPr>
                  <w:tcW w:w="852" w:type="dxa"/>
                  <w:tcBorders>
                    <w:left w:val="single" w:color="000000" w:sz="4" w:space="0"/>
                    <w:right w:val="single" w:color="000000" w:sz="4" w:space="0"/>
                    <w:tl2br w:val="nil"/>
                    <w:tr2bl w:val="nil"/>
                  </w:tcBorders>
                  <w:vAlign w:val="center"/>
                </w:tcPr>
                <w:p>
                  <w:pPr>
                    <w:jc w:val="center"/>
                    <w:rPr>
                      <w:color w:val="auto"/>
                      <w:szCs w:val="21"/>
                    </w:rPr>
                  </w:pPr>
                  <w:r>
                    <w:rPr>
                      <w:color w:val="auto"/>
                      <w:szCs w:val="21"/>
                    </w:rPr>
                    <w:t>2000t/a</w:t>
                  </w:r>
                </w:p>
              </w:tc>
              <w:tc>
                <w:tcPr>
                  <w:tcW w:w="963" w:type="dxa"/>
                  <w:tcBorders>
                    <w:left w:val="single" w:color="000000" w:sz="4" w:space="0"/>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w:t>
                  </w:r>
                  <w:r>
                    <w:rPr>
                      <w:color w:val="auto"/>
                      <w:szCs w:val="21"/>
                    </w:rPr>
                    <w:t>2000t/a</w:t>
                  </w:r>
                </w:p>
              </w:tc>
              <w:tc>
                <w:tcPr>
                  <w:tcW w:w="825" w:type="dxa"/>
                  <w:tcBorders>
                    <w:tl2br w:val="nil"/>
                    <w:tr2bl w:val="nil"/>
                  </w:tcBorders>
                  <w:vAlign w:val="center"/>
                </w:tcPr>
                <w:p>
                  <w:pPr>
                    <w:pStyle w:val="3"/>
                    <w:numPr>
                      <w:ilvl w:val="0"/>
                      <w:numId w:val="0"/>
                    </w:numPr>
                    <w:jc w:val="center"/>
                    <w:rPr>
                      <w:color w:val="auto"/>
                    </w:rPr>
                  </w:pPr>
                  <w:ins w:id="111" w:author="Sunny" w:date="2022-12-29T14:51:00Z">
                    <w:r>
                      <w:rPr>
                        <w:rFonts w:hint="eastAsia"/>
                        <w:color w:val="auto"/>
                      </w:rPr>
                      <w:t>固态</w:t>
                    </w:r>
                  </w:ins>
                </w:p>
              </w:tc>
              <w:tc>
                <w:tcPr>
                  <w:tcW w:w="945" w:type="dxa"/>
                  <w:tcBorders>
                    <w:tl2br w:val="nil"/>
                    <w:tr2bl w:val="nil"/>
                  </w:tcBorders>
                  <w:vAlign w:val="center"/>
                </w:tcPr>
                <w:p>
                  <w:pPr>
                    <w:pStyle w:val="3"/>
                    <w:numPr>
                      <w:ilvl w:val="0"/>
                      <w:numId w:val="0"/>
                    </w:numPr>
                    <w:jc w:val="center"/>
                    <w:rPr>
                      <w:color w:val="auto"/>
                    </w:rPr>
                  </w:pPr>
                  <w:ins w:id="112" w:author="Sunny" w:date="2022-12-29T14:51:00Z">
                    <w:r>
                      <w:rPr>
                        <w:rFonts w:hint="eastAsia"/>
                        <w:color w:val="auto"/>
                      </w:rPr>
                      <w:t>1吨/包</w:t>
                    </w:r>
                  </w:ins>
                </w:p>
              </w:tc>
              <w:tc>
                <w:tcPr>
                  <w:tcW w:w="855" w:type="dxa"/>
                  <w:tcBorders>
                    <w:tl2br w:val="nil"/>
                    <w:tr2bl w:val="nil"/>
                  </w:tcBorders>
                  <w:vAlign w:val="center"/>
                </w:tcPr>
                <w:p>
                  <w:pPr>
                    <w:pStyle w:val="3"/>
                    <w:numPr>
                      <w:ilvl w:val="0"/>
                      <w:numId w:val="0"/>
                    </w:numPr>
                    <w:jc w:val="center"/>
                    <w:rPr>
                      <w:color w:val="auto"/>
                    </w:rPr>
                  </w:pPr>
                  <w:ins w:id="113" w:author="Sunny" w:date="2022-12-29T14:53:00Z">
                    <w:r>
                      <w:rPr>
                        <w:rFonts w:hint="eastAsia"/>
                        <w:color w:val="auto"/>
                      </w:rPr>
                      <w:t>350吨</w:t>
                    </w:r>
                  </w:ins>
                </w:p>
              </w:tc>
              <w:tc>
                <w:tcPr>
                  <w:tcW w:w="862" w:type="dxa"/>
                  <w:vMerge w:val="restart"/>
                  <w:tcBorders>
                    <w:tl2br w:val="nil"/>
                    <w:tr2bl w:val="nil"/>
                  </w:tcBorders>
                  <w:vAlign w:val="center"/>
                </w:tcPr>
                <w:p>
                  <w:pPr>
                    <w:pStyle w:val="3"/>
                    <w:numPr>
                      <w:ilvl w:val="0"/>
                      <w:numId w:val="0"/>
                    </w:numPr>
                    <w:jc w:val="center"/>
                    <w:rPr>
                      <w:color w:val="auto"/>
                    </w:rPr>
                  </w:pPr>
                  <w:ins w:id="114" w:author="Sunny" w:date="2022-12-28T13:21:00Z">
                    <w:r>
                      <w:rPr>
                        <w:rFonts w:hint="eastAsia"/>
                        <w:color w:val="auto"/>
                      </w:rPr>
                      <w:t>车间一原材料存放区</w:t>
                    </w:r>
                  </w:ins>
                </w:p>
              </w:tc>
              <w:tc>
                <w:tcPr>
                  <w:tcW w:w="779" w:type="dxa"/>
                  <w:vMerge w:val="restart"/>
                  <w:tcBorders>
                    <w:tl2br w:val="nil"/>
                    <w:tr2bl w:val="nil"/>
                  </w:tcBorders>
                  <w:vAlign w:val="center"/>
                </w:tcPr>
                <w:p>
                  <w:pPr>
                    <w:pStyle w:val="3"/>
                    <w:numPr>
                      <w:ilvl w:val="0"/>
                      <w:numId w:val="0"/>
                    </w:numPr>
                    <w:jc w:val="center"/>
                    <w:rPr>
                      <w:ins w:id="115" w:author="Sunny" w:date="2022-12-28T08:38:00Z"/>
                      <w:color w:val="auto"/>
                    </w:rPr>
                  </w:pPr>
                  <w:r>
                    <w:rPr>
                      <w:rFonts w:hint="eastAsia"/>
                      <w:color w:val="auto"/>
                    </w:rPr>
                    <w:t>冲压工艺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50"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4"/>
                      <w:lang w:val="en-US" w:eastAsia="zh-CN" w:bidi="ar-SA"/>
                    </w:rPr>
                  </w:pPr>
                  <w:r>
                    <w:rPr>
                      <w:color w:val="auto"/>
                      <w:szCs w:val="21"/>
                    </w:rPr>
                    <w:t>3</w:t>
                  </w:r>
                </w:p>
              </w:tc>
              <w:tc>
                <w:tcPr>
                  <w:tcW w:w="1260" w:type="dxa"/>
                  <w:tcBorders>
                    <w:tl2br w:val="nil"/>
                    <w:tr2bl w:val="nil"/>
                  </w:tcBorders>
                  <w:vAlign w:val="center"/>
                </w:tcPr>
                <w:p>
                  <w:pPr>
                    <w:jc w:val="center"/>
                    <w:rPr>
                      <w:color w:val="auto"/>
                      <w:szCs w:val="21"/>
                    </w:rPr>
                  </w:pPr>
                  <w:r>
                    <w:rPr>
                      <w:color w:val="auto"/>
                      <w:szCs w:val="21"/>
                    </w:rPr>
                    <w:t>冷轧板</w:t>
                  </w:r>
                </w:p>
              </w:tc>
              <w:tc>
                <w:tcPr>
                  <w:tcW w:w="750" w:type="dxa"/>
                  <w:tcBorders>
                    <w:right w:val="single" w:color="000000" w:sz="4" w:space="0"/>
                    <w:tl2br w:val="nil"/>
                    <w:tr2bl w:val="nil"/>
                  </w:tcBorders>
                  <w:vAlign w:val="center"/>
                </w:tcPr>
                <w:p>
                  <w:pPr>
                    <w:jc w:val="center"/>
                    <w:rPr>
                      <w:color w:val="auto"/>
                      <w:szCs w:val="21"/>
                    </w:rPr>
                  </w:pPr>
                  <w:r>
                    <w:rPr>
                      <w:rFonts w:hint="eastAsia"/>
                      <w:color w:val="auto"/>
                      <w:szCs w:val="21"/>
                      <w:lang w:val="en-US" w:eastAsia="zh-CN"/>
                    </w:rPr>
                    <w:t>0</w:t>
                  </w:r>
                </w:p>
              </w:tc>
              <w:tc>
                <w:tcPr>
                  <w:tcW w:w="852" w:type="dxa"/>
                  <w:tcBorders>
                    <w:left w:val="single" w:color="000000" w:sz="4" w:space="0"/>
                    <w:right w:val="single" w:color="000000" w:sz="4" w:space="0"/>
                    <w:tl2br w:val="nil"/>
                    <w:tr2bl w:val="nil"/>
                  </w:tcBorders>
                  <w:vAlign w:val="center"/>
                </w:tcPr>
                <w:p>
                  <w:pPr>
                    <w:jc w:val="center"/>
                    <w:rPr>
                      <w:color w:val="auto"/>
                      <w:szCs w:val="21"/>
                    </w:rPr>
                  </w:pPr>
                  <w:r>
                    <w:rPr>
                      <w:color w:val="auto"/>
                      <w:szCs w:val="21"/>
                    </w:rPr>
                    <w:t>5000t/a</w:t>
                  </w:r>
                </w:p>
              </w:tc>
              <w:tc>
                <w:tcPr>
                  <w:tcW w:w="963" w:type="dxa"/>
                  <w:tcBorders>
                    <w:left w:val="single" w:color="000000" w:sz="4" w:space="0"/>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w:t>
                  </w:r>
                  <w:r>
                    <w:rPr>
                      <w:color w:val="auto"/>
                      <w:szCs w:val="21"/>
                    </w:rPr>
                    <w:t>5000t/a</w:t>
                  </w:r>
                </w:p>
              </w:tc>
              <w:tc>
                <w:tcPr>
                  <w:tcW w:w="825" w:type="dxa"/>
                  <w:tcBorders>
                    <w:tl2br w:val="nil"/>
                    <w:tr2bl w:val="nil"/>
                  </w:tcBorders>
                  <w:vAlign w:val="center"/>
                </w:tcPr>
                <w:p>
                  <w:pPr>
                    <w:pStyle w:val="3"/>
                    <w:numPr>
                      <w:ilvl w:val="0"/>
                      <w:numId w:val="0"/>
                    </w:numPr>
                    <w:jc w:val="center"/>
                    <w:rPr>
                      <w:color w:val="auto"/>
                    </w:rPr>
                  </w:pPr>
                  <w:ins w:id="116" w:author="Sunny" w:date="2022-12-29T14:51:00Z">
                    <w:r>
                      <w:rPr>
                        <w:rFonts w:hint="eastAsia"/>
                        <w:color w:val="auto"/>
                      </w:rPr>
                      <w:t>固态</w:t>
                    </w:r>
                  </w:ins>
                </w:p>
              </w:tc>
              <w:tc>
                <w:tcPr>
                  <w:tcW w:w="945" w:type="dxa"/>
                  <w:tcBorders>
                    <w:tl2br w:val="nil"/>
                    <w:tr2bl w:val="nil"/>
                  </w:tcBorders>
                  <w:vAlign w:val="center"/>
                </w:tcPr>
                <w:p>
                  <w:pPr>
                    <w:pStyle w:val="3"/>
                    <w:numPr>
                      <w:ilvl w:val="0"/>
                      <w:numId w:val="0"/>
                    </w:numPr>
                    <w:jc w:val="center"/>
                    <w:rPr>
                      <w:color w:val="auto"/>
                    </w:rPr>
                  </w:pPr>
                  <w:ins w:id="117" w:author="Sunny" w:date="2022-12-29T14:52:00Z">
                    <w:r>
                      <w:rPr>
                        <w:rFonts w:hint="eastAsia"/>
                        <w:color w:val="auto"/>
                      </w:rPr>
                      <w:t>1吨/包</w:t>
                    </w:r>
                  </w:ins>
                </w:p>
              </w:tc>
              <w:tc>
                <w:tcPr>
                  <w:tcW w:w="855" w:type="dxa"/>
                  <w:tcBorders>
                    <w:tl2br w:val="nil"/>
                    <w:tr2bl w:val="nil"/>
                  </w:tcBorders>
                  <w:vAlign w:val="center"/>
                </w:tcPr>
                <w:p>
                  <w:pPr>
                    <w:pStyle w:val="3"/>
                    <w:numPr>
                      <w:ilvl w:val="0"/>
                      <w:numId w:val="0"/>
                    </w:numPr>
                    <w:jc w:val="center"/>
                    <w:rPr>
                      <w:color w:val="auto"/>
                    </w:rPr>
                  </w:pPr>
                  <w:ins w:id="118" w:author="Sunny" w:date="2022-12-29T14:53:00Z">
                    <w:r>
                      <w:rPr>
                        <w:rFonts w:hint="eastAsia"/>
                        <w:color w:val="auto"/>
                      </w:rPr>
                      <w:t>850吨</w:t>
                    </w:r>
                  </w:ins>
                </w:p>
              </w:tc>
              <w:tc>
                <w:tcPr>
                  <w:tcW w:w="862" w:type="dxa"/>
                  <w:vMerge w:val="continue"/>
                  <w:tcBorders>
                    <w:tl2br w:val="nil"/>
                    <w:tr2bl w:val="nil"/>
                  </w:tcBorders>
                  <w:vAlign w:val="center"/>
                </w:tcPr>
                <w:p>
                  <w:pPr>
                    <w:pStyle w:val="3"/>
                    <w:numPr>
                      <w:ilvl w:val="0"/>
                      <w:numId w:val="0"/>
                    </w:numPr>
                    <w:jc w:val="center"/>
                    <w:rPr>
                      <w:color w:val="auto"/>
                    </w:rPr>
                  </w:pPr>
                </w:p>
              </w:tc>
              <w:tc>
                <w:tcPr>
                  <w:tcW w:w="779" w:type="dxa"/>
                  <w:vMerge w:val="continue"/>
                  <w:tcBorders>
                    <w:tl2br w:val="nil"/>
                    <w:tr2bl w:val="nil"/>
                  </w:tcBorders>
                  <w:vAlign w:val="center"/>
                </w:tcPr>
                <w:p>
                  <w:pPr>
                    <w:pStyle w:val="3"/>
                    <w:numPr>
                      <w:ilvl w:val="0"/>
                      <w:numId w:val="0"/>
                    </w:numPr>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50"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4"/>
                      <w:lang w:val="en-US" w:eastAsia="zh-CN" w:bidi="ar-SA"/>
                    </w:rPr>
                  </w:pPr>
                  <w:r>
                    <w:rPr>
                      <w:color w:val="auto"/>
                      <w:szCs w:val="21"/>
                    </w:rPr>
                    <w:t>4</w:t>
                  </w:r>
                </w:p>
              </w:tc>
              <w:tc>
                <w:tcPr>
                  <w:tcW w:w="1260" w:type="dxa"/>
                  <w:tcBorders>
                    <w:tl2br w:val="nil"/>
                    <w:tr2bl w:val="nil"/>
                  </w:tcBorders>
                  <w:vAlign w:val="center"/>
                </w:tcPr>
                <w:p>
                  <w:pPr>
                    <w:jc w:val="center"/>
                    <w:rPr>
                      <w:color w:val="auto"/>
                      <w:szCs w:val="21"/>
                    </w:rPr>
                  </w:pPr>
                  <w:r>
                    <w:rPr>
                      <w:color w:val="auto"/>
                      <w:szCs w:val="21"/>
                    </w:rPr>
                    <w:t>酸洗板</w:t>
                  </w:r>
                </w:p>
              </w:tc>
              <w:tc>
                <w:tcPr>
                  <w:tcW w:w="750" w:type="dxa"/>
                  <w:tcBorders>
                    <w:right w:val="single" w:color="000000" w:sz="4" w:space="0"/>
                    <w:tl2br w:val="nil"/>
                    <w:tr2bl w:val="nil"/>
                  </w:tcBorders>
                  <w:vAlign w:val="center"/>
                </w:tcPr>
                <w:p>
                  <w:pPr>
                    <w:jc w:val="center"/>
                    <w:rPr>
                      <w:color w:val="auto"/>
                      <w:szCs w:val="21"/>
                    </w:rPr>
                  </w:pPr>
                  <w:r>
                    <w:rPr>
                      <w:rFonts w:hint="eastAsia"/>
                      <w:color w:val="auto"/>
                      <w:szCs w:val="21"/>
                      <w:lang w:val="en-US" w:eastAsia="zh-CN"/>
                    </w:rPr>
                    <w:t>0</w:t>
                  </w:r>
                </w:p>
              </w:tc>
              <w:tc>
                <w:tcPr>
                  <w:tcW w:w="852" w:type="dxa"/>
                  <w:tcBorders>
                    <w:left w:val="single" w:color="000000" w:sz="4" w:space="0"/>
                    <w:right w:val="single" w:color="000000" w:sz="4" w:space="0"/>
                    <w:tl2br w:val="nil"/>
                    <w:tr2bl w:val="nil"/>
                  </w:tcBorders>
                  <w:vAlign w:val="center"/>
                </w:tcPr>
                <w:p>
                  <w:pPr>
                    <w:jc w:val="center"/>
                    <w:rPr>
                      <w:color w:val="auto"/>
                      <w:szCs w:val="21"/>
                    </w:rPr>
                  </w:pPr>
                  <w:r>
                    <w:rPr>
                      <w:color w:val="auto"/>
                      <w:szCs w:val="21"/>
                    </w:rPr>
                    <w:t>500t/a</w:t>
                  </w:r>
                </w:p>
              </w:tc>
              <w:tc>
                <w:tcPr>
                  <w:tcW w:w="963" w:type="dxa"/>
                  <w:tcBorders>
                    <w:left w:val="single" w:color="000000" w:sz="4" w:space="0"/>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w:t>
                  </w:r>
                  <w:r>
                    <w:rPr>
                      <w:color w:val="auto"/>
                      <w:szCs w:val="21"/>
                    </w:rPr>
                    <w:t>500t/a</w:t>
                  </w:r>
                </w:p>
              </w:tc>
              <w:tc>
                <w:tcPr>
                  <w:tcW w:w="825" w:type="dxa"/>
                  <w:tcBorders>
                    <w:tl2br w:val="nil"/>
                    <w:tr2bl w:val="nil"/>
                  </w:tcBorders>
                  <w:vAlign w:val="center"/>
                </w:tcPr>
                <w:p>
                  <w:pPr>
                    <w:pStyle w:val="3"/>
                    <w:numPr>
                      <w:ilvl w:val="0"/>
                      <w:numId w:val="0"/>
                    </w:numPr>
                    <w:jc w:val="center"/>
                    <w:rPr>
                      <w:color w:val="auto"/>
                    </w:rPr>
                  </w:pPr>
                  <w:ins w:id="119" w:author="Sunny" w:date="2022-12-29T14:51:00Z">
                    <w:r>
                      <w:rPr>
                        <w:rFonts w:hint="eastAsia"/>
                        <w:color w:val="auto"/>
                      </w:rPr>
                      <w:t>固态</w:t>
                    </w:r>
                  </w:ins>
                </w:p>
              </w:tc>
              <w:tc>
                <w:tcPr>
                  <w:tcW w:w="945" w:type="dxa"/>
                  <w:tcBorders>
                    <w:tl2br w:val="nil"/>
                    <w:tr2bl w:val="nil"/>
                  </w:tcBorders>
                  <w:vAlign w:val="center"/>
                </w:tcPr>
                <w:p>
                  <w:pPr>
                    <w:pStyle w:val="3"/>
                    <w:numPr>
                      <w:ilvl w:val="0"/>
                      <w:numId w:val="0"/>
                    </w:numPr>
                    <w:jc w:val="center"/>
                    <w:rPr>
                      <w:color w:val="auto"/>
                    </w:rPr>
                  </w:pPr>
                  <w:ins w:id="120" w:author="Sunny" w:date="2022-12-29T14:52:00Z">
                    <w:r>
                      <w:rPr>
                        <w:rFonts w:hint="eastAsia"/>
                        <w:color w:val="auto"/>
                      </w:rPr>
                      <w:t>1吨/包</w:t>
                    </w:r>
                  </w:ins>
                </w:p>
              </w:tc>
              <w:tc>
                <w:tcPr>
                  <w:tcW w:w="855" w:type="dxa"/>
                  <w:tcBorders>
                    <w:tl2br w:val="nil"/>
                    <w:tr2bl w:val="nil"/>
                  </w:tcBorders>
                  <w:vAlign w:val="center"/>
                </w:tcPr>
                <w:p>
                  <w:pPr>
                    <w:pStyle w:val="3"/>
                    <w:numPr>
                      <w:ilvl w:val="0"/>
                      <w:numId w:val="0"/>
                    </w:numPr>
                    <w:jc w:val="center"/>
                    <w:rPr>
                      <w:color w:val="auto"/>
                    </w:rPr>
                  </w:pPr>
                  <w:ins w:id="121" w:author="Sunny" w:date="2022-12-29T14:53:00Z">
                    <w:r>
                      <w:rPr>
                        <w:rFonts w:hint="eastAsia"/>
                        <w:color w:val="auto"/>
                      </w:rPr>
                      <w:t>80吨</w:t>
                    </w:r>
                  </w:ins>
                </w:p>
              </w:tc>
              <w:tc>
                <w:tcPr>
                  <w:tcW w:w="862" w:type="dxa"/>
                  <w:vMerge w:val="continue"/>
                  <w:tcBorders>
                    <w:tl2br w:val="nil"/>
                    <w:tr2bl w:val="nil"/>
                  </w:tcBorders>
                  <w:vAlign w:val="center"/>
                </w:tcPr>
                <w:p>
                  <w:pPr>
                    <w:pStyle w:val="3"/>
                    <w:numPr>
                      <w:ilvl w:val="0"/>
                      <w:numId w:val="0"/>
                    </w:numPr>
                    <w:jc w:val="center"/>
                    <w:rPr>
                      <w:color w:val="auto"/>
                    </w:rPr>
                  </w:pPr>
                </w:p>
              </w:tc>
              <w:tc>
                <w:tcPr>
                  <w:tcW w:w="779" w:type="dxa"/>
                  <w:vMerge w:val="continue"/>
                  <w:tcBorders>
                    <w:tl2br w:val="nil"/>
                    <w:tr2bl w:val="nil"/>
                  </w:tcBorders>
                  <w:vAlign w:val="center"/>
                </w:tcPr>
                <w:p>
                  <w:pPr>
                    <w:pStyle w:val="3"/>
                    <w:numPr>
                      <w:ilvl w:val="0"/>
                      <w:numId w:val="0"/>
                    </w:numPr>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50" w:type="dxa"/>
                  <w:tcBorders>
                    <w:tl2br w:val="nil"/>
                    <w:tr2bl w:val="nil"/>
                  </w:tcBorders>
                  <w:vAlign w:val="center"/>
                </w:tcPr>
                <w:p>
                  <w:pPr>
                    <w:adjustRightInd w:val="0"/>
                    <w:snapToGrid w:val="0"/>
                    <w:jc w:val="center"/>
                    <w:rPr>
                      <w:ins w:id="122" w:author="Sunny" w:date="2022-12-28T08:38:00Z"/>
                      <w:rFonts w:ascii="Times New Roman" w:hAnsi="Times New Roman" w:eastAsia="宋体" w:cs="Times New Roman"/>
                      <w:color w:val="auto"/>
                      <w:kern w:val="2"/>
                      <w:sz w:val="21"/>
                      <w:szCs w:val="24"/>
                      <w:lang w:val="en-US" w:eastAsia="zh-CN" w:bidi="ar-SA"/>
                    </w:rPr>
                  </w:pPr>
                  <w:r>
                    <w:rPr>
                      <w:color w:val="auto"/>
                      <w:szCs w:val="21"/>
                    </w:rPr>
                    <w:t>5</w:t>
                  </w:r>
                </w:p>
              </w:tc>
              <w:tc>
                <w:tcPr>
                  <w:tcW w:w="1260" w:type="dxa"/>
                  <w:tcBorders>
                    <w:tl2br w:val="nil"/>
                    <w:tr2bl w:val="nil"/>
                  </w:tcBorders>
                  <w:vAlign w:val="center"/>
                </w:tcPr>
                <w:p>
                  <w:pPr>
                    <w:jc w:val="center"/>
                    <w:rPr>
                      <w:color w:val="auto"/>
                      <w:szCs w:val="21"/>
                    </w:rPr>
                  </w:pPr>
                  <w:r>
                    <w:rPr>
                      <w:color w:val="auto"/>
                      <w:szCs w:val="21"/>
                    </w:rPr>
                    <w:t>预涂板</w:t>
                  </w:r>
                </w:p>
              </w:tc>
              <w:tc>
                <w:tcPr>
                  <w:tcW w:w="750" w:type="dxa"/>
                  <w:tcBorders>
                    <w:right w:val="single" w:color="000000" w:sz="4" w:space="0"/>
                    <w:tl2br w:val="nil"/>
                    <w:tr2bl w:val="nil"/>
                  </w:tcBorders>
                  <w:vAlign w:val="center"/>
                </w:tcPr>
                <w:p>
                  <w:pPr>
                    <w:jc w:val="center"/>
                    <w:rPr>
                      <w:color w:val="auto"/>
                      <w:szCs w:val="21"/>
                    </w:rPr>
                  </w:pPr>
                  <w:r>
                    <w:rPr>
                      <w:rFonts w:hint="eastAsia"/>
                      <w:color w:val="auto"/>
                      <w:szCs w:val="21"/>
                      <w:lang w:val="en-US" w:eastAsia="zh-CN"/>
                    </w:rPr>
                    <w:t>0</w:t>
                  </w:r>
                </w:p>
              </w:tc>
              <w:tc>
                <w:tcPr>
                  <w:tcW w:w="852" w:type="dxa"/>
                  <w:tcBorders>
                    <w:left w:val="single" w:color="000000" w:sz="4" w:space="0"/>
                    <w:right w:val="single" w:color="000000" w:sz="4" w:space="0"/>
                    <w:tl2br w:val="nil"/>
                    <w:tr2bl w:val="nil"/>
                  </w:tcBorders>
                  <w:vAlign w:val="center"/>
                </w:tcPr>
                <w:p>
                  <w:pPr>
                    <w:jc w:val="center"/>
                    <w:rPr>
                      <w:color w:val="auto"/>
                      <w:szCs w:val="21"/>
                    </w:rPr>
                  </w:pPr>
                  <w:r>
                    <w:rPr>
                      <w:color w:val="auto"/>
                      <w:szCs w:val="21"/>
                    </w:rPr>
                    <w:t>1000t/a</w:t>
                  </w:r>
                </w:p>
              </w:tc>
              <w:tc>
                <w:tcPr>
                  <w:tcW w:w="963" w:type="dxa"/>
                  <w:tcBorders>
                    <w:left w:val="single" w:color="000000" w:sz="4" w:space="0"/>
                    <w:tl2br w:val="nil"/>
                    <w:tr2bl w:val="nil"/>
                  </w:tcBorders>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r>
                    <w:rPr>
                      <w:color w:val="auto"/>
                      <w:szCs w:val="21"/>
                    </w:rPr>
                    <w:t>1000t/a</w:t>
                  </w:r>
                </w:p>
              </w:tc>
              <w:tc>
                <w:tcPr>
                  <w:tcW w:w="825" w:type="dxa"/>
                  <w:tcBorders>
                    <w:tl2br w:val="nil"/>
                    <w:tr2bl w:val="nil"/>
                  </w:tcBorders>
                  <w:vAlign w:val="center"/>
                </w:tcPr>
                <w:p>
                  <w:pPr>
                    <w:pStyle w:val="3"/>
                    <w:numPr>
                      <w:ilvl w:val="0"/>
                      <w:numId w:val="0"/>
                    </w:numPr>
                    <w:jc w:val="center"/>
                    <w:rPr>
                      <w:color w:val="auto"/>
                    </w:rPr>
                  </w:pPr>
                  <w:ins w:id="123" w:author="Sunny" w:date="2022-12-29T14:51:00Z">
                    <w:r>
                      <w:rPr>
                        <w:rFonts w:hint="eastAsia"/>
                        <w:color w:val="auto"/>
                      </w:rPr>
                      <w:t>固态</w:t>
                    </w:r>
                  </w:ins>
                </w:p>
              </w:tc>
              <w:tc>
                <w:tcPr>
                  <w:tcW w:w="945" w:type="dxa"/>
                  <w:tcBorders>
                    <w:tl2br w:val="nil"/>
                    <w:tr2bl w:val="nil"/>
                  </w:tcBorders>
                  <w:vAlign w:val="center"/>
                </w:tcPr>
                <w:p>
                  <w:pPr>
                    <w:pStyle w:val="3"/>
                    <w:numPr>
                      <w:ilvl w:val="0"/>
                      <w:numId w:val="0"/>
                    </w:numPr>
                    <w:jc w:val="center"/>
                    <w:rPr>
                      <w:color w:val="auto"/>
                    </w:rPr>
                  </w:pPr>
                  <w:ins w:id="124" w:author="Sunny" w:date="2022-12-29T14:52:00Z">
                    <w:r>
                      <w:rPr>
                        <w:rFonts w:hint="eastAsia"/>
                        <w:color w:val="auto"/>
                      </w:rPr>
                      <w:t>1吨/包</w:t>
                    </w:r>
                  </w:ins>
                </w:p>
              </w:tc>
              <w:tc>
                <w:tcPr>
                  <w:tcW w:w="855" w:type="dxa"/>
                  <w:tcBorders>
                    <w:tl2br w:val="nil"/>
                    <w:tr2bl w:val="nil"/>
                  </w:tcBorders>
                  <w:vAlign w:val="center"/>
                </w:tcPr>
                <w:p>
                  <w:pPr>
                    <w:pStyle w:val="3"/>
                    <w:numPr>
                      <w:ilvl w:val="0"/>
                      <w:numId w:val="0"/>
                    </w:numPr>
                    <w:jc w:val="center"/>
                    <w:rPr>
                      <w:color w:val="auto"/>
                    </w:rPr>
                  </w:pPr>
                  <w:ins w:id="125" w:author="Sunny" w:date="2022-12-29T14:53:00Z">
                    <w:r>
                      <w:rPr>
                        <w:rFonts w:hint="eastAsia"/>
                        <w:color w:val="auto"/>
                      </w:rPr>
                      <w:t>170吨</w:t>
                    </w:r>
                  </w:ins>
                </w:p>
              </w:tc>
              <w:tc>
                <w:tcPr>
                  <w:tcW w:w="862" w:type="dxa"/>
                  <w:vMerge w:val="continue"/>
                  <w:tcBorders>
                    <w:tl2br w:val="nil"/>
                    <w:tr2bl w:val="nil"/>
                  </w:tcBorders>
                  <w:vAlign w:val="center"/>
                </w:tcPr>
                <w:p>
                  <w:pPr>
                    <w:pStyle w:val="3"/>
                    <w:numPr>
                      <w:ilvl w:val="0"/>
                      <w:numId w:val="0"/>
                    </w:numPr>
                    <w:jc w:val="center"/>
                    <w:rPr>
                      <w:color w:val="auto"/>
                    </w:rPr>
                  </w:pPr>
                </w:p>
              </w:tc>
              <w:tc>
                <w:tcPr>
                  <w:tcW w:w="779" w:type="dxa"/>
                  <w:vMerge w:val="continue"/>
                  <w:tcBorders>
                    <w:tl2br w:val="nil"/>
                    <w:tr2bl w:val="nil"/>
                  </w:tcBorders>
                  <w:vAlign w:val="center"/>
                </w:tcPr>
                <w:p>
                  <w:pPr>
                    <w:pStyle w:val="3"/>
                    <w:numPr>
                      <w:ilvl w:val="0"/>
                      <w:numId w:val="0"/>
                    </w:numPr>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ins w:id="126" w:author="Sunny" w:date="2022-12-28T08:38:00Z"/>
              </w:trPr>
              <w:tc>
                <w:tcPr>
                  <w:tcW w:w="450" w:type="dxa"/>
                  <w:tcBorders>
                    <w:tl2br w:val="nil"/>
                    <w:tr2bl w:val="nil"/>
                  </w:tcBorders>
                  <w:vAlign w:val="center"/>
                </w:tcPr>
                <w:p>
                  <w:pPr>
                    <w:adjustRightInd w:val="0"/>
                    <w:snapToGrid w:val="0"/>
                    <w:jc w:val="center"/>
                    <w:rPr>
                      <w:ins w:id="127" w:author="Sunny" w:date="2022-12-28T08:38:00Z"/>
                      <w:rFonts w:ascii="Times New Roman" w:hAnsi="Times New Roman" w:eastAsia="宋体" w:cs="Times New Roman"/>
                      <w:color w:val="auto"/>
                      <w:kern w:val="2"/>
                      <w:sz w:val="21"/>
                      <w:szCs w:val="24"/>
                      <w:lang w:val="en-US" w:eastAsia="zh-CN" w:bidi="ar-SA"/>
                    </w:rPr>
                  </w:pPr>
                  <w:r>
                    <w:rPr>
                      <w:color w:val="auto"/>
                      <w:szCs w:val="21"/>
                    </w:rPr>
                    <w:t>6</w:t>
                  </w:r>
                </w:p>
              </w:tc>
              <w:tc>
                <w:tcPr>
                  <w:tcW w:w="1260" w:type="dxa"/>
                  <w:tcBorders>
                    <w:tl2br w:val="nil"/>
                    <w:tr2bl w:val="nil"/>
                  </w:tcBorders>
                  <w:vAlign w:val="center"/>
                </w:tcPr>
                <w:p>
                  <w:pPr>
                    <w:jc w:val="center"/>
                    <w:rPr>
                      <w:ins w:id="128" w:author="Sunny" w:date="2022-12-28T08:38:00Z"/>
                      <w:color w:val="auto"/>
                      <w:szCs w:val="21"/>
                    </w:rPr>
                  </w:pPr>
                  <w:r>
                    <w:rPr>
                      <w:color w:val="auto"/>
                      <w:szCs w:val="21"/>
                    </w:rPr>
                    <w:t>金属锻件</w:t>
                  </w:r>
                </w:p>
              </w:tc>
              <w:tc>
                <w:tcPr>
                  <w:tcW w:w="750" w:type="dxa"/>
                  <w:tcBorders>
                    <w:right w:val="single" w:color="000000" w:sz="4" w:space="0"/>
                    <w:tl2br w:val="nil"/>
                    <w:tr2bl w:val="nil"/>
                  </w:tcBorders>
                  <w:vAlign w:val="center"/>
                </w:tcPr>
                <w:p>
                  <w:pPr>
                    <w:jc w:val="center"/>
                    <w:rPr>
                      <w:ins w:id="129" w:author="Sunny" w:date="2022-12-28T08:38:00Z"/>
                      <w:color w:val="auto"/>
                      <w:szCs w:val="21"/>
                    </w:rPr>
                  </w:pPr>
                  <w:r>
                    <w:rPr>
                      <w:rFonts w:hint="eastAsia"/>
                      <w:color w:val="auto"/>
                      <w:szCs w:val="21"/>
                      <w:lang w:val="en-US" w:eastAsia="zh-CN"/>
                    </w:rPr>
                    <w:t>0</w:t>
                  </w:r>
                </w:p>
              </w:tc>
              <w:tc>
                <w:tcPr>
                  <w:tcW w:w="852" w:type="dxa"/>
                  <w:tcBorders>
                    <w:left w:val="single" w:color="000000" w:sz="4" w:space="0"/>
                    <w:right w:val="single" w:color="000000" w:sz="4" w:space="0"/>
                    <w:tl2br w:val="nil"/>
                    <w:tr2bl w:val="nil"/>
                  </w:tcBorders>
                  <w:vAlign w:val="center"/>
                </w:tcPr>
                <w:p>
                  <w:pPr>
                    <w:jc w:val="center"/>
                    <w:rPr>
                      <w:ins w:id="130" w:author="Sunny" w:date="2022-12-28T08:38:00Z"/>
                      <w:color w:val="auto"/>
                      <w:szCs w:val="21"/>
                    </w:rPr>
                  </w:pPr>
                  <w:r>
                    <w:rPr>
                      <w:color w:val="auto"/>
                      <w:szCs w:val="21"/>
                    </w:rPr>
                    <w:t>100t/a</w:t>
                  </w:r>
                </w:p>
              </w:tc>
              <w:tc>
                <w:tcPr>
                  <w:tcW w:w="963" w:type="dxa"/>
                  <w:tcBorders>
                    <w:left w:val="single" w:color="000000" w:sz="4" w:space="0"/>
                    <w:tl2br w:val="nil"/>
                    <w:tr2bl w:val="nil"/>
                  </w:tcBorders>
                  <w:vAlign w:val="center"/>
                </w:tcPr>
                <w:p>
                  <w:pPr>
                    <w:jc w:val="center"/>
                    <w:rPr>
                      <w:ins w:id="131" w:author="Sunny" w:date="2022-12-28T08:38:00Z"/>
                      <w:rFonts w:hint="eastAsia" w:eastAsia="宋体"/>
                      <w:color w:val="auto"/>
                      <w:szCs w:val="21"/>
                      <w:lang w:val="en-US" w:eastAsia="zh-CN"/>
                    </w:rPr>
                  </w:pPr>
                  <w:r>
                    <w:rPr>
                      <w:rFonts w:hint="eastAsia"/>
                      <w:color w:val="auto"/>
                      <w:szCs w:val="21"/>
                      <w:lang w:val="en-US" w:eastAsia="zh-CN"/>
                    </w:rPr>
                    <w:t>+</w:t>
                  </w:r>
                  <w:r>
                    <w:rPr>
                      <w:color w:val="auto"/>
                      <w:szCs w:val="21"/>
                    </w:rPr>
                    <w:t>100t/a</w:t>
                  </w:r>
                </w:p>
              </w:tc>
              <w:tc>
                <w:tcPr>
                  <w:tcW w:w="825" w:type="dxa"/>
                  <w:tcBorders>
                    <w:tl2br w:val="nil"/>
                    <w:tr2bl w:val="nil"/>
                  </w:tcBorders>
                  <w:vAlign w:val="center"/>
                </w:tcPr>
                <w:p>
                  <w:pPr>
                    <w:pStyle w:val="3"/>
                    <w:numPr>
                      <w:ilvl w:val="0"/>
                      <w:numId w:val="0"/>
                    </w:numPr>
                    <w:jc w:val="center"/>
                    <w:rPr>
                      <w:ins w:id="132" w:author="Sunny" w:date="2022-12-28T08:38:00Z"/>
                      <w:color w:val="auto"/>
                    </w:rPr>
                  </w:pPr>
                  <w:ins w:id="133" w:author="Sunny" w:date="2022-12-29T14:51:00Z">
                    <w:r>
                      <w:rPr>
                        <w:rFonts w:hint="eastAsia"/>
                        <w:color w:val="auto"/>
                      </w:rPr>
                      <w:t>固态</w:t>
                    </w:r>
                  </w:ins>
                </w:p>
              </w:tc>
              <w:tc>
                <w:tcPr>
                  <w:tcW w:w="945" w:type="dxa"/>
                  <w:tcBorders>
                    <w:tl2br w:val="nil"/>
                    <w:tr2bl w:val="nil"/>
                  </w:tcBorders>
                  <w:vAlign w:val="center"/>
                </w:tcPr>
                <w:p>
                  <w:pPr>
                    <w:pStyle w:val="3"/>
                    <w:numPr>
                      <w:ilvl w:val="0"/>
                      <w:numId w:val="0"/>
                    </w:numPr>
                    <w:jc w:val="center"/>
                    <w:rPr>
                      <w:ins w:id="134" w:author="Sunny" w:date="2022-12-28T08:38:00Z"/>
                      <w:color w:val="auto"/>
                    </w:rPr>
                  </w:pPr>
                  <w:ins w:id="135" w:author="Sunny" w:date="2022-12-29T14:52:00Z">
                    <w:r>
                      <w:rPr>
                        <w:rFonts w:hint="eastAsia"/>
                        <w:color w:val="auto"/>
                      </w:rPr>
                      <w:t>1吨/包</w:t>
                    </w:r>
                  </w:ins>
                </w:p>
              </w:tc>
              <w:tc>
                <w:tcPr>
                  <w:tcW w:w="855" w:type="dxa"/>
                  <w:tcBorders>
                    <w:tl2br w:val="nil"/>
                    <w:tr2bl w:val="nil"/>
                  </w:tcBorders>
                  <w:vAlign w:val="center"/>
                </w:tcPr>
                <w:p>
                  <w:pPr>
                    <w:pStyle w:val="3"/>
                    <w:numPr>
                      <w:ilvl w:val="0"/>
                      <w:numId w:val="0"/>
                    </w:numPr>
                    <w:jc w:val="center"/>
                    <w:rPr>
                      <w:ins w:id="136" w:author="Sunny" w:date="2022-12-28T08:38:00Z"/>
                      <w:color w:val="auto"/>
                    </w:rPr>
                  </w:pPr>
                  <w:ins w:id="137" w:author="Sunny" w:date="2022-12-29T14:53:00Z">
                    <w:r>
                      <w:rPr>
                        <w:rFonts w:hint="eastAsia"/>
                        <w:color w:val="auto"/>
                      </w:rPr>
                      <w:t>17吨</w:t>
                    </w:r>
                  </w:ins>
                </w:p>
              </w:tc>
              <w:tc>
                <w:tcPr>
                  <w:tcW w:w="862" w:type="dxa"/>
                  <w:vMerge w:val="continue"/>
                  <w:tcBorders>
                    <w:tl2br w:val="nil"/>
                    <w:tr2bl w:val="nil"/>
                  </w:tcBorders>
                  <w:vAlign w:val="center"/>
                </w:tcPr>
                <w:p>
                  <w:pPr>
                    <w:pStyle w:val="3"/>
                    <w:numPr>
                      <w:ilvl w:val="0"/>
                      <w:numId w:val="0"/>
                    </w:numPr>
                    <w:jc w:val="center"/>
                    <w:rPr>
                      <w:ins w:id="138" w:author="Sunny" w:date="2022-12-28T08:38:00Z"/>
                      <w:color w:val="auto"/>
                    </w:rPr>
                  </w:pPr>
                </w:p>
              </w:tc>
              <w:tc>
                <w:tcPr>
                  <w:tcW w:w="779" w:type="dxa"/>
                  <w:vMerge w:val="continue"/>
                  <w:tcBorders>
                    <w:tl2br w:val="nil"/>
                    <w:tr2bl w:val="nil"/>
                  </w:tcBorders>
                  <w:vAlign w:val="center"/>
                </w:tcPr>
                <w:p>
                  <w:pPr>
                    <w:pStyle w:val="3"/>
                    <w:numPr>
                      <w:ilvl w:val="0"/>
                      <w:numId w:val="0"/>
                    </w:numPr>
                    <w:jc w:val="center"/>
                    <w:rPr>
                      <w:ins w:id="139" w:author="Sunny" w:date="2022-12-28T08:38:00Z"/>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50"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4"/>
                      <w:lang w:val="en-US" w:eastAsia="zh-CN" w:bidi="ar-SA"/>
                    </w:rPr>
                  </w:pPr>
                  <w:r>
                    <w:rPr>
                      <w:color w:val="auto"/>
                      <w:szCs w:val="21"/>
                    </w:rPr>
                    <w:t>7</w:t>
                  </w:r>
                </w:p>
              </w:tc>
              <w:tc>
                <w:tcPr>
                  <w:tcW w:w="1260" w:type="dxa"/>
                  <w:tcBorders>
                    <w:tl2br w:val="nil"/>
                    <w:tr2bl w:val="nil"/>
                  </w:tcBorders>
                  <w:vAlign w:val="center"/>
                </w:tcPr>
                <w:p>
                  <w:pPr>
                    <w:jc w:val="center"/>
                    <w:rPr>
                      <w:color w:val="auto"/>
                      <w:szCs w:val="21"/>
                    </w:rPr>
                  </w:pPr>
                  <w:ins w:id="140" w:author="Sunny" w:date="2022-12-28T13:14:00Z">
                    <w:r>
                      <w:rPr>
                        <w:color w:val="auto"/>
                        <w:szCs w:val="21"/>
                      </w:rPr>
                      <w:t>塑粉</w:t>
                    </w:r>
                  </w:ins>
                </w:p>
              </w:tc>
              <w:tc>
                <w:tcPr>
                  <w:tcW w:w="750" w:type="dxa"/>
                  <w:tcBorders>
                    <w:right w:val="single" w:color="000000" w:sz="4" w:space="0"/>
                    <w:tl2br w:val="nil"/>
                    <w:tr2bl w:val="nil"/>
                  </w:tcBorders>
                  <w:vAlign w:val="center"/>
                </w:tcPr>
                <w:p>
                  <w:pPr>
                    <w:jc w:val="center"/>
                    <w:rPr>
                      <w:color w:val="auto"/>
                      <w:szCs w:val="21"/>
                    </w:rPr>
                  </w:pPr>
                  <w:r>
                    <w:rPr>
                      <w:rFonts w:hint="eastAsia"/>
                      <w:color w:val="auto"/>
                      <w:szCs w:val="21"/>
                      <w:lang w:val="en-US" w:eastAsia="zh-CN"/>
                    </w:rPr>
                    <w:t>0</w:t>
                  </w:r>
                </w:p>
              </w:tc>
              <w:tc>
                <w:tcPr>
                  <w:tcW w:w="852" w:type="dxa"/>
                  <w:tcBorders>
                    <w:left w:val="single" w:color="000000" w:sz="4" w:space="0"/>
                    <w:right w:val="single" w:color="000000" w:sz="4" w:space="0"/>
                    <w:tl2br w:val="nil"/>
                    <w:tr2bl w:val="nil"/>
                  </w:tcBorders>
                  <w:vAlign w:val="center"/>
                </w:tcPr>
                <w:p>
                  <w:pPr>
                    <w:jc w:val="center"/>
                    <w:rPr>
                      <w:color w:val="auto"/>
                      <w:szCs w:val="21"/>
                    </w:rPr>
                  </w:pPr>
                  <w:r>
                    <w:rPr>
                      <w:color w:val="auto"/>
                      <w:szCs w:val="21"/>
                    </w:rPr>
                    <w:t>100t/a</w:t>
                  </w:r>
                </w:p>
              </w:tc>
              <w:tc>
                <w:tcPr>
                  <w:tcW w:w="963" w:type="dxa"/>
                  <w:tcBorders>
                    <w:left w:val="single" w:color="000000" w:sz="4" w:space="0"/>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w:t>
                  </w:r>
                  <w:r>
                    <w:rPr>
                      <w:color w:val="auto"/>
                      <w:szCs w:val="21"/>
                    </w:rPr>
                    <w:t>100t/a</w:t>
                  </w:r>
                </w:p>
              </w:tc>
              <w:tc>
                <w:tcPr>
                  <w:tcW w:w="825" w:type="dxa"/>
                  <w:tcBorders>
                    <w:tl2br w:val="nil"/>
                    <w:tr2bl w:val="nil"/>
                  </w:tcBorders>
                  <w:vAlign w:val="center"/>
                </w:tcPr>
                <w:p>
                  <w:pPr>
                    <w:pStyle w:val="3"/>
                    <w:numPr>
                      <w:ilvl w:val="0"/>
                      <w:numId w:val="0"/>
                    </w:numPr>
                    <w:jc w:val="center"/>
                    <w:rPr>
                      <w:color w:val="auto"/>
                    </w:rPr>
                  </w:pPr>
                  <w:ins w:id="141" w:author="Sunny" w:date="2022-12-28T13:16:00Z">
                    <w:r>
                      <w:rPr>
                        <w:rFonts w:hint="eastAsia"/>
                        <w:color w:val="auto"/>
                      </w:rPr>
                      <w:t>固态</w:t>
                    </w:r>
                  </w:ins>
                </w:p>
              </w:tc>
              <w:tc>
                <w:tcPr>
                  <w:tcW w:w="945" w:type="dxa"/>
                  <w:tcBorders>
                    <w:tl2br w:val="nil"/>
                    <w:tr2bl w:val="nil"/>
                  </w:tcBorders>
                  <w:vAlign w:val="center"/>
                </w:tcPr>
                <w:p>
                  <w:pPr>
                    <w:pStyle w:val="3"/>
                    <w:numPr>
                      <w:ilvl w:val="0"/>
                      <w:numId w:val="0"/>
                    </w:numPr>
                    <w:jc w:val="center"/>
                    <w:rPr>
                      <w:color w:val="auto"/>
                    </w:rPr>
                  </w:pPr>
                  <w:ins w:id="142" w:author="Sunny" w:date="2022-12-29T09:26:00Z">
                    <w:r>
                      <w:rPr>
                        <w:rFonts w:hint="eastAsia"/>
                        <w:color w:val="auto"/>
                      </w:rPr>
                      <w:t>20kg/箱</w:t>
                    </w:r>
                  </w:ins>
                </w:p>
              </w:tc>
              <w:tc>
                <w:tcPr>
                  <w:tcW w:w="855" w:type="dxa"/>
                  <w:tcBorders>
                    <w:tl2br w:val="nil"/>
                    <w:tr2bl w:val="nil"/>
                  </w:tcBorders>
                  <w:vAlign w:val="center"/>
                </w:tcPr>
                <w:p>
                  <w:pPr>
                    <w:pStyle w:val="3"/>
                    <w:numPr>
                      <w:ilvl w:val="0"/>
                      <w:numId w:val="0"/>
                    </w:numPr>
                    <w:jc w:val="center"/>
                    <w:rPr>
                      <w:color w:val="auto"/>
                    </w:rPr>
                  </w:pPr>
                  <w:ins w:id="143" w:author="Sunny" w:date="2022-12-29T09:27:00Z">
                    <w:r>
                      <w:rPr>
                        <w:rFonts w:hint="eastAsia"/>
                        <w:color w:val="auto"/>
                      </w:rPr>
                      <w:t>8t</w:t>
                    </w:r>
                  </w:ins>
                </w:p>
              </w:tc>
              <w:tc>
                <w:tcPr>
                  <w:tcW w:w="862" w:type="dxa"/>
                  <w:vMerge w:val="restart"/>
                  <w:tcBorders>
                    <w:tl2br w:val="nil"/>
                    <w:tr2bl w:val="nil"/>
                  </w:tcBorders>
                  <w:vAlign w:val="center"/>
                </w:tcPr>
                <w:p>
                  <w:pPr>
                    <w:pStyle w:val="3"/>
                    <w:numPr>
                      <w:ilvl w:val="0"/>
                      <w:numId w:val="0"/>
                    </w:numPr>
                    <w:jc w:val="center"/>
                    <w:rPr>
                      <w:color w:val="auto"/>
                    </w:rPr>
                  </w:pPr>
                  <w:ins w:id="144" w:author="Sunny" w:date="2022-12-28T13:20:00Z">
                    <w:r>
                      <w:rPr>
                        <w:rFonts w:hint="eastAsia"/>
                        <w:color w:val="auto"/>
                      </w:rPr>
                      <w:t>车间三原材料存放区</w:t>
                    </w:r>
                  </w:ins>
                </w:p>
              </w:tc>
              <w:tc>
                <w:tcPr>
                  <w:tcW w:w="779" w:type="dxa"/>
                  <w:vMerge w:val="restart"/>
                  <w:tcBorders>
                    <w:tl2br w:val="nil"/>
                    <w:tr2bl w:val="nil"/>
                  </w:tcBorders>
                  <w:vAlign w:val="center"/>
                </w:tcPr>
                <w:p>
                  <w:pPr>
                    <w:pStyle w:val="3"/>
                    <w:numPr>
                      <w:ilvl w:val="0"/>
                      <w:numId w:val="0"/>
                    </w:numPr>
                    <w:jc w:val="center"/>
                    <w:rPr>
                      <w:color w:val="auto"/>
                    </w:rPr>
                  </w:pPr>
                  <w:r>
                    <w:rPr>
                      <w:rFonts w:hint="eastAsia"/>
                      <w:color w:val="auto"/>
                    </w:rPr>
                    <w:t>喷粉生产线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50" w:type="dxa"/>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4"/>
                      <w:lang w:val="en-US" w:eastAsia="zh-CN" w:bidi="ar-SA"/>
                    </w:rPr>
                  </w:pPr>
                  <w:r>
                    <w:rPr>
                      <w:color w:val="auto"/>
                      <w:szCs w:val="21"/>
                    </w:rPr>
                    <w:t>8</w:t>
                  </w:r>
                </w:p>
              </w:tc>
              <w:tc>
                <w:tcPr>
                  <w:tcW w:w="1260" w:type="dxa"/>
                  <w:tcBorders>
                    <w:tl2br w:val="nil"/>
                    <w:tr2bl w:val="nil"/>
                  </w:tcBorders>
                  <w:vAlign w:val="center"/>
                </w:tcPr>
                <w:p>
                  <w:pPr>
                    <w:jc w:val="center"/>
                    <w:rPr>
                      <w:color w:val="auto"/>
                      <w:szCs w:val="21"/>
                    </w:rPr>
                  </w:pPr>
                  <w:ins w:id="145" w:author="Sunny" w:date="2022-12-28T13:15:00Z">
                    <w:r>
                      <w:rPr>
                        <w:color w:val="auto"/>
                        <w:szCs w:val="21"/>
                      </w:rPr>
                      <w:t>无磷转化液</w:t>
                    </w:r>
                  </w:ins>
                </w:p>
              </w:tc>
              <w:tc>
                <w:tcPr>
                  <w:tcW w:w="750" w:type="dxa"/>
                  <w:tcBorders>
                    <w:right w:val="single" w:color="000000" w:sz="4" w:space="0"/>
                    <w:tl2br w:val="nil"/>
                    <w:tr2bl w:val="nil"/>
                  </w:tcBorders>
                  <w:vAlign w:val="center"/>
                </w:tcPr>
                <w:p>
                  <w:pPr>
                    <w:jc w:val="center"/>
                    <w:rPr>
                      <w:color w:val="auto"/>
                      <w:szCs w:val="21"/>
                    </w:rPr>
                  </w:pPr>
                  <w:r>
                    <w:rPr>
                      <w:rFonts w:hint="eastAsia"/>
                      <w:color w:val="auto"/>
                      <w:szCs w:val="21"/>
                      <w:lang w:val="en-US" w:eastAsia="zh-CN"/>
                    </w:rPr>
                    <w:t>0</w:t>
                  </w:r>
                </w:p>
              </w:tc>
              <w:tc>
                <w:tcPr>
                  <w:tcW w:w="852" w:type="dxa"/>
                  <w:tcBorders>
                    <w:left w:val="single" w:color="000000" w:sz="4" w:space="0"/>
                    <w:right w:val="single" w:color="000000" w:sz="4" w:space="0"/>
                    <w:tl2br w:val="nil"/>
                    <w:tr2bl w:val="nil"/>
                  </w:tcBorders>
                  <w:vAlign w:val="center"/>
                </w:tcPr>
                <w:p>
                  <w:pPr>
                    <w:jc w:val="center"/>
                    <w:rPr>
                      <w:color w:val="auto"/>
                      <w:szCs w:val="21"/>
                    </w:rPr>
                  </w:pPr>
                  <w:r>
                    <w:rPr>
                      <w:color w:val="auto"/>
                      <w:szCs w:val="21"/>
                    </w:rPr>
                    <w:t>9t/a</w:t>
                  </w:r>
                </w:p>
              </w:tc>
              <w:tc>
                <w:tcPr>
                  <w:tcW w:w="963" w:type="dxa"/>
                  <w:tcBorders>
                    <w:left w:val="single" w:color="000000" w:sz="4" w:space="0"/>
                    <w:tl2br w:val="nil"/>
                    <w:tr2bl w:val="nil"/>
                  </w:tcBorders>
                  <w:vAlign w:val="center"/>
                </w:tcPr>
                <w:p>
                  <w:pPr>
                    <w:jc w:val="center"/>
                    <w:rPr>
                      <w:rFonts w:hint="eastAsia" w:eastAsia="宋体"/>
                      <w:color w:val="auto"/>
                      <w:szCs w:val="21"/>
                      <w:lang w:val="en-US" w:eastAsia="zh-CN"/>
                    </w:rPr>
                  </w:pPr>
                  <w:r>
                    <w:rPr>
                      <w:rFonts w:hint="eastAsia"/>
                      <w:color w:val="auto"/>
                      <w:szCs w:val="21"/>
                      <w:lang w:val="en-US" w:eastAsia="zh-CN"/>
                    </w:rPr>
                    <w:t>+</w:t>
                  </w:r>
                  <w:r>
                    <w:rPr>
                      <w:color w:val="auto"/>
                      <w:szCs w:val="21"/>
                    </w:rPr>
                    <w:t>9t/a</w:t>
                  </w:r>
                </w:p>
              </w:tc>
              <w:tc>
                <w:tcPr>
                  <w:tcW w:w="825" w:type="dxa"/>
                  <w:tcBorders>
                    <w:tl2br w:val="nil"/>
                    <w:tr2bl w:val="nil"/>
                  </w:tcBorders>
                  <w:vAlign w:val="center"/>
                </w:tcPr>
                <w:p>
                  <w:pPr>
                    <w:pStyle w:val="3"/>
                    <w:numPr>
                      <w:ilvl w:val="0"/>
                      <w:numId w:val="0"/>
                    </w:numPr>
                    <w:jc w:val="center"/>
                    <w:rPr>
                      <w:color w:val="auto"/>
                    </w:rPr>
                  </w:pPr>
                  <w:r>
                    <w:rPr>
                      <w:rFonts w:hint="eastAsia"/>
                      <w:color w:val="auto"/>
                    </w:rPr>
                    <w:t>液态</w:t>
                  </w:r>
                </w:p>
              </w:tc>
              <w:tc>
                <w:tcPr>
                  <w:tcW w:w="945" w:type="dxa"/>
                  <w:tcBorders>
                    <w:tl2br w:val="nil"/>
                    <w:tr2bl w:val="nil"/>
                  </w:tcBorders>
                  <w:vAlign w:val="center"/>
                </w:tcPr>
                <w:p>
                  <w:pPr>
                    <w:pStyle w:val="3"/>
                    <w:numPr>
                      <w:ilvl w:val="0"/>
                      <w:numId w:val="0"/>
                    </w:numPr>
                    <w:jc w:val="center"/>
                    <w:rPr>
                      <w:color w:val="auto"/>
                    </w:rPr>
                  </w:pPr>
                  <w:ins w:id="146" w:author="Sunny" w:date="2022-12-29T09:27:00Z">
                    <w:r>
                      <w:rPr>
                        <w:rFonts w:hint="eastAsia"/>
                        <w:color w:val="auto"/>
                      </w:rPr>
                      <w:t>30kg/桶</w:t>
                    </w:r>
                  </w:ins>
                </w:p>
              </w:tc>
              <w:tc>
                <w:tcPr>
                  <w:tcW w:w="855" w:type="dxa"/>
                  <w:tcBorders>
                    <w:tl2br w:val="nil"/>
                    <w:tr2bl w:val="nil"/>
                  </w:tcBorders>
                  <w:vAlign w:val="center"/>
                </w:tcPr>
                <w:p>
                  <w:pPr>
                    <w:pStyle w:val="3"/>
                    <w:numPr>
                      <w:ilvl w:val="0"/>
                      <w:numId w:val="0"/>
                    </w:numPr>
                    <w:jc w:val="center"/>
                    <w:rPr>
                      <w:color w:val="auto"/>
                    </w:rPr>
                  </w:pPr>
                  <w:ins w:id="147" w:author="Sunny" w:date="2022-12-29T09:27:00Z">
                    <w:r>
                      <w:rPr>
                        <w:rFonts w:hint="eastAsia"/>
                        <w:color w:val="auto"/>
                      </w:rPr>
                      <w:t>2t</w:t>
                    </w:r>
                  </w:ins>
                </w:p>
              </w:tc>
              <w:tc>
                <w:tcPr>
                  <w:tcW w:w="862" w:type="dxa"/>
                  <w:vMerge w:val="continue"/>
                  <w:tcBorders>
                    <w:tl2br w:val="nil"/>
                    <w:tr2bl w:val="nil"/>
                  </w:tcBorders>
                  <w:vAlign w:val="center"/>
                </w:tcPr>
                <w:p>
                  <w:pPr>
                    <w:pStyle w:val="3"/>
                    <w:numPr>
                      <w:ilvl w:val="0"/>
                      <w:numId w:val="0"/>
                    </w:numPr>
                    <w:jc w:val="center"/>
                    <w:rPr>
                      <w:color w:val="auto"/>
                    </w:rPr>
                  </w:pPr>
                </w:p>
              </w:tc>
              <w:tc>
                <w:tcPr>
                  <w:tcW w:w="779" w:type="dxa"/>
                  <w:vMerge w:val="continue"/>
                  <w:tcBorders>
                    <w:tl2br w:val="nil"/>
                    <w:tr2bl w:val="nil"/>
                  </w:tcBorders>
                  <w:vAlign w:val="center"/>
                </w:tcPr>
                <w:p>
                  <w:pPr>
                    <w:pStyle w:val="3"/>
                    <w:numPr>
                      <w:ilvl w:val="0"/>
                      <w:numId w:val="0"/>
                    </w:numPr>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dxa"/>
                  <w:tcBorders>
                    <w:tl2br w:val="nil"/>
                    <w:tr2bl w:val="nil"/>
                  </w:tcBorders>
                  <w:vAlign w:val="center"/>
                </w:tcPr>
                <w:p>
                  <w:pPr>
                    <w:adjustRightInd w:val="0"/>
                    <w:snapToGrid w:val="0"/>
                    <w:jc w:val="center"/>
                    <w:rPr>
                      <w:rFonts w:hint="eastAsia" w:eastAsia="宋体"/>
                      <w:color w:val="auto"/>
                      <w:lang w:val="en-US" w:eastAsia="zh-CN"/>
                    </w:rPr>
                  </w:pPr>
                  <w:r>
                    <w:rPr>
                      <w:rFonts w:hint="eastAsia"/>
                      <w:color w:val="auto"/>
                      <w:lang w:val="en-US" w:eastAsia="zh-CN"/>
                    </w:rPr>
                    <w:t>9</w:t>
                  </w:r>
                </w:p>
              </w:tc>
              <w:tc>
                <w:tcPr>
                  <w:tcW w:w="1260" w:type="dxa"/>
                  <w:tcBorders>
                    <w:tl2br w:val="nil"/>
                    <w:tr2bl w:val="nil"/>
                  </w:tcBorders>
                  <w:vAlign w:val="center"/>
                </w:tcPr>
                <w:p>
                  <w:pPr>
                    <w:jc w:val="center"/>
                    <w:rPr>
                      <w:color w:val="auto"/>
                      <w:szCs w:val="21"/>
                    </w:rPr>
                  </w:pPr>
                  <w:ins w:id="148" w:author="Sunny" w:date="2022-12-28T13:14:00Z">
                    <w:r>
                      <w:rPr>
                        <w:color w:val="auto"/>
                        <w:szCs w:val="21"/>
                      </w:rPr>
                      <w:t>硅烷处理剂</w:t>
                    </w:r>
                  </w:ins>
                </w:p>
              </w:tc>
              <w:tc>
                <w:tcPr>
                  <w:tcW w:w="750" w:type="dxa"/>
                  <w:tcBorders>
                    <w:right w:val="single" w:color="000000" w:sz="4" w:space="0"/>
                    <w:tl2br w:val="nil"/>
                    <w:tr2bl w:val="nil"/>
                  </w:tcBorders>
                  <w:vAlign w:val="center"/>
                </w:tcPr>
                <w:p>
                  <w:pPr>
                    <w:jc w:val="center"/>
                    <w:rPr>
                      <w:color w:val="auto"/>
                      <w:szCs w:val="21"/>
                    </w:rPr>
                  </w:pPr>
                  <w:r>
                    <w:rPr>
                      <w:rFonts w:hint="eastAsia"/>
                      <w:color w:val="auto"/>
                      <w:szCs w:val="21"/>
                      <w:lang w:val="en-US" w:eastAsia="zh-CN"/>
                    </w:rPr>
                    <w:t>0</w:t>
                  </w:r>
                </w:p>
              </w:tc>
              <w:tc>
                <w:tcPr>
                  <w:tcW w:w="852" w:type="dxa"/>
                  <w:tcBorders>
                    <w:left w:val="single" w:color="000000" w:sz="4" w:space="0"/>
                    <w:right w:val="single" w:color="000000" w:sz="4" w:space="0"/>
                    <w:tl2br w:val="nil"/>
                    <w:tr2bl w:val="nil"/>
                  </w:tcBorders>
                  <w:vAlign w:val="center"/>
                </w:tcPr>
                <w:p>
                  <w:pPr>
                    <w:jc w:val="center"/>
                    <w:rPr>
                      <w:color w:val="auto"/>
                      <w:szCs w:val="21"/>
                    </w:rPr>
                  </w:pPr>
                  <w:r>
                    <w:rPr>
                      <w:color w:val="auto"/>
                      <w:szCs w:val="21"/>
                    </w:rPr>
                    <w:t>1t/a</w:t>
                  </w:r>
                </w:p>
              </w:tc>
              <w:tc>
                <w:tcPr>
                  <w:tcW w:w="963" w:type="dxa"/>
                  <w:tcBorders>
                    <w:left w:val="single" w:color="000000" w:sz="4" w:space="0"/>
                    <w:tl2br w:val="nil"/>
                    <w:tr2bl w:val="nil"/>
                  </w:tcBorders>
                  <w:vAlign w:val="center"/>
                </w:tcPr>
                <w:p>
                  <w:pPr>
                    <w:jc w:val="center"/>
                    <w:rPr>
                      <w:color w:val="auto"/>
                      <w:szCs w:val="21"/>
                    </w:rPr>
                  </w:pPr>
                  <w:r>
                    <w:rPr>
                      <w:rFonts w:hint="eastAsia"/>
                      <w:color w:val="auto"/>
                      <w:szCs w:val="21"/>
                      <w:lang w:val="en-US" w:eastAsia="zh-CN"/>
                    </w:rPr>
                    <w:t>+</w:t>
                  </w:r>
                  <w:r>
                    <w:rPr>
                      <w:color w:val="auto"/>
                      <w:szCs w:val="21"/>
                    </w:rPr>
                    <w:t>1t/a</w:t>
                  </w:r>
                </w:p>
              </w:tc>
              <w:tc>
                <w:tcPr>
                  <w:tcW w:w="825" w:type="dxa"/>
                  <w:tcBorders>
                    <w:tl2br w:val="nil"/>
                    <w:tr2bl w:val="nil"/>
                  </w:tcBorders>
                  <w:vAlign w:val="center"/>
                </w:tcPr>
                <w:p>
                  <w:pPr>
                    <w:pStyle w:val="3"/>
                    <w:numPr>
                      <w:ilvl w:val="0"/>
                      <w:numId w:val="0"/>
                    </w:numPr>
                    <w:jc w:val="center"/>
                    <w:rPr>
                      <w:color w:val="auto"/>
                    </w:rPr>
                  </w:pPr>
                  <w:ins w:id="149" w:author="Sunny" w:date="2022-12-28T13:16:00Z">
                    <w:r>
                      <w:rPr>
                        <w:rFonts w:hint="eastAsia"/>
                        <w:color w:val="auto"/>
                      </w:rPr>
                      <w:t>液态</w:t>
                    </w:r>
                  </w:ins>
                </w:p>
              </w:tc>
              <w:tc>
                <w:tcPr>
                  <w:tcW w:w="945" w:type="dxa"/>
                  <w:tcBorders>
                    <w:tl2br w:val="nil"/>
                    <w:tr2bl w:val="nil"/>
                  </w:tcBorders>
                  <w:vAlign w:val="center"/>
                </w:tcPr>
                <w:p>
                  <w:pPr>
                    <w:pStyle w:val="3"/>
                    <w:numPr>
                      <w:ilvl w:val="0"/>
                      <w:numId w:val="0"/>
                    </w:numPr>
                    <w:jc w:val="center"/>
                    <w:rPr>
                      <w:color w:val="auto"/>
                    </w:rPr>
                  </w:pPr>
                  <w:ins w:id="150" w:author="Sunny" w:date="2022-12-29T09:27:00Z">
                    <w:r>
                      <w:rPr>
                        <w:rFonts w:hint="eastAsia"/>
                        <w:color w:val="auto"/>
                      </w:rPr>
                      <w:t>30kg/桶</w:t>
                    </w:r>
                  </w:ins>
                </w:p>
              </w:tc>
              <w:tc>
                <w:tcPr>
                  <w:tcW w:w="855" w:type="dxa"/>
                  <w:tcBorders>
                    <w:tl2br w:val="nil"/>
                    <w:tr2bl w:val="nil"/>
                  </w:tcBorders>
                  <w:vAlign w:val="center"/>
                </w:tcPr>
                <w:p>
                  <w:pPr>
                    <w:pStyle w:val="3"/>
                    <w:numPr>
                      <w:ilvl w:val="0"/>
                      <w:numId w:val="0"/>
                    </w:numPr>
                    <w:jc w:val="center"/>
                    <w:rPr>
                      <w:color w:val="auto"/>
                    </w:rPr>
                  </w:pPr>
                  <w:ins w:id="151" w:author="Sunny" w:date="2022-12-29T09:27:00Z">
                    <w:r>
                      <w:rPr>
                        <w:rFonts w:hint="eastAsia"/>
                        <w:color w:val="auto"/>
                      </w:rPr>
                      <w:t>2t</w:t>
                    </w:r>
                  </w:ins>
                </w:p>
              </w:tc>
              <w:tc>
                <w:tcPr>
                  <w:tcW w:w="862" w:type="dxa"/>
                  <w:vMerge w:val="continue"/>
                  <w:tcBorders>
                    <w:tl2br w:val="nil"/>
                    <w:tr2bl w:val="nil"/>
                  </w:tcBorders>
                  <w:vAlign w:val="center"/>
                </w:tcPr>
                <w:p>
                  <w:pPr>
                    <w:pStyle w:val="3"/>
                    <w:numPr>
                      <w:ilvl w:val="0"/>
                      <w:numId w:val="0"/>
                    </w:numPr>
                    <w:jc w:val="center"/>
                    <w:rPr>
                      <w:color w:val="auto"/>
                    </w:rPr>
                  </w:pPr>
                </w:p>
              </w:tc>
              <w:tc>
                <w:tcPr>
                  <w:tcW w:w="779" w:type="dxa"/>
                  <w:vMerge w:val="continue"/>
                  <w:tcBorders>
                    <w:tl2br w:val="nil"/>
                    <w:tr2bl w:val="nil"/>
                  </w:tcBorders>
                  <w:vAlign w:val="center"/>
                </w:tcPr>
                <w:p>
                  <w:pPr>
                    <w:pStyle w:val="3"/>
                    <w:numPr>
                      <w:ilvl w:val="0"/>
                      <w:numId w:val="0"/>
                    </w:numPr>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50" w:type="dxa"/>
                  <w:tcBorders>
                    <w:tl2br w:val="nil"/>
                    <w:tr2bl w:val="nil"/>
                  </w:tcBorders>
                  <w:vAlign w:val="center"/>
                </w:tcPr>
                <w:p>
                  <w:pPr>
                    <w:adjustRightInd w:val="0"/>
                    <w:snapToGrid w:val="0"/>
                    <w:jc w:val="center"/>
                    <w:rPr>
                      <w:rFonts w:hint="default" w:eastAsia="宋体"/>
                      <w:color w:val="auto"/>
                      <w:lang w:val="en-US" w:eastAsia="zh-CN"/>
                    </w:rPr>
                  </w:pPr>
                  <w:r>
                    <w:rPr>
                      <w:rFonts w:hint="eastAsia"/>
                      <w:color w:val="auto"/>
                      <w:szCs w:val="21"/>
                      <w:lang w:val="en-US" w:eastAsia="zh-CN"/>
                    </w:rPr>
                    <w:t>10</w:t>
                  </w:r>
                </w:p>
              </w:tc>
              <w:tc>
                <w:tcPr>
                  <w:tcW w:w="1260" w:type="dxa"/>
                  <w:tcBorders>
                    <w:tl2br w:val="nil"/>
                    <w:tr2bl w:val="nil"/>
                  </w:tcBorders>
                  <w:vAlign w:val="center"/>
                </w:tcPr>
                <w:p>
                  <w:pPr>
                    <w:jc w:val="center"/>
                    <w:rPr>
                      <w:color w:val="auto"/>
                      <w:szCs w:val="21"/>
                    </w:rPr>
                  </w:pPr>
                  <w:r>
                    <w:rPr>
                      <w:color w:val="auto"/>
                      <w:szCs w:val="21"/>
                    </w:rPr>
                    <w:t>脱脂剂</w:t>
                  </w:r>
                </w:p>
              </w:tc>
              <w:tc>
                <w:tcPr>
                  <w:tcW w:w="750" w:type="dxa"/>
                  <w:tcBorders>
                    <w:right w:val="single" w:color="000000" w:sz="4" w:space="0"/>
                    <w:tl2br w:val="nil"/>
                    <w:tr2bl w:val="nil"/>
                  </w:tcBorders>
                  <w:vAlign w:val="center"/>
                </w:tcPr>
                <w:p>
                  <w:pPr>
                    <w:jc w:val="center"/>
                    <w:rPr>
                      <w:color w:val="auto"/>
                      <w:szCs w:val="21"/>
                    </w:rPr>
                  </w:pPr>
                  <w:r>
                    <w:rPr>
                      <w:rFonts w:hint="eastAsia"/>
                      <w:color w:val="auto"/>
                      <w:szCs w:val="21"/>
                      <w:lang w:val="en-US" w:eastAsia="zh-CN"/>
                    </w:rPr>
                    <w:t>0</w:t>
                  </w:r>
                </w:p>
              </w:tc>
              <w:tc>
                <w:tcPr>
                  <w:tcW w:w="852" w:type="dxa"/>
                  <w:tcBorders>
                    <w:left w:val="single" w:color="000000" w:sz="4" w:space="0"/>
                    <w:right w:val="single" w:color="000000" w:sz="4" w:space="0"/>
                    <w:tl2br w:val="nil"/>
                    <w:tr2bl w:val="nil"/>
                  </w:tcBorders>
                  <w:vAlign w:val="center"/>
                </w:tcPr>
                <w:p>
                  <w:pPr>
                    <w:jc w:val="center"/>
                    <w:rPr>
                      <w:color w:val="auto"/>
                      <w:szCs w:val="21"/>
                    </w:rPr>
                  </w:pPr>
                  <w:r>
                    <w:rPr>
                      <w:color w:val="auto"/>
                      <w:szCs w:val="21"/>
                    </w:rPr>
                    <w:t>12t/a</w:t>
                  </w:r>
                </w:p>
              </w:tc>
              <w:tc>
                <w:tcPr>
                  <w:tcW w:w="963" w:type="dxa"/>
                  <w:tcBorders>
                    <w:left w:val="single" w:color="000000" w:sz="4" w:space="0"/>
                    <w:tl2br w:val="nil"/>
                    <w:tr2bl w:val="nil"/>
                  </w:tcBorders>
                  <w:vAlign w:val="center"/>
                </w:tcPr>
                <w:p>
                  <w:pPr>
                    <w:jc w:val="center"/>
                    <w:rPr>
                      <w:color w:val="auto"/>
                      <w:szCs w:val="21"/>
                    </w:rPr>
                  </w:pPr>
                  <w:r>
                    <w:rPr>
                      <w:rFonts w:hint="eastAsia"/>
                      <w:color w:val="auto"/>
                      <w:szCs w:val="21"/>
                      <w:lang w:val="en-US" w:eastAsia="zh-CN"/>
                    </w:rPr>
                    <w:t>+</w:t>
                  </w:r>
                  <w:r>
                    <w:rPr>
                      <w:color w:val="auto"/>
                      <w:szCs w:val="21"/>
                    </w:rPr>
                    <w:t>12t/a</w:t>
                  </w:r>
                </w:p>
              </w:tc>
              <w:tc>
                <w:tcPr>
                  <w:tcW w:w="825" w:type="dxa"/>
                  <w:tcBorders>
                    <w:tl2br w:val="nil"/>
                    <w:tr2bl w:val="nil"/>
                  </w:tcBorders>
                  <w:vAlign w:val="center"/>
                </w:tcPr>
                <w:p>
                  <w:pPr>
                    <w:pStyle w:val="3"/>
                    <w:numPr>
                      <w:ilvl w:val="0"/>
                      <w:numId w:val="0"/>
                    </w:numPr>
                    <w:jc w:val="center"/>
                    <w:rPr>
                      <w:color w:val="auto"/>
                    </w:rPr>
                  </w:pPr>
                  <w:r>
                    <w:rPr>
                      <w:rFonts w:hint="eastAsia"/>
                      <w:color w:val="auto"/>
                    </w:rPr>
                    <w:t>液态</w:t>
                  </w:r>
                </w:p>
              </w:tc>
              <w:tc>
                <w:tcPr>
                  <w:tcW w:w="945" w:type="dxa"/>
                  <w:tcBorders>
                    <w:tl2br w:val="nil"/>
                    <w:tr2bl w:val="nil"/>
                  </w:tcBorders>
                  <w:vAlign w:val="center"/>
                </w:tcPr>
                <w:p>
                  <w:pPr>
                    <w:pStyle w:val="3"/>
                    <w:numPr>
                      <w:ilvl w:val="0"/>
                      <w:numId w:val="0"/>
                    </w:numPr>
                    <w:jc w:val="center"/>
                    <w:rPr>
                      <w:color w:val="auto"/>
                    </w:rPr>
                  </w:pPr>
                  <w:ins w:id="152" w:author="Sunny" w:date="2022-12-29T09:27:00Z">
                    <w:r>
                      <w:rPr>
                        <w:rFonts w:hint="eastAsia"/>
                        <w:color w:val="auto"/>
                      </w:rPr>
                      <w:t>30kg/桶</w:t>
                    </w:r>
                  </w:ins>
                </w:p>
              </w:tc>
              <w:tc>
                <w:tcPr>
                  <w:tcW w:w="855" w:type="dxa"/>
                  <w:tcBorders>
                    <w:tl2br w:val="nil"/>
                    <w:tr2bl w:val="nil"/>
                  </w:tcBorders>
                  <w:vAlign w:val="center"/>
                </w:tcPr>
                <w:p>
                  <w:pPr>
                    <w:pStyle w:val="3"/>
                    <w:numPr>
                      <w:ilvl w:val="0"/>
                      <w:numId w:val="0"/>
                    </w:numPr>
                    <w:jc w:val="center"/>
                    <w:rPr>
                      <w:color w:val="auto"/>
                    </w:rPr>
                  </w:pPr>
                  <w:ins w:id="153" w:author="Sunny" w:date="2022-12-29T09:27:00Z">
                    <w:r>
                      <w:rPr>
                        <w:rFonts w:hint="eastAsia"/>
                        <w:color w:val="auto"/>
                      </w:rPr>
                      <w:t>2t</w:t>
                    </w:r>
                  </w:ins>
                </w:p>
              </w:tc>
              <w:tc>
                <w:tcPr>
                  <w:tcW w:w="862" w:type="dxa"/>
                  <w:vMerge w:val="continue"/>
                  <w:tcBorders>
                    <w:tl2br w:val="nil"/>
                    <w:tr2bl w:val="nil"/>
                  </w:tcBorders>
                  <w:vAlign w:val="center"/>
                </w:tcPr>
                <w:p>
                  <w:pPr>
                    <w:pStyle w:val="3"/>
                    <w:numPr>
                      <w:ilvl w:val="0"/>
                      <w:numId w:val="0"/>
                    </w:numPr>
                    <w:jc w:val="center"/>
                    <w:rPr>
                      <w:color w:val="auto"/>
                    </w:rPr>
                  </w:pPr>
                </w:p>
              </w:tc>
              <w:tc>
                <w:tcPr>
                  <w:tcW w:w="779" w:type="dxa"/>
                  <w:vMerge w:val="continue"/>
                  <w:tcBorders>
                    <w:tl2br w:val="nil"/>
                    <w:tr2bl w:val="nil"/>
                  </w:tcBorders>
                  <w:vAlign w:val="center"/>
                </w:tcPr>
                <w:p>
                  <w:pPr>
                    <w:pStyle w:val="3"/>
                    <w:numPr>
                      <w:ilvl w:val="0"/>
                      <w:numId w:val="0"/>
                    </w:numPr>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50" w:type="dxa"/>
                  <w:tcBorders>
                    <w:tl2br w:val="nil"/>
                    <w:tr2bl w:val="nil"/>
                  </w:tcBorders>
                  <w:vAlign w:val="center"/>
                </w:tcPr>
                <w:p>
                  <w:pPr>
                    <w:adjustRightInd w:val="0"/>
                    <w:snapToGrid w:val="0"/>
                    <w:jc w:val="center"/>
                    <w:rPr>
                      <w:rFonts w:hint="default" w:eastAsia="宋体"/>
                      <w:color w:val="auto"/>
                      <w:lang w:val="en-US" w:eastAsia="zh-CN"/>
                    </w:rPr>
                  </w:pPr>
                  <w:r>
                    <w:rPr>
                      <w:rFonts w:hint="eastAsia"/>
                      <w:color w:val="auto"/>
                      <w:szCs w:val="21"/>
                      <w:lang w:val="en-US" w:eastAsia="zh-CN"/>
                    </w:rPr>
                    <w:t>11</w:t>
                  </w:r>
                </w:p>
              </w:tc>
              <w:tc>
                <w:tcPr>
                  <w:tcW w:w="1260" w:type="dxa"/>
                  <w:tcBorders>
                    <w:tl2br w:val="nil"/>
                    <w:tr2bl w:val="nil"/>
                  </w:tcBorders>
                  <w:vAlign w:val="center"/>
                </w:tcPr>
                <w:p>
                  <w:pPr>
                    <w:jc w:val="center"/>
                    <w:rPr>
                      <w:color w:val="auto"/>
                      <w:szCs w:val="21"/>
                    </w:rPr>
                  </w:pPr>
                  <w:r>
                    <w:rPr>
                      <w:color w:val="auto"/>
                      <w:szCs w:val="21"/>
                    </w:rPr>
                    <w:t>脱脂助剂</w:t>
                  </w:r>
                </w:p>
              </w:tc>
              <w:tc>
                <w:tcPr>
                  <w:tcW w:w="750" w:type="dxa"/>
                  <w:tcBorders>
                    <w:right w:val="single" w:color="000000" w:sz="4" w:space="0"/>
                    <w:tl2br w:val="nil"/>
                    <w:tr2bl w:val="nil"/>
                  </w:tcBorders>
                  <w:vAlign w:val="center"/>
                </w:tcPr>
                <w:p>
                  <w:pPr>
                    <w:jc w:val="center"/>
                    <w:rPr>
                      <w:color w:val="auto"/>
                      <w:szCs w:val="21"/>
                    </w:rPr>
                  </w:pPr>
                  <w:r>
                    <w:rPr>
                      <w:rFonts w:hint="eastAsia"/>
                      <w:color w:val="auto"/>
                      <w:szCs w:val="21"/>
                      <w:lang w:val="en-US" w:eastAsia="zh-CN"/>
                    </w:rPr>
                    <w:t>0</w:t>
                  </w:r>
                </w:p>
              </w:tc>
              <w:tc>
                <w:tcPr>
                  <w:tcW w:w="852" w:type="dxa"/>
                  <w:tcBorders>
                    <w:left w:val="single" w:color="000000" w:sz="4" w:space="0"/>
                    <w:right w:val="single" w:color="000000" w:sz="4" w:space="0"/>
                    <w:tl2br w:val="nil"/>
                    <w:tr2bl w:val="nil"/>
                  </w:tcBorders>
                  <w:vAlign w:val="center"/>
                </w:tcPr>
                <w:p>
                  <w:pPr>
                    <w:jc w:val="center"/>
                    <w:rPr>
                      <w:color w:val="auto"/>
                      <w:szCs w:val="21"/>
                    </w:rPr>
                  </w:pPr>
                  <w:ins w:id="154" w:author="Sunny" w:date="2022-12-28T13:15:00Z">
                    <w:r>
                      <w:rPr>
                        <w:color w:val="auto"/>
                        <w:szCs w:val="21"/>
                      </w:rPr>
                      <w:t>1.</w:t>
                    </w:r>
                  </w:ins>
                  <w:r>
                    <w:rPr>
                      <w:color w:val="auto"/>
                      <w:szCs w:val="21"/>
                    </w:rPr>
                    <w:t>5</w:t>
                  </w:r>
                  <w:ins w:id="155" w:author="Sunny" w:date="2022-12-28T14:40:00Z">
                    <w:r>
                      <w:rPr>
                        <w:color w:val="auto"/>
                        <w:szCs w:val="21"/>
                      </w:rPr>
                      <w:t>t</w:t>
                    </w:r>
                  </w:ins>
                  <w:r>
                    <w:rPr>
                      <w:color w:val="auto"/>
                      <w:szCs w:val="21"/>
                    </w:rPr>
                    <w:t>/a</w:t>
                  </w:r>
                </w:p>
              </w:tc>
              <w:tc>
                <w:tcPr>
                  <w:tcW w:w="963" w:type="dxa"/>
                  <w:tcBorders>
                    <w:left w:val="single" w:color="000000" w:sz="4" w:space="0"/>
                    <w:tl2br w:val="nil"/>
                    <w:tr2bl w:val="nil"/>
                  </w:tcBorders>
                  <w:vAlign w:val="center"/>
                </w:tcPr>
                <w:p>
                  <w:pPr>
                    <w:jc w:val="center"/>
                    <w:rPr>
                      <w:color w:val="auto"/>
                      <w:szCs w:val="21"/>
                    </w:rPr>
                  </w:pPr>
                  <w:r>
                    <w:rPr>
                      <w:rFonts w:hint="eastAsia"/>
                      <w:color w:val="auto"/>
                      <w:szCs w:val="21"/>
                      <w:lang w:val="en-US" w:eastAsia="zh-CN"/>
                    </w:rPr>
                    <w:t>+</w:t>
                  </w:r>
                  <w:ins w:id="156" w:author="Sunny" w:date="2022-12-28T13:15:00Z">
                    <w:r>
                      <w:rPr>
                        <w:color w:val="auto"/>
                        <w:szCs w:val="21"/>
                      </w:rPr>
                      <w:t>1.</w:t>
                    </w:r>
                  </w:ins>
                  <w:r>
                    <w:rPr>
                      <w:color w:val="auto"/>
                      <w:szCs w:val="21"/>
                    </w:rPr>
                    <w:t>5</w:t>
                  </w:r>
                  <w:ins w:id="157" w:author="Sunny" w:date="2022-12-28T14:40:00Z">
                    <w:r>
                      <w:rPr>
                        <w:color w:val="auto"/>
                        <w:szCs w:val="21"/>
                      </w:rPr>
                      <w:t>t</w:t>
                    </w:r>
                  </w:ins>
                  <w:r>
                    <w:rPr>
                      <w:color w:val="auto"/>
                      <w:szCs w:val="21"/>
                    </w:rPr>
                    <w:t>/a</w:t>
                  </w:r>
                </w:p>
              </w:tc>
              <w:tc>
                <w:tcPr>
                  <w:tcW w:w="825" w:type="dxa"/>
                  <w:tcBorders>
                    <w:tl2br w:val="nil"/>
                    <w:tr2bl w:val="nil"/>
                  </w:tcBorders>
                  <w:vAlign w:val="center"/>
                </w:tcPr>
                <w:p>
                  <w:pPr>
                    <w:pStyle w:val="3"/>
                    <w:numPr>
                      <w:ilvl w:val="0"/>
                      <w:numId w:val="0"/>
                    </w:numPr>
                    <w:jc w:val="center"/>
                    <w:rPr>
                      <w:color w:val="auto"/>
                    </w:rPr>
                  </w:pPr>
                  <w:r>
                    <w:rPr>
                      <w:rFonts w:hint="eastAsia"/>
                      <w:color w:val="auto"/>
                    </w:rPr>
                    <w:t>液态</w:t>
                  </w:r>
                </w:p>
              </w:tc>
              <w:tc>
                <w:tcPr>
                  <w:tcW w:w="945" w:type="dxa"/>
                  <w:tcBorders>
                    <w:tl2br w:val="nil"/>
                    <w:tr2bl w:val="nil"/>
                  </w:tcBorders>
                  <w:vAlign w:val="center"/>
                </w:tcPr>
                <w:p>
                  <w:pPr>
                    <w:pStyle w:val="3"/>
                    <w:numPr>
                      <w:ilvl w:val="0"/>
                      <w:numId w:val="0"/>
                    </w:numPr>
                    <w:jc w:val="center"/>
                    <w:rPr>
                      <w:color w:val="auto"/>
                    </w:rPr>
                  </w:pPr>
                  <w:ins w:id="158" w:author="Sunny" w:date="2022-12-29T09:27:00Z">
                    <w:r>
                      <w:rPr>
                        <w:rFonts w:hint="eastAsia"/>
                        <w:color w:val="auto"/>
                      </w:rPr>
                      <w:t>30kg/桶</w:t>
                    </w:r>
                  </w:ins>
                </w:p>
              </w:tc>
              <w:tc>
                <w:tcPr>
                  <w:tcW w:w="855" w:type="dxa"/>
                  <w:tcBorders>
                    <w:tl2br w:val="nil"/>
                    <w:tr2bl w:val="nil"/>
                  </w:tcBorders>
                  <w:vAlign w:val="center"/>
                </w:tcPr>
                <w:p>
                  <w:pPr>
                    <w:pStyle w:val="3"/>
                    <w:numPr>
                      <w:ilvl w:val="0"/>
                      <w:numId w:val="0"/>
                    </w:numPr>
                    <w:jc w:val="center"/>
                    <w:rPr>
                      <w:color w:val="auto"/>
                    </w:rPr>
                  </w:pPr>
                  <w:ins w:id="159" w:author="Sunny" w:date="2022-12-29T09:27:00Z">
                    <w:r>
                      <w:rPr>
                        <w:rFonts w:hint="eastAsia"/>
                        <w:color w:val="auto"/>
                      </w:rPr>
                      <w:t>2t</w:t>
                    </w:r>
                  </w:ins>
                </w:p>
              </w:tc>
              <w:tc>
                <w:tcPr>
                  <w:tcW w:w="862" w:type="dxa"/>
                  <w:vMerge w:val="continue"/>
                  <w:tcBorders>
                    <w:tl2br w:val="nil"/>
                    <w:tr2bl w:val="nil"/>
                  </w:tcBorders>
                  <w:vAlign w:val="center"/>
                </w:tcPr>
                <w:p>
                  <w:pPr>
                    <w:pStyle w:val="3"/>
                    <w:numPr>
                      <w:ilvl w:val="0"/>
                      <w:numId w:val="0"/>
                    </w:numPr>
                    <w:jc w:val="center"/>
                    <w:rPr>
                      <w:color w:val="auto"/>
                    </w:rPr>
                  </w:pPr>
                </w:p>
              </w:tc>
              <w:tc>
                <w:tcPr>
                  <w:tcW w:w="779" w:type="dxa"/>
                  <w:vMerge w:val="continue"/>
                  <w:tcBorders>
                    <w:tl2br w:val="nil"/>
                    <w:tr2bl w:val="nil"/>
                  </w:tcBorders>
                  <w:vAlign w:val="center"/>
                </w:tcPr>
                <w:p>
                  <w:pPr>
                    <w:pStyle w:val="3"/>
                    <w:numPr>
                      <w:ilvl w:val="0"/>
                      <w:numId w:val="0"/>
                    </w:numPr>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ins w:id="160" w:author="Sunny" w:date="2022-12-28T13:16:00Z"/>
              </w:trPr>
              <w:tc>
                <w:tcPr>
                  <w:tcW w:w="450" w:type="dxa"/>
                  <w:tcBorders>
                    <w:tl2br w:val="nil"/>
                    <w:tr2bl w:val="nil"/>
                  </w:tcBorders>
                  <w:vAlign w:val="center"/>
                </w:tcPr>
                <w:p>
                  <w:pPr>
                    <w:adjustRightInd w:val="0"/>
                    <w:snapToGrid w:val="0"/>
                    <w:jc w:val="center"/>
                    <w:rPr>
                      <w:ins w:id="161" w:author="Sunny" w:date="2022-12-28T13:16:00Z"/>
                      <w:rFonts w:hint="eastAsia" w:eastAsia="宋体"/>
                      <w:color w:val="auto"/>
                      <w:lang w:eastAsia="zh-CN"/>
                    </w:rPr>
                  </w:pPr>
                  <w:r>
                    <w:rPr>
                      <w:color w:val="auto"/>
                      <w:szCs w:val="21"/>
                    </w:rPr>
                    <w:t>1</w:t>
                  </w:r>
                  <w:r>
                    <w:rPr>
                      <w:rFonts w:hint="eastAsia"/>
                      <w:color w:val="auto"/>
                      <w:szCs w:val="21"/>
                      <w:lang w:val="en-US" w:eastAsia="zh-CN"/>
                    </w:rPr>
                    <w:t>2</w:t>
                  </w:r>
                </w:p>
              </w:tc>
              <w:tc>
                <w:tcPr>
                  <w:tcW w:w="1260" w:type="dxa"/>
                  <w:tcBorders>
                    <w:tl2br w:val="nil"/>
                    <w:tr2bl w:val="nil"/>
                  </w:tcBorders>
                  <w:vAlign w:val="center"/>
                </w:tcPr>
                <w:p>
                  <w:pPr>
                    <w:jc w:val="center"/>
                    <w:rPr>
                      <w:ins w:id="162" w:author="Sunny" w:date="2022-12-28T13:16:00Z"/>
                      <w:color w:val="auto"/>
                      <w:szCs w:val="21"/>
                    </w:rPr>
                  </w:pPr>
                  <w:ins w:id="163" w:author="Sunny" w:date="2022-12-28T13:16:00Z">
                    <w:r>
                      <w:rPr>
                        <w:color w:val="auto"/>
                        <w:szCs w:val="21"/>
                      </w:rPr>
                      <w:t>酸碱度调整剂</w:t>
                    </w:r>
                  </w:ins>
                </w:p>
              </w:tc>
              <w:tc>
                <w:tcPr>
                  <w:tcW w:w="750" w:type="dxa"/>
                  <w:tcBorders>
                    <w:right w:val="single" w:color="000000" w:sz="4" w:space="0"/>
                    <w:tl2br w:val="nil"/>
                    <w:tr2bl w:val="nil"/>
                  </w:tcBorders>
                  <w:vAlign w:val="center"/>
                </w:tcPr>
                <w:p>
                  <w:pPr>
                    <w:jc w:val="center"/>
                    <w:rPr>
                      <w:ins w:id="164" w:author="Sunny" w:date="2022-12-28T13:16:00Z"/>
                      <w:color w:val="auto"/>
                      <w:szCs w:val="21"/>
                    </w:rPr>
                  </w:pPr>
                  <w:r>
                    <w:rPr>
                      <w:rFonts w:hint="eastAsia"/>
                      <w:color w:val="auto"/>
                      <w:szCs w:val="21"/>
                      <w:lang w:val="en-US" w:eastAsia="zh-CN"/>
                    </w:rPr>
                    <w:t>0</w:t>
                  </w:r>
                </w:p>
              </w:tc>
              <w:tc>
                <w:tcPr>
                  <w:tcW w:w="852" w:type="dxa"/>
                  <w:tcBorders>
                    <w:left w:val="single" w:color="000000" w:sz="4" w:space="0"/>
                    <w:right w:val="single" w:color="000000" w:sz="4" w:space="0"/>
                    <w:tl2br w:val="nil"/>
                    <w:tr2bl w:val="nil"/>
                  </w:tcBorders>
                  <w:vAlign w:val="center"/>
                </w:tcPr>
                <w:p>
                  <w:pPr>
                    <w:jc w:val="center"/>
                    <w:rPr>
                      <w:ins w:id="165" w:author="Sunny" w:date="2022-12-28T13:16:00Z"/>
                      <w:color w:val="auto"/>
                      <w:szCs w:val="21"/>
                    </w:rPr>
                  </w:pPr>
                  <w:ins w:id="166" w:author="Sunny" w:date="2022-12-28T13:16:00Z">
                    <w:r>
                      <w:rPr>
                        <w:color w:val="auto"/>
                        <w:szCs w:val="21"/>
                      </w:rPr>
                      <w:t>0.</w:t>
                    </w:r>
                  </w:ins>
                  <w:r>
                    <w:rPr>
                      <w:rFonts w:hint="eastAsia"/>
                      <w:color w:val="auto"/>
                      <w:szCs w:val="21"/>
                    </w:rPr>
                    <w:t>5</w:t>
                  </w:r>
                  <w:ins w:id="167" w:author="Sunny" w:date="2022-12-28T13:16:00Z">
                    <w:r>
                      <w:rPr>
                        <w:color w:val="auto"/>
                        <w:szCs w:val="21"/>
                      </w:rPr>
                      <w:t>t/a</w:t>
                    </w:r>
                  </w:ins>
                </w:p>
              </w:tc>
              <w:tc>
                <w:tcPr>
                  <w:tcW w:w="963" w:type="dxa"/>
                  <w:tcBorders>
                    <w:left w:val="single" w:color="000000" w:sz="4" w:space="0"/>
                    <w:tl2br w:val="nil"/>
                    <w:tr2bl w:val="nil"/>
                  </w:tcBorders>
                  <w:vAlign w:val="center"/>
                </w:tcPr>
                <w:p>
                  <w:pPr>
                    <w:jc w:val="center"/>
                    <w:rPr>
                      <w:ins w:id="168" w:author="Sunny" w:date="2022-12-28T13:16:00Z"/>
                      <w:color w:val="auto"/>
                      <w:szCs w:val="21"/>
                    </w:rPr>
                  </w:pPr>
                  <w:r>
                    <w:rPr>
                      <w:rFonts w:hint="eastAsia"/>
                      <w:color w:val="auto"/>
                      <w:szCs w:val="21"/>
                      <w:lang w:val="en-US" w:eastAsia="zh-CN"/>
                    </w:rPr>
                    <w:t>+</w:t>
                  </w:r>
                  <w:ins w:id="169" w:author="Sunny" w:date="2022-12-28T13:16:00Z">
                    <w:r>
                      <w:rPr>
                        <w:color w:val="auto"/>
                        <w:szCs w:val="21"/>
                      </w:rPr>
                      <w:t>0.</w:t>
                    </w:r>
                  </w:ins>
                  <w:r>
                    <w:rPr>
                      <w:rFonts w:hint="eastAsia"/>
                      <w:color w:val="auto"/>
                      <w:szCs w:val="21"/>
                    </w:rPr>
                    <w:t>5</w:t>
                  </w:r>
                  <w:ins w:id="170" w:author="Sunny" w:date="2022-12-28T13:16:00Z">
                    <w:r>
                      <w:rPr>
                        <w:color w:val="auto"/>
                        <w:szCs w:val="21"/>
                      </w:rPr>
                      <w:t>t/a</w:t>
                    </w:r>
                  </w:ins>
                </w:p>
              </w:tc>
              <w:tc>
                <w:tcPr>
                  <w:tcW w:w="825" w:type="dxa"/>
                  <w:tcBorders>
                    <w:tl2br w:val="nil"/>
                    <w:tr2bl w:val="nil"/>
                  </w:tcBorders>
                  <w:vAlign w:val="center"/>
                </w:tcPr>
                <w:p>
                  <w:pPr>
                    <w:adjustRightInd w:val="0"/>
                    <w:snapToGrid w:val="0"/>
                    <w:jc w:val="center"/>
                    <w:rPr>
                      <w:ins w:id="171" w:author="Sunny" w:date="2022-12-28T13:16:00Z"/>
                      <w:color w:val="auto"/>
                      <w:szCs w:val="21"/>
                    </w:rPr>
                  </w:pPr>
                  <w:ins w:id="172" w:author="Sunny" w:date="2022-12-28T13:16:00Z">
                    <w:r>
                      <w:rPr>
                        <w:rFonts w:hint="eastAsia"/>
                        <w:color w:val="auto"/>
                      </w:rPr>
                      <w:t>液态</w:t>
                    </w:r>
                  </w:ins>
                </w:p>
              </w:tc>
              <w:tc>
                <w:tcPr>
                  <w:tcW w:w="945" w:type="dxa"/>
                  <w:tcBorders>
                    <w:tl2br w:val="nil"/>
                    <w:tr2bl w:val="nil"/>
                  </w:tcBorders>
                  <w:vAlign w:val="center"/>
                </w:tcPr>
                <w:p>
                  <w:pPr>
                    <w:adjustRightInd w:val="0"/>
                    <w:snapToGrid w:val="0"/>
                    <w:jc w:val="center"/>
                    <w:rPr>
                      <w:ins w:id="173" w:author="Sunny" w:date="2022-12-28T13:16:00Z"/>
                      <w:color w:val="auto"/>
                      <w:szCs w:val="21"/>
                    </w:rPr>
                  </w:pPr>
                  <w:ins w:id="174" w:author="Sunny" w:date="2022-12-29T09:27:00Z">
                    <w:r>
                      <w:rPr>
                        <w:rFonts w:hint="eastAsia"/>
                        <w:color w:val="auto"/>
                      </w:rPr>
                      <w:t>30kg/桶</w:t>
                    </w:r>
                  </w:ins>
                </w:p>
              </w:tc>
              <w:tc>
                <w:tcPr>
                  <w:tcW w:w="855" w:type="dxa"/>
                  <w:tcBorders>
                    <w:tl2br w:val="nil"/>
                    <w:tr2bl w:val="nil"/>
                  </w:tcBorders>
                  <w:vAlign w:val="center"/>
                </w:tcPr>
                <w:p>
                  <w:pPr>
                    <w:adjustRightInd w:val="0"/>
                    <w:snapToGrid w:val="0"/>
                    <w:jc w:val="center"/>
                    <w:rPr>
                      <w:ins w:id="175" w:author="Sunny" w:date="2022-12-28T13:16:00Z"/>
                      <w:color w:val="auto"/>
                      <w:szCs w:val="21"/>
                    </w:rPr>
                  </w:pPr>
                  <w:ins w:id="176" w:author="Sunny" w:date="2022-12-29T09:27:00Z">
                    <w:r>
                      <w:rPr>
                        <w:rFonts w:hint="eastAsia"/>
                        <w:color w:val="auto"/>
                      </w:rPr>
                      <w:t>2t</w:t>
                    </w:r>
                  </w:ins>
                </w:p>
              </w:tc>
              <w:tc>
                <w:tcPr>
                  <w:tcW w:w="862" w:type="dxa"/>
                  <w:vMerge w:val="continue"/>
                  <w:tcBorders>
                    <w:tl2br w:val="nil"/>
                    <w:tr2bl w:val="nil"/>
                  </w:tcBorders>
                  <w:vAlign w:val="center"/>
                </w:tcPr>
                <w:p>
                  <w:pPr>
                    <w:adjustRightInd w:val="0"/>
                    <w:snapToGrid w:val="0"/>
                    <w:jc w:val="center"/>
                    <w:rPr>
                      <w:ins w:id="177" w:author="Sunny" w:date="2022-12-28T13:16:00Z"/>
                      <w:color w:val="auto"/>
                      <w:szCs w:val="21"/>
                    </w:rPr>
                  </w:pPr>
                </w:p>
              </w:tc>
              <w:tc>
                <w:tcPr>
                  <w:tcW w:w="779" w:type="dxa"/>
                  <w:vMerge w:val="continue"/>
                  <w:tcBorders>
                    <w:tl2br w:val="nil"/>
                    <w:tr2bl w:val="nil"/>
                  </w:tcBorders>
                  <w:vAlign w:val="center"/>
                </w:tcPr>
                <w:p>
                  <w:pPr>
                    <w:pStyle w:val="3"/>
                    <w:numPr>
                      <w:ilvl w:val="0"/>
                      <w:numId w:val="0"/>
                    </w:numPr>
                    <w:jc w:val="center"/>
                    <w:rPr>
                      <w:ins w:id="178" w:author="Sunny" w:date="2022-12-28T13:16:00Z"/>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50" w:type="dxa"/>
                  <w:tcBorders>
                    <w:tl2br w:val="nil"/>
                    <w:tr2bl w:val="nil"/>
                  </w:tcBorders>
                  <w:vAlign w:val="center"/>
                </w:tcPr>
                <w:p>
                  <w:pPr>
                    <w:adjustRightInd w:val="0"/>
                    <w:snapToGrid w:val="0"/>
                    <w:jc w:val="center"/>
                    <w:rPr>
                      <w:rFonts w:hint="eastAsia" w:eastAsia="宋体"/>
                      <w:color w:val="auto"/>
                      <w:lang w:eastAsia="zh-CN"/>
                    </w:rPr>
                  </w:pPr>
                  <w:r>
                    <w:rPr>
                      <w:color w:val="auto"/>
                      <w:szCs w:val="21"/>
                    </w:rPr>
                    <w:t>1</w:t>
                  </w:r>
                  <w:r>
                    <w:rPr>
                      <w:rFonts w:hint="eastAsia"/>
                      <w:color w:val="auto"/>
                      <w:szCs w:val="21"/>
                      <w:lang w:val="en-US" w:eastAsia="zh-CN"/>
                    </w:rPr>
                    <w:t>3</w:t>
                  </w:r>
                </w:p>
              </w:tc>
              <w:tc>
                <w:tcPr>
                  <w:tcW w:w="1260" w:type="dxa"/>
                  <w:tcBorders>
                    <w:tl2br w:val="nil"/>
                    <w:tr2bl w:val="nil"/>
                  </w:tcBorders>
                  <w:vAlign w:val="center"/>
                </w:tcPr>
                <w:p>
                  <w:pPr>
                    <w:jc w:val="center"/>
                    <w:rPr>
                      <w:color w:val="auto"/>
                    </w:rPr>
                  </w:pPr>
                  <w:r>
                    <w:rPr>
                      <w:color w:val="auto"/>
                      <w:szCs w:val="21"/>
                    </w:rPr>
                    <w:t>液压油</w:t>
                  </w:r>
                </w:p>
              </w:tc>
              <w:tc>
                <w:tcPr>
                  <w:tcW w:w="750" w:type="dxa"/>
                  <w:tcBorders>
                    <w:right w:val="single" w:color="000000" w:sz="4" w:space="0"/>
                    <w:tl2br w:val="nil"/>
                    <w:tr2bl w:val="nil"/>
                  </w:tcBorders>
                  <w:vAlign w:val="center"/>
                </w:tcPr>
                <w:p>
                  <w:pPr>
                    <w:jc w:val="center"/>
                    <w:rPr>
                      <w:color w:val="auto"/>
                    </w:rPr>
                  </w:pPr>
                  <w:r>
                    <w:rPr>
                      <w:rFonts w:hint="eastAsia"/>
                      <w:color w:val="auto"/>
                      <w:szCs w:val="21"/>
                      <w:lang w:val="en-US" w:eastAsia="zh-CN"/>
                    </w:rPr>
                    <w:t>0</w:t>
                  </w:r>
                </w:p>
              </w:tc>
              <w:tc>
                <w:tcPr>
                  <w:tcW w:w="852" w:type="dxa"/>
                  <w:tcBorders>
                    <w:left w:val="single" w:color="000000" w:sz="4" w:space="0"/>
                    <w:right w:val="single" w:color="000000" w:sz="4" w:space="0"/>
                    <w:tl2br w:val="nil"/>
                    <w:tr2bl w:val="nil"/>
                  </w:tcBorders>
                  <w:vAlign w:val="center"/>
                </w:tcPr>
                <w:p>
                  <w:pPr>
                    <w:jc w:val="center"/>
                    <w:rPr>
                      <w:color w:val="auto"/>
                      <w:szCs w:val="21"/>
                    </w:rPr>
                  </w:pPr>
                  <w:r>
                    <w:rPr>
                      <w:color w:val="auto"/>
                      <w:szCs w:val="21"/>
                    </w:rPr>
                    <w:t>340</w:t>
                  </w:r>
                  <w:ins w:id="179" w:author="Sunny" w:date="2022-12-29T11:03:00Z">
                    <w:r>
                      <w:rPr>
                        <w:rFonts w:hint="eastAsia"/>
                        <w:color w:val="auto"/>
                        <w:szCs w:val="21"/>
                      </w:rPr>
                      <w:t>kg</w:t>
                    </w:r>
                  </w:ins>
                </w:p>
              </w:tc>
              <w:tc>
                <w:tcPr>
                  <w:tcW w:w="963" w:type="dxa"/>
                  <w:tcBorders>
                    <w:left w:val="single" w:color="000000" w:sz="4" w:space="0"/>
                    <w:tl2br w:val="nil"/>
                    <w:tr2bl w:val="nil"/>
                  </w:tcBorders>
                  <w:vAlign w:val="center"/>
                </w:tcPr>
                <w:p>
                  <w:pPr>
                    <w:jc w:val="center"/>
                    <w:rPr>
                      <w:color w:val="auto"/>
                      <w:szCs w:val="21"/>
                    </w:rPr>
                  </w:pPr>
                  <w:r>
                    <w:rPr>
                      <w:rFonts w:hint="eastAsia"/>
                      <w:color w:val="auto"/>
                      <w:szCs w:val="21"/>
                      <w:lang w:val="en-US" w:eastAsia="zh-CN"/>
                    </w:rPr>
                    <w:t>+</w:t>
                  </w:r>
                  <w:r>
                    <w:rPr>
                      <w:color w:val="auto"/>
                      <w:szCs w:val="21"/>
                    </w:rPr>
                    <w:t>340</w:t>
                  </w:r>
                  <w:ins w:id="180" w:author="Sunny" w:date="2022-12-29T11:03:00Z">
                    <w:r>
                      <w:rPr>
                        <w:rFonts w:hint="eastAsia"/>
                        <w:color w:val="auto"/>
                        <w:szCs w:val="21"/>
                      </w:rPr>
                      <w:t>kg</w:t>
                    </w:r>
                  </w:ins>
                </w:p>
              </w:tc>
              <w:tc>
                <w:tcPr>
                  <w:tcW w:w="825" w:type="dxa"/>
                  <w:tcBorders>
                    <w:tl2br w:val="nil"/>
                    <w:tr2bl w:val="nil"/>
                  </w:tcBorders>
                  <w:vAlign w:val="center"/>
                </w:tcPr>
                <w:p>
                  <w:pPr>
                    <w:adjustRightInd w:val="0"/>
                    <w:snapToGrid w:val="0"/>
                    <w:jc w:val="center"/>
                    <w:rPr>
                      <w:color w:val="auto"/>
                      <w:szCs w:val="21"/>
                    </w:rPr>
                  </w:pPr>
                  <w:r>
                    <w:rPr>
                      <w:color w:val="auto"/>
                      <w:szCs w:val="21"/>
                    </w:rPr>
                    <w:t>液态</w:t>
                  </w:r>
                </w:p>
              </w:tc>
              <w:tc>
                <w:tcPr>
                  <w:tcW w:w="945" w:type="dxa"/>
                  <w:tcBorders>
                    <w:tl2br w:val="nil"/>
                    <w:tr2bl w:val="nil"/>
                  </w:tcBorders>
                  <w:vAlign w:val="center"/>
                </w:tcPr>
                <w:p>
                  <w:pPr>
                    <w:adjustRightInd w:val="0"/>
                    <w:snapToGrid w:val="0"/>
                    <w:jc w:val="center"/>
                    <w:rPr>
                      <w:color w:val="auto"/>
                      <w:szCs w:val="21"/>
                    </w:rPr>
                  </w:pPr>
                  <w:ins w:id="181" w:author="Sunny" w:date="2022-12-29T11:03:00Z">
                    <w:r>
                      <w:rPr>
                        <w:rFonts w:hint="eastAsia"/>
                        <w:color w:val="auto"/>
                        <w:szCs w:val="21"/>
                      </w:rPr>
                      <w:t>170kg/桶</w:t>
                    </w:r>
                  </w:ins>
                </w:p>
              </w:tc>
              <w:tc>
                <w:tcPr>
                  <w:tcW w:w="855" w:type="dxa"/>
                  <w:tcBorders>
                    <w:tl2br w:val="nil"/>
                    <w:tr2bl w:val="nil"/>
                  </w:tcBorders>
                  <w:vAlign w:val="center"/>
                </w:tcPr>
                <w:p>
                  <w:pPr>
                    <w:adjustRightInd w:val="0"/>
                    <w:snapToGrid w:val="0"/>
                    <w:jc w:val="center"/>
                    <w:rPr>
                      <w:color w:val="auto"/>
                      <w:szCs w:val="21"/>
                    </w:rPr>
                  </w:pPr>
                  <w:r>
                    <w:rPr>
                      <w:color w:val="auto"/>
                      <w:szCs w:val="21"/>
                    </w:rPr>
                    <w:t>2桶</w:t>
                  </w:r>
                </w:p>
              </w:tc>
              <w:tc>
                <w:tcPr>
                  <w:tcW w:w="862" w:type="dxa"/>
                  <w:vMerge w:val="restart"/>
                  <w:tcBorders>
                    <w:tl2br w:val="nil"/>
                    <w:tr2bl w:val="nil"/>
                  </w:tcBorders>
                  <w:vAlign w:val="center"/>
                </w:tcPr>
                <w:p>
                  <w:pPr>
                    <w:adjustRightInd w:val="0"/>
                    <w:snapToGrid w:val="0"/>
                    <w:jc w:val="center"/>
                    <w:rPr>
                      <w:color w:val="auto"/>
                      <w:szCs w:val="21"/>
                    </w:rPr>
                  </w:pPr>
                  <w:ins w:id="182" w:author="Sunny" w:date="2022-12-29T15:07:00Z">
                    <w:r>
                      <w:rPr>
                        <w:rFonts w:hint="eastAsia"/>
                        <w:color w:val="auto"/>
                      </w:rPr>
                      <w:t>车间二原材料存放区</w:t>
                    </w:r>
                  </w:ins>
                </w:p>
              </w:tc>
              <w:tc>
                <w:tcPr>
                  <w:tcW w:w="779" w:type="dxa"/>
                  <w:vMerge w:val="restart"/>
                  <w:tcBorders>
                    <w:tl2br w:val="nil"/>
                    <w:tr2bl w:val="nil"/>
                  </w:tcBorders>
                  <w:vAlign w:val="center"/>
                </w:tcPr>
                <w:p>
                  <w:pPr>
                    <w:pStyle w:val="3"/>
                    <w:numPr>
                      <w:ilvl w:val="0"/>
                      <w:numId w:val="0"/>
                    </w:numPr>
                    <w:jc w:val="center"/>
                    <w:rPr>
                      <w:color w:val="auto"/>
                    </w:rPr>
                  </w:pPr>
                  <w:r>
                    <w:rPr>
                      <w:rFonts w:hint="eastAsia"/>
                      <w:color w:val="auto"/>
                    </w:rPr>
                    <w:t>设备维护保养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50" w:type="dxa"/>
                  <w:tcBorders>
                    <w:tl2br w:val="nil"/>
                    <w:tr2bl w:val="nil"/>
                  </w:tcBorders>
                  <w:vAlign w:val="center"/>
                </w:tcPr>
                <w:p>
                  <w:pPr>
                    <w:adjustRightInd w:val="0"/>
                    <w:snapToGrid w:val="0"/>
                    <w:jc w:val="center"/>
                    <w:rPr>
                      <w:rFonts w:hint="eastAsia" w:eastAsia="宋体"/>
                      <w:color w:val="auto"/>
                      <w:lang w:eastAsia="zh-CN"/>
                    </w:rPr>
                  </w:pPr>
                  <w:r>
                    <w:rPr>
                      <w:color w:val="auto"/>
                      <w:szCs w:val="21"/>
                    </w:rPr>
                    <w:t>1</w:t>
                  </w:r>
                  <w:r>
                    <w:rPr>
                      <w:rFonts w:hint="eastAsia"/>
                      <w:color w:val="auto"/>
                      <w:szCs w:val="21"/>
                      <w:lang w:val="en-US" w:eastAsia="zh-CN"/>
                    </w:rPr>
                    <w:t>4</w:t>
                  </w:r>
                </w:p>
              </w:tc>
              <w:tc>
                <w:tcPr>
                  <w:tcW w:w="1260" w:type="dxa"/>
                  <w:tcBorders>
                    <w:tl2br w:val="nil"/>
                    <w:tr2bl w:val="nil"/>
                  </w:tcBorders>
                  <w:vAlign w:val="center"/>
                </w:tcPr>
                <w:p>
                  <w:pPr>
                    <w:jc w:val="center"/>
                    <w:rPr>
                      <w:color w:val="auto"/>
                    </w:rPr>
                  </w:pPr>
                  <w:r>
                    <w:rPr>
                      <w:color w:val="auto"/>
                      <w:szCs w:val="21"/>
                    </w:rPr>
                    <w:t>润滑油</w:t>
                  </w:r>
                </w:p>
              </w:tc>
              <w:tc>
                <w:tcPr>
                  <w:tcW w:w="750" w:type="dxa"/>
                  <w:tcBorders>
                    <w:right w:val="single" w:color="000000" w:sz="4" w:space="0"/>
                    <w:tl2br w:val="nil"/>
                    <w:tr2bl w:val="nil"/>
                  </w:tcBorders>
                  <w:vAlign w:val="center"/>
                </w:tcPr>
                <w:p>
                  <w:pPr>
                    <w:jc w:val="center"/>
                    <w:rPr>
                      <w:color w:val="auto"/>
                    </w:rPr>
                  </w:pPr>
                  <w:r>
                    <w:rPr>
                      <w:rFonts w:hint="eastAsia"/>
                      <w:color w:val="auto"/>
                      <w:szCs w:val="21"/>
                      <w:lang w:val="en-US" w:eastAsia="zh-CN"/>
                    </w:rPr>
                    <w:t>0</w:t>
                  </w:r>
                </w:p>
              </w:tc>
              <w:tc>
                <w:tcPr>
                  <w:tcW w:w="852" w:type="dxa"/>
                  <w:tcBorders>
                    <w:left w:val="single" w:color="000000" w:sz="4" w:space="0"/>
                    <w:right w:val="single" w:color="000000" w:sz="4" w:space="0"/>
                    <w:tl2br w:val="nil"/>
                    <w:tr2bl w:val="nil"/>
                  </w:tcBorders>
                  <w:vAlign w:val="center"/>
                </w:tcPr>
                <w:p>
                  <w:pPr>
                    <w:jc w:val="center"/>
                    <w:rPr>
                      <w:color w:val="auto"/>
                      <w:szCs w:val="21"/>
                    </w:rPr>
                  </w:pPr>
                  <w:r>
                    <w:rPr>
                      <w:color w:val="auto"/>
                      <w:szCs w:val="21"/>
                    </w:rPr>
                    <w:t>510</w:t>
                  </w:r>
                  <w:ins w:id="183" w:author="Sunny" w:date="2022-12-29T11:03:00Z">
                    <w:r>
                      <w:rPr>
                        <w:rFonts w:hint="eastAsia"/>
                        <w:color w:val="auto"/>
                        <w:szCs w:val="21"/>
                      </w:rPr>
                      <w:t>kg</w:t>
                    </w:r>
                  </w:ins>
                </w:p>
              </w:tc>
              <w:tc>
                <w:tcPr>
                  <w:tcW w:w="963" w:type="dxa"/>
                  <w:tcBorders>
                    <w:left w:val="single" w:color="000000" w:sz="4" w:space="0"/>
                    <w:tl2br w:val="nil"/>
                    <w:tr2bl w:val="nil"/>
                  </w:tcBorders>
                  <w:vAlign w:val="center"/>
                </w:tcPr>
                <w:p>
                  <w:pPr>
                    <w:jc w:val="center"/>
                    <w:rPr>
                      <w:color w:val="auto"/>
                      <w:szCs w:val="21"/>
                    </w:rPr>
                  </w:pPr>
                  <w:r>
                    <w:rPr>
                      <w:rFonts w:hint="eastAsia"/>
                      <w:color w:val="auto"/>
                      <w:szCs w:val="21"/>
                      <w:lang w:val="en-US" w:eastAsia="zh-CN"/>
                    </w:rPr>
                    <w:t>+</w:t>
                  </w:r>
                  <w:r>
                    <w:rPr>
                      <w:color w:val="auto"/>
                      <w:szCs w:val="21"/>
                    </w:rPr>
                    <w:t>510</w:t>
                  </w:r>
                  <w:ins w:id="184" w:author="Sunny" w:date="2022-12-29T11:03:00Z">
                    <w:r>
                      <w:rPr>
                        <w:rFonts w:hint="eastAsia"/>
                        <w:color w:val="auto"/>
                        <w:szCs w:val="21"/>
                      </w:rPr>
                      <w:t>kg</w:t>
                    </w:r>
                  </w:ins>
                </w:p>
              </w:tc>
              <w:tc>
                <w:tcPr>
                  <w:tcW w:w="825" w:type="dxa"/>
                  <w:tcBorders>
                    <w:tl2br w:val="nil"/>
                    <w:tr2bl w:val="nil"/>
                  </w:tcBorders>
                  <w:vAlign w:val="center"/>
                </w:tcPr>
                <w:p>
                  <w:pPr>
                    <w:adjustRightInd w:val="0"/>
                    <w:snapToGrid w:val="0"/>
                    <w:jc w:val="center"/>
                    <w:rPr>
                      <w:color w:val="auto"/>
                      <w:szCs w:val="21"/>
                    </w:rPr>
                  </w:pPr>
                  <w:r>
                    <w:rPr>
                      <w:color w:val="auto"/>
                      <w:szCs w:val="21"/>
                    </w:rPr>
                    <w:t>液态</w:t>
                  </w:r>
                </w:p>
              </w:tc>
              <w:tc>
                <w:tcPr>
                  <w:tcW w:w="945" w:type="dxa"/>
                  <w:tcBorders>
                    <w:tl2br w:val="nil"/>
                    <w:tr2bl w:val="nil"/>
                  </w:tcBorders>
                  <w:vAlign w:val="center"/>
                </w:tcPr>
                <w:p>
                  <w:pPr>
                    <w:adjustRightInd w:val="0"/>
                    <w:snapToGrid w:val="0"/>
                    <w:jc w:val="center"/>
                    <w:rPr>
                      <w:color w:val="auto"/>
                      <w:szCs w:val="21"/>
                    </w:rPr>
                  </w:pPr>
                  <w:ins w:id="185" w:author="Sunny" w:date="2022-12-29T11:03:00Z">
                    <w:r>
                      <w:rPr>
                        <w:rFonts w:hint="eastAsia"/>
                        <w:color w:val="auto"/>
                        <w:szCs w:val="21"/>
                      </w:rPr>
                      <w:t>170kg/桶</w:t>
                    </w:r>
                  </w:ins>
                </w:p>
              </w:tc>
              <w:tc>
                <w:tcPr>
                  <w:tcW w:w="855" w:type="dxa"/>
                  <w:tcBorders>
                    <w:tl2br w:val="nil"/>
                    <w:tr2bl w:val="nil"/>
                  </w:tcBorders>
                  <w:vAlign w:val="center"/>
                </w:tcPr>
                <w:p>
                  <w:pPr>
                    <w:adjustRightInd w:val="0"/>
                    <w:snapToGrid w:val="0"/>
                    <w:jc w:val="center"/>
                    <w:rPr>
                      <w:color w:val="auto"/>
                      <w:szCs w:val="21"/>
                    </w:rPr>
                  </w:pPr>
                  <w:r>
                    <w:rPr>
                      <w:color w:val="auto"/>
                      <w:szCs w:val="21"/>
                    </w:rPr>
                    <w:t>3桶</w:t>
                  </w:r>
                </w:p>
              </w:tc>
              <w:tc>
                <w:tcPr>
                  <w:tcW w:w="862" w:type="dxa"/>
                  <w:vMerge w:val="continue"/>
                  <w:tcBorders>
                    <w:tl2br w:val="nil"/>
                    <w:tr2bl w:val="nil"/>
                  </w:tcBorders>
                  <w:vAlign w:val="center"/>
                </w:tcPr>
                <w:p>
                  <w:pPr>
                    <w:adjustRightInd w:val="0"/>
                    <w:snapToGrid w:val="0"/>
                    <w:jc w:val="center"/>
                    <w:rPr>
                      <w:color w:val="auto"/>
                      <w:szCs w:val="21"/>
                    </w:rPr>
                  </w:pPr>
                </w:p>
              </w:tc>
              <w:tc>
                <w:tcPr>
                  <w:tcW w:w="779" w:type="dxa"/>
                  <w:vMerge w:val="continue"/>
                  <w:tcBorders>
                    <w:tl2br w:val="nil"/>
                    <w:tr2bl w:val="nil"/>
                  </w:tcBorders>
                  <w:vAlign w:val="center"/>
                </w:tcPr>
                <w:p>
                  <w:pPr>
                    <w:pStyle w:val="3"/>
                    <w:numPr>
                      <w:ilvl w:val="0"/>
                      <w:numId w:val="0"/>
                    </w:numPr>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50" w:type="dxa"/>
                  <w:tcBorders>
                    <w:tl2br w:val="nil"/>
                    <w:tr2bl w:val="nil"/>
                  </w:tcBorders>
                  <w:vAlign w:val="center"/>
                </w:tcPr>
                <w:p>
                  <w:pPr>
                    <w:adjustRightInd w:val="0"/>
                    <w:snapToGrid w:val="0"/>
                    <w:jc w:val="center"/>
                    <w:rPr>
                      <w:rFonts w:hint="eastAsia" w:eastAsia="宋体"/>
                      <w:color w:val="auto"/>
                      <w:lang w:eastAsia="zh-CN"/>
                    </w:rPr>
                  </w:pPr>
                  <w:r>
                    <w:rPr>
                      <w:color w:val="auto"/>
                      <w:szCs w:val="21"/>
                    </w:rPr>
                    <w:t>1</w:t>
                  </w:r>
                  <w:r>
                    <w:rPr>
                      <w:rFonts w:hint="eastAsia"/>
                      <w:color w:val="auto"/>
                      <w:szCs w:val="21"/>
                      <w:lang w:val="en-US" w:eastAsia="zh-CN"/>
                    </w:rPr>
                    <w:t>5</w:t>
                  </w:r>
                </w:p>
              </w:tc>
              <w:tc>
                <w:tcPr>
                  <w:tcW w:w="1260" w:type="dxa"/>
                  <w:tcBorders>
                    <w:tl2br w:val="nil"/>
                    <w:tr2bl w:val="nil"/>
                  </w:tcBorders>
                  <w:vAlign w:val="center"/>
                </w:tcPr>
                <w:p>
                  <w:pPr>
                    <w:jc w:val="center"/>
                    <w:rPr>
                      <w:color w:val="auto"/>
                    </w:rPr>
                  </w:pPr>
                  <w:r>
                    <w:rPr>
                      <w:color w:val="auto"/>
                      <w:szCs w:val="21"/>
                    </w:rPr>
                    <w:t>PAC</w:t>
                  </w:r>
                </w:p>
              </w:tc>
              <w:tc>
                <w:tcPr>
                  <w:tcW w:w="750" w:type="dxa"/>
                  <w:tcBorders>
                    <w:right w:val="single" w:color="000000" w:sz="4" w:space="0"/>
                    <w:tl2br w:val="nil"/>
                    <w:tr2bl w:val="nil"/>
                  </w:tcBorders>
                  <w:vAlign w:val="center"/>
                </w:tcPr>
                <w:p>
                  <w:pPr>
                    <w:jc w:val="center"/>
                    <w:rPr>
                      <w:color w:val="auto"/>
                    </w:rPr>
                  </w:pPr>
                  <w:r>
                    <w:rPr>
                      <w:rFonts w:hint="eastAsia"/>
                      <w:color w:val="auto"/>
                      <w:szCs w:val="21"/>
                      <w:lang w:val="en-US" w:eastAsia="zh-CN"/>
                    </w:rPr>
                    <w:t>0</w:t>
                  </w:r>
                </w:p>
              </w:tc>
              <w:tc>
                <w:tcPr>
                  <w:tcW w:w="852" w:type="dxa"/>
                  <w:tcBorders>
                    <w:left w:val="single" w:color="000000" w:sz="4" w:space="0"/>
                    <w:right w:val="single" w:color="000000" w:sz="4" w:space="0"/>
                    <w:tl2br w:val="nil"/>
                    <w:tr2bl w:val="nil"/>
                  </w:tcBorders>
                  <w:vAlign w:val="center"/>
                </w:tcPr>
                <w:p>
                  <w:pPr>
                    <w:jc w:val="center"/>
                    <w:rPr>
                      <w:rFonts w:hint="eastAsia"/>
                      <w:color w:val="auto"/>
                    </w:rPr>
                  </w:pPr>
                  <w:ins w:id="186" w:author="Sunny" w:date="2022-12-29T15:01:00Z">
                    <w:r>
                      <w:rPr>
                        <w:rFonts w:hint="eastAsia"/>
                        <w:color w:val="auto"/>
                      </w:rPr>
                      <w:t>0.2t/a</w:t>
                    </w:r>
                  </w:ins>
                </w:p>
              </w:tc>
              <w:tc>
                <w:tcPr>
                  <w:tcW w:w="963" w:type="dxa"/>
                  <w:tcBorders>
                    <w:left w:val="single" w:color="000000" w:sz="4" w:space="0"/>
                    <w:tl2br w:val="nil"/>
                    <w:tr2bl w:val="nil"/>
                  </w:tcBorders>
                  <w:vAlign w:val="center"/>
                </w:tcPr>
                <w:p>
                  <w:pPr>
                    <w:jc w:val="center"/>
                    <w:rPr>
                      <w:rFonts w:hint="eastAsia"/>
                      <w:color w:val="auto"/>
                    </w:rPr>
                  </w:pPr>
                  <w:r>
                    <w:rPr>
                      <w:rFonts w:hint="eastAsia"/>
                      <w:color w:val="auto"/>
                      <w:lang w:val="en-US" w:eastAsia="zh-CN"/>
                    </w:rPr>
                    <w:t>+</w:t>
                  </w:r>
                  <w:ins w:id="187" w:author="Sunny" w:date="2022-12-29T15:01:00Z">
                    <w:r>
                      <w:rPr>
                        <w:rFonts w:hint="eastAsia"/>
                        <w:color w:val="auto"/>
                      </w:rPr>
                      <w:t>0.2t/a</w:t>
                    </w:r>
                  </w:ins>
                </w:p>
              </w:tc>
              <w:tc>
                <w:tcPr>
                  <w:tcW w:w="825" w:type="dxa"/>
                  <w:tcBorders>
                    <w:tl2br w:val="nil"/>
                    <w:tr2bl w:val="nil"/>
                  </w:tcBorders>
                  <w:vAlign w:val="center"/>
                </w:tcPr>
                <w:p>
                  <w:pPr>
                    <w:pStyle w:val="3"/>
                    <w:numPr>
                      <w:ilvl w:val="0"/>
                      <w:numId w:val="0"/>
                    </w:numPr>
                    <w:jc w:val="center"/>
                    <w:rPr>
                      <w:color w:val="auto"/>
                    </w:rPr>
                  </w:pPr>
                  <w:ins w:id="188" w:author="Sunny" w:date="2022-12-29T15:01:00Z">
                    <w:r>
                      <w:rPr>
                        <w:rFonts w:hint="eastAsia"/>
                        <w:color w:val="auto"/>
                      </w:rPr>
                      <w:t>固态</w:t>
                    </w:r>
                  </w:ins>
                </w:p>
              </w:tc>
              <w:tc>
                <w:tcPr>
                  <w:tcW w:w="945" w:type="dxa"/>
                  <w:tcBorders>
                    <w:tl2br w:val="nil"/>
                    <w:tr2bl w:val="nil"/>
                  </w:tcBorders>
                  <w:vAlign w:val="center"/>
                </w:tcPr>
                <w:p>
                  <w:pPr>
                    <w:pStyle w:val="3"/>
                    <w:numPr>
                      <w:ilvl w:val="0"/>
                      <w:numId w:val="0"/>
                    </w:numPr>
                    <w:jc w:val="center"/>
                    <w:rPr>
                      <w:color w:val="auto"/>
                    </w:rPr>
                  </w:pPr>
                  <w:ins w:id="189" w:author="Sunny" w:date="2022-12-29T15:02:00Z">
                    <w:r>
                      <w:rPr>
                        <w:rFonts w:hint="eastAsia"/>
                        <w:color w:val="auto"/>
                      </w:rPr>
                      <w:t>25kg/袋</w:t>
                    </w:r>
                  </w:ins>
                </w:p>
              </w:tc>
              <w:tc>
                <w:tcPr>
                  <w:tcW w:w="855" w:type="dxa"/>
                  <w:tcBorders>
                    <w:tl2br w:val="nil"/>
                    <w:tr2bl w:val="nil"/>
                  </w:tcBorders>
                  <w:vAlign w:val="center"/>
                </w:tcPr>
                <w:p>
                  <w:pPr>
                    <w:pStyle w:val="3"/>
                    <w:numPr>
                      <w:ilvl w:val="0"/>
                      <w:numId w:val="0"/>
                    </w:numPr>
                    <w:jc w:val="center"/>
                    <w:rPr>
                      <w:color w:val="auto"/>
                    </w:rPr>
                  </w:pPr>
                  <w:ins w:id="190" w:author="Sunny" w:date="2022-12-29T15:04:00Z">
                    <w:r>
                      <w:rPr>
                        <w:rFonts w:hint="eastAsia"/>
                        <w:color w:val="auto"/>
                      </w:rPr>
                      <w:t>50kg</w:t>
                    </w:r>
                  </w:ins>
                </w:p>
              </w:tc>
              <w:tc>
                <w:tcPr>
                  <w:tcW w:w="862" w:type="dxa"/>
                  <w:vMerge w:val="restart"/>
                  <w:tcBorders>
                    <w:tl2br w:val="nil"/>
                    <w:tr2bl w:val="nil"/>
                  </w:tcBorders>
                  <w:vAlign w:val="center"/>
                </w:tcPr>
                <w:p>
                  <w:pPr>
                    <w:pStyle w:val="3"/>
                    <w:numPr>
                      <w:ilvl w:val="0"/>
                      <w:numId w:val="0"/>
                    </w:numPr>
                    <w:jc w:val="center"/>
                    <w:rPr>
                      <w:color w:val="auto"/>
                    </w:rPr>
                  </w:pPr>
                  <w:ins w:id="191" w:author="Sunny" w:date="2022-12-29T15:06:00Z">
                    <w:r>
                      <w:rPr>
                        <w:rFonts w:hint="eastAsia"/>
                        <w:color w:val="auto"/>
                      </w:rPr>
                      <w:t>车间三原材料存放区</w:t>
                    </w:r>
                  </w:ins>
                </w:p>
              </w:tc>
              <w:tc>
                <w:tcPr>
                  <w:tcW w:w="779" w:type="dxa"/>
                  <w:vMerge w:val="restart"/>
                  <w:tcBorders>
                    <w:tl2br w:val="nil"/>
                    <w:tr2bl w:val="nil"/>
                  </w:tcBorders>
                  <w:vAlign w:val="center"/>
                </w:tcPr>
                <w:p>
                  <w:pPr>
                    <w:pStyle w:val="3"/>
                    <w:numPr>
                      <w:ilvl w:val="0"/>
                      <w:numId w:val="0"/>
                    </w:numPr>
                    <w:jc w:val="center"/>
                    <w:rPr>
                      <w:color w:val="auto"/>
                    </w:rPr>
                  </w:pPr>
                  <w:r>
                    <w:rPr>
                      <w:rFonts w:hint="eastAsia"/>
                      <w:color w:val="auto"/>
                    </w:rPr>
                    <w:t>污水处理、废气处理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50" w:type="dxa"/>
                  <w:tcBorders>
                    <w:tl2br w:val="nil"/>
                    <w:tr2bl w:val="nil"/>
                  </w:tcBorders>
                  <w:vAlign w:val="center"/>
                </w:tcPr>
                <w:p>
                  <w:pPr>
                    <w:adjustRightInd w:val="0"/>
                    <w:snapToGrid w:val="0"/>
                    <w:jc w:val="center"/>
                    <w:rPr>
                      <w:rFonts w:hint="eastAsia" w:eastAsia="宋体"/>
                      <w:color w:val="auto"/>
                      <w:lang w:eastAsia="zh-CN"/>
                    </w:rPr>
                  </w:pPr>
                  <w:r>
                    <w:rPr>
                      <w:color w:val="auto"/>
                      <w:szCs w:val="21"/>
                    </w:rPr>
                    <w:t>1</w:t>
                  </w:r>
                  <w:r>
                    <w:rPr>
                      <w:rFonts w:hint="eastAsia"/>
                      <w:color w:val="auto"/>
                      <w:szCs w:val="21"/>
                      <w:lang w:val="en-US" w:eastAsia="zh-CN"/>
                    </w:rPr>
                    <w:t>6</w:t>
                  </w:r>
                </w:p>
              </w:tc>
              <w:tc>
                <w:tcPr>
                  <w:tcW w:w="1260" w:type="dxa"/>
                  <w:tcBorders>
                    <w:tl2br w:val="nil"/>
                    <w:tr2bl w:val="nil"/>
                  </w:tcBorders>
                  <w:vAlign w:val="center"/>
                </w:tcPr>
                <w:p>
                  <w:pPr>
                    <w:jc w:val="center"/>
                    <w:rPr>
                      <w:color w:val="auto"/>
                    </w:rPr>
                  </w:pPr>
                  <w:r>
                    <w:rPr>
                      <w:color w:val="auto"/>
                      <w:szCs w:val="21"/>
                    </w:rPr>
                    <w:t>PAM</w:t>
                  </w:r>
                </w:p>
              </w:tc>
              <w:tc>
                <w:tcPr>
                  <w:tcW w:w="750" w:type="dxa"/>
                  <w:tcBorders>
                    <w:right w:val="single" w:color="000000" w:sz="4" w:space="0"/>
                    <w:tl2br w:val="nil"/>
                    <w:tr2bl w:val="nil"/>
                  </w:tcBorders>
                  <w:vAlign w:val="center"/>
                </w:tcPr>
                <w:p>
                  <w:pPr>
                    <w:jc w:val="center"/>
                    <w:rPr>
                      <w:color w:val="auto"/>
                    </w:rPr>
                  </w:pPr>
                  <w:r>
                    <w:rPr>
                      <w:rFonts w:hint="eastAsia"/>
                      <w:color w:val="auto"/>
                      <w:szCs w:val="21"/>
                      <w:lang w:val="en-US" w:eastAsia="zh-CN"/>
                    </w:rPr>
                    <w:t>0</w:t>
                  </w:r>
                </w:p>
              </w:tc>
              <w:tc>
                <w:tcPr>
                  <w:tcW w:w="852" w:type="dxa"/>
                  <w:tcBorders>
                    <w:left w:val="single" w:color="000000" w:sz="4" w:space="0"/>
                    <w:right w:val="single" w:color="000000" w:sz="4" w:space="0"/>
                    <w:tl2br w:val="nil"/>
                    <w:tr2bl w:val="nil"/>
                  </w:tcBorders>
                  <w:vAlign w:val="center"/>
                </w:tcPr>
                <w:p>
                  <w:pPr>
                    <w:jc w:val="center"/>
                    <w:rPr>
                      <w:rFonts w:hint="eastAsia"/>
                      <w:color w:val="auto"/>
                    </w:rPr>
                  </w:pPr>
                  <w:ins w:id="192" w:author="Sunny" w:date="2022-12-29T15:01:00Z">
                    <w:r>
                      <w:rPr>
                        <w:rFonts w:hint="eastAsia"/>
                        <w:color w:val="auto"/>
                      </w:rPr>
                      <w:t>0.2t/a</w:t>
                    </w:r>
                  </w:ins>
                </w:p>
              </w:tc>
              <w:tc>
                <w:tcPr>
                  <w:tcW w:w="963" w:type="dxa"/>
                  <w:tcBorders>
                    <w:left w:val="single" w:color="000000" w:sz="4" w:space="0"/>
                    <w:tl2br w:val="nil"/>
                    <w:tr2bl w:val="nil"/>
                  </w:tcBorders>
                  <w:vAlign w:val="center"/>
                </w:tcPr>
                <w:p>
                  <w:pPr>
                    <w:jc w:val="center"/>
                    <w:rPr>
                      <w:rFonts w:hint="eastAsia"/>
                      <w:color w:val="auto"/>
                    </w:rPr>
                  </w:pPr>
                  <w:r>
                    <w:rPr>
                      <w:rFonts w:hint="eastAsia"/>
                      <w:color w:val="auto"/>
                      <w:lang w:val="en-US" w:eastAsia="zh-CN"/>
                    </w:rPr>
                    <w:t>+</w:t>
                  </w:r>
                  <w:ins w:id="193" w:author="Sunny" w:date="2022-12-29T15:01:00Z">
                    <w:r>
                      <w:rPr>
                        <w:rFonts w:hint="eastAsia"/>
                        <w:color w:val="auto"/>
                      </w:rPr>
                      <w:t>0.2t/a</w:t>
                    </w:r>
                  </w:ins>
                </w:p>
              </w:tc>
              <w:tc>
                <w:tcPr>
                  <w:tcW w:w="825" w:type="dxa"/>
                  <w:tcBorders>
                    <w:tl2br w:val="nil"/>
                    <w:tr2bl w:val="nil"/>
                  </w:tcBorders>
                  <w:vAlign w:val="center"/>
                </w:tcPr>
                <w:p>
                  <w:pPr>
                    <w:pStyle w:val="3"/>
                    <w:numPr>
                      <w:ilvl w:val="0"/>
                      <w:numId w:val="0"/>
                    </w:numPr>
                    <w:jc w:val="center"/>
                    <w:rPr>
                      <w:color w:val="auto"/>
                    </w:rPr>
                  </w:pPr>
                  <w:ins w:id="194" w:author="Sunny" w:date="2022-12-29T15:01:00Z">
                    <w:r>
                      <w:rPr>
                        <w:rFonts w:hint="eastAsia"/>
                        <w:color w:val="auto"/>
                      </w:rPr>
                      <w:t>固态</w:t>
                    </w:r>
                  </w:ins>
                </w:p>
              </w:tc>
              <w:tc>
                <w:tcPr>
                  <w:tcW w:w="945" w:type="dxa"/>
                  <w:tcBorders>
                    <w:tl2br w:val="nil"/>
                    <w:tr2bl w:val="nil"/>
                  </w:tcBorders>
                  <w:vAlign w:val="center"/>
                </w:tcPr>
                <w:p>
                  <w:pPr>
                    <w:pStyle w:val="3"/>
                    <w:numPr>
                      <w:ilvl w:val="0"/>
                      <w:numId w:val="0"/>
                    </w:numPr>
                    <w:jc w:val="center"/>
                    <w:rPr>
                      <w:color w:val="auto"/>
                    </w:rPr>
                  </w:pPr>
                  <w:ins w:id="195" w:author="Sunny" w:date="2022-12-29T15:03:00Z">
                    <w:r>
                      <w:rPr>
                        <w:rFonts w:hint="eastAsia"/>
                        <w:color w:val="auto"/>
                      </w:rPr>
                      <w:t>25kg/袋</w:t>
                    </w:r>
                  </w:ins>
                </w:p>
              </w:tc>
              <w:tc>
                <w:tcPr>
                  <w:tcW w:w="855" w:type="dxa"/>
                  <w:tcBorders>
                    <w:tl2br w:val="nil"/>
                    <w:tr2bl w:val="nil"/>
                  </w:tcBorders>
                  <w:vAlign w:val="center"/>
                </w:tcPr>
                <w:p>
                  <w:pPr>
                    <w:pStyle w:val="3"/>
                    <w:numPr>
                      <w:ilvl w:val="0"/>
                      <w:numId w:val="0"/>
                    </w:numPr>
                    <w:jc w:val="center"/>
                    <w:rPr>
                      <w:color w:val="auto"/>
                    </w:rPr>
                  </w:pPr>
                  <w:ins w:id="196" w:author="Sunny" w:date="2022-12-29T15:04:00Z">
                    <w:r>
                      <w:rPr>
                        <w:rFonts w:hint="eastAsia"/>
                        <w:color w:val="auto"/>
                      </w:rPr>
                      <w:t>50kg</w:t>
                    </w:r>
                  </w:ins>
                </w:p>
              </w:tc>
              <w:tc>
                <w:tcPr>
                  <w:tcW w:w="862" w:type="dxa"/>
                  <w:vMerge w:val="continue"/>
                  <w:tcBorders>
                    <w:tl2br w:val="nil"/>
                    <w:tr2bl w:val="nil"/>
                  </w:tcBorders>
                  <w:vAlign w:val="center"/>
                </w:tcPr>
                <w:p>
                  <w:pPr>
                    <w:pStyle w:val="3"/>
                    <w:numPr>
                      <w:ilvl w:val="0"/>
                      <w:numId w:val="0"/>
                    </w:numPr>
                    <w:jc w:val="center"/>
                    <w:rPr>
                      <w:color w:val="auto"/>
                    </w:rPr>
                  </w:pPr>
                </w:p>
              </w:tc>
              <w:tc>
                <w:tcPr>
                  <w:tcW w:w="779" w:type="dxa"/>
                  <w:vMerge w:val="continue"/>
                  <w:tcBorders>
                    <w:tl2br w:val="nil"/>
                    <w:tr2bl w:val="nil"/>
                  </w:tcBorders>
                  <w:vAlign w:val="center"/>
                </w:tcPr>
                <w:p>
                  <w:pPr>
                    <w:pStyle w:val="3"/>
                    <w:numPr>
                      <w:ilvl w:val="0"/>
                      <w:numId w:val="0"/>
                    </w:numP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50" w:type="dxa"/>
                  <w:tcBorders>
                    <w:tl2br w:val="nil"/>
                    <w:tr2bl w:val="nil"/>
                  </w:tcBorders>
                  <w:vAlign w:val="center"/>
                </w:tcPr>
                <w:p>
                  <w:pPr>
                    <w:adjustRightInd w:val="0"/>
                    <w:snapToGrid w:val="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7</w:t>
                  </w:r>
                </w:p>
              </w:tc>
              <w:tc>
                <w:tcPr>
                  <w:tcW w:w="1260" w:type="dxa"/>
                  <w:tcBorders>
                    <w:tl2br w:val="nil"/>
                    <w:tr2bl w:val="nil"/>
                  </w:tcBorders>
                  <w:vAlign w:val="center"/>
                </w:tcPr>
                <w:p>
                  <w:pPr>
                    <w:jc w:val="center"/>
                    <w:rPr>
                      <w:color w:val="auto"/>
                    </w:rPr>
                  </w:pPr>
                  <w:r>
                    <w:rPr>
                      <w:color w:val="auto"/>
                      <w:szCs w:val="21"/>
                    </w:rPr>
                    <w:t>活性炭</w:t>
                  </w:r>
                </w:p>
              </w:tc>
              <w:tc>
                <w:tcPr>
                  <w:tcW w:w="750" w:type="dxa"/>
                  <w:tcBorders>
                    <w:right w:val="single" w:color="000000" w:sz="4" w:space="0"/>
                    <w:tl2br w:val="nil"/>
                    <w:tr2bl w:val="nil"/>
                  </w:tcBorders>
                  <w:vAlign w:val="center"/>
                </w:tcPr>
                <w:p>
                  <w:pPr>
                    <w:jc w:val="center"/>
                    <w:rPr>
                      <w:color w:val="auto"/>
                    </w:rPr>
                  </w:pPr>
                  <w:r>
                    <w:rPr>
                      <w:rFonts w:hint="eastAsia"/>
                      <w:color w:val="auto"/>
                      <w:szCs w:val="21"/>
                      <w:lang w:val="en-US" w:eastAsia="zh-CN"/>
                    </w:rPr>
                    <w:t>0</w:t>
                  </w:r>
                </w:p>
              </w:tc>
              <w:tc>
                <w:tcPr>
                  <w:tcW w:w="852" w:type="dxa"/>
                  <w:tcBorders>
                    <w:left w:val="single" w:color="000000" w:sz="4" w:space="0"/>
                    <w:right w:val="single" w:color="000000" w:sz="4" w:space="0"/>
                    <w:tl2br w:val="nil"/>
                    <w:tr2bl w:val="nil"/>
                  </w:tcBorders>
                  <w:vAlign w:val="center"/>
                </w:tcPr>
                <w:p>
                  <w:pPr>
                    <w:jc w:val="center"/>
                    <w:rPr>
                      <w:rFonts w:hint="eastAsia"/>
                      <w:color w:val="auto"/>
                    </w:rPr>
                  </w:pPr>
                  <w:r>
                    <w:rPr>
                      <w:rFonts w:hint="eastAsia"/>
                      <w:color w:val="auto"/>
                    </w:rPr>
                    <w:t>3.76</w:t>
                  </w:r>
                  <w:r>
                    <w:rPr>
                      <w:rFonts w:hint="eastAsia"/>
                      <w:color w:val="auto"/>
                      <w:lang w:val="en-US" w:eastAsia="zh-CN"/>
                    </w:rPr>
                    <w:t>17</w:t>
                  </w:r>
                  <w:ins w:id="197" w:author="Sunny" w:date="2022-12-29T15:00:00Z">
                    <w:r>
                      <w:rPr>
                        <w:rFonts w:hint="eastAsia"/>
                        <w:color w:val="auto"/>
                      </w:rPr>
                      <w:t>t/a</w:t>
                    </w:r>
                  </w:ins>
                </w:p>
              </w:tc>
              <w:tc>
                <w:tcPr>
                  <w:tcW w:w="963" w:type="dxa"/>
                  <w:tcBorders>
                    <w:left w:val="single" w:color="000000" w:sz="4" w:space="0"/>
                    <w:tl2br w:val="nil"/>
                    <w:tr2bl w:val="nil"/>
                  </w:tcBorders>
                  <w:vAlign w:val="center"/>
                </w:tcPr>
                <w:p>
                  <w:pPr>
                    <w:jc w:val="center"/>
                    <w:rPr>
                      <w:rFonts w:hint="eastAsia"/>
                      <w:color w:val="auto"/>
                    </w:rPr>
                  </w:pPr>
                  <w:r>
                    <w:rPr>
                      <w:rFonts w:hint="eastAsia"/>
                      <w:color w:val="auto"/>
                      <w:lang w:val="en-US" w:eastAsia="zh-CN"/>
                    </w:rPr>
                    <w:t>+</w:t>
                  </w:r>
                  <w:r>
                    <w:rPr>
                      <w:rFonts w:hint="eastAsia"/>
                      <w:color w:val="auto"/>
                    </w:rPr>
                    <w:t>3.76</w:t>
                  </w:r>
                  <w:r>
                    <w:rPr>
                      <w:rFonts w:hint="eastAsia"/>
                      <w:color w:val="auto"/>
                      <w:lang w:val="en-US" w:eastAsia="zh-CN"/>
                    </w:rPr>
                    <w:t>17</w:t>
                  </w:r>
                  <w:ins w:id="198" w:author="Sunny" w:date="2022-12-29T15:00:00Z">
                    <w:r>
                      <w:rPr>
                        <w:rFonts w:hint="eastAsia"/>
                        <w:color w:val="auto"/>
                      </w:rPr>
                      <w:t>t/a</w:t>
                    </w:r>
                  </w:ins>
                </w:p>
              </w:tc>
              <w:tc>
                <w:tcPr>
                  <w:tcW w:w="825" w:type="dxa"/>
                  <w:tcBorders>
                    <w:tl2br w:val="nil"/>
                    <w:tr2bl w:val="nil"/>
                  </w:tcBorders>
                  <w:vAlign w:val="center"/>
                </w:tcPr>
                <w:p>
                  <w:pPr>
                    <w:pStyle w:val="3"/>
                    <w:numPr>
                      <w:ilvl w:val="0"/>
                      <w:numId w:val="0"/>
                    </w:numPr>
                    <w:jc w:val="center"/>
                    <w:rPr>
                      <w:color w:val="auto"/>
                    </w:rPr>
                  </w:pPr>
                  <w:ins w:id="199" w:author="Sunny" w:date="2022-12-29T14:54:00Z">
                    <w:r>
                      <w:rPr>
                        <w:rFonts w:hint="eastAsia"/>
                        <w:color w:val="auto"/>
                      </w:rPr>
                      <w:t>固态</w:t>
                    </w:r>
                  </w:ins>
                </w:p>
              </w:tc>
              <w:tc>
                <w:tcPr>
                  <w:tcW w:w="945" w:type="dxa"/>
                  <w:tcBorders>
                    <w:tl2br w:val="nil"/>
                    <w:tr2bl w:val="nil"/>
                  </w:tcBorders>
                  <w:vAlign w:val="center"/>
                </w:tcPr>
                <w:p>
                  <w:pPr>
                    <w:pStyle w:val="3"/>
                    <w:numPr>
                      <w:ilvl w:val="0"/>
                      <w:numId w:val="0"/>
                    </w:numPr>
                    <w:jc w:val="center"/>
                    <w:rPr>
                      <w:color w:val="auto"/>
                    </w:rPr>
                  </w:pPr>
                  <w:ins w:id="200" w:author="Sunny" w:date="2022-12-29T15:05:00Z">
                    <w:r>
                      <w:rPr>
                        <w:rFonts w:hint="eastAsia"/>
                        <w:color w:val="auto"/>
                      </w:rPr>
                      <w:t>25kg/袋</w:t>
                    </w:r>
                  </w:ins>
                </w:p>
              </w:tc>
              <w:tc>
                <w:tcPr>
                  <w:tcW w:w="855" w:type="dxa"/>
                  <w:tcBorders>
                    <w:tl2br w:val="nil"/>
                    <w:tr2bl w:val="nil"/>
                  </w:tcBorders>
                  <w:vAlign w:val="center"/>
                </w:tcPr>
                <w:p>
                  <w:pPr>
                    <w:pStyle w:val="3"/>
                    <w:numPr>
                      <w:ilvl w:val="0"/>
                      <w:numId w:val="0"/>
                    </w:numPr>
                    <w:jc w:val="center"/>
                    <w:rPr>
                      <w:color w:val="auto"/>
                    </w:rPr>
                  </w:pPr>
                  <w:ins w:id="201" w:author="Sunny" w:date="2022-12-29T15:05:00Z">
                    <w:r>
                      <w:rPr>
                        <w:rFonts w:hint="eastAsia"/>
                        <w:color w:val="auto"/>
                      </w:rPr>
                      <w:t>500kg</w:t>
                    </w:r>
                  </w:ins>
                </w:p>
              </w:tc>
              <w:tc>
                <w:tcPr>
                  <w:tcW w:w="862" w:type="dxa"/>
                  <w:vMerge w:val="continue"/>
                  <w:tcBorders>
                    <w:tl2br w:val="nil"/>
                    <w:tr2bl w:val="nil"/>
                  </w:tcBorders>
                  <w:vAlign w:val="center"/>
                </w:tcPr>
                <w:p>
                  <w:pPr>
                    <w:pStyle w:val="3"/>
                    <w:numPr>
                      <w:ilvl w:val="0"/>
                      <w:numId w:val="0"/>
                    </w:numPr>
                    <w:jc w:val="center"/>
                    <w:rPr>
                      <w:color w:val="auto"/>
                    </w:rPr>
                  </w:pPr>
                </w:p>
              </w:tc>
              <w:tc>
                <w:tcPr>
                  <w:tcW w:w="779" w:type="dxa"/>
                  <w:vMerge w:val="continue"/>
                  <w:tcBorders>
                    <w:tl2br w:val="nil"/>
                    <w:tr2bl w:val="nil"/>
                  </w:tcBorders>
                  <w:vAlign w:val="center"/>
                </w:tcPr>
                <w:p>
                  <w:pPr>
                    <w:pStyle w:val="3"/>
                    <w:numPr>
                      <w:ilvl w:val="0"/>
                      <w:numId w:val="0"/>
                    </w:numP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50" w:type="dxa"/>
                  <w:tcBorders>
                    <w:tl2br w:val="nil"/>
                    <w:tr2bl w:val="nil"/>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18</w:t>
                  </w:r>
                </w:p>
              </w:tc>
              <w:tc>
                <w:tcPr>
                  <w:tcW w:w="1260" w:type="dxa"/>
                  <w:tcBorders>
                    <w:tl2br w:val="nil"/>
                    <w:tr2bl w:val="nil"/>
                  </w:tcBorders>
                  <w:vAlign w:val="center"/>
                </w:tcPr>
                <w:p>
                  <w:pPr>
                    <w:jc w:val="center"/>
                    <w:rPr>
                      <w:color w:val="auto"/>
                    </w:rPr>
                  </w:pPr>
                  <w:r>
                    <w:rPr>
                      <w:color w:val="auto"/>
                      <w:szCs w:val="21"/>
                    </w:rPr>
                    <w:t>石灰乳</w:t>
                  </w:r>
                </w:p>
              </w:tc>
              <w:tc>
                <w:tcPr>
                  <w:tcW w:w="750" w:type="dxa"/>
                  <w:tcBorders>
                    <w:right w:val="single" w:color="000000" w:sz="4" w:space="0"/>
                    <w:tl2br w:val="nil"/>
                    <w:tr2bl w:val="nil"/>
                  </w:tcBorders>
                  <w:vAlign w:val="center"/>
                </w:tcPr>
                <w:p>
                  <w:pPr>
                    <w:jc w:val="center"/>
                    <w:rPr>
                      <w:color w:val="auto"/>
                    </w:rPr>
                  </w:pPr>
                  <w:r>
                    <w:rPr>
                      <w:rFonts w:hint="eastAsia"/>
                      <w:color w:val="auto"/>
                      <w:szCs w:val="21"/>
                      <w:lang w:val="en-US" w:eastAsia="zh-CN"/>
                    </w:rPr>
                    <w:t>0</w:t>
                  </w:r>
                </w:p>
              </w:tc>
              <w:tc>
                <w:tcPr>
                  <w:tcW w:w="852" w:type="dxa"/>
                  <w:tcBorders>
                    <w:left w:val="single" w:color="000000" w:sz="4" w:space="0"/>
                    <w:right w:val="single" w:color="000000" w:sz="4" w:space="0"/>
                    <w:tl2br w:val="nil"/>
                    <w:tr2bl w:val="nil"/>
                  </w:tcBorders>
                  <w:vAlign w:val="center"/>
                </w:tcPr>
                <w:p>
                  <w:pPr>
                    <w:jc w:val="center"/>
                    <w:rPr>
                      <w:rFonts w:hint="eastAsia"/>
                      <w:color w:val="auto"/>
                    </w:rPr>
                  </w:pPr>
                  <w:ins w:id="202" w:author="Sunny" w:date="2022-12-29T15:02:00Z">
                    <w:r>
                      <w:rPr>
                        <w:rFonts w:hint="eastAsia"/>
                        <w:color w:val="auto"/>
                      </w:rPr>
                      <w:t>0.3t/a</w:t>
                    </w:r>
                  </w:ins>
                </w:p>
              </w:tc>
              <w:tc>
                <w:tcPr>
                  <w:tcW w:w="963" w:type="dxa"/>
                  <w:tcBorders>
                    <w:left w:val="single" w:color="000000" w:sz="4" w:space="0"/>
                    <w:tl2br w:val="nil"/>
                    <w:tr2bl w:val="nil"/>
                  </w:tcBorders>
                  <w:vAlign w:val="center"/>
                </w:tcPr>
                <w:p>
                  <w:pPr>
                    <w:jc w:val="center"/>
                    <w:rPr>
                      <w:rFonts w:hint="eastAsia"/>
                      <w:color w:val="auto"/>
                    </w:rPr>
                  </w:pPr>
                  <w:r>
                    <w:rPr>
                      <w:rFonts w:hint="eastAsia"/>
                      <w:color w:val="auto"/>
                      <w:lang w:val="en-US" w:eastAsia="zh-CN"/>
                    </w:rPr>
                    <w:t>+</w:t>
                  </w:r>
                  <w:ins w:id="203" w:author="Sunny" w:date="2022-12-29T15:02:00Z">
                    <w:r>
                      <w:rPr>
                        <w:rFonts w:hint="eastAsia"/>
                        <w:color w:val="auto"/>
                      </w:rPr>
                      <w:t>0.3t/a</w:t>
                    </w:r>
                  </w:ins>
                </w:p>
              </w:tc>
              <w:tc>
                <w:tcPr>
                  <w:tcW w:w="825" w:type="dxa"/>
                  <w:tcBorders>
                    <w:tl2br w:val="nil"/>
                    <w:tr2bl w:val="nil"/>
                  </w:tcBorders>
                  <w:vAlign w:val="center"/>
                </w:tcPr>
                <w:p>
                  <w:pPr>
                    <w:pStyle w:val="3"/>
                    <w:numPr>
                      <w:ilvl w:val="0"/>
                      <w:numId w:val="0"/>
                    </w:numPr>
                    <w:jc w:val="center"/>
                    <w:rPr>
                      <w:color w:val="auto"/>
                    </w:rPr>
                  </w:pPr>
                  <w:ins w:id="204" w:author="Sunny" w:date="2022-12-29T15:02:00Z">
                    <w:r>
                      <w:rPr>
                        <w:color w:val="auto"/>
                        <w:szCs w:val="21"/>
                      </w:rPr>
                      <w:t>液态</w:t>
                    </w:r>
                  </w:ins>
                </w:p>
              </w:tc>
              <w:tc>
                <w:tcPr>
                  <w:tcW w:w="945" w:type="dxa"/>
                  <w:tcBorders>
                    <w:tl2br w:val="nil"/>
                    <w:tr2bl w:val="nil"/>
                  </w:tcBorders>
                  <w:vAlign w:val="center"/>
                </w:tcPr>
                <w:p>
                  <w:pPr>
                    <w:pStyle w:val="3"/>
                    <w:numPr>
                      <w:ilvl w:val="0"/>
                      <w:numId w:val="0"/>
                    </w:numPr>
                    <w:jc w:val="center"/>
                    <w:rPr>
                      <w:color w:val="auto"/>
                    </w:rPr>
                  </w:pPr>
                  <w:ins w:id="205" w:author="Sunny" w:date="2022-12-29T15:03:00Z">
                    <w:r>
                      <w:rPr>
                        <w:rFonts w:hint="eastAsia"/>
                        <w:color w:val="auto"/>
                      </w:rPr>
                      <w:t>25kg/袋</w:t>
                    </w:r>
                  </w:ins>
                </w:p>
              </w:tc>
              <w:tc>
                <w:tcPr>
                  <w:tcW w:w="855" w:type="dxa"/>
                  <w:tcBorders>
                    <w:tl2br w:val="nil"/>
                    <w:tr2bl w:val="nil"/>
                  </w:tcBorders>
                  <w:vAlign w:val="center"/>
                </w:tcPr>
                <w:p>
                  <w:pPr>
                    <w:pStyle w:val="3"/>
                    <w:numPr>
                      <w:ilvl w:val="0"/>
                      <w:numId w:val="0"/>
                    </w:numPr>
                    <w:jc w:val="center"/>
                    <w:rPr>
                      <w:color w:val="auto"/>
                    </w:rPr>
                  </w:pPr>
                  <w:ins w:id="206" w:author="Sunny" w:date="2022-12-29T15:04:00Z">
                    <w:r>
                      <w:rPr>
                        <w:rFonts w:hint="eastAsia"/>
                        <w:color w:val="auto"/>
                      </w:rPr>
                      <w:t>50kg</w:t>
                    </w:r>
                  </w:ins>
                </w:p>
              </w:tc>
              <w:tc>
                <w:tcPr>
                  <w:tcW w:w="862" w:type="dxa"/>
                  <w:vMerge w:val="continue"/>
                  <w:tcBorders>
                    <w:tl2br w:val="nil"/>
                    <w:tr2bl w:val="nil"/>
                  </w:tcBorders>
                  <w:vAlign w:val="center"/>
                </w:tcPr>
                <w:p>
                  <w:pPr>
                    <w:pStyle w:val="3"/>
                    <w:numPr>
                      <w:ilvl w:val="0"/>
                      <w:numId w:val="0"/>
                    </w:numPr>
                    <w:jc w:val="center"/>
                    <w:rPr>
                      <w:color w:val="auto"/>
                    </w:rPr>
                  </w:pPr>
                </w:p>
              </w:tc>
              <w:tc>
                <w:tcPr>
                  <w:tcW w:w="779" w:type="dxa"/>
                  <w:vMerge w:val="continue"/>
                  <w:tcBorders>
                    <w:tl2br w:val="nil"/>
                    <w:tr2bl w:val="nil"/>
                  </w:tcBorders>
                  <w:vAlign w:val="center"/>
                </w:tcPr>
                <w:p>
                  <w:pPr>
                    <w:pStyle w:val="3"/>
                    <w:numPr>
                      <w:ilvl w:val="0"/>
                      <w:numId w:val="0"/>
                    </w:numPr>
                    <w:rPr>
                      <w:color w:val="auto"/>
                    </w:rPr>
                  </w:pPr>
                </w:p>
              </w:tc>
            </w:tr>
          </w:tbl>
          <w:p>
            <w:pPr>
              <w:widowControl/>
              <w:numPr>
                <w:ilvl w:val="0"/>
                <w:numId w:val="4"/>
              </w:numPr>
              <w:jc w:val="center"/>
              <w:rPr>
                <w:rFonts w:ascii="Calibri" w:hAnsi="Calibri" w:cs="Calibri"/>
                <w:b/>
                <w:bCs/>
                <w:color w:val="auto"/>
                <w:sz w:val="24"/>
              </w:rPr>
            </w:pPr>
            <w:r>
              <w:rPr>
                <w:rFonts w:hint="eastAsia" w:ascii="Calibri" w:hAnsi="Calibri" w:cs="Calibri"/>
                <w:b/>
                <w:bCs/>
                <w:color w:val="auto"/>
                <w:sz w:val="24"/>
              </w:rPr>
              <w:t>主要原辅材料理化性质、毒性毒理</w:t>
            </w:r>
          </w:p>
          <w:tbl>
            <w:tblPr>
              <w:tblStyle w:val="26"/>
              <w:tblW w:w="842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76"/>
              <w:gridCol w:w="3334"/>
              <w:gridCol w:w="1228"/>
              <w:gridCol w:w="298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20" w:type="pct"/>
                  <w:tcMar>
                    <w:left w:w="0" w:type="dxa"/>
                    <w:right w:w="0" w:type="dxa"/>
                  </w:tcMar>
                  <w:vAlign w:val="center"/>
                </w:tcPr>
                <w:p>
                  <w:pPr>
                    <w:adjustRightInd w:val="0"/>
                    <w:snapToGrid w:val="0"/>
                    <w:jc w:val="center"/>
                    <w:rPr>
                      <w:b/>
                      <w:bCs/>
                      <w:color w:val="auto"/>
                      <w:szCs w:val="21"/>
                    </w:rPr>
                  </w:pPr>
                  <w:r>
                    <w:rPr>
                      <w:b/>
                      <w:bCs/>
                      <w:color w:val="auto"/>
                      <w:szCs w:val="21"/>
                    </w:rPr>
                    <w:t>名称</w:t>
                  </w:r>
                </w:p>
              </w:tc>
              <w:tc>
                <w:tcPr>
                  <w:tcW w:w="1979" w:type="pct"/>
                  <w:vAlign w:val="center"/>
                </w:tcPr>
                <w:p>
                  <w:pPr>
                    <w:adjustRightInd w:val="0"/>
                    <w:snapToGrid w:val="0"/>
                    <w:jc w:val="center"/>
                    <w:rPr>
                      <w:b/>
                      <w:bCs/>
                      <w:color w:val="auto"/>
                      <w:szCs w:val="21"/>
                    </w:rPr>
                  </w:pPr>
                  <w:r>
                    <w:rPr>
                      <w:b/>
                      <w:bCs/>
                      <w:color w:val="auto"/>
                      <w:szCs w:val="21"/>
                    </w:rPr>
                    <w:t>理化特性</w:t>
                  </w:r>
                </w:p>
              </w:tc>
              <w:tc>
                <w:tcPr>
                  <w:tcW w:w="729" w:type="pct"/>
                  <w:vAlign w:val="center"/>
                </w:tcPr>
                <w:p>
                  <w:pPr>
                    <w:adjustRightInd w:val="0"/>
                    <w:snapToGrid w:val="0"/>
                    <w:jc w:val="center"/>
                    <w:rPr>
                      <w:b/>
                      <w:bCs/>
                      <w:color w:val="auto"/>
                      <w:szCs w:val="21"/>
                    </w:rPr>
                  </w:pPr>
                  <w:r>
                    <w:rPr>
                      <w:b/>
                      <w:bCs/>
                      <w:color w:val="auto"/>
                      <w:szCs w:val="21"/>
                    </w:rPr>
                    <w:t>燃烧</w:t>
                  </w:r>
                </w:p>
                <w:p>
                  <w:pPr>
                    <w:adjustRightInd w:val="0"/>
                    <w:snapToGrid w:val="0"/>
                    <w:jc w:val="center"/>
                    <w:rPr>
                      <w:b/>
                      <w:bCs/>
                      <w:color w:val="auto"/>
                      <w:szCs w:val="21"/>
                    </w:rPr>
                  </w:pPr>
                  <w:r>
                    <w:rPr>
                      <w:b/>
                      <w:bCs/>
                      <w:color w:val="auto"/>
                      <w:szCs w:val="21"/>
                    </w:rPr>
                    <w:t>爆炸性</w:t>
                  </w:r>
                </w:p>
              </w:tc>
              <w:tc>
                <w:tcPr>
                  <w:tcW w:w="1770" w:type="pct"/>
                  <w:vAlign w:val="center"/>
                </w:tcPr>
                <w:p>
                  <w:pPr>
                    <w:adjustRightInd w:val="0"/>
                    <w:snapToGrid w:val="0"/>
                    <w:jc w:val="center"/>
                    <w:rPr>
                      <w:b/>
                      <w:bCs/>
                      <w:color w:val="auto"/>
                      <w:szCs w:val="21"/>
                    </w:rPr>
                  </w:pPr>
                  <w:r>
                    <w:rPr>
                      <w:b/>
                      <w:bCs/>
                      <w:color w:val="auto"/>
                      <w:szCs w:val="21"/>
                    </w:rPr>
                    <w:t>毒理毒性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86" w:hRule="atLeast"/>
                <w:jc w:val="center"/>
              </w:trPr>
              <w:tc>
                <w:tcPr>
                  <w:tcW w:w="520" w:type="pct"/>
                  <w:tcMar>
                    <w:left w:w="0" w:type="dxa"/>
                    <w:right w:w="0" w:type="dxa"/>
                  </w:tcMar>
                  <w:vAlign w:val="center"/>
                </w:tcPr>
                <w:p>
                  <w:pPr>
                    <w:jc w:val="center"/>
                    <w:rPr>
                      <w:color w:val="auto"/>
                    </w:rPr>
                  </w:pPr>
                  <w:r>
                    <w:rPr>
                      <w:color w:val="auto"/>
                    </w:rPr>
                    <w:t>塑粉</w:t>
                  </w:r>
                </w:p>
              </w:tc>
              <w:tc>
                <w:tcPr>
                  <w:tcW w:w="1979" w:type="pct"/>
                  <w:vAlign w:val="center"/>
                </w:tcPr>
                <w:p>
                  <w:pPr>
                    <w:jc w:val="left"/>
                    <w:rPr>
                      <w:color w:val="auto"/>
                    </w:rPr>
                  </w:pPr>
                  <w:r>
                    <w:rPr>
                      <w:rFonts w:hint="eastAsia"/>
                      <w:color w:val="auto"/>
                      <w:szCs w:val="21"/>
                    </w:rPr>
                    <w:t>粉末涂料，无臭无味，相对密度约为1.3g/cm</w:t>
                  </w:r>
                  <w:r>
                    <w:rPr>
                      <w:rFonts w:hint="eastAsia"/>
                      <w:color w:val="auto"/>
                      <w:szCs w:val="21"/>
                      <w:vertAlign w:val="superscript"/>
                    </w:rPr>
                    <w:t>3</w:t>
                  </w:r>
                  <w:r>
                    <w:rPr>
                      <w:rFonts w:hint="eastAsia"/>
                      <w:color w:val="auto"/>
                      <w:szCs w:val="21"/>
                    </w:rPr>
                    <w:t>，燃点＞400℃，成分为环氧树脂、聚酯树脂等，水中不溶解。</w:t>
                  </w:r>
                </w:p>
              </w:tc>
              <w:tc>
                <w:tcPr>
                  <w:tcW w:w="729" w:type="pct"/>
                  <w:vAlign w:val="center"/>
                </w:tcPr>
                <w:p>
                  <w:pPr>
                    <w:jc w:val="center"/>
                    <w:rPr>
                      <w:color w:val="auto"/>
                    </w:rPr>
                  </w:pPr>
                  <w:r>
                    <w:rPr>
                      <w:rFonts w:hint="eastAsia"/>
                      <w:color w:val="auto"/>
                      <w:szCs w:val="21"/>
                    </w:rPr>
                    <w:t>可燃，爆炸极限：35-90g/m</w:t>
                  </w:r>
                  <w:r>
                    <w:rPr>
                      <w:rFonts w:hint="eastAsia"/>
                      <w:color w:val="auto"/>
                      <w:szCs w:val="21"/>
                      <w:vertAlign w:val="superscript"/>
                    </w:rPr>
                    <w:t>3</w:t>
                  </w:r>
                </w:p>
              </w:tc>
              <w:tc>
                <w:tcPr>
                  <w:tcW w:w="1770" w:type="pct"/>
                  <w:vAlign w:val="center"/>
                </w:tcPr>
                <w:p>
                  <w:pPr>
                    <w:jc w:val="center"/>
                    <w:rPr>
                      <w:color w:val="auto"/>
                    </w:rPr>
                  </w:pPr>
                  <w:r>
                    <w:rPr>
                      <w:rFonts w:hint="eastAsia"/>
                      <w:color w:val="auto"/>
                      <w:szCs w:val="21"/>
                    </w:rPr>
                    <w:t>无资料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20" w:type="pct"/>
                  <w:tcMar>
                    <w:left w:w="0" w:type="dxa"/>
                    <w:right w:w="0" w:type="dxa"/>
                  </w:tcMar>
                  <w:vAlign w:val="center"/>
                </w:tcPr>
                <w:p>
                  <w:pPr>
                    <w:adjustRightInd w:val="0"/>
                    <w:snapToGrid w:val="0"/>
                    <w:jc w:val="center"/>
                    <w:rPr>
                      <w:color w:val="auto"/>
                      <w:szCs w:val="21"/>
                    </w:rPr>
                  </w:pPr>
                  <w:r>
                    <w:rPr>
                      <w:color w:val="auto"/>
                      <w:szCs w:val="21"/>
                    </w:rPr>
                    <w:t>无磷转化剂</w:t>
                  </w:r>
                </w:p>
              </w:tc>
              <w:tc>
                <w:tcPr>
                  <w:tcW w:w="1979" w:type="pct"/>
                  <w:vAlign w:val="center"/>
                </w:tcPr>
                <w:p>
                  <w:pPr>
                    <w:jc w:val="left"/>
                    <w:rPr>
                      <w:color w:val="auto"/>
                      <w:szCs w:val="21"/>
                    </w:rPr>
                  </w:pPr>
                  <w:r>
                    <w:rPr>
                      <w:color w:val="auto"/>
                      <w:szCs w:val="21"/>
                    </w:rPr>
                    <w:t>主要成分氟锆酸盐45%，氧化硅15%，添加剂5%，纯水35%。状 态：无色透明液体</w:t>
                  </w:r>
                  <w:ins w:id="207" w:author="admin" w:date="2022-12-27T14:32:00Z">
                    <w:r>
                      <w:rPr>
                        <w:rFonts w:hint="eastAsia"/>
                        <w:color w:val="auto"/>
                        <w:szCs w:val="21"/>
                      </w:rPr>
                      <w:t>；</w:t>
                    </w:r>
                  </w:ins>
                  <w:r>
                    <w:rPr>
                      <w:color w:val="auto"/>
                      <w:szCs w:val="21"/>
                    </w:rPr>
                    <w:t>pH 值：1.7-3.0</w:t>
                  </w:r>
                </w:p>
                <w:p>
                  <w:pPr>
                    <w:jc w:val="left"/>
                    <w:rPr>
                      <w:color w:val="auto"/>
                      <w:szCs w:val="21"/>
                    </w:rPr>
                  </w:pPr>
                  <w:r>
                    <w:rPr>
                      <w:color w:val="auto"/>
                      <w:szCs w:val="21"/>
                    </w:rPr>
                    <w:t>密 度：1.01±0.01g/cm</w:t>
                  </w:r>
                  <w:r>
                    <w:rPr>
                      <w:color w:val="auto"/>
                      <w:szCs w:val="21"/>
                      <w:vertAlign w:val="superscript"/>
                    </w:rPr>
                    <w:t>3</w:t>
                  </w:r>
                  <w:ins w:id="208" w:author="admin" w:date="2022-12-27T14:33:00Z">
                    <w:r>
                      <w:rPr>
                        <w:color w:val="auto"/>
                        <w:szCs w:val="21"/>
                      </w:rPr>
                      <w:t>。</w:t>
                    </w:r>
                  </w:ins>
                  <w:r>
                    <w:rPr>
                      <w:color w:val="auto"/>
                      <w:szCs w:val="21"/>
                    </w:rPr>
                    <w:t>本品属强酸性，对皮肤、眼睛、口腔产生损害</w:t>
                  </w:r>
                  <w:ins w:id="209" w:author="admin" w:date="2022-12-27T14:33:00Z">
                    <w:r>
                      <w:rPr>
                        <w:rFonts w:hint="eastAsia"/>
                        <w:color w:val="auto"/>
                        <w:szCs w:val="21"/>
                      </w:rPr>
                      <w:t>，</w:t>
                    </w:r>
                  </w:ins>
                  <w:r>
                    <w:rPr>
                      <w:color w:val="auto"/>
                      <w:szCs w:val="21"/>
                    </w:rPr>
                    <w:t>严禁与碱混用</w:t>
                  </w:r>
                  <w:ins w:id="210" w:author="admin" w:date="2022-12-27T14:33:00Z">
                    <w:r>
                      <w:rPr>
                        <w:rFonts w:hint="eastAsia"/>
                        <w:color w:val="auto"/>
                        <w:szCs w:val="21"/>
                      </w:rPr>
                      <w:t>。</w:t>
                    </w:r>
                  </w:ins>
                </w:p>
              </w:tc>
              <w:tc>
                <w:tcPr>
                  <w:tcW w:w="729" w:type="pct"/>
                  <w:vAlign w:val="center"/>
                </w:tcPr>
                <w:p>
                  <w:pPr>
                    <w:adjustRightInd w:val="0"/>
                    <w:snapToGrid w:val="0"/>
                    <w:jc w:val="center"/>
                    <w:rPr>
                      <w:color w:val="auto"/>
                      <w:szCs w:val="21"/>
                    </w:rPr>
                  </w:pPr>
                  <w:r>
                    <w:rPr>
                      <w:color w:val="auto"/>
                      <w:szCs w:val="21"/>
                    </w:rPr>
                    <w:t>/</w:t>
                  </w:r>
                </w:p>
              </w:tc>
              <w:tc>
                <w:tcPr>
                  <w:tcW w:w="1770" w:type="pct"/>
                  <w:vAlign w:val="center"/>
                </w:tcPr>
                <w:p>
                  <w:pPr>
                    <w:jc w:val="center"/>
                    <w:rPr>
                      <w:color w:val="auto"/>
                      <w:szCs w:val="21"/>
                    </w:rPr>
                  </w:pPr>
                  <w:r>
                    <w:rPr>
                      <w:color w:val="auto"/>
                      <w:szCs w:val="21"/>
                    </w:rPr>
                    <w:t>吸入或食用对人体有害</w:t>
                  </w:r>
                </w:p>
                <w:p>
                  <w:pPr>
                    <w:adjustRightInd w:val="0"/>
                    <w:snapToGrid w:val="0"/>
                    <w:jc w:val="center"/>
                    <w:rPr>
                      <w:color w:val="auto"/>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20" w:type="pct"/>
                  <w:tcMar>
                    <w:left w:w="0" w:type="dxa"/>
                    <w:right w:w="0" w:type="dxa"/>
                  </w:tcMar>
                  <w:vAlign w:val="center"/>
                </w:tcPr>
                <w:p>
                  <w:pPr>
                    <w:adjustRightInd w:val="0"/>
                    <w:snapToGrid w:val="0"/>
                    <w:jc w:val="center"/>
                    <w:rPr>
                      <w:color w:val="auto"/>
                      <w:szCs w:val="21"/>
                    </w:rPr>
                  </w:pPr>
                  <w:r>
                    <w:rPr>
                      <w:rFonts w:hint="eastAsia"/>
                      <w:color w:val="auto"/>
                      <w:szCs w:val="21"/>
                    </w:rPr>
                    <w:t>硅烷处理剂</w:t>
                  </w:r>
                </w:p>
              </w:tc>
              <w:tc>
                <w:tcPr>
                  <w:tcW w:w="1979" w:type="pct"/>
                  <w:vAlign w:val="center"/>
                </w:tcPr>
                <w:p>
                  <w:pPr>
                    <w:jc w:val="left"/>
                    <w:rPr>
                      <w:color w:val="auto"/>
                      <w:szCs w:val="21"/>
                    </w:rPr>
                  </w:pPr>
                  <w:r>
                    <w:rPr>
                      <w:rFonts w:hint="eastAsia" w:ascii="宋体" w:hAnsi="宋体" w:cs="宋体"/>
                      <w:color w:val="auto"/>
                      <w:szCs w:val="21"/>
                    </w:rPr>
                    <w:t>以有机硅烷水溶液为主要成分。</w:t>
                  </w:r>
                  <w:r>
                    <w:rPr>
                      <w:rFonts w:hint="eastAsia" w:ascii="宋体" w:hAnsi="宋体" w:cs="宋体"/>
                      <w:color w:val="auto"/>
                      <w:szCs w:val="21"/>
                      <w:shd w:val="clear" w:color="auto" w:fill="FFFFFF"/>
                    </w:rPr>
                    <w:t>无有害重金属离子，不含磷。</w:t>
                  </w:r>
                  <w:r>
                    <w:rPr>
                      <w:rFonts w:hint="eastAsia" w:ascii="宋体" w:hAnsi="宋体" w:cs="宋体"/>
                      <w:color w:val="auto"/>
                      <w:szCs w:val="21"/>
                    </w:rPr>
                    <w:t>硅烷含有两种不同化学官能团，一端能与无机材料（如玻璃纤维、硅酸盐、金属及其氧化物）表面的羟基反应生成共价键；另一端能与树脂生成共价键，从而使两种性质差别很大的材料结合起来，起到提高复合材料性能的作用</w:t>
                  </w:r>
                </w:p>
              </w:tc>
              <w:tc>
                <w:tcPr>
                  <w:tcW w:w="729" w:type="pct"/>
                  <w:vAlign w:val="center"/>
                </w:tcPr>
                <w:p>
                  <w:pPr>
                    <w:adjustRightInd w:val="0"/>
                    <w:snapToGrid w:val="0"/>
                    <w:jc w:val="center"/>
                    <w:rPr>
                      <w:color w:val="auto"/>
                      <w:szCs w:val="21"/>
                    </w:rPr>
                  </w:pPr>
                  <w:r>
                    <w:rPr>
                      <w:rFonts w:hint="eastAsia"/>
                      <w:color w:val="auto"/>
                      <w:szCs w:val="21"/>
                    </w:rPr>
                    <w:t>/</w:t>
                  </w:r>
                </w:p>
              </w:tc>
              <w:tc>
                <w:tcPr>
                  <w:tcW w:w="1770" w:type="pct"/>
                  <w:vAlign w:val="center"/>
                </w:tcPr>
                <w:p>
                  <w:pPr>
                    <w:adjustRightInd w:val="0"/>
                    <w:snapToGrid w:val="0"/>
                    <w:jc w:val="center"/>
                    <w:rPr>
                      <w:color w:val="auto"/>
                      <w:szCs w:val="21"/>
                      <w:highlight w:val="yellow"/>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20" w:type="pct"/>
                  <w:tcMar>
                    <w:left w:w="0" w:type="dxa"/>
                    <w:right w:w="0" w:type="dxa"/>
                  </w:tcMar>
                  <w:vAlign w:val="center"/>
                </w:tcPr>
                <w:p>
                  <w:pPr>
                    <w:adjustRightInd w:val="0"/>
                    <w:snapToGrid w:val="0"/>
                    <w:jc w:val="center"/>
                    <w:rPr>
                      <w:color w:val="auto"/>
                      <w:szCs w:val="21"/>
                    </w:rPr>
                  </w:pPr>
                  <w:r>
                    <w:rPr>
                      <w:rFonts w:hint="eastAsia"/>
                      <w:color w:val="auto"/>
                      <w:szCs w:val="21"/>
                    </w:rPr>
                    <w:t>酸碱度调整剂</w:t>
                  </w:r>
                </w:p>
              </w:tc>
              <w:tc>
                <w:tcPr>
                  <w:tcW w:w="1979" w:type="pct"/>
                  <w:vAlign w:val="center"/>
                </w:tcPr>
                <w:p>
                  <w:pPr>
                    <w:jc w:val="left"/>
                    <w:rPr>
                      <w:color w:val="auto"/>
                      <w:szCs w:val="21"/>
                    </w:rPr>
                  </w:pPr>
                  <w:r>
                    <w:rPr>
                      <w:rFonts w:hint="eastAsia"/>
                      <w:color w:val="auto"/>
                      <w:szCs w:val="21"/>
                    </w:rPr>
                    <w:t>这是一种用来调整或保持PH值(酸或碱)的一种添加剂，主要成分柠檬酸：白色半透明晶体或粉末。无气味，味酸。密度：1.542 熔点：153-159 °C(lit.) 沸点：309.6ºC at 760 mmHg 闪点：100 °C 水溶解性：750 g/L (20 ºC) 折射率：1.493~1.509，粉体与空气可形成爆炸性混合物。用于香料或作为饮料的酸化剂，在食品和医学上用作多价螯合剂，也是化学中间体。</w:t>
                  </w:r>
                </w:p>
              </w:tc>
              <w:tc>
                <w:tcPr>
                  <w:tcW w:w="729" w:type="pct"/>
                  <w:vAlign w:val="center"/>
                </w:tcPr>
                <w:p>
                  <w:pPr>
                    <w:adjustRightInd w:val="0"/>
                    <w:snapToGrid w:val="0"/>
                    <w:jc w:val="center"/>
                    <w:rPr>
                      <w:color w:val="auto"/>
                      <w:szCs w:val="21"/>
                    </w:rPr>
                  </w:pPr>
                  <w:r>
                    <w:rPr>
                      <w:rFonts w:hint="eastAsia"/>
                      <w:color w:val="auto"/>
                    </w:rPr>
                    <w:t>可燃</w:t>
                  </w:r>
                </w:p>
              </w:tc>
              <w:tc>
                <w:tcPr>
                  <w:tcW w:w="1770" w:type="pct"/>
                  <w:vAlign w:val="center"/>
                </w:tcPr>
                <w:p>
                  <w:pPr>
                    <w:adjustRightInd w:val="0"/>
                    <w:snapToGrid w:val="0"/>
                    <w:jc w:val="center"/>
                    <w:rPr>
                      <w:color w:val="auto"/>
                      <w:szCs w:val="21"/>
                      <w:highlight w:val="yellow"/>
                    </w:rPr>
                  </w:pPr>
                  <w:r>
                    <w:rPr>
                      <w:rFonts w:hint="eastAsia"/>
                      <w:color w:val="auto"/>
                    </w:rPr>
                    <w:t>LD50：6730 mg/kg(大鼠经口) LC50：无资料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723" w:hRule="atLeast"/>
                <w:jc w:val="center"/>
              </w:trPr>
              <w:tc>
                <w:tcPr>
                  <w:tcW w:w="520" w:type="pct"/>
                  <w:tcMar>
                    <w:left w:w="0" w:type="dxa"/>
                    <w:right w:w="0" w:type="dxa"/>
                  </w:tcMar>
                  <w:vAlign w:val="center"/>
                </w:tcPr>
                <w:p>
                  <w:pPr>
                    <w:adjustRightInd w:val="0"/>
                    <w:snapToGrid w:val="0"/>
                    <w:jc w:val="center"/>
                    <w:rPr>
                      <w:color w:val="auto"/>
                      <w:szCs w:val="21"/>
                    </w:rPr>
                  </w:pPr>
                  <w:r>
                    <w:rPr>
                      <w:color w:val="auto"/>
                      <w:szCs w:val="21"/>
                    </w:rPr>
                    <w:t>脱脂剂</w:t>
                  </w:r>
                </w:p>
              </w:tc>
              <w:tc>
                <w:tcPr>
                  <w:tcW w:w="1979" w:type="pct"/>
                  <w:vAlign w:val="center"/>
                </w:tcPr>
                <w:p>
                  <w:pPr>
                    <w:jc w:val="left"/>
                    <w:rPr>
                      <w:color w:val="auto"/>
                      <w:szCs w:val="21"/>
                    </w:rPr>
                  </w:pPr>
                  <w:r>
                    <w:rPr>
                      <w:color w:val="auto"/>
                      <w:szCs w:val="21"/>
                    </w:rPr>
                    <w:t>主要成分：KOH25-35%，缓蚀剂2-5%，添加剂3-5%，该品属于强碱性，具有腐蚀性。状 态：无色或淡黄色液体</w:t>
                  </w:r>
                </w:p>
                <w:p>
                  <w:pPr>
                    <w:jc w:val="left"/>
                    <w:rPr>
                      <w:color w:val="auto"/>
                      <w:szCs w:val="21"/>
                    </w:rPr>
                  </w:pPr>
                  <w:r>
                    <w:rPr>
                      <w:color w:val="auto"/>
                      <w:szCs w:val="21"/>
                    </w:rPr>
                    <w:t>pH 值：12-14</w:t>
                  </w:r>
                </w:p>
                <w:p>
                  <w:pPr>
                    <w:jc w:val="left"/>
                    <w:rPr>
                      <w:color w:val="auto"/>
                      <w:szCs w:val="21"/>
                    </w:rPr>
                  </w:pPr>
                  <w:r>
                    <w:rPr>
                      <w:color w:val="auto"/>
                      <w:szCs w:val="21"/>
                    </w:rPr>
                    <w:t>密 度：1.262±0.02g/cm</w:t>
                  </w:r>
                  <w:r>
                    <w:rPr>
                      <w:color w:val="auto"/>
                      <w:szCs w:val="21"/>
                      <w:vertAlign w:val="superscript"/>
                    </w:rPr>
                    <w:t>3</w:t>
                  </w:r>
                </w:p>
              </w:tc>
              <w:tc>
                <w:tcPr>
                  <w:tcW w:w="729" w:type="pct"/>
                  <w:vAlign w:val="center"/>
                </w:tcPr>
                <w:p>
                  <w:pPr>
                    <w:adjustRightInd w:val="0"/>
                    <w:snapToGrid w:val="0"/>
                    <w:jc w:val="center"/>
                    <w:rPr>
                      <w:color w:val="auto"/>
                      <w:szCs w:val="21"/>
                    </w:rPr>
                  </w:pPr>
                  <w:r>
                    <w:rPr>
                      <w:color w:val="auto"/>
                      <w:szCs w:val="21"/>
                    </w:rPr>
                    <w:t>/</w:t>
                  </w:r>
                </w:p>
              </w:tc>
              <w:tc>
                <w:tcPr>
                  <w:tcW w:w="1770" w:type="pct"/>
                  <w:vAlign w:val="center"/>
                </w:tcPr>
                <w:p>
                  <w:pPr>
                    <w:adjustRightInd w:val="0"/>
                    <w:snapToGrid w:val="0"/>
                    <w:jc w:val="center"/>
                    <w:rPr>
                      <w:color w:val="auto"/>
                      <w:szCs w:val="21"/>
                      <w:highlight w:val="yellow"/>
                    </w:rPr>
                  </w:pPr>
                  <w:r>
                    <w:rPr>
                      <w:color w:val="auto"/>
                      <w:szCs w:val="21"/>
                    </w:rPr>
                    <w:t>吸入或食用对人体有害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918" w:hRule="atLeast"/>
                <w:jc w:val="center"/>
              </w:trPr>
              <w:tc>
                <w:tcPr>
                  <w:tcW w:w="520" w:type="pct"/>
                  <w:tcMar>
                    <w:left w:w="0" w:type="dxa"/>
                    <w:right w:w="0" w:type="dxa"/>
                  </w:tcMar>
                  <w:vAlign w:val="center"/>
                </w:tcPr>
                <w:p>
                  <w:pPr>
                    <w:adjustRightInd w:val="0"/>
                    <w:snapToGrid w:val="0"/>
                    <w:jc w:val="center"/>
                    <w:rPr>
                      <w:color w:val="auto"/>
                      <w:szCs w:val="21"/>
                    </w:rPr>
                  </w:pPr>
                  <w:r>
                    <w:rPr>
                      <w:color w:val="auto"/>
                      <w:szCs w:val="21"/>
                    </w:rPr>
                    <w:t>脱脂助剂</w:t>
                  </w:r>
                </w:p>
              </w:tc>
              <w:tc>
                <w:tcPr>
                  <w:tcW w:w="1979" w:type="pct"/>
                  <w:vAlign w:val="center"/>
                </w:tcPr>
                <w:p>
                  <w:pPr>
                    <w:jc w:val="left"/>
                    <w:rPr>
                      <w:color w:val="auto"/>
                      <w:szCs w:val="21"/>
                    </w:rPr>
                  </w:pPr>
                  <w:r>
                    <w:rPr>
                      <w:color w:val="auto"/>
                      <w:szCs w:val="21"/>
                    </w:rPr>
                    <w:t>主要成分：非离子表面活性剂15-25%，助剂2-4%。该品近中性，不具有腐蚀性。状 态：乳白色液体</w:t>
                  </w:r>
                </w:p>
                <w:p>
                  <w:pPr>
                    <w:jc w:val="left"/>
                    <w:rPr>
                      <w:color w:val="auto"/>
                      <w:szCs w:val="21"/>
                    </w:rPr>
                  </w:pPr>
                  <w:r>
                    <w:rPr>
                      <w:color w:val="auto"/>
                      <w:szCs w:val="21"/>
                    </w:rPr>
                    <w:t>pH 值：5.5-7.0</w:t>
                  </w:r>
                </w:p>
                <w:p>
                  <w:pPr>
                    <w:jc w:val="left"/>
                    <w:rPr>
                      <w:color w:val="auto"/>
                      <w:szCs w:val="21"/>
                    </w:rPr>
                  </w:pPr>
                  <w:r>
                    <w:rPr>
                      <w:color w:val="auto"/>
                      <w:szCs w:val="21"/>
                    </w:rPr>
                    <w:t>密 度：1.01±0.01g/cm</w:t>
                  </w:r>
                  <w:r>
                    <w:rPr>
                      <w:color w:val="auto"/>
                      <w:szCs w:val="21"/>
                      <w:vertAlign w:val="superscript"/>
                    </w:rPr>
                    <w:t>3</w:t>
                  </w:r>
                </w:p>
              </w:tc>
              <w:tc>
                <w:tcPr>
                  <w:tcW w:w="729" w:type="pct"/>
                  <w:vAlign w:val="center"/>
                </w:tcPr>
                <w:p>
                  <w:pPr>
                    <w:adjustRightInd w:val="0"/>
                    <w:snapToGrid w:val="0"/>
                    <w:jc w:val="center"/>
                    <w:rPr>
                      <w:color w:val="auto"/>
                      <w:szCs w:val="21"/>
                    </w:rPr>
                  </w:pPr>
                  <w:r>
                    <w:rPr>
                      <w:color w:val="auto"/>
                      <w:szCs w:val="21"/>
                    </w:rPr>
                    <w:t>/</w:t>
                  </w:r>
                </w:p>
              </w:tc>
              <w:tc>
                <w:tcPr>
                  <w:tcW w:w="1770" w:type="pct"/>
                  <w:vAlign w:val="center"/>
                </w:tcPr>
                <w:p>
                  <w:pPr>
                    <w:adjustRightInd w:val="0"/>
                    <w:snapToGrid w:val="0"/>
                    <w:jc w:val="center"/>
                    <w:rPr>
                      <w:color w:val="auto"/>
                      <w:szCs w:val="21"/>
                      <w:highlight w:val="yellow"/>
                    </w:rPr>
                  </w:pPr>
                  <w:r>
                    <w:rPr>
                      <w:color w:val="auto"/>
                      <w:szCs w:val="21"/>
                    </w:rPr>
                    <w:t>吸入或食用对人体有害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20" w:type="pct"/>
                  <w:tcMar>
                    <w:left w:w="0" w:type="dxa"/>
                    <w:right w:w="0" w:type="dxa"/>
                  </w:tcMar>
                  <w:vAlign w:val="center"/>
                </w:tcPr>
                <w:p>
                  <w:pPr>
                    <w:adjustRightInd w:val="0"/>
                    <w:snapToGrid w:val="0"/>
                    <w:jc w:val="center"/>
                    <w:rPr>
                      <w:color w:val="auto"/>
                      <w:szCs w:val="21"/>
                    </w:rPr>
                  </w:pPr>
                  <w:r>
                    <w:rPr>
                      <w:color w:val="auto"/>
                      <w:szCs w:val="21"/>
                    </w:rPr>
                    <w:t>液压油</w:t>
                  </w:r>
                </w:p>
              </w:tc>
              <w:tc>
                <w:tcPr>
                  <w:tcW w:w="1979" w:type="pct"/>
                  <w:vAlign w:val="center"/>
                </w:tcPr>
                <w:p>
                  <w:pPr>
                    <w:adjustRightInd w:val="0"/>
                    <w:snapToGrid w:val="0"/>
                    <w:rPr>
                      <w:color w:val="auto"/>
                      <w:szCs w:val="21"/>
                    </w:rPr>
                  </w:pPr>
                  <w:r>
                    <w:rPr>
                      <w:color w:val="auto"/>
                      <w:szCs w:val="21"/>
                    </w:rPr>
                    <w:t>物理状态</w:t>
                  </w:r>
                  <w:r>
                    <w:rPr>
                      <w:rFonts w:hint="eastAsia"/>
                      <w:color w:val="auto"/>
                      <w:szCs w:val="21"/>
                    </w:rPr>
                    <w:t>：</w:t>
                  </w:r>
                  <w:r>
                    <w:rPr>
                      <w:color w:val="auto"/>
                      <w:szCs w:val="21"/>
                    </w:rPr>
                    <w:t>液体，外观</w:t>
                  </w:r>
                  <w:r>
                    <w:rPr>
                      <w:rFonts w:hint="eastAsia"/>
                      <w:color w:val="auto"/>
                      <w:szCs w:val="21"/>
                    </w:rPr>
                    <w:t>：</w:t>
                  </w:r>
                  <w:r>
                    <w:rPr>
                      <w:color w:val="auto"/>
                      <w:szCs w:val="21"/>
                    </w:rPr>
                    <w:t>清澈的，颜色</w:t>
                  </w:r>
                  <w:r>
                    <w:rPr>
                      <w:rFonts w:hint="eastAsia"/>
                      <w:color w:val="auto"/>
                      <w:szCs w:val="21"/>
                    </w:rPr>
                    <w:t>：</w:t>
                  </w:r>
                  <w:r>
                    <w:rPr>
                      <w:color w:val="auto"/>
                      <w:szCs w:val="21"/>
                    </w:rPr>
                    <w:t>琥珀色，气味</w:t>
                  </w:r>
                  <w:r>
                    <w:rPr>
                      <w:rFonts w:hint="eastAsia"/>
                      <w:color w:val="auto"/>
                      <w:szCs w:val="21"/>
                    </w:rPr>
                    <w:t>：</w:t>
                  </w:r>
                  <w:r>
                    <w:rPr>
                      <w:color w:val="auto"/>
                      <w:szCs w:val="21"/>
                    </w:rPr>
                    <w:t>特有的，嗅味阈值</w:t>
                  </w:r>
                  <w:r>
                    <w:rPr>
                      <w:rFonts w:hint="eastAsia"/>
                      <w:color w:val="auto"/>
                      <w:szCs w:val="21"/>
                    </w:rPr>
                    <w:t>：</w:t>
                  </w:r>
                  <w:r>
                    <w:rPr>
                      <w:color w:val="auto"/>
                      <w:szCs w:val="21"/>
                    </w:rPr>
                    <w:t xml:space="preserve">未制定相对密度 ( 15.6℃) </w:t>
                  </w:r>
                  <w:r>
                    <w:rPr>
                      <w:rFonts w:hint="eastAsia"/>
                      <w:color w:val="auto"/>
                      <w:szCs w:val="21"/>
                    </w:rPr>
                    <w:t>：</w:t>
                  </w:r>
                  <w:r>
                    <w:rPr>
                      <w:color w:val="auto"/>
                      <w:szCs w:val="21"/>
                    </w:rPr>
                    <w:t xml:space="preserve">0.881，闪点[测试方法] </w:t>
                  </w:r>
                  <w:r>
                    <w:rPr>
                      <w:rFonts w:hint="eastAsia"/>
                      <w:color w:val="auto"/>
                      <w:szCs w:val="21"/>
                    </w:rPr>
                    <w:t>：</w:t>
                  </w:r>
                  <w:r>
                    <w:rPr>
                      <w:color w:val="auto"/>
                      <w:szCs w:val="21"/>
                    </w:rPr>
                    <w:t>204℃ (399F)[ A STM D- 92]。沸点/范围</w:t>
                  </w:r>
                  <w:r>
                    <w:rPr>
                      <w:rFonts w:hint="eastAsia"/>
                      <w:color w:val="auto"/>
                      <w:szCs w:val="21"/>
                    </w:rPr>
                    <w:t>：</w:t>
                  </w:r>
                  <w:r>
                    <w:rPr>
                      <w:color w:val="auto"/>
                      <w:szCs w:val="21"/>
                    </w:rPr>
                    <w:t xml:space="preserve">&gt; 316℃，(600F)蒸气密度 (空气 =1) </w:t>
                  </w:r>
                  <w:r>
                    <w:rPr>
                      <w:rFonts w:hint="eastAsia"/>
                      <w:color w:val="auto"/>
                      <w:szCs w:val="21"/>
                    </w:rPr>
                    <w:t>：</w:t>
                  </w:r>
                  <w:r>
                    <w:rPr>
                      <w:color w:val="auto"/>
                      <w:szCs w:val="21"/>
                    </w:rPr>
                    <w:t>&gt; 2</w:t>
                  </w:r>
                  <w:r>
                    <w:rPr>
                      <w:rFonts w:hint="eastAsia"/>
                      <w:color w:val="auto"/>
                      <w:szCs w:val="21"/>
                    </w:rPr>
                    <w:t>（</w:t>
                  </w:r>
                  <w:r>
                    <w:rPr>
                      <w:color w:val="auto"/>
                      <w:szCs w:val="21"/>
                    </w:rPr>
                    <w:t>101 kPa</w:t>
                  </w:r>
                  <w:r>
                    <w:rPr>
                      <w:rFonts w:hint="eastAsia"/>
                      <w:color w:val="auto"/>
                      <w:szCs w:val="21"/>
                    </w:rPr>
                    <w:t>）</w:t>
                  </w:r>
                  <w:r>
                    <w:rPr>
                      <w:color w:val="auto"/>
                      <w:szCs w:val="21"/>
                    </w:rPr>
                    <w:t>，蒸气压力</w:t>
                  </w:r>
                  <w:r>
                    <w:rPr>
                      <w:rFonts w:hint="eastAsia"/>
                      <w:color w:val="auto"/>
                      <w:szCs w:val="21"/>
                    </w:rPr>
                    <w:t>：</w:t>
                  </w:r>
                  <w:r>
                    <w:rPr>
                      <w:color w:val="auto"/>
                      <w:szCs w:val="21"/>
                    </w:rPr>
                    <w:t xml:space="preserve"> &lt; 0.013 kPa (0. 1mmHg) 20℃，蒸发率(醋酸正丁酯=1)</w:t>
                  </w:r>
                  <w:r>
                    <w:rPr>
                      <w:rFonts w:hint="eastAsia"/>
                      <w:color w:val="auto"/>
                      <w:szCs w:val="21"/>
                    </w:rPr>
                    <w:t>：</w:t>
                  </w:r>
                  <w:r>
                    <w:rPr>
                      <w:color w:val="auto"/>
                      <w:szCs w:val="21"/>
                    </w:rPr>
                    <w:t>未制定，正辛醇/水分配系数对数值</w:t>
                  </w:r>
                  <w:r>
                    <w:rPr>
                      <w:rFonts w:hint="eastAsia"/>
                      <w:color w:val="auto"/>
                      <w:szCs w:val="21"/>
                    </w:rPr>
                    <w:t>：</w:t>
                  </w:r>
                  <w:r>
                    <w:rPr>
                      <w:color w:val="auto"/>
                      <w:szCs w:val="21"/>
                    </w:rPr>
                    <w:t>&gt; 3.5</w:t>
                  </w:r>
                </w:p>
              </w:tc>
              <w:tc>
                <w:tcPr>
                  <w:tcW w:w="729" w:type="pct"/>
                  <w:vAlign w:val="center"/>
                </w:tcPr>
                <w:p>
                  <w:pPr>
                    <w:adjustRightInd w:val="0"/>
                    <w:snapToGrid w:val="0"/>
                    <w:jc w:val="center"/>
                    <w:rPr>
                      <w:color w:val="auto"/>
                      <w:szCs w:val="21"/>
                    </w:rPr>
                  </w:pPr>
                  <w:r>
                    <w:rPr>
                      <w:color w:val="auto"/>
                      <w:szCs w:val="21"/>
                    </w:rPr>
                    <w:t>可燃极限(在空气中%vol.): 爆炸下限(LEL): 0. 9爆炸上限(UEL): 7.0。自燃温度:未制定。</w:t>
                  </w:r>
                </w:p>
                <w:p>
                  <w:pPr>
                    <w:adjustRightInd w:val="0"/>
                    <w:snapToGrid w:val="0"/>
                    <w:jc w:val="center"/>
                    <w:rPr>
                      <w:color w:val="auto"/>
                      <w:szCs w:val="21"/>
                    </w:rPr>
                  </w:pPr>
                  <w:r>
                    <w:rPr>
                      <w:color w:val="auto"/>
                      <w:szCs w:val="21"/>
                    </w:rPr>
                    <w:t>油雾受压可能会形成易燃性混合物。</w:t>
                  </w:r>
                </w:p>
              </w:tc>
              <w:tc>
                <w:tcPr>
                  <w:tcW w:w="1770" w:type="pct"/>
                  <w:vAlign w:val="center"/>
                </w:tcPr>
                <w:p>
                  <w:pPr>
                    <w:adjustRightInd w:val="0"/>
                    <w:snapToGrid w:val="0"/>
                    <w:jc w:val="center"/>
                    <w:rPr>
                      <w:color w:val="auto"/>
                      <w:szCs w:val="21"/>
                    </w:rPr>
                  </w:pPr>
                  <w:r>
                    <w:rPr>
                      <w:color w:val="auto"/>
                      <w:szCs w:val="21"/>
                    </w:rPr>
                    <w:t>吸入:毒性(老鼠) : LC50 &gt; 5000 mg/m3极低毒性。刺激性:无具体数据在一般温度/正常处理温度下危险性可忽略。食入:毒性(老鼠): LD</w:t>
                  </w:r>
                  <w:r>
                    <w:rPr>
                      <w:color w:val="auto"/>
                      <w:szCs w:val="21"/>
                      <w:vertAlign w:val="subscript"/>
                    </w:rPr>
                    <w:t>50</w:t>
                  </w:r>
                  <w:r>
                    <w:rPr>
                      <w:color w:val="auto"/>
                      <w:szCs w:val="21"/>
                    </w:rPr>
                    <w:t xml:space="preserve"> &gt; 2000 mg/kg 极低毒性。皮肤:毒性(兔) : LD</w:t>
                  </w:r>
                  <w:r>
                    <w:rPr>
                      <w:color w:val="auto"/>
                      <w:szCs w:val="21"/>
                      <w:vertAlign w:val="subscript"/>
                    </w:rPr>
                    <w:t>50</w:t>
                  </w:r>
                  <w:r>
                    <w:rPr>
                      <w:color w:val="auto"/>
                      <w:szCs w:val="21"/>
                    </w:rPr>
                    <w:t xml:space="preserve"> ) 2000 mg/kg极低毒性。刺激性(兔): 有数据 在-般温度下对皮肤的刺激性可忽略。眼睛:刺激性 (兔) :有数据可能会引起中等程度、短暂的眼睛不适。慢性毒性/其他影响含有:深度加工基础油:在动物实验中无致癌性。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520" w:type="pct"/>
                  <w:tcMar>
                    <w:left w:w="0" w:type="dxa"/>
                    <w:right w:w="0" w:type="dxa"/>
                  </w:tcMar>
                  <w:vAlign w:val="center"/>
                </w:tcPr>
                <w:p>
                  <w:pPr>
                    <w:adjustRightInd w:val="0"/>
                    <w:snapToGrid w:val="0"/>
                    <w:jc w:val="center"/>
                    <w:rPr>
                      <w:color w:val="auto"/>
                      <w:szCs w:val="21"/>
                    </w:rPr>
                  </w:pPr>
                  <w:r>
                    <w:rPr>
                      <w:color w:val="auto"/>
                      <w:szCs w:val="21"/>
                    </w:rPr>
                    <w:t>润滑油</w:t>
                  </w:r>
                </w:p>
              </w:tc>
              <w:tc>
                <w:tcPr>
                  <w:tcW w:w="1979" w:type="pct"/>
                  <w:vAlign w:val="center"/>
                </w:tcPr>
                <w:p>
                  <w:pPr>
                    <w:pStyle w:val="42"/>
                    <w:rPr>
                      <w:color w:val="auto"/>
                    </w:rPr>
                  </w:pPr>
                  <w:r>
                    <w:rPr>
                      <w:color w:val="auto"/>
                      <w:kern w:val="0"/>
                    </w:rPr>
                    <w:t>由基础油和添加剂两部分组成，密度约为0.91×10³（kg/m³）能对发动机起到润滑减磨、辅助冷却降温、密封防漏、防锈防蚀、减震缓冲等作用</w:t>
                  </w:r>
                </w:p>
              </w:tc>
              <w:tc>
                <w:tcPr>
                  <w:tcW w:w="729" w:type="pct"/>
                  <w:vAlign w:val="center"/>
                </w:tcPr>
                <w:p>
                  <w:pPr>
                    <w:adjustRightInd w:val="0"/>
                    <w:snapToGrid w:val="0"/>
                    <w:jc w:val="center"/>
                    <w:rPr>
                      <w:color w:val="auto"/>
                      <w:szCs w:val="21"/>
                      <w:highlight w:val="yellow"/>
                    </w:rPr>
                  </w:pPr>
                  <w:r>
                    <w:rPr>
                      <w:color w:val="auto"/>
                      <w:szCs w:val="21"/>
                    </w:rPr>
                    <w:t>可燃、</w:t>
                  </w:r>
                  <w:r>
                    <w:rPr>
                      <w:snapToGrid w:val="0"/>
                      <w:color w:val="auto"/>
                      <w:kern w:val="0"/>
                      <w:szCs w:val="21"/>
                    </w:rPr>
                    <w:t>不易</w:t>
                  </w:r>
                  <w:r>
                    <w:rPr>
                      <w:color w:val="auto"/>
                      <w:szCs w:val="21"/>
                    </w:rPr>
                    <w:t>爆</w:t>
                  </w:r>
                </w:p>
              </w:tc>
              <w:tc>
                <w:tcPr>
                  <w:tcW w:w="1770" w:type="pct"/>
                  <w:vAlign w:val="center"/>
                </w:tcPr>
                <w:p>
                  <w:pPr>
                    <w:adjustRightInd w:val="0"/>
                    <w:snapToGrid w:val="0"/>
                    <w:jc w:val="center"/>
                    <w:rPr>
                      <w:color w:val="auto"/>
                      <w:szCs w:val="21"/>
                      <w:highlight w:val="yellow"/>
                    </w:rPr>
                  </w:pPr>
                  <w:r>
                    <w:rPr>
                      <w:color w:val="auto"/>
                      <w:szCs w:val="21"/>
                    </w:rPr>
                    <w:t>不可吞食，短期接触无害</w:t>
                  </w:r>
                </w:p>
              </w:tc>
            </w:tr>
          </w:tbl>
          <w:p>
            <w:pPr>
              <w:widowControl/>
              <w:numPr>
                <w:ilvl w:val="0"/>
                <w:numId w:val="4"/>
              </w:numPr>
              <w:jc w:val="center"/>
              <w:rPr>
                <w:ins w:id="211" w:author="Sunny" w:date="2022-12-29T09:07:00Z"/>
                <w:rFonts w:ascii="Calibri" w:hAnsi="Calibri" w:cs="Calibri"/>
                <w:b/>
                <w:bCs/>
                <w:color w:val="auto"/>
                <w:sz w:val="24"/>
              </w:rPr>
            </w:pPr>
            <w:ins w:id="212" w:author="Sunny" w:date="2022-12-29T09:07:00Z">
              <w:r>
                <w:rPr>
                  <w:rFonts w:hint="eastAsia" w:ascii="Calibri" w:hAnsi="Calibri" w:cs="Calibri"/>
                  <w:b/>
                  <w:bCs/>
                  <w:color w:val="auto"/>
                  <w:sz w:val="24"/>
                </w:rPr>
                <w:t>本项目产品喷涂方案</w:t>
              </w:r>
            </w:ins>
          </w:p>
          <w:tbl>
            <w:tblPr>
              <w:tblStyle w:val="26"/>
              <w:tblW w:w="48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00"/>
              <w:gridCol w:w="1228"/>
              <w:gridCol w:w="1371"/>
              <w:gridCol w:w="1534"/>
              <w:gridCol w:w="1503"/>
              <w:gridCol w:w="13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63" w:hRule="atLeast"/>
                <w:jc w:val="center"/>
                <w:ins w:id="213" w:author="Sunny" w:date="2022-12-29T09:07:00Z"/>
              </w:trPr>
              <w:tc>
                <w:tcPr>
                  <w:tcW w:w="788" w:type="pct"/>
                  <w:tcMar>
                    <w:left w:w="0" w:type="dxa"/>
                    <w:right w:w="0" w:type="dxa"/>
                  </w:tcMar>
                  <w:vAlign w:val="center"/>
                </w:tcPr>
                <w:p>
                  <w:pPr>
                    <w:jc w:val="center"/>
                    <w:rPr>
                      <w:ins w:id="214" w:author="Sunny" w:date="2022-12-29T09:07:00Z"/>
                      <w:b/>
                      <w:bCs/>
                      <w:color w:val="auto"/>
                      <w:szCs w:val="21"/>
                    </w:rPr>
                  </w:pPr>
                  <w:ins w:id="215" w:author="Sunny" w:date="2022-12-29T09:07:00Z">
                    <w:r>
                      <w:rPr>
                        <w:b/>
                        <w:bCs/>
                        <w:color w:val="auto"/>
                        <w:szCs w:val="21"/>
                      </w:rPr>
                      <w:t>产品名称</w:t>
                    </w:r>
                  </w:ins>
                </w:p>
              </w:tc>
              <w:tc>
                <w:tcPr>
                  <w:tcW w:w="745" w:type="pct"/>
                  <w:tcMar>
                    <w:left w:w="0" w:type="dxa"/>
                    <w:right w:w="0" w:type="dxa"/>
                  </w:tcMar>
                  <w:vAlign w:val="center"/>
                </w:tcPr>
                <w:p>
                  <w:pPr>
                    <w:jc w:val="center"/>
                    <w:rPr>
                      <w:ins w:id="216" w:author="Sunny" w:date="2022-12-29T09:07:00Z"/>
                      <w:b/>
                      <w:bCs/>
                      <w:color w:val="auto"/>
                      <w:szCs w:val="21"/>
                    </w:rPr>
                  </w:pPr>
                  <w:ins w:id="217" w:author="Sunny" w:date="2022-12-29T09:07:00Z">
                    <w:r>
                      <w:rPr>
                        <w:b/>
                        <w:bCs/>
                        <w:color w:val="auto"/>
                        <w:szCs w:val="21"/>
                      </w:rPr>
                      <w:t>产品单位</w:t>
                    </w:r>
                  </w:ins>
                </w:p>
              </w:tc>
              <w:tc>
                <w:tcPr>
                  <w:tcW w:w="832" w:type="pct"/>
                  <w:vAlign w:val="center"/>
                </w:tcPr>
                <w:p>
                  <w:pPr>
                    <w:jc w:val="center"/>
                    <w:rPr>
                      <w:ins w:id="218" w:author="Sunny" w:date="2022-12-29T09:07:00Z"/>
                      <w:b/>
                      <w:bCs/>
                      <w:color w:val="auto"/>
                      <w:szCs w:val="21"/>
                    </w:rPr>
                  </w:pPr>
                  <w:ins w:id="219" w:author="Sunny" w:date="2022-12-29T09:07:00Z">
                    <w:r>
                      <w:rPr>
                        <w:b/>
                        <w:bCs/>
                        <w:color w:val="auto"/>
                        <w:szCs w:val="21"/>
                      </w:rPr>
                      <w:t>产品数量</w:t>
                    </w:r>
                  </w:ins>
                </w:p>
              </w:tc>
              <w:tc>
                <w:tcPr>
                  <w:tcW w:w="931" w:type="pct"/>
                  <w:vAlign w:val="center"/>
                </w:tcPr>
                <w:p>
                  <w:pPr>
                    <w:jc w:val="center"/>
                    <w:rPr>
                      <w:ins w:id="220" w:author="Sunny" w:date="2022-12-29T09:07:00Z"/>
                      <w:b/>
                      <w:bCs/>
                      <w:color w:val="auto"/>
                      <w:szCs w:val="21"/>
                    </w:rPr>
                  </w:pPr>
                  <w:ins w:id="221" w:author="Sunny" w:date="2022-12-29T09:07:00Z">
                    <w:r>
                      <w:rPr>
                        <w:b/>
                        <w:bCs/>
                        <w:color w:val="auto"/>
                        <w:szCs w:val="21"/>
                      </w:rPr>
                      <w:t>单台套/每吨喷涂面积m</w:t>
                    </w:r>
                  </w:ins>
                  <w:ins w:id="222" w:author="Sunny" w:date="2022-12-29T09:07:00Z">
                    <w:r>
                      <w:rPr>
                        <w:b/>
                        <w:bCs/>
                        <w:color w:val="auto"/>
                        <w:szCs w:val="21"/>
                        <w:vertAlign w:val="superscript"/>
                      </w:rPr>
                      <w:t>2</w:t>
                    </w:r>
                  </w:ins>
                </w:p>
              </w:tc>
              <w:tc>
                <w:tcPr>
                  <w:tcW w:w="911" w:type="pct"/>
                  <w:vAlign w:val="center"/>
                </w:tcPr>
                <w:p>
                  <w:pPr>
                    <w:jc w:val="center"/>
                    <w:rPr>
                      <w:ins w:id="223" w:author="Sunny" w:date="2022-12-29T09:07:00Z"/>
                      <w:b/>
                      <w:bCs/>
                      <w:color w:val="auto"/>
                      <w:szCs w:val="21"/>
                    </w:rPr>
                  </w:pPr>
                  <w:ins w:id="224" w:author="Sunny" w:date="2022-12-29T09:07:00Z">
                    <w:r>
                      <w:rPr>
                        <w:b/>
                        <w:bCs/>
                        <w:color w:val="auto"/>
                        <w:szCs w:val="21"/>
                      </w:rPr>
                      <w:t>单台套/每吨平均喷涂面积m</w:t>
                    </w:r>
                  </w:ins>
                  <w:ins w:id="225" w:author="Sunny" w:date="2022-12-29T09:07:00Z">
                    <w:r>
                      <w:rPr>
                        <w:b/>
                        <w:bCs/>
                        <w:color w:val="auto"/>
                        <w:szCs w:val="21"/>
                        <w:vertAlign w:val="superscript"/>
                      </w:rPr>
                      <w:t>2</w:t>
                    </w:r>
                  </w:ins>
                </w:p>
              </w:tc>
              <w:tc>
                <w:tcPr>
                  <w:tcW w:w="791" w:type="pct"/>
                  <w:vAlign w:val="center"/>
                </w:tcPr>
                <w:p>
                  <w:pPr>
                    <w:jc w:val="center"/>
                    <w:rPr>
                      <w:ins w:id="226" w:author="Sunny" w:date="2022-12-29T09:07:00Z"/>
                      <w:b/>
                      <w:bCs/>
                      <w:color w:val="auto"/>
                      <w:szCs w:val="21"/>
                    </w:rPr>
                  </w:pPr>
                  <w:ins w:id="227" w:author="Sunny" w:date="2022-12-29T09:07:00Z">
                    <w:r>
                      <w:rPr>
                        <w:b/>
                        <w:bCs/>
                        <w:color w:val="auto"/>
                        <w:szCs w:val="21"/>
                      </w:rPr>
                      <w:t>喷涂面积合计m</w:t>
                    </w:r>
                  </w:ins>
                  <w:ins w:id="228" w:author="Sunny" w:date="2022-12-29T09:07:00Z">
                    <w:r>
                      <w:rPr>
                        <w:b/>
                        <w:bCs/>
                        <w:color w:val="auto"/>
                        <w:szCs w:val="21"/>
                        <w:vertAlign w:val="superscript"/>
                      </w:rPr>
                      <w:t>2</w:t>
                    </w:r>
                  </w:ins>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ins w:id="229" w:author="Sunny" w:date="2022-12-29T09:07:00Z"/>
              </w:trPr>
              <w:tc>
                <w:tcPr>
                  <w:tcW w:w="788" w:type="pct"/>
                  <w:tcMar>
                    <w:left w:w="0" w:type="dxa"/>
                    <w:right w:w="0" w:type="dxa"/>
                  </w:tcMar>
                  <w:vAlign w:val="center"/>
                </w:tcPr>
                <w:p>
                  <w:pPr>
                    <w:adjustRightInd w:val="0"/>
                    <w:snapToGrid w:val="0"/>
                    <w:jc w:val="center"/>
                    <w:rPr>
                      <w:ins w:id="230" w:author="Sunny" w:date="2022-12-29T09:07:00Z"/>
                      <w:color w:val="auto"/>
                      <w:kern w:val="0"/>
                      <w:szCs w:val="21"/>
                    </w:rPr>
                  </w:pPr>
                  <w:ins w:id="231" w:author="Sunny" w:date="2022-12-29T15:31:00Z">
                    <w:r>
                      <w:rPr>
                        <w:rFonts w:hint="eastAsia"/>
                        <w:color w:val="auto"/>
                        <w:szCs w:val="21"/>
                      </w:rPr>
                      <w:t>冲压件</w:t>
                    </w:r>
                  </w:ins>
                </w:p>
              </w:tc>
              <w:tc>
                <w:tcPr>
                  <w:tcW w:w="745" w:type="pct"/>
                  <w:tcMar>
                    <w:left w:w="0" w:type="dxa"/>
                    <w:right w:w="0" w:type="dxa"/>
                  </w:tcMar>
                  <w:vAlign w:val="center"/>
                </w:tcPr>
                <w:p>
                  <w:pPr>
                    <w:jc w:val="center"/>
                    <w:rPr>
                      <w:ins w:id="232" w:author="Sunny" w:date="2022-12-29T09:07:00Z"/>
                      <w:color w:val="auto"/>
                      <w:kern w:val="0"/>
                      <w:szCs w:val="21"/>
                    </w:rPr>
                  </w:pPr>
                  <w:ins w:id="233" w:author="Sunny" w:date="2022-12-29T16:22:00Z">
                    <w:r>
                      <w:rPr>
                        <w:rFonts w:hint="eastAsia"/>
                        <w:color w:val="auto"/>
                        <w:szCs w:val="21"/>
                      </w:rPr>
                      <w:t>台套</w:t>
                    </w:r>
                  </w:ins>
                  <w:ins w:id="234" w:author="Sunny" w:date="2022-12-29T16:01:00Z">
                    <w:r>
                      <w:rPr>
                        <w:color w:val="auto"/>
                        <w:szCs w:val="21"/>
                      </w:rPr>
                      <w:t>/年</w:t>
                    </w:r>
                  </w:ins>
                </w:p>
              </w:tc>
              <w:tc>
                <w:tcPr>
                  <w:tcW w:w="832" w:type="pct"/>
                  <w:tcMar>
                    <w:left w:w="0" w:type="dxa"/>
                    <w:right w:w="0" w:type="dxa"/>
                  </w:tcMar>
                  <w:vAlign w:val="center"/>
                </w:tcPr>
                <w:p>
                  <w:pPr>
                    <w:jc w:val="center"/>
                    <w:rPr>
                      <w:ins w:id="235" w:author="Sunny" w:date="2022-12-29T09:07:00Z"/>
                      <w:color w:val="auto"/>
                      <w:szCs w:val="21"/>
                    </w:rPr>
                  </w:pPr>
                  <w:r>
                    <w:rPr>
                      <w:rFonts w:hint="eastAsia"/>
                      <w:color w:val="auto"/>
                      <w:szCs w:val="21"/>
                    </w:rPr>
                    <w:t>9</w:t>
                  </w:r>
                  <w:ins w:id="236" w:author="Sunny" w:date="2022-12-29T16:43:00Z">
                    <w:r>
                      <w:rPr>
                        <w:rFonts w:hint="eastAsia"/>
                        <w:color w:val="auto"/>
                        <w:szCs w:val="21"/>
                      </w:rPr>
                      <w:t>00</w:t>
                    </w:r>
                  </w:ins>
                  <w:ins w:id="237" w:author="Sunny" w:date="2022-12-29T16:44:00Z">
                    <w:r>
                      <w:rPr>
                        <w:rFonts w:hint="eastAsia"/>
                        <w:color w:val="auto"/>
                        <w:szCs w:val="21"/>
                      </w:rPr>
                      <w:t>000</w:t>
                    </w:r>
                  </w:ins>
                </w:p>
              </w:tc>
              <w:tc>
                <w:tcPr>
                  <w:tcW w:w="931" w:type="pct"/>
                  <w:tcMar>
                    <w:left w:w="0" w:type="dxa"/>
                    <w:right w:w="0" w:type="dxa"/>
                  </w:tcMar>
                  <w:vAlign w:val="center"/>
                </w:tcPr>
                <w:p>
                  <w:pPr>
                    <w:widowControl/>
                    <w:jc w:val="center"/>
                    <w:textAlignment w:val="center"/>
                    <w:rPr>
                      <w:ins w:id="238" w:author="Sunny" w:date="2022-12-29T09:07:00Z"/>
                      <w:color w:val="auto"/>
                      <w:kern w:val="0"/>
                      <w:szCs w:val="21"/>
                      <w:lang w:bidi="ar"/>
                    </w:rPr>
                  </w:pPr>
                  <w:ins w:id="239" w:author="Sunny" w:date="2022-12-29T16:01:00Z">
                    <w:r>
                      <w:rPr>
                        <w:color w:val="auto"/>
                        <w:kern w:val="0"/>
                        <w:szCs w:val="21"/>
                        <w:lang w:bidi="ar"/>
                      </w:rPr>
                      <w:t>0.</w:t>
                    </w:r>
                  </w:ins>
                  <w:ins w:id="240" w:author="Sunny" w:date="2022-12-29T16:01:00Z">
                    <w:r>
                      <w:rPr>
                        <w:rFonts w:hint="eastAsia"/>
                        <w:color w:val="auto"/>
                        <w:kern w:val="0"/>
                        <w:szCs w:val="21"/>
                        <w:lang w:bidi="ar"/>
                      </w:rPr>
                      <w:t>2</w:t>
                    </w:r>
                  </w:ins>
                  <w:ins w:id="241" w:author="Sunny" w:date="2022-12-29T16:01:00Z">
                    <w:r>
                      <w:rPr>
                        <w:color w:val="auto"/>
                        <w:kern w:val="0"/>
                        <w:szCs w:val="21"/>
                        <w:lang w:bidi="ar"/>
                      </w:rPr>
                      <w:t>~</w:t>
                    </w:r>
                  </w:ins>
                  <w:ins w:id="242" w:author="Sunny" w:date="2022-12-29T16:01:00Z">
                    <w:r>
                      <w:rPr>
                        <w:rFonts w:hint="eastAsia"/>
                        <w:color w:val="auto"/>
                        <w:kern w:val="0"/>
                        <w:szCs w:val="21"/>
                        <w:lang w:bidi="ar"/>
                      </w:rPr>
                      <w:t>0.</w:t>
                    </w:r>
                  </w:ins>
                  <w:ins w:id="243" w:author="Sunny" w:date="2022-12-29T16:16:00Z">
                    <w:r>
                      <w:rPr>
                        <w:rFonts w:hint="eastAsia"/>
                        <w:color w:val="auto"/>
                        <w:kern w:val="0"/>
                        <w:szCs w:val="21"/>
                        <w:lang w:bidi="ar"/>
                      </w:rPr>
                      <w:t>5</w:t>
                    </w:r>
                  </w:ins>
                </w:p>
              </w:tc>
              <w:tc>
                <w:tcPr>
                  <w:tcW w:w="911" w:type="pct"/>
                  <w:tcMar>
                    <w:left w:w="0" w:type="dxa"/>
                    <w:right w:w="0" w:type="dxa"/>
                  </w:tcMar>
                  <w:vAlign w:val="center"/>
                </w:tcPr>
                <w:p>
                  <w:pPr>
                    <w:widowControl/>
                    <w:jc w:val="center"/>
                    <w:textAlignment w:val="center"/>
                    <w:rPr>
                      <w:ins w:id="244" w:author="Sunny" w:date="2022-12-29T09:07:00Z"/>
                      <w:color w:val="auto"/>
                      <w:szCs w:val="21"/>
                    </w:rPr>
                  </w:pPr>
                  <w:ins w:id="245" w:author="Sunny" w:date="2022-12-29T16:01:00Z">
                    <w:r>
                      <w:rPr>
                        <w:color w:val="auto"/>
                        <w:szCs w:val="21"/>
                      </w:rPr>
                      <w:t>0.</w:t>
                    </w:r>
                  </w:ins>
                  <w:ins w:id="246" w:author="Sunny" w:date="2022-12-29T16:17:00Z">
                    <w:r>
                      <w:rPr>
                        <w:rFonts w:hint="eastAsia"/>
                        <w:color w:val="auto"/>
                        <w:szCs w:val="21"/>
                      </w:rPr>
                      <w:t>3</w:t>
                    </w:r>
                  </w:ins>
                  <w:ins w:id="247" w:author="Sunny" w:date="2022-12-29T16:01:00Z">
                    <w:r>
                      <w:rPr>
                        <w:rFonts w:hint="eastAsia"/>
                        <w:color w:val="auto"/>
                        <w:szCs w:val="21"/>
                      </w:rPr>
                      <w:t>5</w:t>
                    </w:r>
                  </w:ins>
                </w:p>
              </w:tc>
              <w:tc>
                <w:tcPr>
                  <w:tcW w:w="1304" w:type="dxa"/>
                  <w:tcMar>
                    <w:left w:w="0" w:type="dxa"/>
                    <w:right w:w="0" w:type="dxa"/>
                  </w:tcMar>
                  <w:vAlign w:val="center"/>
                </w:tcPr>
                <w:p>
                  <w:pPr>
                    <w:widowControl/>
                    <w:jc w:val="center"/>
                    <w:textAlignment w:val="center"/>
                    <w:rPr>
                      <w:ins w:id="248" w:author="Sunny" w:date="2022-12-29T09:07:00Z"/>
                      <w:color w:val="auto"/>
                      <w:szCs w:val="21"/>
                    </w:rPr>
                  </w:pPr>
                  <w:r>
                    <w:rPr>
                      <w:color w:val="auto"/>
                      <w:kern w:val="0"/>
                      <w:szCs w:val="21"/>
                      <w:lang w:bidi="ar"/>
                    </w:rPr>
                    <w:t>315000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ins w:id="249" w:author="Sunny" w:date="2022-12-29T09:07:00Z"/>
              </w:trPr>
              <w:tc>
                <w:tcPr>
                  <w:tcW w:w="788" w:type="pct"/>
                  <w:tcMar>
                    <w:left w:w="0" w:type="dxa"/>
                    <w:right w:w="0" w:type="dxa"/>
                  </w:tcMar>
                  <w:vAlign w:val="center"/>
                </w:tcPr>
                <w:p>
                  <w:pPr>
                    <w:adjustRightInd w:val="0"/>
                    <w:snapToGrid w:val="0"/>
                    <w:jc w:val="center"/>
                    <w:rPr>
                      <w:ins w:id="250" w:author="Sunny" w:date="2022-12-29T09:07:00Z"/>
                      <w:color w:val="auto"/>
                      <w:kern w:val="0"/>
                      <w:szCs w:val="21"/>
                    </w:rPr>
                  </w:pPr>
                  <w:r>
                    <w:rPr>
                      <w:rFonts w:hint="eastAsia"/>
                      <w:color w:val="auto"/>
                      <w:szCs w:val="21"/>
                    </w:rPr>
                    <w:t>冲压件</w:t>
                  </w:r>
                </w:p>
              </w:tc>
              <w:tc>
                <w:tcPr>
                  <w:tcW w:w="745" w:type="pct"/>
                  <w:tcMar>
                    <w:left w:w="0" w:type="dxa"/>
                    <w:right w:w="0" w:type="dxa"/>
                  </w:tcMar>
                  <w:vAlign w:val="center"/>
                </w:tcPr>
                <w:p>
                  <w:pPr>
                    <w:jc w:val="center"/>
                    <w:rPr>
                      <w:ins w:id="251" w:author="Sunny" w:date="2022-12-29T09:07:00Z"/>
                      <w:color w:val="auto"/>
                      <w:kern w:val="0"/>
                      <w:szCs w:val="21"/>
                    </w:rPr>
                  </w:pPr>
                  <w:r>
                    <w:rPr>
                      <w:rFonts w:hint="eastAsia"/>
                      <w:color w:val="auto"/>
                      <w:szCs w:val="21"/>
                    </w:rPr>
                    <w:t>台套</w:t>
                  </w:r>
                  <w:r>
                    <w:rPr>
                      <w:color w:val="auto"/>
                      <w:szCs w:val="21"/>
                    </w:rPr>
                    <w:t>/年</w:t>
                  </w:r>
                </w:p>
              </w:tc>
              <w:tc>
                <w:tcPr>
                  <w:tcW w:w="832" w:type="pct"/>
                  <w:tcMar>
                    <w:left w:w="0" w:type="dxa"/>
                    <w:right w:w="0" w:type="dxa"/>
                  </w:tcMar>
                  <w:vAlign w:val="center"/>
                </w:tcPr>
                <w:p>
                  <w:pPr>
                    <w:jc w:val="center"/>
                    <w:rPr>
                      <w:ins w:id="252" w:author="Sunny" w:date="2022-12-29T09:07:00Z"/>
                      <w:color w:val="auto"/>
                      <w:szCs w:val="21"/>
                    </w:rPr>
                  </w:pPr>
                  <w:r>
                    <w:rPr>
                      <w:rFonts w:hint="eastAsia"/>
                      <w:color w:val="auto"/>
                      <w:szCs w:val="21"/>
                    </w:rPr>
                    <w:t>8</w:t>
                  </w:r>
                  <w:ins w:id="253" w:author="Sunny" w:date="2022-12-29T16:44:00Z">
                    <w:r>
                      <w:rPr>
                        <w:rFonts w:hint="eastAsia"/>
                        <w:color w:val="auto"/>
                        <w:szCs w:val="21"/>
                      </w:rPr>
                      <w:t>00000</w:t>
                    </w:r>
                  </w:ins>
                </w:p>
              </w:tc>
              <w:tc>
                <w:tcPr>
                  <w:tcW w:w="931" w:type="pct"/>
                  <w:tcMar>
                    <w:left w:w="0" w:type="dxa"/>
                    <w:right w:w="0" w:type="dxa"/>
                  </w:tcMar>
                  <w:vAlign w:val="center"/>
                </w:tcPr>
                <w:p>
                  <w:pPr>
                    <w:widowControl/>
                    <w:jc w:val="center"/>
                    <w:textAlignment w:val="center"/>
                    <w:rPr>
                      <w:ins w:id="254" w:author="Sunny" w:date="2022-12-29T09:07:00Z"/>
                      <w:color w:val="auto"/>
                      <w:kern w:val="0"/>
                      <w:szCs w:val="21"/>
                      <w:lang w:bidi="ar"/>
                    </w:rPr>
                  </w:pPr>
                  <w:ins w:id="255" w:author="Sunny" w:date="2022-12-29T16:16:00Z">
                    <w:r>
                      <w:rPr>
                        <w:rFonts w:hint="eastAsia"/>
                        <w:color w:val="auto"/>
                        <w:kern w:val="0"/>
                        <w:szCs w:val="21"/>
                        <w:lang w:bidi="ar"/>
                      </w:rPr>
                      <w:t>0.5</w:t>
                    </w:r>
                  </w:ins>
                  <w:ins w:id="256" w:author="Sunny" w:date="2022-12-29T16:16:00Z">
                    <w:r>
                      <w:rPr>
                        <w:color w:val="auto"/>
                        <w:kern w:val="0"/>
                        <w:szCs w:val="21"/>
                        <w:lang w:bidi="ar"/>
                      </w:rPr>
                      <w:t>~</w:t>
                    </w:r>
                  </w:ins>
                  <w:ins w:id="257" w:author="Sunny" w:date="2022-12-29T16:16:00Z">
                    <w:r>
                      <w:rPr>
                        <w:rFonts w:hint="eastAsia"/>
                        <w:color w:val="auto"/>
                        <w:kern w:val="0"/>
                        <w:szCs w:val="21"/>
                        <w:lang w:bidi="ar"/>
                      </w:rPr>
                      <w:t>0.8</w:t>
                    </w:r>
                  </w:ins>
                </w:p>
              </w:tc>
              <w:tc>
                <w:tcPr>
                  <w:tcW w:w="911" w:type="pct"/>
                  <w:tcMar>
                    <w:left w:w="0" w:type="dxa"/>
                    <w:right w:w="0" w:type="dxa"/>
                  </w:tcMar>
                  <w:vAlign w:val="center"/>
                </w:tcPr>
                <w:p>
                  <w:pPr>
                    <w:widowControl/>
                    <w:jc w:val="center"/>
                    <w:textAlignment w:val="center"/>
                    <w:rPr>
                      <w:ins w:id="258" w:author="Sunny" w:date="2022-12-29T09:07:00Z"/>
                      <w:color w:val="auto"/>
                      <w:szCs w:val="21"/>
                    </w:rPr>
                  </w:pPr>
                  <w:ins w:id="259" w:author="Sunny" w:date="2022-12-29T16:16:00Z">
                    <w:r>
                      <w:rPr>
                        <w:rFonts w:hint="eastAsia"/>
                        <w:color w:val="auto"/>
                        <w:szCs w:val="21"/>
                      </w:rPr>
                      <w:t>0.65</w:t>
                    </w:r>
                  </w:ins>
                </w:p>
              </w:tc>
              <w:tc>
                <w:tcPr>
                  <w:tcW w:w="1304" w:type="dxa"/>
                  <w:tcMar>
                    <w:left w:w="0" w:type="dxa"/>
                    <w:right w:w="0" w:type="dxa"/>
                  </w:tcMar>
                  <w:vAlign w:val="center"/>
                </w:tcPr>
                <w:p>
                  <w:pPr>
                    <w:widowControl/>
                    <w:jc w:val="center"/>
                    <w:textAlignment w:val="center"/>
                    <w:rPr>
                      <w:ins w:id="260" w:author="Sunny" w:date="2022-12-29T09:07:00Z"/>
                      <w:color w:val="auto"/>
                      <w:szCs w:val="21"/>
                    </w:rPr>
                  </w:pPr>
                  <w:r>
                    <w:rPr>
                      <w:color w:val="auto"/>
                      <w:kern w:val="0"/>
                      <w:szCs w:val="21"/>
                      <w:lang w:bidi="ar"/>
                    </w:rPr>
                    <w:t>520000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ins w:id="261" w:author="Sunny" w:date="2022-12-29T09:07:00Z"/>
              </w:trPr>
              <w:tc>
                <w:tcPr>
                  <w:tcW w:w="4208" w:type="pct"/>
                  <w:gridSpan w:val="5"/>
                  <w:tcMar>
                    <w:left w:w="0" w:type="dxa"/>
                    <w:right w:w="0" w:type="dxa"/>
                  </w:tcMar>
                  <w:vAlign w:val="center"/>
                </w:tcPr>
                <w:p>
                  <w:pPr>
                    <w:widowControl/>
                    <w:jc w:val="center"/>
                    <w:textAlignment w:val="center"/>
                    <w:rPr>
                      <w:ins w:id="262" w:author="Sunny" w:date="2022-12-29T09:07:00Z"/>
                      <w:color w:val="auto"/>
                      <w:szCs w:val="21"/>
                    </w:rPr>
                  </w:pPr>
                  <w:ins w:id="263" w:author="Sunny" w:date="2022-12-29T09:07:00Z">
                    <w:r>
                      <w:rPr>
                        <w:color w:val="auto"/>
                        <w:szCs w:val="21"/>
                      </w:rPr>
                      <w:t>合计</w:t>
                    </w:r>
                  </w:ins>
                </w:p>
              </w:tc>
              <w:tc>
                <w:tcPr>
                  <w:tcW w:w="1304" w:type="dxa"/>
                  <w:tcMar>
                    <w:left w:w="0" w:type="dxa"/>
                    <w:right w:w="0" w:type="dxa"/>
                  </w:tcMar>
                  <w:vAlign w:val="center"/>
                </w:tcPr>
                <w:p>
                  <w:pPr>
                    <w:widowControl/>
                    <w:jc w:val="center"/>
                    <w:textAlignment w:val="center"/>
                    <w:rPr>
                      <w:ins w:id="264" w:author="Sunny" w:date="2022-12-29T09:07:00Z"/>
                      <w:color w:val="auto"/>
                      <w:szCs w:val="21"/>
                    </w:rPr>
                  </w:pPr>
                  <w:r>
                    <w:rPr>
                      <w:color w:val="auto"/>
                      <w:kern w:val="0"/>
                      <w:szCs w:val="21"/>
                      <w:u w:val="single"/>
                      <w:lang w:bidi="ar"/>
                    </w:rPr>
                    <w:t>835000</w:t>
                  </w:r>
                </w:p>
              </w:tc>
            </w:tr>
          </w:tbl>
          <w:p>
            <w:pPr>
              <w:widowControl/>
              <w:numPr>
                <w:ilvl w:val="0"/>
                <w:numId w:val="4"/>
              </w:numPr>
              <w:jc w:val="center"/>
              <w:rPr>
                <w:ins w:id="265" w:author="Sunny" w:date="2022-12-29T09:07:00Z"/>
                <w:rFonts w:ascii="Calibri" w:hAnsi="Calibri" w:cs="Calibri"/>
                <w:b/>
                <w:bCs/>
                <w:color w:val="auto"/>
                <w:sz w:val="24"/>
              </w:rPr>
            </w:pPr>
            <w:ins w:id="266" w:author="Sunny" w:date="2022-12-29T09:07:00Z">
              <w:r>
                <w:rPr>
                  <w:rFonts w:hint="eastAsia" w:ascii="Calibri" w:hAnsi="Calibri" w:cs="Calibri"/>
                  <w:b/>
                  <w:bCs/>
                  <w:color w:val="auto"/>
                  <w:sz w:val="24"/>
                </w:rPr>
                <w:t>本项目涂料用量核算表</w:t>
              </w:r>
            </w:ins>
          </w:p>
          <w:tbl>
            <w:tblPr>
              <w:tblStyle w:val="26"/>
              <w:tblW w:w="48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64"/>
              <w:gridCol w:w="892"/>
              <w:gridCol w:w="989"/>
              <w:gridCol w:w="913"/>
              <w:gridCol w:w="1175"/>
              <w:gridCol w:w="1515"/>
              <w:gridCol w:w="12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63" w:hRule="atLeast"/>
                <w:jc w:val="center"/>
                <w:ins w:id="267" w:author="Sunny" w:date="2022-12-29T09:07:00Z"/>
              </w:trPr>
              <w:tc>
                <w:tcPr>
                  <w:tcW w:w="888" w:type="pct"/>
                  <w:vAlign w:val="center"/>
                </w:tcPr>
                <w:p>
                  <w:pPr>
                    <w:jc w:val="center"/>
                    <w:rPr>
                      <w:ins w:id="268" w:author="Sunny" w:date="2022-12-29T09:07:00Z"/>
                      <w:b/>
                      <w:bCs/>
                      <w:color w:val="auto"/>
                      <w:szCs w:val="21"/>
                    </w:rPr>
                  </w:pPr>
                  <w:ins w:id="269" w:author="Sunny" w:date="2022-12-29T09:07:00Z">
                    <w:r>
                      <w:rPr>
                        <w:rFonts w:hint="eastAsia"/>
                        <w:b/>
                        <w:bCs/>
                        <w:color w:val="auto"/>
                        <w:szCs w:val="21"/>
                      </w:rPr>
                      <w:t>涂料种类</w:t>
                    </w:r>
                  </w:ins>
                </w:p>
              </w:tc>
              <w:tc>
                <w:tcPr>
                  <w:tcW w:w="541" w:type="pct"/>
                  <w:vAlign w:val="center"/>
                </w:tcPr>
                <w:p>
                  <w:pPr>
                    <w:jc w:val="center"/>
                    <w:rPr>
                      <w:ins w:id="270" w:author="Sunny" w:date="2022-12-29T09:07:00Z"/>
                      <w:b/>
                      <w:bCs/>
                      <w:color w:val="auto"/>
                      <w:szCs w:val="21"/>
                    </w:rPr>
                  </w:pPr>
                  <w:ins w:id="271" w:author="Sunny" w:date="2022-12-29T09:07:00Z">
                    <w:r>
                      <w:rPr>
                        <w:rFonts w:hint="eastAsia"/>
                        <w:b/>
                        <w:bCs/>
                        <w:color w:val="auto"/>
                        <w:szCs w:val="21"/>
                      </w:rPr>
                      <w:t>涂料用量t/a</w:t>
                    </w:r>
                  </w:ins>
                </w:p>
              </w:tc>
              <w:tc>
                <w:tcPr>
                  <w:tcW w:w="600" w:type="pct"/>
                  <w:vAlign w:val="center"/>
                </w:tcPr>
                <w:p>
                  <w:pPr>
                    <w:jc w:val="center"/>
                    <w:rPr>
                      <w:ins w:id="272" w:author="Sunny" w:date="2022-12-29T09:07:00Z"/>
                      <w:b/>
                      <w:bCs/>
                      <w:color w:val="auto"/>
                      <w:szCs w:val="21"/>
                    </w:rPr>
                  </w:pPr>
                  <w:ins w:id="273" w:author="Sunny" w:date="2022-12-29T09:07:00Z">
                    <w:r>
                      <w:rPr>
                        <w:rFonts w:hint="eastAsia"/>
                        <w:b/>
                        <w:bCs/>
                        <w:color w:val="auto"/>
                        <w:szCs w:val="21"/>
                      </w:rPr>
                      <w:t>涂料密度g/cm</w:t>
                    </w:r>
                  </w:ins>
                  <w:ins w:id="274" w:author="Sunny" w:date="2022-12-29T09:07:00Z">
                    <w:r>
                      <w:rPr>
                        <w:rFonts w:hint="eastAsia"/>
                        <w:b/>
                        <w:bCs/>
                        <w:color w:val="auto"/>
                        <w:szCs w:val="21"/>
                        <w:vertAlign w:val="superscript"/>
                      </w:rPr>
                      <w:t>3</w:t>
                    </w:r>
                  </w:ins>
                </w:p>
              </w:tc>
              <w:tc>
                <w:tcPr>
                  <w:tcW w:w="554" w:type="pct"/>
                  <w:vAlign w:val="center"/>
                </w:tcPr>
                <w:p>
                  <w:pPr>
                    <w:jc w:val="center"/>
                    <w:rPr>
                      <w:ins w:id="275" w:author="Sunny" w:date="2022-12-29T09:07:00Z"/>
                      <w:b/>
                      <w:bCs/>
                      <w:color w:val="auto"/>
                      <w:szCs w:val="21"/>
                    </w:rPr>
                  </w:pPr>
                  <w:ins w:id="276" w:author="Sunny" w:date="2022-12-29T09:07:00Z">
                    <w:r>
                      <w:rPr>
                        <w:rFonts w:hint="eastAsia"/>
                        <w:b/>
                        <w:bCs/>
                        <w:color w:val="auto"/>
                        <w:szCs w:val="21"/>
                      </w:rPr>
                      <w:t>固含量</w:t>
                    </w:r>
                  </w:ins>
                </w:p>
              </w:tc>
              <w:tc>
                <w:tcPr>
                  <w:tcW w:w="713" w:type="pct"/>
                  <w:vAlign w:val="center"/>
                </w:tcPr>
                <w:p>
                  <w:pPr>
                    <w:jc w:val="center"/>
                    <w:rPr>
                      <w:ins w:id="277" w:author="Sunny" w:date="2022-12-29T09:07:00Z"/>
                      <w:b/>
                      <w:bCs/>
                      <w:color w:val="auto"/>
                      <w:szCs w:val="21"/>
                    </w:rPr>
                  </w:pPr>
                  <w:ins w:id="278" w:author="Sunny" w:date="2022-12-29T09:07:00Z">
                    <w:r>
                      <w:rPr>
                        <w:rFonts w:hint="eastAsia"/>
                        <w:b/>
                        <w:bCs/>
                        <w:color w:val="auto"/>
                        <w:szCs w:val="21"/>
                      </w:rPr>
                      <w:t>涂层厚度</w:t>
                    </w:r>
                  </w:ins>
                  <w:ins w:id="279" w:author="Sunny" w:date="2022-12-29T09:07:00Z">
                    <w:r>
                      <w:rPr>
                        <w:b/>
                        <w:bCs/>
                        <w:color w:val="auto"/>
                        <w:szCs w:val="21"/>
                      </w:rPr>
                      <w:t>μm</w:t>
                    </w:r>
                  </w:ins>
                </w:p>
              </w:tc>
              <w:tc>
                <w:tcPr>
                  <w:tcW w:w="917" w:type="pct"/>
                  <w:vAlign w:val="center"/>
                </w:tcPr>
                <w:p>
                  <w:pPr>
                    <w:jc w:val="center"/>
                    <w:rPr>
                      <w:ins w:id="280" w:author="Sunny" w:date="2022-12-29T09:07:00Z"/>
                      <w:b/>
                      <w:bCs/>
                      <w:color w:val="auto"/>
                      <w:szCs w:val="21"/>
                    </w:rPr>
                  </w:pPr>
                  <w:ins w:id="281" w:author="Sunny" w:date="2022-12-29T09:07:00Z">
                    <w:r>
                      <w:rPr>
                        <w:rFonts w:hint="eastAsia"/>
                        <w:b/>
                        <w:bCs/>
                        <w:color w:val="auto"/>
                        <w:szCs w:val="21"/>
                      </w:rPr>
                      <w:t>涂料利用率</w:t>
                    </w:r>
                  </w:ins>
                </w:p>
              </w:tc>
              <w:tc>
                <w:tcPr>
                  <w:tcW w:w="784" w:type="pct"/>
                  <w:vAlign w:val="center"/>
                </w:tcPr>
                <w:p>
                  <w:pPr>
                    <w:jc w:val="center"/>
                    <w:rPr>
                      <w:ins w:id="282" w:author="Sunny" w:date="2022-12-29T09:07:00Z"/>
                      <w:b/>
                      <w:bCs/>
                      <w:color w:val="auto"/>
                      <w:szCs w:val="21"/>
                    </w:rPr>
                  </w:pPr>
                  <w:ins w:id="283" w:author="Sunny" w:date="2022-12-29T09:07:00Z">
                    <w:r>
                      <w:rPr>
                        <w:rFonts w:hint="eastAsia"/>
                        <w:b/>
                        <w:bCs/>
                        <w:color w:val="auto"/>
                        <w:szCs w:val="21"/>
                      </w:rPr>
                      <w:t>涂装面积</w:t>
                    </w:r>
                  </w:ins>
                  <w:ins w:id="284" w:author="Sunny" w:date="2022-12-29T09:07:00Z">
                    <w:r>
                      <w:rPr>
                        <w:b/>
                        <w:bCs/>
                        <w:color w:val="auto"/>
                        <w:szCs w:val="21"/>
                      </w:rPr>
                      <w:t>m</w:t>
                    </w:r>
                  </w:ins>
                  <w:ins w:id="285" w:author="Sunny" w:date="2022-12-29T09:07:00Z">
                    <w:r>
                      <w:rPr>
                        <w:b/>
                        <w:bCs/>
                        <w:color w:val="auto"/>
                        <w:szCs w:val="21"/>
                        <w:vertAlign w:val="superscript"/>
                      </w:rPr>
                      <w:t>2</w:t>
                    </w:r>
                  </w:ins>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ins w:id="286" w:author="Sunny" w:date="2022-12-29T09:07:00Z"/>
              </w:trPr>
              <w:tc>
                <w:tcPr>
                  <w:tcW w:w="888" w:type="pct"/>
                  <w:tcMar>
                    <w:left w:w="0" w:type="dxa"/>
                    <w:right w:w="0" w:type="dxa"/>
                  </w:tcMar>
                  <w:vAlign w:val="center"/>
                </w:tcPr>
                <w:p>
                  <w:pPr>
                    <w:widowControl/>
                    <w:jc w:val="center"/>
                    <w:textAlignment w:val="center"/>
                    <w:rPr>
                      <w:ins w:id="287" w:author="Sunny" w:date="2022-12-29T09:07:00Z"/>
                      <w:color w:val="auto"/>
                      <w:szCs w:val="21"/>
                    </w:rPr>
                  </w:pPr>
                  <w:ins w:id="288" w:author="Sunny" w:date="2022-12-29T09:07:00Z">
                    <w:r>
                      <w:rPr>
                        <w:rFonts w:hint="eastAsia"/>
                        <w:color w:val="auto"/>
                        <w:szCs w:val="21"/>
                      </w:rPr>
                      <w:t>环氧树脂粉末</w:t>
                    </w:r>
                  </w:ins>
                </w:p>
              </w:tc>
              <w:tc>
                <w:tcPr>
                  <w:tcW w:w="541" w:type="pct"/>
                  <w:tcMar>
                    <w:left w:w="0" w:type="dxa"/>
                    <w:right w:w="0" w:type="dxa"/>
                  </w:tcMar>
                  <w:vAlign w:val="center"/>
                </w:tcPr>
                <w:p>
                  <w:pPr>
                    <w:widowControl/>
                    <w:jc w:val="center"/>
                    <w:textAlignment w:val="center"/>
                    <w:rPr>
                      <w:ins w:id="289" w:author="Sunny" w:date="2022-12-29T09:07:00Z"/>
                      <w:color w:val="auto"/>
                      <w:szCs w:val="21"/>
                    </w:rPr>
                  </w:pPr>
                  <w:r>
                    <w:rPr>
                      <w:rFonts w:hint="eastAsia"/>
                      <w:color w:val="auto"/>
                      <w:szCs w:val="21"/>
                    </w:rPr>
                    <w:t>10</w:t>
                  </w:r>
                  <w:ins w:id="290" w:author="Sunny" w:date="2022-12-29T09:07:00Z">
                    <w:r>
                      <w:rPr>
                        <w:rFonts w:hint="eastAsia"/>
                        <w:color w:val="auto"/>
                        <w:szCs w:val="21"/>
                      </w:rPr>
                      <w:t>0</w:t>
                    </w:r>
                  </w:ins>
                </w:p>
              </w:tc>
              <w:tc>
                <w:tcPr>
                  <w:tcW w:w="600" w:type="pct"/>
                  <w:tcMar>
                    <w:left w:w="0" w:type="dxa"/>
                    <w:right w:w="0" w:type="dxa"/>
                  </w:tcMar>
                  <w:vAlign w:val="center"/>
                </w:tcPr>
                <w:p>
                  <w:pPr>
                    <w:widowControl/>
                    <w:jc w:val="center"/>
                    <w:textAlignment w:val="center"/>
                    <w:rPr>
                      <w:ins w:id="291" w:author="Sunny" w:date="2022-12-29T09:07:00Z"/>
                      <w:color w:val="auto"/>
                      <w:szCs w:val="21"/>
                    </w:rPr>
                  </w:pPr>
                  <w:ins w:id="292" w:author="Sunny" w:date="2022-12-29T09:07:00Z">
                    <w:r>
                      <w:rPr>
                        <w:rFonts w:hint="eastAsia"/>
                        <w:color w:val="auto"/>
                        <w:szCs w:val="21"/>
                      </w:rPr>
                      <w:t>1.</w:t>
                    </w:r>
                  </w:ins>
                  <w:r>
                    <w:rPr>
                      <w:rFonts w:hint="eastAsia"/>
                      <w:color w:val="auto"/>
                      <w:szCs w:val="21"/>
                    </w:rPr>
                    <w:t>3</w:t>
                  </w:r>
                </w:p>
              </w:tc>
              <w:tc>
                <w:tcPr>
                  <w:tcW w:w="554" w:type="pct"/>
                  <w:tcMar>
                    <w:left w:w="0" w:type="dxa"/>
                    <w:right w:w="0" w:type="dxa"/>
                  </w:tcMar>
                  <w:vAlign w:val="center"/>
                </w:tcPr>
                <w:p>
                  <w:pPr>
                    <w:widowControl/>
                    <w:jc w:val="center"/>
                    <w:textAlignment w:val="center"/>
                    <w:rPr>
                      <w:ins w:id="293" w:author="Sunny" w:date="2022-12-29T09:07:00Z"/>
                      <w:color w:val="auto"/>
                      <w:szCs w:val="21"/>
                    </w:rPr>
                  </w:pPr>
                  <w:ins w:id="294" w:author="Sunny" w:date="2022-12-29T09:07:00Z">
                    <w:r>
                      <w:rPr>
                        <w:rFonts w:hint="eastAsia"/>
                        <w:color w:val="auto"/>
                        <w:kern w:val="0"/>
                        <w:szCs w:val="21"/>
                        <w:lang w:bidi="ar"/>
                      </w:rPr>
                      <w:t>99</w:t>
                    </w:r>
                  </w:ins>
                  <w:r>
                    <w:rPr>
                      <w:rFonts w:hint="eastAsia"/>
                      <w:color w:val="auto"/>
                      <w:kern w:val="0"/>
                      <w:szCs w:val="21"/>
                      <w:lang w:bidi="ar"/>
                    </w:rPr>
                    <w:t>.4</w:t>
                  </w:r>
                  <w:ins w:id="295" w:author="Sunny" w:date="2022-12-29T09:07:00Z">
                    <w:r>
                      <w:rPr>
                        <w:color w:val="auto"/>
                        <w:kern w:val="0"/>
                        <w:szCs w:val="21"/>
                        <w:lang w:bidi="ar"/>
                      </w:rPr>
                      <w:t>%</w:t>
                    </w:r>
                  </w:ins>
                </w:p>
              </w:tc>
              <w:tc>
                <w:tcPr>
                  <w:tcW w:w="713" w:type="pct"/>
                  <w:tcMar>
                    <w:left w:w="0" w:type="dxa"/>
                    <w:right w:w="0" w:type="dxa"/>
                  </w:tcMar>
                  <w:vAlign w:val="center"/>
                </w:tcPr>
                <w:p>
                  <w:pPr>
                    <w:widowControl/>
                    <w:jc w:val="center"/>
                    <w:textAlignment w:val="center"/>
                    <w:rPr>
                      <w:ins w:id="296" w:author="Sunny" w:date="2022-12-29T09:07:00Z"/>
                      <w:color w:val="auto"/>
                      <w:szCs w:val="21"/>
                    </w:rPr>
                  </w:pPr>
                  <w:ins w:id="297" w:author="Sunny" w:date="2022-12-29T15:54:00Z">
                    <w:r>
                      <w:rPr>
                        <w:rFonts w:hint="eastAsia"/>
                        <w:color w:val="auto"/>
                        <w:szCs w:val="21"/>
                      </w:rPr>
                      <w:t>8</w:t>
                    </w:r>
                  </w:ins>
                  <w:ins w:id="298" w:author="Sunny" w:date="2022-12-29T09:07:00Z">
                    <w:r>
                      <w:rPr>
                        <w:rFonts w:hint="eastAsia"/>
                        <w:color w:val="auto"/>
                        <w:szCs w:val="21"/>
                      </w:rPr>
                      <w:t>0</w:t>
                    </w:r>
                  </w:ins>
                </w:p>
              </w:tc>
              <w:tc>
                <w:tcPr>
                  <w:tcW w:w="917" w:type="pct"/>
                  <w:tcMar>
                    <w:left w:w="0" w:type="dxa"/>
                    <w:right w:w="0" w:type="dxa"/>
                  </w:tcMar>
                  <w:vAlign w:val="center"/>
                </w:tcPr>
                <w:p>
                  <w:pPr>
                    <w:widowControl/>
                    <w:jc w:val="center"/>
                    <w:textAlignment w:val="center"/>
                    <w:rPr>
                      <w:ins w:id="299" w:author="Sunny" w:date="2022-12-29T09:07:00Z"/>
                      <w:color w:val="auto"/>
                      <w:szCs w:val="21"/>
                    </w:rPr>
                  </w:pPr>
                  <w:ins w:id="300" w:author="Sunny" w:date="2022-12-29T09:07:00Z">
                    <w:r>
                      <w:rPr>
                        <w:rFonts w:hint="eastAsia"/>
                        <w:color w:val="auto"/>
                        <w:szCs w:val="21"/>
                      </w:rPr>
                      <w:t>90%</w:t>
                    </w:r>
                  </w:ins>
                </w:p>
              </w:tc>
              <w:tc>
                <w:tcPr>
                  <w:tcW w:w="784" w:type="pct"/>
                  <w:tcMar>
                    <w:left w:w="0" w:type="dxa"/>
                    <w:right w:w="0" w:type="dxa"/>
                  </w:tcMar>
                  <w:vAlign w:val="center"/>
                </w:tcPr>
                <w:p>
                  <w:pPr>
                    <w:widowControl/>
                    <w:jc w:val="center"/>
                    <w:textAlignment w:val="center"/>
                    <w:rPr>
                      <w:ins w:id="301" w:author="Sunny" w:date="2022-12-29T09:07:00Z"/>
                      <w:color w:val="auto"/>
                      <w:szCs w:val="21"/>
                    </w:rPr>
                  </w:pPr>
                  <w:r>
                    <w:rPr>
                      <w:rFonts w:hint="eastAsia"/>
                      <w:color w:val="auto"/>
                      <w:szCs w:val="21"/>
                    </w:rPr>
                    <w:t>860192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ins w:id="302" w:author="Sunny" w:date="2022-12-29T09:07:00Z"/>
              </w:trPr>
              <w:tc>
                <w:tcPr>
                  <w:tcW w:w="4215" w:type="pct"/>
                  <w:gridSpan w:val="6"/>
                  <w:tcMar>
                    <w:left w:w="0" w:type="dxa"/>
                    <w:right w:w="0" w:type="dxa"/>
                  </w:tcMar>
                  <w:vAlign w:val="center"/>
                </w:tcPr>
                <w:p>
                  <w:pPr>
                    <w:widowControl/>
                    <w:jc w:val="center"/>
                    <w:textAlignment w:val="center"/>
                    <w:rPr>
                      <w:ins w:id="303" w:author="Sunny" w:date="2022-12-29T09:07:00Z"/>
                      <w:color w:val="auto"/>
                      <w:szCs w:val="21"/>
                    </w:rPr>
                  </w:pPr>
                  <w:ins w:id="304" w:author="Sunny" w:date="2022-12-29T09:07:00Z">
                    <w:r>
                      <w:rPr>
                        <w:rFonts w:hint="eastAsia"/>
                        <w:color w:val="auto"/>
                        <w:szCs w:val="21"/>
                      </w:rPr>
                      <w:t>合计</w:t>
                    </w:r>
                  </w:ins>
                </w:p>
              </w:tc>
              <w:tc>
                <w:tcPr>
                  <w:tcW w:w="784" w:type="pct"/>
                  <w:tcMar>
                    <w:left w:w="0" w:type="dxa"/>
                    <w:right w:w="0" w:type="dxa"/>
                  </w:tcMar>
                  <w:vAlign w:val="center"/>
                </w:tcPr>
                <w:p>
                  <w:pPr>
                    <w:widowControl/>
                    <w:jc w:val="center"/>
                    <w:textAlignment w:val="center"/>
                    <w:rPr>
                      <w:ins w:id="305" w:author="Sunny" w:date="2022-12-29T09:07:00Z"/>
                      <w:color w:val="auto"/>
                      <w:szCs w:val="21"/>
                    </w:rPr>
                  </w:pPr>
                  <w:r>
                    <w:rPr>
                      <w:rFonts w:hint="eastAsia"/>
                      <w:color w:val="auto"/>
                      <w:szCs w:val="21"/>
                    </w:rPr>
                    <w:t>860192</w:t>
                  </w:r>
                </w:p>
              </w:tc>
            </w:tr>
          </w:tbl>
          <w:p>
            <w:pPr>
              <w:pStyle w:val="58"/>
              <w:spacing w:before="120" w:line="360" w:lineRule="auto"/>
              <w:ind w:firstLine="480"/>
              <w:rPr>
                <w:ins w:id="306" w:author="Sunny" w:date="2022-12-29T16:55:00Z"/>
                <w:rFonts w:hint="default" w:ascii="Times New Roman" w:hAnsi="Times New Roman" w:cs="Times New Roman"/>
                <w:b/>
                <w:color w:val="auto"/>
                <w:sz w:val="24"/>
              </w:rPr>
            </w:pPr>
            <w:ins w:id="307" w:author="Sunny" w:date="2022-12-29T16:55:00Z">
              <w:r>
                <w:rPr>
                  <w:rFonts w:hint="default" w:ascii="Times New Roman" w:hAnsi="Times New Roman" w:cs="Times New Roman"/>
                  <w:color w:val="auto"/>
                  <w:sz w:val="24"/>
                </w:rPr>
                <w:t>涂料用量核算可行性以涂料总涂装面积与产品喷涂需求总面积进行比对。综合表2-5及表2-6可知，本项目涂料总用量可满足产品喷涂总需求。</w:t>
              </w:r>
            </w:ins>
          </w:p>
          <w:p>
            <w:pPr>
              <w:numPr>
                <w:ilvl w:val="0"/>
                <w:numId w:val="6"/>
              </w:numPr>
              <w:adjustRightInd w:val="0"/>
              <w:snapToGrid w:val="0"/>
              <w:spacing w:before="156" w:beforeLines="50" w:line="360" w:lineRule="auto"/>
              <w:jc w:val="left"/>
              <w:rPr>
                <w:ins w:id="308" w:author="Sunny" w:date="2022-12-28T10:08:00Z"/>
                <w:rFonts w:hint="default" w:ascii="Times New Roman" w:hAnsi="Times New Roman" w:cs="Times New Roman"/>
                <w:b/>
                <w:color w:val="auto"/>
                <w:sz w:val="24"/>
              </w:rPr>
            </w:pPr>
            <w:ins w:id="309" w:author="Sunny" w:date="2022-12-28T10:08:00Z">
              <w:r>
                <w:rPr>
                  <w:rFonts w:hint="default" w:ascii="Times New Roman" w:hAnsi="Times New Roman" w:cs="Times New Roman"/>
                  <w:b/>
                  <w:color w:val="auto"/>
                  <w:sz w:val="24"/>
                </w:rPr>
                <w:t>物料平衡</w:t>
              </w:r>
            </w:ins>
          </w:p>
          <w:p>
            <w:pPr>
              <w:pStyle w:val="3"/>
              <w:numPr>
                <w:ilvl w:val="0"/>
                <w:numId w:val="0"/>
              </w:numPr>
              <w:spacing w:line="360" w:lineRule="auto"/>
              <w:ind w:firstLine="482" w:firstLineChars="200"/>
              <w:rPr>
                <w:ins w:id="310" w:author="Sunny" w:date="2022-12-28T10:08:00Z"/>
                <w:rFonts w:hint="default" w:ascii="Times New Roman" w:hAnsi="Times New Roman" w:cs="Times New Roman"/>
                <w:b/>
                <w:bCs/>
                <w:color w:val="auto"/>
                <w:sz w:val="24"/>
              </w:rPr>
            </w:pPr>
            <w:ins w:id="311" w:author="Sunny" w:date="2022-12-28T10:08:00Z">
              <w:r>
                <w:rPr>
                  <w:rFonts w:hint="default" w:ascii="Times New Roman" w:hAnsi="Times New Roman" w:cs="Times New Roman"/>
                  <w:b/>
                  <w:bCs/>
                  <w:color w:val="auto"/>
                  <w:sz w:val="24"/>
                </w:rPr>
                <w:t>（1）氟元素平衡</w:t>
              </w:r>
            </w:ins>
          </w:p>
          <w:p>
            <w:pPr>
              <w:pStyle w:val="3"/>
              <w:numPr>
                <w:ilvl w:val="0"/>
                <w:numId w:val="0"/>
              </w:numPr>
              <w:spacing w:line="360" w:lineRule="auto"/>
              <w:ind w:firstLine="480" w:firstLineChars="200"/>
              <w:rPr>
                <w:ins w:id="312" w:author="Sunny" w:date="2022-12-28T10:08:00Z"/>
                <w:rFonts w:hint="default" w:ascii="Times New Roman" w:hAnsi="Times New Roman" w:cs="Times New Roman"/>
                <w:color w:val="auto"/>
                <w:sz w:val="24"/>
              </w:rPr>
            </w:pPr>
            <w:ins w:id="313" w:author="Sunny" w:date="2022-12-28T10:08:00Z">
              <w:r>
                <w:rPr>
                  <w:rFonts w:hint="default" w:ascii="Times New Roman" w:hAnsi="Times New Roman" w:cs="Times New Roman"/>
                  <w:color w:val="auto"/>
                  <w:sz w:val="24"/>
                </w:rPr>
                <w:t>本项目氟主要存在于无磷转化</w:t>
              </w:r>
            </w:ins>
            <w:ins w:id="314" w:author="Sunny" w:date="2022-12-28T10:09:00Z">
              <w:r>
                <w:rPr>
                  <w:rFonts w:hint="default" w:ascii="Times New Roman" w:hAnsi="Times New Roman" w:cs="Times New Roman"/>
                  <w:color w:val="auto"/>
                  <w:sz w:val="24"/>
                </w:rPr>
                <w:t>液</w:t>
              </w:r>
            </w:ins>
            <w:ins w:id="315" w:author="Sunny" w:date="2022-12-28T10:08:00Z">
              <w:r>
                <w:rPr>
                  <w:rFonts w:hint="default" w:ascii="Times New Roman" w:hAnsi="Times New Roman" w:cs="Times New Roman"/>
                  <w:color w:val="auto"/>
                  <w:sz w:val="24"/>
                </w:rPr>
                <w:t>中，使用量为</w:t>
              </w:r>
            </w:ins>
            <w:r>
              <w:rPr>
                <w:rFonts w:hint="default" w:ascii="Times New Roman" w:hAnsi="Times New Roman" w:cs="Times New Roman"/>
                <w:color w:val="auto"/>
                <w:sz w:val="24"/>
              </w:rPr>
              <w:t>9</w:t>
            </w:r>
            <w:ins w:id="316" w:author="Sunny" w:date="2022-12-28T10:08:00Z">
              <w:r>
                <w:rPr>
                  <w:rFonts w:hint="default" w:ascii="Times New Roman" w:hAnsi="Times New Roman" w:cs="Times New Roman"/>
                  <w:color w:val="auto"/>
                  <w:sz w:val="24"/>
                </w:rPr>
                <w:t>t/a、物料平衡表见</w:t>
              </w:r>
            </w:ins>
            <w:ins w:id="317" w:author="Sunny" w:date="2022-12-28T14:37:00Z">
              <w:r>
                <w:rPr>
                  <w:rFonts w:hint="default" w:ascii="Times New Roman" w:hAnsi="Times New Roman" w:cs="Times New Roman"/>
                  <w:color w:val="auto"/>
                  <w:sz w:val="24"/>
                </w:rPr>
                <w:t>下</w:t>
              </w:r>
            </w:ins>
            <w:ins w:id="318" w:author="Sunny" w:date="2022-12-28T10:08:00Z">
              <w:r>
                <w:rPr>
                  <w:rFonts w:hint="default" w:ascii="Times New Roman" w:hAnsi="Times New Roman" w:cs="Times New Roman"/>
                  <w:color w:val="auto"/>
                  <w:sz w:val="24"/>
                </w:rPr>
                <w:t>表，平衡图见图2-1。</w:t>
              </w:r>
            </w:ins>
          </w:p>
          <w:p>
            <w:pPr>
              <w:widowControl/>
              <w:numPr>
                <w:ilvl w:val="0"/>
                <w:numId w:val="4"/>
              </w:numPr>
              <w:jc w:val="center"/>
              <w:rPr>
                <w:ins w:id="319" w:author="Sunny" w:date="2022-12-28T10:08:00Z"/>
                <w:rFonts w:ascii="Calibri" w:hAnsi="Calibri" w:cs="Calibri"/>
                <w:b/>
                <w:bCs/>
                <w:color w:val="auto"/>
                <w:sz w:val="24"/>
              </w:rPr>
            </w:pPr>
            <w:ins w:id="320" w:author="Sunny" w:date="2022-12-28T10:08:00Z">
              <w:r>
                <w:rPr>
                  <w:rFonts w:hint="eastAsia" w:ascii="Calibri" w:hAnsi="Calibri" w:cs="Calibri"/>
                  <w:b/>
                  <w:bCs/>
                  <w:color w:val="auto"/>
                  <w:sz w:val="24"/>
                </w:rPr>
                <w:t>氟元素物料平衡表（单位：t/a）</w:t>
              </w:r>
            </w:ins>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1739"/>
              <w:gridCol w:w="864"/>
              <w:gridCol w:w="915"/>
              <w:gridCol w:w="1665"/>
              <w:gridCol w:w="681"/>
              <w:gridCol w:w="9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ins w:id="321" w:author="Sunny" w:date="2022-12-28T10:08:00Z"/>
              </w:trPr>
              <w:tc>
                <w:tcPr>
                  <w:tcW w:w="4169" w:type="dxa"/>
                  <w:gridSpan w:val="3"/>
                  <w:noWrap/>
                  <w:vAlign w:val="center"/>
                </w:tcPr>
                <w:p>
                  <w:pPr>
                    <w:pStyle w:val="156"/>
                    <w:rPr>
                      <w:ins w:id="322" w:author="Sunny" w:date="2022-12-28T10:08:00Z"/>
                      <w:b/>
                      <w:bCs w:val="0"/>
                      <w:color w:val="auto"/>
                    </w:rPr>
                  </w:pPr>
                  <w:r>
                    <w:rPr>
                      <w:b/>
                      <w:bCs w:val="0"/>
                      <w:color w:val="auto"/>
                    </w:rPr>
                    <w:t>入方</w:t>
                  </w:r>
                </w:p>
              </w:tc>
              <w:tc>
                <w:tcPr>
                  <w:tcW w:w="4240" w:type="dxa"/>
                  <w:gridSpan w:val="4"/>
                  <w:noWrap/>
                  <w:vAlign w:val="center"/>
                </w:tcPr>
                <w:p>
                  <w:pPr>
                    <w:pStyle w:val="156"/>
                    <w:rPr>
                      <w:ins w:id="323" w:author="Sunny" w:date="2022-12-28T10:08:00Z"/>
                      <w:b/>
                      <w:bCs w:val="0"/>
                      <w:color w:val="auto"/>
                    </w:rPr>
                  </w:pPr>
                  <w:r>
                    <w:rPr>
                      <w:b/>
                      <w:bCs w:val="0"/>
                      <w:color w:val="auto"/>
                    </w:rPr>
                    <w:t>出方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ins w:id="324" w:author="Sunny" w:date="2022-12-28T10:08:00Z"/>
              </w:trPr>
              <w:tc>
                <w:tcPr>
                  <w:tcW w:w="1566" w:type="dxa"/>
                  <w:noWrap/>
                  <w:vAlign w:val="center"/>
                </w:tcPr>
                <w:p>
                  <w:pPr>
                    <w:pStyle w:val="156"/>
                    <w:rPr>
                      <w:ins w:id="325" w:author="Sunny" w:date="2022-12-28T10:08:00Z"/>
                      <w:b/>
                      <w:bCs w:val="0"/>
                      <w:color w:val="auto"/>
                    </w:rPr>
                  </w:pPr>
                  <w:r>
                    <w:rPr>
                      <w:b/>
                      <w:bCs w:val="0"/>
                      <w:color w:val="auto"/>
                    </w:rPr>
                    <w:t>物料名称</w:t>
                  </w:r>
                </w:p>
              </w:tc>
              <w:tc>
                <w:tcPr>
                  <w:tcW w:w="1739" w:type="dxa"/>
                  <w:noWrap/>
                  <w:vAlign w:val="center"/>
                </w:tcPr>
                <w:p>
                  <w:pPr>
                    <w:pStyle w:val="156"/>
                    <w:rPr>
                      <w:ins w:id="326" w:author="Sunny" w:date="2022-12-28T10:08:00Z"/>
                      <w:b/>
                      <w:bCs w:val="0"/>
                      <w:color w:val="auto"/>
                    </w:rPr>
                  </w:pPr>
                  <w:r>
                    <w:rPr>
                      <w:b/>
                      <w:bCs w:val="0"/>
                      <w:color w:val="auto"/>
                    </w:rPr>
                    <w:t>组分</w:t>
                  </w:r>
                </w:p>
              </w:tc>
              <w:tc>
                <w:tcPr>
                  <w:tcW w:w="864" w:type="dxa"/>
                  <w:noWrap/>
                  <w:vAlign w:val="center"/>
                </w:tcPr>
                <w:p>
                  <w:pPr>
                    <w:pStyle w:val="156"/>
                    <w:rPr>
                      <w:ins w:id="327" w:author="Sunny" w:date="2022-12-28T10:08:00Z"/>
                      <w:b/>
                      <w:bCs w:val="0"/>
                      <w:color w:val="auto"/>
                    </w:rPr>
                  </w:pPr>
                  <w:r>
                    <w:rPr>
                      <w:rFonts w:hint="eastAsia"/>
                      <w:b/>
                      <w:bCs w:val="0"/>
                      <w:color w:val="auto"/>
                    </w:rPr>
                    <w:t>氟</w:t>
                  </w:r>
                  <w:r>
                    <w:rPr>
                      <w:b/>
                      <w:bCs w:val="0"/>
                      <w:color w:val="auto"/>
                    </w:rPr>
                    <w:t>数量</w:t>
                  </w:r>
                </w:p>
              </w:tc>
              <w:tc>
                <w:tcPr>
                  <w:tcW w:w="915" w:type="dxa"/>
                  <w:noWrap/>
                  <w:vAlign w:val="center"/>
                </w:tcPr>
                <w:p>
                  <w:pPr>
                    <w:pStyle w:val="156"/>
                    <w:rPr>
                      <w:ins w:id="328" w:author="Sunny" w:date="2022-12-28T10:08:00Z"/>
                      <w:b/>
                      <w:bCs w:val="0"/>
                      <w:color w:val="auto"/>
                    </w:rPr>
                  </w:pPr>
                  <w:r>
                    <w:rPr>
                      <w:rFonts w:hint="eastAsia"/>
                      <w:b/>
                      <w:bCs w:val="0"/>
                      <w:color w:val="auto"/>
                    </w:rPr>
                    <w:t>工段</w:t>
                  </w:r>
                </w:p>
              </w:tc>
              <w:tc>
                <w:tcPr>
                  <w:tcW w:w="1665" w:type="dxa"/>
                  <w:noWrap/>
                  <w:vAlign w:val="center"/>
                </w:tcPr>
                <w:p>
                  <w:pPr>
                    <w:pStyle w:val="156"/>
                    <w:rPr>
                      <w:ins w:id="329" w:author="Sunny" w:date="2022-12-28T10:08:00Z"/>
                      <w:b/>
                      <w:bCs w:val="0"/>
                      <w:color w:val="auto"/>
                    </w:rPr>
                  </w:pPr>
                  <w:r>
                    <w:rPr>
                      <w:b/>
                      <w:bCs w:val="0"/>
                      <w:color w:val="auto"/>
                    </w:rPr>
                    <w:t>类别</w:t>
                  </w:r>
                </w:p>
              </w:tc>
              <w:tc>
                <w:tcPr>
                  <w:tcW w:w="681" w:type="dxa"/>
                  <w:noWrap/>
                  <w:vAlign w:val="center"/>
                </w:tcPr>
                <w:p>
                  <w:pPr>
                    <w:pStyle w:val="156"/>
                    <w:rPr>
                      <w:ins w:id="330" w:author="Sunny" w:date="2022-12-28T10:08:00Z"/>
                      <w:b/>
                      <w:bCs w:val="0"/>
                      <w:color w:val="auto"/>
                    </w:rPr>
                  </w:pPr>
                  <w:r>
                    <w:rPr>
                      <w:b/>
                      <w:bCs w:val="0"/>
                      <w:color w:val="auto"/>
                    </w:rPr>
                    <w:t>组分</w:t>
                  </w:r>
                </w:p>
              </w:tc>
              <w:tc>
                <w:tcPr>
                  <w:tcW w:w="979" w:type="dxa"/>
                  <w:noWrap/>
                  <w:vAlign w:val="center"/>
                </w:tcPr>
                <w:p>
                  <w:pPr>
                    <w:pStyle w:val="156"/>
                    <w:rPr>
                      <w:ins w:id="331" w:author="Sunny" w:date="2022-12-28T10:08:00Z"/>
                      <w:b/>
                      <w:bCs w:val="0"/>
                      <w:color w:val="auto"/>
                    </w:rPr>
                  </w:pPr>
                  <w:r>
                    <w:rPr>
                      <w:b/>
                      <w:bCs w:val="0"/>
                      <w:color w:val="auto"/>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ins w:id="332" w:author="Sunny" w:date="2022-12-28T10:08:00Z"/>
              </w:trPr>
              <w:tc>
                <w:tcPr>
                  <w:tcW w:w="1566" w:type="dxa"/>
                  <w:vMerge w:val="restart"/>
                  <w:noWrap/>
                  <w:vAlign w:val="center"/>
                </w:tcPr>
                <w:p>
                  <w:pPr>
                    <w:pStyle w:val="156"/>
                    <w:rPr>
                      <w:ins w:id="333" w:author="Sunny" w:date="2022-12-28T10:08:00Z"/>
                      <w:color w:val="auto"/>
                    </w:rPr>
                  </w:pPr>
                  <w:r>
                    <w:rPr>
                      <w:rFonts w:hint="eastAsia"/>
                      <w:color w:val="auto"/>
                    </w:rPr>
                    <w:t>无磷转化液</w:t>
                  </w:r>
                </w:p>
              </w:tc>
              <w:tc>
                <w:tcPr>
                  <w:tcW w:w="1739" w:type="dxa"/>
                  <w:vMerge w:val="restart"/>
                  <w:noWrap/>
                  <w:vAlign w:val="center"/>
                </w:tcPr>
                <w:p>
                  <w:pPr>
                    <w:pStyle w:val="156"/>
                    <w:rPr>
                      <w:color w:val="auto"/>
                    </w:rPr>
                  </w:pPr>
                  <w:r>
                    <w:rPr>
                      <w:rFonts w:hint="eastAsia"/>
                      <w:color w:val="auto"/>
                    </w:rPr>
                    <w:t>氟锆酸钠（</w:t>
                  </w:r>
                  <w:r>
                    <w:rPr>
                      <w:color w:val="auto"/>
                    </w:rPr>
                    <w:t>F</w:t>
                  </w:r>
                  <w:r>
                    <w:rPr>
                      <w:color w:val="auto"/>
                      <w:vertAlign w:val="subscript"/>
                    </w:rPr>
                    <w:t>6</w:t>
                  </w:r>
                  <w:r>
                    <w:rPr>
                      <w:rFonts w:hint="eastAsia"/>
                      <w:color w:val="auto"/>
                    </w:rPr>
                    <w:t>Na</w:t>
                  </w:r>
                  <w:r>
                    <w:rPr>
                      <w:color w:val="auto"/>
                      <w:vertAlign w:val="subscript"/>
                    </w:rPr>
                    <w:t>2</w:t>
                  </w:r>
                  <w:r>
                    <w:rPr>
                      <w:color w:val="auto"/>
                    </w:rPr>
                    <w:t>Zr</w:t>
                  </w:r>
                  <w:r>
                    <w:rPr>
                      <w:rFonts w:hint="eastAsia"/>
                      <w:color w:val="auto"/>
                    </w:rPr>
                    <w:t>）</w:t>
                  </w:r>
                </w:p>
                <w:p>
                  <w:pPr>
                    <w:pStyle w:val="156"/>
                    <w:rPr>
                      <w:ins w:id="334" w:author="Sunny" w:date="2022-12-28T10:08:00Z"/>
                      <w:color w:val="auto"/>
                    </w:rPr>
                  </w:pPr>
                  <w:r>
                    <w:rPr>
                      <w:rFonts w:hint="eastAsia"/>
                      <w:color w:val="auto"/>
                    </w:rPr>
                    <w:t>45%</w:t>
                  </w:r>
                </w:p>
              </w:tc>
              <w:tc>
                <w:tcPr>
                  <w:tcW w:w="864" w:type="dxa"/>
                  <w:vMerge w:val="restart"/>
                  <w:noWrap/>
                  <w:vAlign w:val="center"/>
                </w:tcPr>
                <w:p>
                  <w:pPr>
                    <w:pStyle w:val="156"/>
                    <w:rPr>
                      <w:ins w:id="335" w:author="Sunny" w:date="2022-12-28T10:08:00Z"/>
                      <w:color w:val="auto"/>
                    </w:rPr>
                  </w:pPr>
                  <w:r>
                    <w:rPr>
                      <w:rFonts w:hint="eastAsia"/>
                      <w:color w:val="auto"/>
                    </w:rPr>
                    <w:t>1.76</w:t>
                  </w:r>
                </w:p>
              </w:tc>
              <w:tc>
                <w:tcPr>
                  <w:tcW w:w="915" w:type="dxa"/>
                  <w:noWrap/>
                  <w:vAlign w:val="center"/>
                </w:tcPr>
                <w:p>
                  <w:pPr>
                    <w:pStyle w:val="156"/>
                    <w:rPr>
                      <w:ins w:id="336" w:author="Sunny" w:date="2022-12-28T10:08:00Z"/>
                      <w:color w:val="auto"/>
                    </w:rPr>
                  </w:pPr>
                  <w:r>
                    <w:rPr>
                      <w:rFonts w:hint="eastAsia"/>
                      <w:color w:val="auto"/>
                    </w:rPr>
                    <w:t>陶化</w:t>
                  </w:r>
                </w:p>
              </w:tc>
              <w:tc>
                <w:tcPr>
                  <w:tcW w:w="1665" w:type="dxa"/>
                  <w:noWrap/>
                  <w:vAlign w:val="center"/>
                </w:tcPr>
                <w:p>
                  <w:pPr>
                    <w:pStyle w:val="156"/>
                    <w:rPr>
                      <w:ins w:id="337" w:author="Sunny" w:date="2022-12-28T10:08:00Z"/>
                      <w:color w:val="auto"/>
                    </w:rPr>
                  </w:pPr>
                  <w:r>
                    <w:rPr>
                      <w:rFonts w:hint="eastAsia"/>
                      <w:color w:val="auto"/>
                    </w:rPr>
                    <w:t>陶化渣（液）</w:t>
                  </w:r>
                </w:p>
              </w:tc>
              <w:tc>
                <w:tcPr>
                  <w:tcW w:w="681" w:type="dxa"/>
                  <w:noWrap/>
                  <w:vAlign w:val="center"/>
                </w:tcPr>
                <w:p>
                  <w:pPr>
                    <w:pStyle w:val="156"/>
                    <w:rPr>
                      <w:ins w:id="338" w:author="Sunny" w:date="2022-12-28T10:08:00Z"/>
                      <w:color w:val="auto"/>
                    </w:rPr>
                  </w:pPr>
                  <w:r>
                    <w:rPr>
                      <w:rFonts w:hint="eastAsia"/>
                      <w:color w:val="auto"/>
                    </w:rPr>
                    <w:t>氟</w:t>
                  </w:r>
                </w:p>
              </w:tc>
              <w:tc>
                <w:tcPr>
                  <w:tcW w:w="979" w:type="dxa"/>
                  <w:noWrap/>
                  <w:vAlign w:val="center"/>
                </w:tcPr>
                <w:p>
                  <w:pPr>
                    <w:pStyle w:val="156"/>
                    <w:rPr>
                      <w:ins w:id="339" w:author="Sunny" w:date="2022-12-28T10:08:00Z"/>
                      <w:rFonts w:hint="default" w:eastAsia="宋体"/>
                      <w:color w:val="auto"/>
                      <w:lang w:val="en-US" w:eastAsia="zh-CN"/>
                    </w:rPr>
                  </w:pPr>
                  <w:r>
                    <w:rPr>
                      <w:rFonts w:hint="eastAsia"/>
                      <w:color w:val="auto"/>
                    </w:rPr>
                    <w:t>1.1</w:t>
                  </w:r>
                  <w:r>
                    <w:rPr>
                      <w:rFonts w:hint="eastAsia"/>
                      <w:color w:val="auto"/>
                      <w:lang w:val="en-US" w:eastAsia="zh-CN"/>
                    </w:rPr>
                    <w:t>515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ins w:id="340" w:author="Sunny" w:date="2022-12-29T15:13:00Z"/>
              </w:trPr>
              <w:tc>
                <w:tcPr>
                  <w:tcW w:w="1566" w:type="dxa"/>
                  <w:vMerge w:val="continue"/>
                  <w:noWrap/>
                  <w:vAlign w:val="center"/>
                </w:tcPr>
                <w:p>
                  <w:pPr>
                    <w:pStyle w:val="156"/>
                    <w:rPr>
                      <w:ins w:id="341" w:author="Sunny" w:date="2022-12-29T15:13:00Z"/>
                      <w:color w:val="auto"/>
                    </w:rPr>
                  </w:pPr>
                </w:p>
              </w:tc>
              <w:tc>
                <w:tcPr>
                  <w:tcW w:w="1739" w:type="dxa"/>
                  <w:vMerge w:val="continue"/>
                  <w:noWrap/>
                  <w:vAlign w:val="center"/>
                </w:tcPr>
                <w:p>
                  <w:pPr>
                    <w:pStyle w:val="156"/>
                    <w:rPr>
                      <w:ins w:id="342" w:author="Sunny" w:date="2022-12-29T15:13:00Z"/>
                      <w:color w:val="auto"/>
                    </w:rPr>
                  </w:pPr>
                </w:p>
              </w:tc>
              <w:tc>
                <w:tcPr>
                  <w:tcW w:w="864" w:type="dxa"/>
                  <w:vMerge w:val="continue"/>
                  <w:noWrap/>
                  <w:vAlign w:val="center"/>
                </w:tcPr>
                <w:p>
                  <w:pPr>
                    <w:pStyle w:val="156"/>
                    <w:rPr>
                      <w:ins w:id="343" w:author="Sunny" w:date="2022-12-29T15:13:00Z"/>
                      <w:color w:val="auto"/>
                    </w:rPr>
                  </w:pPr>
                </w:p>
              </w:tc>
              <w:tc>
                <w:tcPr>
                  <w:tcW w:w="915" w:type="dxa"/>
                  <w:noWrap/>
                  <w:vAlign w:val="center"/>
                </w:tcPr>
                <w:p>
                  <w:pPr>
                    <w:pStyle w:val="156"/>
                    <w:rPr>
                      <w:ins w:id="344" w:author="Sunny" w:date="2022-12-29T15:13:00Z"/>
                      <w:color w:val="auto"/>
                    </w:rPr>
                  </w:pPr>
                  <w:r>
                    <w:rPr>
                      <w:rFonts w:hint="eastAsia"/>
                      <w:color w:val="auto"/>
                    </w:rPr>
                    <w:t>陶化</w:t>
                  </w:r>
                </w:p>
              </w:tc>
              <w:tc>
                <w:tcPr>
                  <w:tcW w:w="1665" w:type="dxa"/>
                  <w:noWrap/>
                  <w:vAlign w:val="center"/>
                </w:tcPr>
                <w:p>
                  <w:pPr>
                    <w:pStyle w:val="156"/>
                    <w:rPr>
                      <w:ins w:id="345" w:author="Sunny" w:date="2022-12-29T15:13:00Z"/>
                      <w:color w:val="auto"/>
                    </w:rPr>
                  </w:pPr>
                  <w:r>
                    <w:rPr>
                      <w:rFonts w:hint="eastAsia"/>
                      <w:color w:val="auto"/>
                    </w:rPr>
                    <w:t>陶化清槽废水</w:t>
                  </w:r>
                </w:p>
              </w:tc>
              <w:tc>
                <w:tcPr>
                  <w:tcW w:w="681" w:type="dxa"/>
                  <w:noWrap/>
                  <w:vAlign w:val="center"/>
                </w:tcPr>
                <w:p>
                  <w:pPr>
                    <w:pStyle w:val="156"/>
                    <w:rPr>
                      <w:ins w:id="346" w:author="Sunny" w:date="2022-12-29T15:13:00Z"/>
                      <w:color w:val="auto"/>
                    </w:rPr>
                  </w:pPr>
                  <w:r>
                    <w:rPr>
                      <w:rFonts w:hint="eastAsia"/>
                      <w:color w:val="auto"/>
                    </w:rPr>
                    <w:t>氟</w:t>
                  </w:r>
                </w:p>
              </w:tc>
              <w:tc>
                <w:tcPr>
                  <w:tcW w:w="979" w:type="dxa"/>
                  <w:noWrap/>
                  <w:vAlign w:val="center"/>
                </w:tcPr>
                <w:p>
                  <w:pPr>
                    <w:widowControl/>
                    <w:jc w:val="center"/>
                    <w:textAlignment w:val="center"/>
                    <w:rPr>
                      <w:ins w:id="347" w:author="Sunny" w:date="2022-12-29T15:13:00Z"/>
                      <w:color w:val="auto"/>
                    </w:rPr>
                  </w:pPr>
                  <w:r>
                    <w:rPr>
                      <w:rFonts w:hint="eastAsia"/>
                      <w:color w:val="auto"/>
                      <w:kern w:val="0"/>
                      <w:szCs w:val="21"/>
                      <w:lang w:bidi="ar"/>
                    </w:rPr>
                    <w:t>0.</w:t>
                  </w:r>
                  <w:r>
                    <w:rPr>
                      <w:rFonts w:hint="eastAsia"/>
                      <w:color w:val="auto"/>
                      <w:kern w:val="0"/>
                      <w:szCs w:val="21"/>
                      <w:lang w:val="en-US" w:eastAsia="zh-CN" w:bidi="ar"/>
                    </w:rPr>
                    <w:t>0984</w:t>
                  </w:r>
                  <w:r>
                    <w:rPr>
                      <w:color w:val="auto"/>
                      <w:kern w:val="0"/>
                      <w:szCs w:val="21"/>
                      <w:lang w:bidi="ar"/>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ins w:id="348" w:author="Sunny" w:date="2022-12-28T10:08:00Z"/>
              </w:trPr>
              <w:tc>
                <w:tcPr>
                  <w:tcW w:w="1566" w:type="dxa"/>
                  <w:vMerge w:val="continue"/>
                  <w:noWrap/>
                  <w:vAlign w:val="center"/>
                </w:tcPr>
                <w:p>
                  <w:pPr>
                    <w:pStyle w:val="156"/>
                    <w:rPr>
                      <w:ins w:id="349" w:author="Sunny" w:date="2022-12-28T10:08:00Z"/>
                      <w:color w:val="auto"/>
                    </w:rPr>
                  </w:pPr>
                </w:p>
              </w:tc>
              <w:tc>
                <w:tcPr>
                  <w:tcW w:w="1739" w:type="dxa"/>
                  <w:vMerge w:val="continue"/>
                  <w:noWrap/>
                  <w:vAlign w:val="center"/>
                </w:tcPr>
                <w:p>
                  <w:pPr>
                    <w:pStyle w:val="156"/>
                    <w:rPr>
                      <w:ins w:id="350" w:author="Sunny" w:date="2022-12-28T10:08:00Z"/>
                      <w:color w:val="auto"/>
                    </w:rPr>
                  </w:pPr>
                </w:p>
              </w:tc>
              <w:tc>
                <w:tcPr>
                  <w:tcW w:w="864" w:type="dxa"/>
                  <w:vMerge w:val="continue"/>
                  <w:noWrap/>
                  <w:vAlign w:val="center"/>
                </w:tcPr>
                <w:p>
                  <w:pPr>
                    <w:pStyle w:val="156"/>
                    <w:rPr>
                      <w:ins w:id="351" w:author="Sunny" w:date="2022-12-28T10:08:00Z"/>
                      <w:color w:val="auto"/>
                    </w:rPr>
                  </w:pPr>
                </w:p>
              </w:tc>
              <w:tc>
                <w:tcPr>
                  <w:tcW w:w="915" w:type="dxa"/>
                  <w:noWrap/>
                  <w:vAlign w:val="center"/>
                </w:tcPr>
                <w:p>
                  <w:pPr>
                    <w:pStyle w:val="156"/>
                    <w:rPr>
                      <w:ins w:id="352" w:author="Sunny" w:date="2022-12-28T10:08:00Z"/>
                      <w:color w:val="auto"/>
                    </w:rPr>
                  </w:pPr>
                  <w:r>
                    <w:rPr>
                      <w:rFonts w:hint="eastAsia"/>
                      <w:color w:val="auto"/>
                    </w:rPr>
                    <w:t>清洗</w:t>
                  </w:r>
                </w:p>
              </w:tc>
              <w:tc>
                <w:tcPr>
                  <w:tcW w:w="1665" w:type="dxa"/>
                  <w:noWrap/>
                  <w:vAlign w:val="center"/>
                </w:tcPr>
                <w:p>
                  <w:pPr>
                    <w:pStyle w:val="156"/>
                    <w:rPr>
                      <w:ins w:id="353" w:author="Sunny" w:date="2022-12-28T10:08:00Z"/>
                      <w:color w:val="auto"/>
                    </w:rPr>
                  </w:pPr>
                  <w:r>
                    <w:rPr>
                      <w:rFonts w:hint="eastAsia"/>
                      <w:color w:val="auto"/>
                    </w:rPr>
                    <w:t>清洗废水</w:t>
                  </w:r>
                </w:p>
              </w:tc>
              <w:tc>
                <w:tcPr>
                  <w:tcW w:w="681" w:type="dxa"/>
                  <w:noWrap/>
                  <w:vAlign w:val="center"/>
                </w:tcPr>
                <w:p>
                  <w:pPr>
                    <w:pStyle w:val="156"/>
                    <w:rPr>
                      <w:ins w:id="354" w:author="Sunny" w:date="2022-12-28T10:08:00Z"/>
                      <w:color w:val="auto"/>
                    </w:rPr>
                  </w:pPr>
                  <w:r>
                    <w:rPr>
                      <w:rFonts w:hint="eastAsia"/>
                      <w:color w:val="auto"/>
                    </w:rPr>
                    <w:t>氟</w:t>
                  </w:r>
                </w:p>
              </w:tc>
              <w:tc>
                <w:tcPr>
                  <w:tcW w:w="979" w:type="dxa"/>
                  <w:noWrap/>
                  <w:vAlign w:val="center"/>
                </w:tcPr>
                <w:p>
                  <w:pPr>
                    <w:widowControl/>
                    <w:jc w:val="center"/>
                    <w:textAlignment w:val="center"/>
                    <w:rPr>
                      <w:ins w:id="355" w:author="Sunny" w:date="2022-12-28T10:08:00Z"/>
                      <w:color w:val="auto"/>
                    </w:rPr>
                  </w:pPr>
                  <w:r>
                    <w:rPr>
                      <w:rFonts w:hint="eastAsia"/>
                      <w:color w:val="auto"/>
                      <w:kern w:val="0"/>
                      <w:szCs w:val="21"/>
                      <w:lang w:bidi="ar"/>
                    </w:rPr>
                    <w:t>0.</w:t>
                  </w:r>
                  <w:r>
                    <w:rPr>
                      <w:rFonts w:hint="eastAsia"/>
                      <w:color w:val="auto"/>
                      <w:kern w:val="0"/>
                      <w:szCs w:val="21"/>
                      <w:lang w:val="en-US" w:eastAsia="zh-CN" w:bidi="ar"/>
                    </w:rPr>
                    <w:t>5101</w:t>
                  </w:r>
                  <w:r>
                    <w:rPr>
                      <w:color w:val="auto"/>
                      <w:kern w:val="0"/>
                      <w:szCs w:val="21"/>
                      <w:lang w:bidi="ar"/>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ins w:id="356" w:author="Sunny" w:date="2022-12-28T10:08:00Z"/>
              </w:trPr>
              <w:tc>
                <w:tcPr>
                  <w:tcW w:w="3305" w:type="dxa"/>
                  <w:gridSpan w:val="2"/>
                  <w:noWrap/>
                  <w:vAlign w:val="center"/>
                </w:tcPr>
                <w:p>
                  <w:pPr>
                    <w:pStyle w:val="156"/>
                    <w:rPr>
                      <w:ins w:id="357" w:author="Sunny" w:date="2022-12-28T10:08:00Z"/>
                      <w:color w:val="auto"/>
                    </w:rPr>
                  </w:pPr>
                  <w:r>
                    <w:rPr>
                      <w:color w:val="auto"/>
                    </w:rPr>
                    <w:t>合计</w:t>
                  </w:r>
                </w:p>
              </w:tc>
              <w:tc>
                <w:tcPr>
                  <w:tcW w:w="864" w:type="dxa"/>
                  <w:noWrap/>
                  <w:vAlign w:val="center"/>
                </w:tcPr>
                <w:p>
                  <w:pPr>
                    <w:pStyle w:val="156"/>
                    <w:rPr>
                      <w:ins w:id="358" w:author="Sunny" w:date="2022-12-28T10:08:00Z"/>
                      <w:color w:val="auto"/>
                    </w:rPr>
                  </w:pPr>
                  <w:r>
                    <w:rPr>
                      <w:rFonts w:hint="eastAsia"/>
                      <w:color w:val="auto"/>
                    </w:rPr>
                    <w:t>1.76</w:t>
                  </w:r>
                </w:p>
              </w:tc>
              <w:tc>
                <w:tcPr>
                  <w:tcW w:w="3261" w:type="dxa"/>
                  <w:gridSpan w:val="3"/>
                  <w:noWrap/>
                  <w:vAlign w:val="center"/>
                </w:tcPr>
                <w:p>
                  <w:pPr>
                    <w:pStyle w:val="156"/>
                    <w:rPr>
                      <w:ins w:id="359" w:author="Sunny" w:date="2022-12-28T10:08:00Z"/>
                      <w:color w:val="auto"/>
                    </w:rPr>
                  </w:pPr>
                  <w:r>
                    <w:rPr>
                      <w:rFonts w:hint="eastAsia"/>
                      <w:color w:val="auto"/>
                    </w:rPr>
                    <w:t>合计</w:t>
                  </w:r>
                </w:p>
              </w:tc>
              <w:tc>
                <w:tcPr>
                  <w:tcW w:w="979" w:type="dxa"/>
                  <w:noWrap/>
                  <w:vAlign w:val="center"/>
                </w:tcPr>
                <w:p>
                  <w:pPr>
                    <w:pStyle w:val="156"/>
                    <w:rPr>
                      <w:ins w:id="360" w:author="Sunny" w:date="2022-12-28T10:08:00Z"/>
                      <w:color w:val="auto"/>
                    </w:rPr>
                  </w:pPr>
                  <w:r>
                    <w:rPr>
                      <w:rFonts w:hint="eastAsia"/>
                      <w:color w:val="auto"/>
                    </w:rPr>
                    <w:t>1.76</w:t>
                  </w:r>
                </w:p>
              </w:tc>
            </w:tr>
          </w:tbl>
          <w:p>
            <w:pPr>
              <w:pStyle w:val="3"/>
              <w:numPr>
                <w:ilvl w:val="0"/>
                <w:numId w:val="0"/>
              </w:numPr>
              <w:spacing w:before="156" w:beforeLines="50" w:line="360" w:lineRule="auto"/>
              <w:jc w:val="center"/>
              <w:rPr>
                <w:ins w:id="361" w:author="Sunny" w:date="2022-12-28T10:08:00Z"/>
                <w:rFonts w:ascii="Calibri" w:hAnsi="Calibri" w:cs="Calibri"/>
                <w:b/>
                <w:bCs/>
                <w:color w:val="auto"/>
                <w:sz w:val="24"/>
              </w:rPr>
            </w:pPr>
            <w:r>
              <w:rPr>
                <w:color w:val="auto"/>
              </w:rPr>
              <w:drawing>
                <wp:inline distT="0" distB="0" distL="114300" distR="114300">
                  <wp:extent cx="4133850" cy="1590675"/>
                  <wp:effectExtent l="0" t="0" r="0" b="952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0"/>
                          <a:stretch>
                            <a:fillRect/>
                          </a:stretch>
                        </pic:blipFill>
                        <pic:spPr>
                          <a:xfrm>
                            <a:off x="0" y="0"/>
                            <a:ext cx="4133850" cy="1590675"/>
                          </a:xfrm>
                          <a:prstGeom prst="rect">
                            <a:avLst/>
                          </a:prstGeom>
                          <a:noFill/>
                          <a:ln>
                            <a:noFill/>
                          </a:ln>
                        </pic:spPr>
                      </pic:pic>
                    </a:graphicData>
                  </a:graphic>
                </wp:inline>
              </w:drawing>
            </w:r>
          </w:p>
          <w:p>
            <w:pPr>
              <w:pStyle w:val="3"/>
              <w:numPr>
                <w:ilvl w:val="255"/>
                <w:numId w:val="0"/>
                <w:ins w:id="362" w:author="admin" w:date=""/>
              </w:numPr>
              <w:jc w:val="center"/>
              <w:rPr>
                <w:ins w:id="363" w:author="Sunny" w:date="2022-12-28T10:08:00Z"/>
                <w:rFonts w:ascii="Calibri" w:hAnsi="Calibri" w:cs="Calibri"/>
                <w:b/>
                <w:color w:val="auto"/>
                <w:sz w:val="24"/>
                <w:szCs w:val="21"/>
              </w:rPr>
            </w:pPr>
            <w:ins w:id="364" w:author="Sunny" w:date="2022-12-28T10:08:00Z">
              <w:r>
                <w:rPr>
                  <w:rFonts w:hint="eastAsia" w:ascii="Calibri" w:hAnsi="Calibri" w:cs="Calibri"/>
                  <w:b/>
                  <w:color w:val="auto"/>
                  <w:sz w:val="24"/>
                  <w:szCs w:val="21"/>
                </w:rPr>
                <w:t>图2-1 氟元素物料平衡图（单位：t/a）</w:t>
              </w:r>
            </w:ins>
          </w:p>
          <w:p>
            <w:pPr>
              <w:spacing w:before="156" w:beforeLines="50" w:line="360" w:lineRule="auto"/>
              <w:rPr>
                <w:rFonts w:ascii="Calibri" w:hAnsi="Calibri" w:cs="Calibri"/>
                <w:b/>
                <w:bCs/>
                <w:color w:val="auto"/>
                <w:sz w:val="24"/>
              </w:rPr>
            </w:pPr>
            <w:r>
              <w:rPr>
                <w:rFonts w:ascii="Calibri" w:hAnsi="Calibri" w:cs="Calibri"/>
                <w:b/>
                <w:bCs/>
                <w:color w:val="auto"/>
                <w:sz w:val="24"/>
              </w:rPr>
              <w:t>6、主要生产单元、主要工艺及生产设施名称一览表</w:t>
            </w:r>
          </w:p>
          <w:p>
            <w:pPr>
              <w:widowControl/>
              <w:numPr>
                <w:ilvl w:val="0"/>
                <w:numId w:val="4"/>
              </w:numPr>
              <w:jc w:val="center"/>
              <w:rPr>
                <w:rFonts w:ascii="Calibri" w:hAnsi="Calibri" w:cs="Calibri"/>
                <w:b/>
                <w:bCs/>
                <w:color w:val="auto"/>
                <w:sz w:val="24"/>
              </w:rPr>
            </w:pPr>
            <w:r>
              <w:rPr>
                <w:rFonts w:ascii="Calibri" w:hAnsi="Calibri" w:cs="Calibri"/>
                <w:b/>
                <w:bCs/>
                <w:color w:val="auto"/>
                <w:sz w:val="24"/>
              </w:rPr>
              <w:t>建设项目主要生产单元、主要工艺及生产设施名称一览表</w:t>
            </w:r>
          </w:p>
          <w:tbl>
            <w:tblPr>
              <w:tblStyle w:val="26"/>
              <w:tblW w:w="843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35"/>
              <w:gridCol w:w="791"/>
              <w:gridCol w:w="791"/>
              <w:gridCol w:w="1741"/>
              <w:gridCol w:w="1220"/>
              <w:gridCol w:w="750"/>
              <w:gridCol w:w="795"/>
              <w:gridCol w:w="885"/>
              <w:gridCol w:w="112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198" w:type="pct"/>
                  <w:vMerge w:val="restart"/>
                  <w:tcBorders>
                    <w:tl2br w:val="nil"/>
                    <w:tr2bl w:val="nil"/>
                  </w:tcBorders>
                  <w:tcMar>
                    <w:top w:w="15" w:type="dxa"/>
                    <w:left w:w="15" w:type="dxa"/>
                    <w:right w:w="15" w:type="dxa"/>
                  </w:tcMar>
                  <w:vAlign w:val="center"/>
                </w:tcPr>
                <w:p>
                  <w:pPr>
                    <w:widowControl/>
                    <w:jc w:val="center"/>
                    <w:rPr>
                      <w:b/>
                      <w:bCs/>
                      <w:color w:val="auto"/>
                      <w:kern w:val="0"/>
                      <w:szCs w:val="21"/>
                    </w:rPr>
                  </w:pPr>
                  <w:r>
                    <w:rPr>
                      <w:rFonts w:hint="eastAsia"/>
                      <w:b/>
                      <w:bCs/>
                      <w:color w:val="auto"/>
                      <w:kern w:val="0"/>
                      <w:szCs w:val="21"/>
                    </w:rPr>
                    <w:t>序号</w:t>
                  </w:r>
                </w:p>
              </w:tc>
              <w:tc>
                <w:tcPr>
                  <w:tcW w:w="468" w:type="pct"/>
                  <w:vMerge w:val="restart"/>
                  <w:tcBorders>
                    <w:tl2br w:val="nil"/>
                    <w:tr2bl w:val="nil"/>
                  </w:tcBorders>
                  <w:tcMar>
                    <w:top w:w="15" w:type="dxa"/>
                    <w:left w:w="15" w:type="dxa"/>
                    <w:right w:w="15" w:type="dxa"/>
                  </w:tcMar>
                  <w:vAlign w:val="center"/>
                </w:tcPr>
                <w:p>
                  <w:pPr>
                    <w:widowControl/>
                    <w:jc w:val="center"/>
                    <w:rPr>
                      <w:b/>
                      <w:bCs/>
                      <w:color w:val="auto"/>
                      <w:kern w:val="0"/>
                      <w:szCs w:val="21"/>
                    </w:rPr>
                  </w:pPr>
                  <w:r>
                    <w:rPr>
                      <w:rFonts w:hint="eastAsia"/>
                      <w:b/>
                      <w:bCs/>
                      <w:color w:val="auto"/>
                      <w:kern w:val="0"/>
                      <w:szCs w:val="21"/>
                    </w:rPr>
                    <w:t>主要生产单元</w:t>
                  </w:r>
                </w:p>
              </w:tc>
              <w:tc>
                <w:tcPr>
                  <w:tcW w:w="468" w:type="pct"/>
                  <w:vMerge w:val="restart"/>
                  <w:tcBorders>
                    <w:tl2br w:val="nil"/>
                    <w:tr2bl w:val="nil"/>
                  </w:tcBorders>
                  <w:tcMar>
                    <w:top w:w="15" w:type="dxa"/>
                    <w:left w:w="15" w:type="dxa"/>
                    <w:right w:w="15" w:type="dxa"/>
                  </w:tcMar>
                  <w:vAlign w:val="center"/>
                </w:tcPr>
                <w:p>
                  <w:pPr>
                    <w:widowControl/>
                    <w:jc w:val="center"/>
                    <w:rPr>
                      <w:b/>
                      <w:bCs/>
                      <w:color w:val="auto"/>
                      <w:kern w:val="0"/>
                      <w:szCs w:val="21"/>
                    </w:rPr>
                  </w:pPr>
                  <w:r>
                    <w:rPr>
                      <w:rFonts w:hint="eastAsia"/>
                      <w:b/>
                      <w:bCs/>
                      <w:color w:val="auto"/>
                      <w:kern w:val="0"/>
                      <w:szCs w:val="21"/>
                    </w:rPr>
                    <w:t>主要工艺</w:t>
                  </w:r>
                </w:p>
              </w:tc>
              <w:tc>
                <w:tcPr>
                  <w:tcW w:w="1032" w:type="pct"/>
                  <w:vMerge w:val="restart"/>
                  <w:tcBorders>
                    <w:tl2br w:val="nil"/>
                    <w:tr2bl w:val="nil"/>
                  </w:tcBorders>
                  <w:tcMar>
                    <w:top w:w="15" w:type="dxa"/>
                    <w:left w:w="15" w:type="dxa"/>
                    <w:right w:w="15" w:type="dxa"/>
                  </w:tcMar>
                  <w:vAlign w:val="center"/>
                </w:tcPr>
                <w:p>
                  <w:pPr>
                    <w:widowControl/>
                    <w:jc w:val="center"/>
                    <w:rPr>
                      <w:rStyle w:val="72"/>
                      <w:b/>
                      <w:bCs/>
                      <w:color w:val="auto"/>
                      <w:sz w:val="21"/>
                      <w:szCs w:val="21"/>
                      <w:lang w:bidi="ar"/>
                    </w:rPr>
                  </w:pPr>
                  <w:r>
                    <w:rPr>
                      <w:rStyle w:val="72"/>
                      <w:rFonts w:hint="eastAsia"/>
                      <w:b/>
                      <w:bCs/>
                      <w:color w:val="auto"/>
                      <w:sz w:val="21"/>
                      <w:szCs w:val="21"/>
                      <w:lang w:bidi="ar"/>
                    </w:rPr>
                    <w:t>生产设施</w:t>
                  </w:r>
                </w:p>
              </w:tc>
              <w:tc>
                <w:tcPr>
                  <w:tcW w:w="723" w:type="pct"/>
                  <w:vMerge w:val="restart"/>
                  <w:tcBorders>
                    <w:tl2br w:val="nil"/>
                    <w:tr2bl w:val="nil"/>
                  </w:tcBorders>
                  <w:tcMar>
                    <w:top w:w="15" w:type="dxa"/>
                    <w:left w:w="15" w:type="dxa"/>
                    <w:right w:w="15" w:type="dxa"/>
                  </w:tcMar>
                  <w:vAlign w:val="center"/>
                </w:tcPr>
                <w:p>
                  <w:pPr>
                    <w:widowControl/>
                    <w:jc w:val="center"/>
                    <w:textAlignment w:val="center"/>
                    <w:rPr>
                      <w:b/>
                      <w:bCs/>
                      <w:color w:val="auto"/>
                      <w:szCs w:val="21"/>
                    </w:rPr>
                  </w:pPr>
                  <w:r>
                    <w:rPr>
                      <w:rFonts w:hint="eastAsia"/>
                      <w:b/>
                      <w:bCs/>
                      <w:color w:val="auto"/>
                      <w:szCs w:val="21"/>
                    </w:rPr>
                    <w:t>设施规格</w:t>
                  </w:r>
                </w:p>
              </w:tc>
              <w:tc>
                <w:tcPr>
                  <w:tcW w:w="1440" w:type="pct"/>
                  <w:gridSpan w:val="3"/>
                  <w:tcBorders>
                    <w:tl2br w:val="nil"/>
                    <w:tr2bl w:val="nil"/>
                  </w:tcBorders>
                  <w:tcMar>
                    <w:top w:w="15" w:type="dxa"/>
                    <w:left w:w="15" w:type="dxa"/>
                    <w:right w:w="15" w:type="dxa"/>
                  </w:tcMar>
                  <w:vAlign w:val="center"/>
                </w:tcPr>
                <w:p>
                  <w:pPr>
                    <w:widowControl/>
                    <w:jc w:val="center"/>
                    <w:textAlignment w:val="center"/>
                    <w:rPr>
                      <w:b/>
                      <w:bCs/>
                      <w:color w:val="auto"/>
                      <w:szCs w:val="21"/>
                    </w:rPr>
                  </w:pPr>
                  <w:r>
                    <w:rPr>
                      <w:rFonts w:hint="eastAsia"/>
                      <w:b/>
                      <w:bCs/>
                      <w:color w:val="auto"/>
                      <w:szCs w:val="21"/>
                    </w:rPr>
                    <w:t>数量（个）</w:t>
                  </w:r>
                </w:p>
              </w:tc>
              <w:tc>
                <w:tcPr>
                  <w:tcW w:w="667" w:type="pct"/>
                  <w:vMerge w:val="restart"/>
                  <w:tcBorders>
                    <w:tl2br w:val="nil"/>
                    <w:tr2bl w:val="nil"/>
                  </w:tcBorders>
                  <w:tcMar>
                    <w:top w:w="15" w:type="dxa"/>
                    <w:left w:w="15" w:type="dxa"/>
                    <w:right w:w="15" w:type="dxa"/>
                  </w:tcMar>
                  <w:vAlign w:val="center"/>
                </w:tcPr>
                <w:p>
                  <w:pPr>
                    <w:widowControl/>
                    <w:jc w:val="center"/>
                    <w:textAlignment w:val="center"/>
                    <w:rPr>
                      <w:b/>
                      <w:bCs/>
                      <w:color w:val="auto"/>
                      <w:szCs w:val="21"/>
                    </w:rPr>
                  </w:pPr>
                  <w:r>
                    <w:rPr>
                      <w:b/>
                      <w:bCs/>
                      <w:color w:val="auto"/>
                      <w:szCs w:val="21"/>
                    </w:rPr>
                    <w:t>对应工序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198" w:type="pct"/>
                  <w:vMerge w:val="continue"/>
                  <w:tcBorders>
                    <w:tl2br w:val="nil"/>
                    <w:tr2bl w:val="nil"/>
                  </w:tcBorders>
                  <w:tcMar>
                    <w:top w:w="15" w:type="dxa"/>
                    <w:left w:w="15" w:type="dxa"/>
                    <w:right w:w="15" w:type="dxa"/>
                  </w:tcMar>
                  <w:vAlign w:val="center"/>
                </w:tcPr>
                <w:p>
                  <w:pPr>
                    <w:widowControl/>
                    <w:jc w:val="center"/>
                    <w:rPr>
                      <w:rFonts w:hint="eastAsia"/>
                      <w:b/>
                      <w:bCs/>
                      <w:color w:val="auto"/>
                      <w:kern w:val="0"/>
                      <w:szCs w:val="21"/>
                    </w:rPr>
                  </w:pPr>
                </w:p>
              </w:tc>
              <w:tc>
                <w:tcPr>
                  <w:tcW w:w="468" w:type="pct"/>
                  <w:vMerge w:val="continue"/>
                  <w:tcBorders>
                    <w:tl2br w:val="nil"/>
                    <w:tr2bl w:val="nil"/>
                  </w:tcBorders>
                  <w:tcMar>
                    <w:top w:w="15" w:type="dxa"/>
                    <w:left w:w="15" w:type="dxa"/>
                    <w:right w:w="15" w:type="dxa"/>
                  </w:tcMar>
                  <w:vAlign w:val="center"/>
                </w:tcPr>
                <w:p>
                  <w:pPr>
                    <w:widowControl/>
                    <w:jc w:val="center"/>
                    <w:rPr>
                      <w:rFonts w:hint="eastAsia"/>
                      <w:b/>
                      <w:bCs/>
                      <w:color w:val="auto"/>
                      <w:kern w:val="0"/>
                      <w:szCs w:val="21"/>
                    </w:rPr>
                  </w:pPr>
                </w:p>
              </w:tc>
              <w:tc>
                <w:tcPr>
                  <w:tcW w:w="468" w:type="pct"/>
                  <w:vMerge w:val="continue"/>
                  <w:tcBorders>
                    <w:tl2br w:val="nil"/>
                    <w:tr2bl w:val="nil"/>
                  </w:tcBorders>
                  <w:tcMar>
                    <w:top w:w="15" w:type="dxa"/>
                    <w:left w:w="15" w:type="dxa"/>
                    <w:right w:w="15" w:type="dxa"/>
                  </w:tcMar>
                  <w:vAlign w:val="center"/>
                </w:tcPr>
                <w:p>
                  <w:pPr>
                    <w:widowControl/>
                    <w:jc w:val="center"/>
                    <w:rPr>
                      <w:rFonts w:hint="eastAsia"/>
                      <w:b/>
                      <w:bCs/>
                      <w:color w:val="auto"/>
                      <w:kern w:val="0"/>
                      <w:szCs w:val="21"/>
                    </w:rPr>
                  </w:pPr>
                </w:p>
              </w:tc>
              <w:tc>
                <w:tcPr>
                  <w:tcW w:w="1032" w:type="pct"/>
                  <w:vMerge w:val="continue"/>
                  <w:tcBorders>
                    <w:tl2br w:val="nil"/>
                    <w:tr2bl w:val="nil"/>
                  </w:tcBorders>
                  <w:tcMar>
                    <w:top w:w="15" w:type="dxa"/>
                    <w:left w:w="15" w:type="dxa"/>
                    <w:right w:w="15" w:type="dxa"/>
                  </w:tcMar>
                  <w:vAlign w:val="center"/>
                </w:tcPr>
                <w:p>
                  <w:pPr>
                    <w:widowControl/>
                    <w:jc w:val="center"/>
                    <w:rPr>
                      <w:rStyle w:val="72"/>
                      <w:rFonts w:hint="eastAsia"/>
                      <w:b/>
                      <w:bCs/>
                      <w:color w:val="auto"/>
                      <w:sz w:val="21"/>
                      <w:szCs w:val="21"/>
                      <w:lang w:bidi="ar"/>
                    </w:rPr>
                  </w:pPr>
                </w:p>
              </w:tc>
              <w:tc>
                <w:tcPr>
                  <w:tcW w:w="723" w:type="pct"/>
                  <w:vMerge w:val="continue"/>
                  <w:tcBorders>
                    <w:tl2br w:val="nil"/>
                    <w:tr2bl w:val="nil"/>
                  </w:tcBorders>
                  <w:tcMar>
                    <w:top w:w="15" w:type="dxa"/>
                    <w:left w:w="15" w:type="dxa"/>
                    <w:right w:w="15" w:type="dxa"/>
                  </w:tcMar>
                  <w:vAlign w:val="center"/>
                </w:tcPr>
                <w:p>
                  <w:pPr>
                    <w:widowControl/>
                    <w:jc w:val="center"/>
                    <w:textAlignment w:val="center"/>
                    <w:rPr>
                      <w:rFonts w:hint="eastAsia"/>
                      <w:b/>
                      <w:bCs/>
                      <w:color w:val="auto"/>
                      <w:szCs w:val="21"/>
                    </w:rPr>
                  </w:pPr>
                </w:p>
              </w:tc>
              <w:tc>
                <w:tcPr>
                  <w:tcW w:w="444" w:type="pct"/>
                  <w:tcBorders>
                    <w:tl2br w:val="nil"/>
                    <w:tr2bl w:val="nil"/>
                  </w:tcBorders>
                  <w:tcMar>
                    <w:top w:w="15" w:type="dxa"/>
                    <w:left w:w="15" w:type="dxa"/>
                    <w:right w:w="15" w:type="dxa"/>
                  </w:tcMar>
                  <w:vAlign w:val="center"/>
                </w:tcPr>
                <w:p>
                  <w:pPr>
                    <w:widowControl/>
                    <w:jc w:val="center"/>
                    <w:textAlignment w:val="center"/>
                    <w:rPr>
                      <w:rFonts w:hint="default" w:eastAsia="宋体"/>
                      <w:b/>
                      <w:bCs/>
                      <w:color w:val="auto"/>
                      <w:szCs w:val="21"/>
                      <w:lang w:val="en-US" w:eastAsia="zh-CN"/>
                    </w:rPr>
                  </w:pPr>
                  <w:r>
                    <w:rPr>
                      <w:rFonts w:hint="eastAsia"/>
                      <w:b/>
                      <w:bCs/>
                      <w:color w:val="auto"/>
                      <w:szCs w:val="21"/>
                      <w:lang w:val="en-US" w:eastAsia="zh-CN"/>
                    </w:rPr>
                    <w:t>迁建前</w:t>
                  </w:r>
                </w:p>
              </w:tc>
              <w:tc>
                <w:tcPr>
                  <w:tcW w:w="471" w:type="pct"/>
                  <w:tcBorders>
                    <w:tl2br w:val="nil"/>
                    <w:tr2bl w:val="nil"/>
                  </w:tcBorders>
                  <w:tcMar>
                    <w:top w:w="15" w:type="dxa"/>
                    <w:left w:w="15" w:type="dxa"/>
                    <w:right w:w="15" w:type="dxa"/>
                  </w:tcMar>
                  <w:vAlign w:val="center"/>
                </w:tcPr>
                <w:p>
                  <w:pPr>
                    <w:widowControl/>
                    <w:jc w:val="center"/>
                    <w:textAlignment w:val="center"/>
                    <w:rPr>
                      <w:rFonts w:hint="default" w:eastAsia="宋体"/>
                      <w:b/>
                      <w:bCs/>
                      <w:color w:val="auto"/>
                      <w:szCs w:val="21"/>
                      <w:lang w:val="en-US" w:eastAsia="zh-CN"/>
                    </w:rPr>
                  </w:pPr>
                  <w:r>
                    <w:rPr>
                      <w:rFonts w:hint="eastAsia"/>
                      <w:b/>
                      <w:bCs/>
                      <w:color w:val="auto"/>
                      <w:szCs w:val="21"/>
                      <w:lang w:val="en-US" w:eastAsia="zh-CN"/>
                    </w:rPr>
                    <w:t>迁建后</w:t>
                  </w:r>
                </w:p>
              </w:tc>
              <w:tc>
                <w:tcPr>
                  <w:tcW w:w="524" w:type="pct"/>
                  <w:tcBorders>
                    <w:tl2br w:val="nil"/>
                    <w:tr2bl w:val="nil"/>
                  </w:tcBorders>
                  <w:tcMar>
                    <w:top w:w="15" w:type="dxa"/>
                    <w:left w:w="15" w:type="dxa"/>
                    <w:right w:w="15" w:type="dxa"/>
                  </w:tcMar>
                  <w:vAlign w:val="center"/>
                </w:tcPr>
                <w:p>
                  <w:pPr>
                    <w:widowControl/>
                    <w:jc w:val="center"/>
                    <w:textAlignment w:val="center"/>
                    <w:rPr>
                      <w:rFonts w:hint="eastAsia" w:eastAsia="宋体"/>
                      <w:b/>
                      <w:bCs/>
                      <w:color w:val="auto"/>
                      <w:szCs w:val="21"/>
                      <w:lang w:val="en-US" w:eastAsia="zh-CN"/>
                    </w:rPr>
                  </w:pPr>
                  <w:r>
                    <w:rPr>
                      <w:rFonts w:hint="eastAsia"/>
                      <w:b/>
                      <w:bCs/>
                      <w:color w:val="auto"/>
                      <w:szCs w:val="21"/>
                      <w:lang w:val="en-US" w:eastAsia="zh-CN"/>
                    </w:rPr>
                    <w:t>变化量</w:t>
                  </w:r>
                </w:p>
              </w:tc>
              <w:tc>
                <w:tcPr>
                  <w:tcW w:w="667" w:type="pct"/>
                  <w:vMerge w:val="continue"/>
                  <w:tcBorders>
                    <w:tl2br w:val="nil"/>
                    <w:tr2bl w:val="nil"/>
                  </w:tcBorders>
                  <w:tcMar>
                    <w:top w:w="15" w:type="dxa"/>
                    <w:left w:w="15" w:type="dxa"/>
                    <w:right w:w="15" w:type="dxa"/>
                  </w:tcMar>
                  <w:vAlign w:val="center"/>
                </w:tcPr>
                <w:p>
                  <w:pPr>
                    <w:widowControl/>
                    <w:jc w:val="center"/>
                    <w:textAlignment w:val="center"/>
                    <w:rPr>
                      <w:b/>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b/>
                      <w:bCs/>
                      <w:color w:val="auto"/>
                      <w:kern w:val="0"/>
                      <w:szCs w:val="21"/>
                    </w:rPr>
                  </w:pPr>
                  <w:r>
                    <w:rPr>
                      <w:rFonts w:hint="eastAsia"/>
                      <w:color w:val="auto"/>
                      <w:kern w:val="0"/>
                      <w:szCs w:val="21"/>
                    </w:rPr>
                    <w:t>1</w:t>
                  </w:r>
                </w:p>
              </w:tc>
              <w:tc>
                <w:tcPr>
                  <w:tcW w:w="468" w:type="pct"/>
                  <w:vMerge w:val="restart"/>
                  <w:tcBorders>
                    <w:tl2br w:val="nil"/>
                    <w:tr2bl w:val="nil"/>
                  </w:tcBorders>
                  <w:tcMar>
                    <w:top w:w="15" w:type="dxa"/>
                    <w:left w:w="15" w:type="dxa"/>
                    <w:right w:w="15" w:type="dxa"/>
                  </w:tcMar>
                  <w:vAlign w:val="center"/>
                </w:tcPr>
                <w:p>
                  <w:pPr>
                    <w:widowControl/>
                    <w:adjustRightInd w:val="0"/>
                    <w:snapToGrid w:val="0"/>
                    <w:jc w:val="center"/>
                    <w:rPr>
                      <w:b/>
                      <w:bCs/>
                      <w:color w:val="auto"/>
                      <w:kern w:val="0"/>
                      <w:szCs w:val="21"/>
                    </w:rPr>
                  </w:pPr>
                  <w:r>
                    <w:rPr>
                      <w:rFonts w:hint="eastAsia"/>
                      <w:color w:val="auto"/>
                      <w:kern w:val="0"/>
                      <w:szCs w:val="21"/>
                    </w:rPr>
                    <w:t>冲压件生产（车间一、车间二）</w:t>
                  </w:r>
                </w:p>
              </w:tc>
              <w:tc>
                <w:tcPr>
                  <w:tcW w:w="468" w:type="pct"/>
                  <w:vMerge w:val="restart"/>
                  <w:tcBorders>
                    <w:tl2br w:val="nil"/>
                    <w:tr2bl w:val="nil"/>
                  </w:tcBorders>
                  <w:tcMar>
                    <w:top w:w="15" w:type="dxa"/>
                    <w:left w:w="15" w:type="dxa"/>
                    <w:right w:w="15" w:type="dxa"/>
                  </w:tcMar>
                  <w:vAlign w:val="center"/>
                </w:tcPr>
                <w:p>
                  <w:pPr>
                    <w:widowControl/>
                    <w:adjustRightInd w:val="0"/>
                    <w:snapToGrid w:val="0"/>
                    <w:jc w:val="center"/>
                    <w:rPr>
                      <w:b/>
                      <w:bCs/>
                      <w:color w:val="auto"/>
                      <w:kern w:val="0"/>
                      <w:szCs w:val="21"/>
                    </w:rPr>
                  </w:pPr>
                  <w:r>
                    <w:rPr>
                      <w:rFonts w:hint="eastAsia"/>
                      <w:color w:val="auto"/>
                      <w:kern w:val="0"/>
                      <w:szCs w:val="21"/>
                    </w:rPr>
                    <w:t>冲压件生产</w:t>
                  </w:r>
                </w:p>
              </w:tc>
              <w:tc>
                <w:tcPr>
                  <w:tcW w:w="1032" w:type="pct"/>
                  <w:tcBorders>
                    <w:tl2br w:val="nil"/>
                    <w:tr2bl w:val="nil"/>
                  </w:tcBorders>
                  <w:tcMar>
                    <w:top w:w="15" w:type="dxa"/>
                    <w:left w:w="15" w:type="dxa"/>
                    <w:right w:w="15" w:type="dxa"/>
                  </w:tcMar>
                  <w:vAlign w:val="center"/>
                </w:tcPr>
                <w:p>
                  <w:pPr>
                    <w:jc w:val="center"/>
                    <w:textAlignment w:val="baseline"/>
                    <w:rPr>
                      <w:rStyle w:val="72"/>
                      <w:b/>
                      <w:bCs/>
                      <w:color w:val="auto"/>
                      <w:sz w:val="21"/>
                      <w:szCs w:val="21"/>
                      <w:lang w:bidi="ar"/>
                    </w:rPr>
                  </w:pPr>
                  <w:r>
                    <w:rPr>
                      <w:rFonts w:ascii="Calibri" w:hAnsi="Calibri" w:cs="Calibri"/>
                      <w:color w:val="auto"/>
                      <w:szCs w:val="21"/>
                    </w:rPr>
                    <w:t>5000KN四柱液压机</w:t>
                  </w:r>
                </w:p>
              </w:tc>
              <w:tc>
                <w:tcPr>
                  <w:tcW w:w="723" w:type="pct"/>
                  <w:tcBorders>
                    <w:tl2br w:val="nil"/>
                    <w:tr2bl w:val="nil"/>
                  </w:tcBorders>
                  <w:tcMar>
                    <w:top w:w="15" w:type="dxa"/>
                    <w:left w:w="15" w:type="dxa"/>
                    <w:right w:w="15" w:type="dxa"/>
                  </w:tcMar>
                  <w:vAlign w:val="center"/>
                </w:tcPr>
                <w:p>
                  <w:pPr>
                    <w:jc w:val="center"/>
                    <w:textAlignment w:val="baseline"/>
                    <w:rPr>
                      <w:b/>
                      <w:bCs/>
                      <w:color w:val="auto"/>
                      <w:szCs w:val="21"/>
                    </w:rPr>
                  </w:pPr>
                  <w:r>
                    <w:rPr>
                      <w:rFonts w:ascii="Calibri" w:hAnsi="Calibri" w:cs="Calibri"/>
                      <w:color w:val="auto"/>
                      <w:szCs w:val="21"/>
                    </w:rPr>
                    <w:t>YF32-500</w:t>
                  </w:r>
                </w:p>
              </w:tc>
              <w:tc>
                <w:tcPr>
                  <w:tcW w:w="444" w:type="pct"/>
                  <w:tcBorders>
                    <w:tl2br w:val="nil"/>
                    <w:tr2bl w:val="nil"/>
                  </w:tcBorders>
                  <w:tcMar>
                    <w:top w:w="15" w:type="dxa"/>
                    <w:left w:w="15" w:type="dxa"/>
                    <w:right w:w="15" w:type="dxa"/>
                  </w:tcMar>
                  <w:vAlign w:val="center"/>
                </w:tcPr>
                <w:p>
                  <w:pPr>
                    <w:jc w:val="center"/>
                    <w:rPr>
                      <w:rFonts w:hint="eastAsia" w:eastAsia="宋体"/>
                      <w:b/>
                      <w:bCs/>
                      <w:color w:val="auto"/>
                      <w:szCs w:val="21"/>
                      <w:lang w:val="en-US" w:eastAsia="zh-CN"/>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4台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4台</w:t>
                  </w:r>
                </w:p>
              </w:tc>
              <w:tc>
                <w:tcPr>
                  <w:tcW w:w="667" w:type="pct"/>
                  <w:tcBorders>
                    <w:tl2br w:val="nil"/>
                    <w:tr2bl w:val="nil"/>
                  </w:tcBorders>
                  <w:tcMar>
                    <w:top w:w="15" w:type="dxa"/>
                    <w:left w:w="15" w:type="dxa"/>
                    <w:right w:w="15" w:type="dxa"/>
                  </w:tcMar>
                  <w:vAlign w:val="center"/>
                </w:tcPr>
                <w:p>
                  <w:pPr>
                    <w:jc w:val="center"/>
                    <w:rPr>
                      <w:b/>
                      <w:bCs/>
                      <w:color w:val="auto"/>
                      <w:szCs w:val="21"/>
                    </w:rPr>
                  </w:pPr>
                  <w:ins w:id="365" w:author="Sunny" w:date="2022-12-28T08:42:00Z">
                    <w:r>
                      <w:rPr>
                        <w:rFonts w:hint="eastAsia" w:ascii="Calibri" w:hAnsi="Calibri" w:cs="Calibri"/>
                        <w:color w:val="auto"/>
                        <w:szCs w:val="21"/>
                      </w:rPr>
                      <w:t>冲压件生产</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2</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500KN单动薄板冲压机</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YF27-500</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2台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2台</w:t>
                  </w:r>
                </w:p>
              </w:tc>
              <w:tc>
                <w:tcPr>
                  <w:tcW w:w="667" w:type="pct"/>
                  <w:tcBorders>
                    <w:tl2br w:val="nil"/>
                    <w:tr2bl w:val="nil"/>
                  </w:tcBorders>
                  <w:tcMar>
                    <w:top w:w="15" w:type="dxa"/>
                    <w:left w:w="15" w:type="dxa"/>
                    <w:right w:w="15" w:type="dxa"/>
                  </w:tcMar>
                  <w:vAlign w:val="center"/>
                </w:tcPr>
                <w:p>
                  <w:pPr>
                    <w:jc w:val="center"/>
                    <w:rPr>
                      <w:color w:val="auto"/>
                      <w:szCs w:val="21"/>
                    </w:rPr>
                  </w:pPr>
                  <w:ins w:id="366" w:author="Sunny" w:date="2022-12-28T08:42:00Z">
                    <w:r>
                      <w:rPr>
                        <w:rFonts w:hint="eastAsia" w:ascii="Calibri" w:hAnsi="Calibri" w:cs="Calibri"/>
                        <w:color w:val="auto"/>
                        <w:szCs w:val="21"/>
                      </w:rPr>
                      <w:t>冲压件生产</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3</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3150KN四柱液压机</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YA32-315F</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4台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4台</w:t>
                  </w:r>
                </w:p>
              </w:tc>
              <w:tc>
                <w:tcPr>
                  <w:tcW w:w="667" w:type="pct"/>
                  <w:tcBorders>
                    <w:tl2br w:val="nil"/>
                    <w:tr2bl w:val="nil"/>
                  </w:tcBorders>
                  <w:tcMar>
                    <w:top w:w="15" w:type="dxa"/>
                    <w:left w:w="15" w:type="dxa"/>
                    <w:right w:w="15" w:type="dxa"/>
                  </w:tcMar>
                  <w:vAlign w:val="center"/>
                </w:tcPr>
                <w:p>
                  <w:pPr>
                    <w:jc w:val="center"/>
                    <w:rPr>
                      <w:color w:val="auto"/>
                      <w:szCs w:val="21"/>
                    </w:rPr>
                  </w:pPr>
                  <w:ins w:id="367" w:author="Sunny" w:date="2022-12-28T08:42:00Z">
                    <w:r>
                      <w:rPr>
                        <w:rFonts w:hint="eastAsia" w:ascii="Calibri" w:hAnsi="Calibri" w:cs="Calibri"/>
                        <w:color w:val="auto"/>
                        <w:szCs w:val="21"/>
                      </w:rPr>
                      <w:t>冲压件生产</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4</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3150KN单动薄板冲压液压机</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YF27-315</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3台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3台</w:t>
                  </w:r>
                </w:p>
              </w:tc>
              <w:tc>
                <w:tcPr>
                  <w:tcW w:w="667" w:type="pct"/>
                  <w:tcBorders>
                    <w:tl2br w:val="nil"/>
                    <w:tr2bl w:val="nil"/>
                  </w:tcBorders>
                  <w:tcMar>
                    <w:top w:w="15" w:type="dxa"/>
                    <w:left w:w="15" w:type="dxa"/>
                    <w:right w:w="15" w:type="dxa"/>
                  </w:tcMar>
                  <w:vAlign w:val="center"/>
                </w:tcPr>
                <w:p>
                  <w:pPr>
                    <w:jc w:val="center"/>
                    <w:rPr>
                      <w:color w:val="auto"/>
                      <w:szCs w:val="21"/>
                    </w:rPr>
                  </w:pPr>
                  <w:ins w:id="368" w:author="Sunny" w:date="2022-12-28T08:42:00Z">
                    <w:r>
                      <w:rPr>
                        <w:rFonts w:hint="eastAsia" w:ascii="Calibri" w:hAnsi="Calibri" w:cs="Calibri"/>
                        <w:color w:val="auto"/>
                        <w:szCs w:val="21"/>
                      </w:rPr>
                      <w:t>冲压件生产</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5</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rPr>
                      <w:rStyle w:val="72"/>
                      <w:color w:val="auto"/>
                      <w:sz w:val="21"/>
                      <w:szCs w:val="21"/>
                      <w:lang w:bidi="ar"/>
                    </w:rPr>
                  </w:pPr>
                  <w:r>
                    <w:rPr>
                      <w:rFonts w:ascii="Calibri" w:hAnsi="Calibri" w:cs="Calibri"/>
                      <w:color w:val="auto"/>
                      <w:szCs w:val="21"/>
                    </w:rPr>
                    <w:t>压力机</w:t>
                  </w:r>
                </w:p>
              </w:tc>
              <w:tc>
                <w:tcPr>
                  <w:tcW w:w="723" w:type="pct"/>
                  <w:tcBorders>
                    <w:tl2br w:val="nil"/>
                    <w:tr2bl w:val="nil"/>
                  </w:tcBorders>
                  <w:tcMar>
                    <w:top w:w="15" w:type="dxa"/>
                    <w:left w:w="15" w:type="dxa"/>
                    <w:right w:w="15" w:type="dxa"/>
                  </w:tcMar>
                  <w:vAlign w:val="center"/>
                </w:tcPr>
                <w:p>
                  <w:pPr>
                    <w:jc w:val="center"/>
                    <w:rPr>
                      <w:color w:val="auto"/>
                      <w:szCs w:val="21"/>
                    </w:rPr>
                  </w:pPr>
                  <w:r>
                    <w:rPr>
                      <w:rFonts w:ascii="Calibri" w:hAnsi="Calibri" w:cs="Calibri"/>
                      <w:color w:val="auto"/>
                      <w:szCs w:val="21"/>
                    </w:rPr>
                    <w:t>JD36-400</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667" w:type="pct"/>
                  <w:tcBorders>
                    <w:tl2br w:val="nil"/>
                    <w:tr2bl w:val="nil"/>
                  </w:tcBorders>
                  <w:tcMar>
                    <w:top w:w="15" w:type="dxa"/>
                    <w:left w:w="15" w:type="dxa"/>
                    <w:right w:w="15" w:type="dxa"/>
                  </w:tcMar>
                  <w:vAlign w:val="center"/>
                </w:tcPr>
                <w:p>
                  <w:pPr>
                    <w:jc w:val="center"/>
                    <w:rPr>
                      <w:color w:val="auto"/>
                      <w:szCs w:val="21"/>
                    </w:rPr>
                  </w:pPr>
                  <w:ins w:id="369" w:author="Sunny" w:date="2022-12-28T08:42:00Z">
                    <w:r>
                      <w:rPr>
                        <w:rFonts w:hint="eastAsia" w:ascii="Calibri" w:hAnsi="Calibri" w:cs="Calibri"/>
                        <w:color w:val="auto"/>
                        <w:szCs w:val="21"/>
                      </w:rPr>
                      <w:t>冲压件生产</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6</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rPr>
                      <w:rStyle w:val="72"/>
                      <w:color w:val="auto"/>
                      <w:sz w:val="21"/>
                      <w:szCs w:val="21"/>
                      <w:lang w:bidi="ar"/>
                    </w:rPr>
                  </w:pPr>
                  <w:r>
                    <w:rPr>
                      <w:rFonts w:ascii="Calibri" w:hAnsi="Calibri" w:cs="Calibri"/>
                      <w:color w:val="auto"/>
                      <w:szCs w:val="21"/>
                    </w:rPr>
                    <w:t>闭式双点压力机</w:t>
                  </w:r>
                </w:p>
              </w:tc>
              <w:tc>
                <w:tcPr>
                  <w:tcW w:w="723" w:type="pct"/>
                  <w:tcBorders>
                    <w:tl2br w:val="nil"/>
                    <w:tr2bl w:val="nil"/>
                  </w:tcBorders>
                  <w:tcMar>
                    <w:top w:w="15" w:type="dxa"/>
                    <w:left w:w="15" w:type="dxa"/>
                    <w:right w:w="15" w:type="dxa"/>
                  </w:tcMar>
                  <w:vAlign w:val="center"/>
                </w:tcPr>
                <w:p>
                  <w:pPr>
                    <w:jc w:val="center"/>
                    <w:rPr>
                      <w:color w:val="auto"/>
                      <w:szCs w:val="21"/>
                    </w:rPr>
                  </w:pPr>
                  <w:r>
                    <w:rPr>
                      <w:rFonts w:ascii="Calibri" w:hAnsi="Calibri" w:cs="Calibri"/>
                      <w:color w:val="auto"/>
                      <w:szCs w:val="21"/>
                    </w:rPr>
                    <w:t>JH36-250B</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4台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4台</w:t>
                  </w:r>
                </w:p>
              </w:tc>
              <w:tc>
                <w:tcPr>
                  <w:tcW w:w="667" w:type="pct"/>
                  <w:tcBorders>
                    <w:tl2br w:val="nil"/>
                    <w:tr2bl w:val="nil"/>
                  </w:tcBorders>
                  <w:tcMar>
                    <w:top w:w="15" w:type="dxa"/>
                    <w:left w:w="15" w:type="dxa"/>
                    <w:right w:w="15" w:type="dxa"/>
                  </w:tcMar>
                  <w:vAlign w:val="center"/>
                </w:tcPr>
                <w:p>
                  <w:pPr>
                    <w:jc w:val="center"/>
                    <w:rPr>
                      <w:color w:val="auto"/>
                      <w:szCs w:val="21"/>
                    </w:rPr>
                  </w:pPr>
                  <w:ins w:id="370" w:author="Sunny" w:date="2022-12-28T08:42:00Z">
                    <w:r>
                      <w:rPr>
                        <w:rFonts w:hint="eastAsia" w:ascii="Calibri" w:hAnsi="Calibri" w:cs="Calibri"/>
                        <w:color w:val="auto"/>
                        <w:szCs w:val="21"/>
                      </w:rPr>
                      <w:t>冲压件生产</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7</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rPr>
                      <w:rStyle w:val="72"/>
                      <w:color w:val="auto"/>
                      <w:sz w:val="21"/>
                      <w:szCs w:val="21"/>
                      <w:lang w:bidi="ar"/>
                    </w:rPr>
                  </w:pPr>
                  <w:r>
                    <w:rPr>
                      <w:rFonts w:ascii="Calibri" w:hAnsi="Calibri" w:cs="Calibri"/>
                      <w:color w:val="auto"/>
                      <w:szCs w:val="21"/>
                    </w:rPr>
                    <w:t>闭式双点压力机</w:t>
                  </w:r>
                </w:p>
              </w:tc>
              <w:tc>
                <w:tcPr>
                  <w:tcW w:w="723" w:type="pct"/>
                  <w:tcBorders>
                    <w:tl2br w:val="nil"/>
                    <w:tr2bl w:val="nil"/>
                  </w:tcBorders>
                  <w:tcMar>
                    <w:top w:w="15" w:type="dxa"/>
                    <w:left w:w="15" w:type="dxa"/>
                    <w:right w:w="15" w:type="dxa"/>
                  </w:tcMar>
                  <w:vAlign w:val="center"/>
                </w:tcPr>
                <w:p>
                  <w:pPr>
                    <w:jc w:val="center"/>
                    <w:rPr>
                      <w:color w:val="auto"/>
                      <w:szCs w:val="21"/>
                    </w:rPr>
                  </w:pPr>
                  <w:r>
                    <w:rPr>
                      <w:rFonts w:ascii="Calibri" w:hAnsi="Calibri" w:cs="Calibri"/>
                      <w:color w:val="auto"/>
                      <w:szCs w:val="21"/>
                    </w:rPr>
                    <w:t>J36-250C</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4台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4台</w:t>
                  </w:r>
                </w:p>
              </w:tc>
              <w:tc>
                <w:tcPr>
                  <w:tcW w:w="667" w:type="pct"/>
                  <w:tcBorders>
                    <w:tl2br w:val="nil"/>
                    <w:tr2bl w:val="nil"/>
                  </w:tcBorders>
                  <w:tcMar>
                    <w:top w:w="15" w:type="dxa"/>
                    <w:left w:w="15" w:type="dxa"/>
                    <w:right w:w="15" w:type="dxa"/>
                  </w:tcMar>
                  <w:vAlign w:val="center"/>
                </w:tcPr>
                <w:p>
                  <w:pPr>
                    <w:jc w:val="center"/>
                    <w:rPr>
                      <w:color w:val="auto"/>
                      <w:szCs w:val="21"/>
                    </w:rPr>
                  </w:pPr>
                  <w:ins w:id="371" w:author="Sunny" w:date="2022-12-28T08:42:00Z">
                    <w:r>
                      <w:rPr>
                        <w:rFonts w:hint="eastAsia" w:ascii="Calibri" w:hAnsi="Calibri" w:cs="Calibri"/>
                        <w:color w:val="auto"/>
                        <w:szCs w:val="21"/>
                      </w:rPr>
                      <w:t>冲压件生产</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8</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开式固定台压力机</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JH21-250B</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5台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5台</w:t>
                  </w:r>
                </w:p>
              </w:tc>
              <w:tc>
                <w:tcPr>
                  <w:tcW w:w="667" w:type="pct"/>
                  <w:tcBorders>
                    <w:tl2br w:val="nil"/>
                    <w:tr2bl w:val="nil"/>
                  </w:tcBorders>
                  <w:tcMar>
                    <w:top w:w="15" w:type="dxa"/>
                    <w:left w:w="15" w:type="dxa"/>
                    <w:right w:w="15" w:type="dxa"/>
                  </w:tcMar>
                  <w:vAlign w:val="center"/>
                </w:tcPr>
                <w:p>
                  <w:pPr>
                    <w:jc w:val="center"/>
                    <w:rPr>
                      <w:color w:val="auto"/>
                      <w:szCs w:val="21"/>
                    </w:rPr>
                  </w:pPr>
                  <w:ins w:id="372" w:author="Sunny" w:date="2022-12-28T08:42:00Z">
                    <w:r>
                      <w:rPr>
                        <w:rFonts w:hint="eastAsia" w:ascii="Calibri" w:hAnsi="Calibri" w:cs="Calibri"/>
                        <w:color w:val="auto"/>
                        <w:szCs w:val="21"/>
                      </w:rPr>
                      <w:t>冲压件生产</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9</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开式可倾压力机</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SH21-200B</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5台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5台</w:t>
                  </w:r>
                </w:p>
              </w:tc>
              <w:tc>
                <w:tcPr>
                  <w:tcW w:w="667" w:type="pct"/>
                  <w:tcBorders>
                    <w:tl2br w:val="nil"/>
                    <w:tr2bl w:val="nil"/>
                  </w:tcBorders>
                  <w:tcMar>
                    <w:top w:w="15" w:type="dxa"/>
                    <w:left w:w="15" w:type="dxa"/>
                    <w:right w:w="15" w:type="dxa"/>
                  </w:tcMar>
                  <w:vAlign w:val="center"/>
                </w:tcPr>
                <w:p>
                  <w:pPr>
                    <w:jc w:val="center"/>
                    <w:rPr>
                      <w:color w:val="auto"/>
                      <w:szCs w:val="21"/>
                    </w:rPr>
                  </w:pPr>
                  <w:ins w:id="373" w:author="Sunny" w:date="2022-12-28T08:42:00Z">
                    <w:r>
                      <w:rPr>
                        <w:rFonts w:hint="eastAsia" w:ascii="Calibri" w:hAnsi="Calibri" w:cs="Calibri"/>
                        <w:color w:val="auto"/>
                        <w:szCs w:val="21"/>
                      </w:rPr>
                      <w:t>冲压件生产</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10</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开式固定台压力机</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JH21-200B</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8台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8台</w:t>
                  </w:r>
                </w:p>
              </w:tc>
              <w:tc>
                <w:tcPr>
                  <w:tcW w:w="667" w:type="pct"/>
                  <w:tcBorders>
                    <w:tl2br w:val="nil"/>
                    <w:tr2bl w:val="nil"/>
                  </w:tcBorders>
                  <w:tcMar>
                    <w:top w:w="15" w:type="dxa"/>
                    <w:left w:w="15" w:type="dxa"/>
                    <w:right w:w="15" w:type="dxa"/>
                  </w:tcMar>
                  <w:vAlign w:val="center"/>
                </w:tcPr>
                <w:p>
                  <w:pPr>
                    <w:jc w:val="center"/>
                    <w:rPr>
                      <w:color w:val="auto"/>
                      <w:szCs w:val="21"/>
                    </w:rPr>
                  </w:pPr>
                  <w:ins w:id="374" w:author="Sunny" w:date="2022-12-28T08:42:00Z">
                    <w:r>
                      <w:rPr>
                        <w:rFonts w:hint="eastAsia" w:ascii="Calibri" w:hAnsi="Calibri" w:cs="Calibri"/>
                        <w:color w:val="auto"/>
                        <w:szCs w:val="21"/>
                      </w:rPr>
                      <w:t>冲压件生产</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11</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开式固定台压力机</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JH21-160B</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4台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4台</w:t>
                  </w:r>
                </w:p>
              </w:tc>
              <w:tc>
                <w:tcPr>
                  <w:tcW w:w="667" w:type="pct"/>
                  <w:tcBorders>
                    <w:tl2br w:val="nil"/>
                    <w:tr2bl w:val="nil"/>
                  </w:tcBorders>
                  <w:tcMar>
                    <w:top w:w="15" w:type="dxa"/>
                    <w:left w:w="15" w:type="dxa"/>
                    <w:right w:w="15" w:type="dxa"/>
                  </w:tcMar>
                  <w:vAlign w:val="center"/>
                </w:tcPr>
                <w:p>
                  <w:pPr>
                    <w:jc w:val="center"/>
                    <w:rPr>
                      <w:color w:val="auto"/>
                      <w:szCs w:val="21"/>
                    </w:rPr>
                  </w:pPr>
                  <w:ins w:id="375" w:author="Sunny" w:date="2022-12-28T08:42:00Z">
                    <w:r>
                      <w:rPr>
                        <w:rFonts w:hint="eastAsia" w:ascii="Calibri" w:hAnsi="Calibri" w:cs="Calibri"/>
                        <w:color w:val="auto"/>
                        <w:szCs w:val="21"/>
                      </w:rPr>
                      <w:t>冲压件生产</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12</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开式固定台压力机</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JH21-160</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5台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5台</w:t>
                  </w:r>
                </w:p>
              </w:tc>
              <w:tc>
                <w:tcPr>
                  <w:tcW w:w="667" w:type="pct"/>
                  <w:tcBorders>
                    <w:tl2br w:val="nil"/>
                    <w:tr2bl w:val="nil"/>
                  </w:tcBorders>
                  <w:tcMar>
                    <w:top w:w="15" w:type="dxa"/>
                    <w:left w:w="15" w:type="dxa"/>
                    <w:right w:w="15" w:type="dxa"/>
                  </w:tcMar>
                  <w:vAlign w:val="center"/>
                </w:tcPr>
                <w:p>
                  <w:pPr>
                    <w:jc w:val="center"/>
                    <w:rPr>
                      <w:color w:val="auto"/>
                      <w:szCs w:val="21"/>
                    </w:rPr>
                  </w:pPr>
                  <w:ins w:id="376" w:author="Sunny" w:date="2022-12-28T08:42:00Z">
                    <w:r>
                      <w:rPr>
                        <w:rFonts w:hint="eastAsia" w:ascii="Calibri" w:hAnsi="Calibri" w:cs="Calibri"/>
                        <w:color w:val="auto"/>
                        <w:szCs w:val="21"/>
                      </w:rPr>
                      <w:t>冲压件生产</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13</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开式固定台压力机</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JH21-110</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2台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2台</w:t>
                  </w:r>
                </w:p>
              </w:tc>
              <w:tc>
                <w:tcPr>
                  <w:tcW w:w="667" w:type="pct"/>
                  <w:tcBorders>
                    <w:tl2br w:val="nil"/>
                    <w:tr2bl w:val="nil"/>
                  </w:tcBorders>
                  <w:tcMar>
                    <w:top w:w="15" w:type="dxa"/>
                    <w:left w:w="15" w:type="dxa"/>
                    <w:right w:w="15" w:type="dxa"/>
                  </w:tcMar>
                  <w:vAlign w:val="center"/>
                </w:tcPr>
                <w:p>
                  <w:pPr>
                    <w:jc w:val="center"/>
                    <w:rPr>
                      <w:color w:val="auto"/>
                      <w:szCs w:val="21"/>
                    </w:rPr>
                  </w:pPr>
                  <w:ins w:id="377" w:author="Sunny" w:date="2022-12-28T08:42:00Z">
                    <w:r>
                      <w:rPr>
                        <w:rFonts w:hint="eastAsia" w:ascii="Calibri" w:hAnsi="Calibri" w:cs="Calibri"/>
                        <w:color w:val="auto"/>
                        <w:szCs w:val="21"/>
                      </w:rPr>
                      <w:t>冲压件生产</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kern w:val="0"/>
                      <w:szCs w:val="21"/>
                    </w:rPr>
                  </w:pPr>
                  <w:r>
                    <w:rPr>
                      <w:rFonts w:hint="eastAsia"/>
                      <w:color w:val="auto"/>
                      <w:kern w:val="0"/>
                      <w:szCs w:val="21"/>
                    </w:rPr>
                    <w:t>14</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rFonts w:ascii="Calibri" w:hAnsi="Calibri" w:cs="Calibri"/>
                      <w:color w:val="auto"/>
                      <w:szCs w:val="21"/>
                    </w:rPr>
                  </w:pPr>
                  <w:r>
                    <w:rPr>
                      <w:rFonts w:ascii="Calibri" w:hAnsi="Calibri" w:cs="Calibri"/>
                      <w:color w:val="auto"/>
                      <w:szCs w:val="21"/>
                    </w:rPr>
                    <w:t>开式固定台压力机</w:t>
                  </w:r>
                </w:p>
              </w:tc>
              <w:tc>
                <w:tcPr>
                  <w:tcW w:w="723" w:type="pct"/>
                  <w:tcBorders>
                    <w:tl2br w:val="nil"/>
                    <w:tr2bl w:val="nil"/>
                  </w:tcBorders>
                  <w:tcMar>
                    <w:top w:w="15" w:type="dxa"/>
                    <w:left w:w="15" w:type="dxa"/>
                    <w:right w:w="15" w:type="dxa"/>
                  </w:tcMar>
                  <w:vAlign w:val="center"/>
                </w:tcPr>
                <w:p>
                  <w:pPr>
                    <w:jc w:val="center"/>
                    <w:textAlignment w:val="baseline"/>
                    <w:rPr>
                      <w:rFonts w:ascii="Calibri" w:hAnsi="Calibri" w:cs="Calibri"/>
                      <w:color w:val="auto"/>
                      <w:szCs w:val="21"/>
                    </w:rPr>
                  </w:pPr>
                  <w:r>
                    <w:rPr>
                      <w:rFonts w:ascii="Calibri" w:hAnsi="Calibri" w:cs="Calibri"/>
                      <w:color w:val="auto"/>
                      <w:szCs w:val="21"/>
                    </w:rPr>
                    <w:t>JH21-80</w:t>
                  </w:r>
                </w:p>
              </w:tc>
              <w:tc>
                <w:tcPr>
                  <w:tcW w:w="444"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667" w:type="pct"/>
                  <w:tcBorders>
                    <w:tl2br w:val="nil"/>
                    <w:tr2bl w:val="nil"/>
                  </w:tcBorders>
                  <w:tcMar>
                    <w:top w:w="15" w:type="dxa"/>
                    <w:left w:w="15" w:type="dxa"/>
                    <w:right w:w="15" w:type="dxa"/>
                  </w:tcMar>
                  <w:vAlign w:val="center"/>
                </w:tcPr>
                <w:p>
                  <w:pPr>
                    <w:jc w:val="center"/>
                    <w:rPr>
                      <w:rFonts w:ascii="Calibri" w:hAnsi="Calibri" w:cs="Calibri"/>
                      <w:color w:val="auto"/>
                      <w:szCs w:val="21"/>
                    </w:rPr>
                  </w:pPr>
                  <w:ins w:id="378" w:author="Sunny" w:date="2022-12-28T08:42:00Z">
                    <w:r>
                      <w:rPr>
                        <w:rFonts w:hint="eastAsia" w:ascii="Calibri" w:hAnsi="Calibri" w:cs="Calibri"/>
                        <w:color w:val="auto"/>
                        <w:szCs w:val="21"/>
                      </w:rPr>
                      <w:t>冲压件生产</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kern w:val="0"/>
                      <w:szCs w:val="21"/>
                    </w:rPr>
                  </w:pPr>
                  <w:r>
                    <w:rPr>
                      <w:rFonts w:hint="eastAsia"/>
                      <w:color w:val="auto"/>
                      <w:kern w:val="0"/>
                      <w:szCs w:val="21"/>
                    </w:rPr>
                    <w:t>15</w:t>
                  </w:r>
                </w:p>
              </w:tc>
              <w:tc>
                <w:tcPr>
                  <w:tcW w:w="46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szCs w:val="21"/>
                    </w:rPr>
                    <w:t>冲压件生产（车间一）</w:t>
                  </w:r>
                </w:p>
              </w:tc>
              <w:tc>
                <w:tcPr>
                  <w:tcW w:w="46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szCs w:val="21"/>
                    </w:rPr>
                    <w:t>冲压件检验工序毛刺打磨</w:t>
                  </w:r>
                </w:p>
              </w:tc>
              <w:tc>
                <w:tcPr>
                  <w:tcW w:w="1032" w:type="pct"/>
                  <w:tcBorders>
                    <w:tl2br w:val="nil"/>
                    <w:tr2bl w:val="nil"/>
                  </w:tcBorders>
                  <w:tcMar>
                    <w:top w:w="15" w:type="dxa"/>
                    <w:left w:w="15" w:type="dxa"/>
                    <w:right w:w="15" w:type="dxa"/>
                  </w:tcMar>
                  <w:vAlign w:val="center"/>
                </w:tcPr>
                <w:p>
                  <w:pPr>
                    <w:jc w:val="center"/>
                    <w:textAlignment w:val="baseline"/>
                    <w:rPr>
                      <w:rFonts w:ascii="Calibri" w:hAnsi="Calibri" w:cs="Calibri"/>
                      <w:color w:val="auto"/>
                      <w:szCs w:val="21"/>
                    </w:rPr>
                  </w:pPr>
                  <w:r>
                    <w:rPr>
                      <w:rFonts w:hint="eastAsia" w:ascii="Calibri" w:hAnsi="Calibri" w:cs="Calibri"/>
                      <w:color w:val="auto"/>
                      <w:szCs w:val="21"/>
                    </w:rPr>
                    <w:t>抛光盘</w:t>
                  </w:r>
                </w:p>
              </w:tc>
              <w:tc>
                <w:tcPr>
                  <w:tcW w:w="723" w:type="pct"/>
                  <w:tcBorders>
                    <w:tl2br w:val="nil"/>
                    <w:tr2bl w:val="nil"/>
                  </w:tcBorders>
                  <w:tcMar>
                    <w:top w:w="15" w:type="dxa"/>
                    <w:left w:w="15" w:type="dxa"/>
                    <w:right w:w="15" w:type="dxa"/>
                  </w:tcMar>
                  <w:vAlign w:val="center"/>
                </w:tcPr>
                <w:p>
                  <w:pPr>
                    <w:jc w:val="center"/>
                    <w:textAlignment w:val="baseline"/>
                    <w:rPr>
                      <w:rFonts w:ascii="Calibri" w:hAnsi="Calibri" w:cs="Calibri"/>
                      <w:color w:val="auto"/>
                      <w:szCs w:val="21"/>
                    </w:rPr>
                  </w:pPr>
                  <w:r>
                    <w:rPr>
                      <w:rFonts w:hint="eastAsia" w:ascii="Calibri" w:hAnsi="Calibri" w:cs="Calibri"/>
                      <w:color w:val="auto"/>
                      <w:szCs w:val="21"/>
                    </w:rPr>
                    <w:t>/</w:t>
                  </w:r>
                </w:p>
              </w:tc>
              <w:tc>
                <w:tcPr>
                  <w:tcW w:w="444" w:type="pct"/>
                  <w:tcBorders>
                    <w:tl2br w:val="nil"/>
                    <w:tr2bl w:val="nil"/>
                  </w:tcBorders>
                  <w:tcMar>
                    <w:top w:w="15" w:type="dxa"/>
                    <w:left w:w="15" w:type="dxa"/>
                    <w:right w:w="15" w:type="dxa"/>
                  </w:tcMar>
                  <w:vAlign w:val="center"/>
                </w:tcPr>
                <w:p>
                  <w:pPr>
                    <w:jc w:val="center"/>
                    <w:rPr>
                      <w:rFonts w:ascii="Calibri" w:hAnsi="Calibri" w:cs="Calibri"/>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hint="eastAsia" w:ascii="Calibri" w:hAnsi="Calibri" w:cs="Calibri"/>
                      <w:color w:val="auto"/>
                      <w:szCs w:val="21"/>
                    </w:rPr>
                  </w:pPr>
                  <w:r>
                    <w:rPr>
                      <w:rFonts w:hint="eastAsia" w:ascii="Calibri" w:hAnsi="Calibri" w:cs="Calibri"/>
                      <w:color w:val="auto"/>
                      <w:szCs w:val="21"/>
                    </w:rPr>
                    <w:t>3</w:t>
                  </w:r>
                  <w:r>
                    <w:rPr>
                      <w:rFonts w:ascii="Calibri" w:hAnsi="Calibri" w:cs="Calibri"/>
                      <w:bCs/>
                      <w:color w:val="auto"/>
                      <w:szCs w:val="21"/>
                    </w:rPr>
                    <w:t>套</w:t>
                  </w:r>
                </w:p>
              </w:tc>
              <w:tc>
                <w:tcPr>
                  <w:tcW w:w="885" w:type="dxa"/>
                  <w:tcBorders>
                    <w:tl2br w:val="nil"/>
                    <w:tr2bl w:val="nil"/>
                  </w:tcBorders>
                  <w:tcMar>
                    <w:top w:w="15" w:type="dxa"/>
                    <w:left w:w="15" w:type="dxa"/>
                    <w:right w:w="15" w:type="dxa"/>
                  </w:tcMar>
                  <w:vAlign w:val="center"/>
                </w:tcPr>
                <w:p>
                  <w:pPr>
                    <w:jc w:val="center"/>
                    <w:rPr>
                      <w:rFonts w:hint="eastAsia" w:ascii="Calibri" w:hAnsi="Calibri" w:cs="Calibri"/>
                      <w:color w:val="auto"/>
                      <w:szCs w:val="21"/>
                    </w:rPr>
                  </w:pPr>
                  <w:r>
                    <w:rPr>
                      <w:rFonts w:hint="eastAsia" w:ascii="Calibri" w:hAnsi="Calibri" w:cs="Calibri"/>
                      <w:color w:val="auto"/>
                      <w:szCs w:val="21"/>
                      <w:lang w:val="en-US" w:eastAsia="zh-CN"/>
                    </w:rPr>
                    <w:t>+</w:t>
                  </w:r>
                  <w:r>
                    <w:rPr>
                      <w:rFonts w:hint="eastAsia" w:ascii="Calibri" w:hAnsi="Calibri" w:cs="Calibri"/>
                      <w:color w:val="auto"/>
                      <w:szCs w:val="21"/>
                    </w:rPr>
                    <w:t>3</w:t>
                  </w:r>
                  <w:r>
                    <w:rPr>
                      <w:rFonts w:ascii="Calibri" w:hAnsi="Calibri" w:cs="Calibri"/>
                      <w:bCs/>
                      <w:color w:val="auto"/>
                      <w:szCs w:val="21"/>
                    </w:rPr>
                    <w:t>套</w:t>
                  </w:r>
                </w:p>
              </w:tc>
              <w:tc>
                <w:tcPr>
                  <w:tcW w:w="667" w:type="pct"/>
                  <w:tcBorders>
                    <w:tl2br w:val="nil"/>
                    <w:tr2bl w:val="nil"/>
                  </w:tcBorders>
                  <w:tcMar>
                    <w:top w:w="15" w:type="dxa"/>
                    <w:left w:w="15" w:type="dxa"/>
                    <w:right w:w="15" w:type="dxa"/>
                  </w:tcMar>
                  <w:vAlign w:val="center"/>
                </w:tcPr>
                <w:p>
                  <w:pPr>
                    <w:jc w:val="center"/>
                    <w:rPr>
                      <w:rFonts w:ascii="Calibri" w:hAnsi="Calibri" w:cs="Calibri"/>
                      <w:color w:val="auto"/>
                      <w:szCs w:val="21"/>
                    </w:rPr>
                  </w:pPr>
                  <w:r>
                    <w:rPr>
                      <w:rFonts w:hint="eastAsia" w:ascii="Calibri" w:hAnsi="Calibri" w:cs="Calibri"/>
                      <w:color w:val="auto"/>
                      <w:szCs w:val="21"/>
                    </w:rPr>
                    <w:t>冲压机检验工序毛刺打磨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16</w:t>
                  </w:r>
                </w:p>
              </w:tc>
              <w:tc>
                <w:tcPr>
                  <w:tcW w:w="468" w:type="pct"/>
                  <w:vMerge w:val="restar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szCs w:val="21"/>
                    </w:rPr>
                    <w:t>模具生产（车间一、车间二）</w:t>
                  </w:r>
                </w:p>
              </w:tc>
              <w:tc>
                <w:tcPr>
                  <w:tcW w:w="468" w:type="pct"/>
                  <w:vMerge w:val="restar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szCs w:val="21"/>
                    </w:rPr>
                    <w:t>模具钻孔/装配</w:t>
                  </w: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台钻</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ZJ4116</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667" w:type="pct"/>
                  <w:tcBorders>
                    <w:tl2br w:val="nil"/>
                    <w:tr2bl w:val="nil"/>
                  </w:tcBorders>
                  <w:tcMar>
                    <w:top w:w="15" w:type="dxa"/>
                    <w:left w:w="15" w:type="dxa"/>
                    <w:right w:w="15" w:type="dxa"/>
                  </w:tcMar>
                  <w:vAlign w:val="center"/>
                </w:tcPr>
                <w:p>
                  <w:pPr>
                    <w:jc w:val="center"/>
                    <w:rPr>
                      <w:rFonts w:hint="eastAsia" w:eastAsia="宋体"/>
                      <w:color w:val="auto"/>
                      <w:szCs w:val="21"/>
                      <w:lang w:eastAsia="zh-CN"/>
                    </w:rPr>
                  </w:pPr>
                  <w:r>
                    <w:rPr>
                      <w:rFonts w:hint="eastAsia" w:ascii="Calibri" w:hAnsi="Calibri" w:cs="Calibri"/>
                      <w:color w:val="auto"/>
                      <w:szCs w:val="21"/>
                      <w:lang w:val="en-US" w:eastAsia="zh-CN"/>
                    </w:rPr>
                    <w:t>模具生产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17</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台钻</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Z4120</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667" w:type="pct"/>
                  <w:tcBorders>
                    <w:tl2br w:val="nil"/>
                    <w:tr2bl w:val="nil"/>
                  </w:tcBorders>
                  <w:tcMar>
                    <w:top w:w="15" w:type="dxa"/>
                    <w:left w:w="15" w:type="dxa"/>
                    <w:right w:w="15" w:type="dxa"/>
                  </w:tcMar>
                  <w:vAlign w:val="center"/>
                </w:tcPr>
                <w:p>
                  <w:pPr>
                    <w:jc w:val="center"/>
                    <w:rPr>
                      <w:color w:val="auto"/>
                      <w:szCs w:val="21"/>
                    </w:rPr>
                  </w:pPr>
                  <w:r>
                    <w:rPr>
                      <w:rFonts w:hint="eastAsia" w:ascii="Calibri" w:hAnsi="Calibri" w:cs="Calibri"/>
                      <w:color w:val="auto"/>
                      <w:szCs w:val="21"/>
                      <w:lang w:val="en-US" w:eastAsia="zh-CN"/>
                    </w:rPr>
                    <w:t>模具生产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18</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台式攻丝机</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SWJ-6B</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667" w:type="pct"/>
                  <w:tcBorders>
                    <w:tl2br w:val="nil"/>
                    <w:tr2bl w:val="nil"/>
                  </w:tcBorders>
                  <w:tcMar>
                    <w:top w:w="15" w:type="dxa"/>
                    <w:left w:w="15" w:type="dxa"/>
                    <w:right w:w="15" w:type="dxa"/>
                  </w:tcMar>
                  <w:vAlign w:val="center"/>
                </w:tcPr>
                <w:p>
                  <w:pPr>
                    <w:jc w:val="center"/>
                    <w:rPr>
                      <w:color w:val="auto"/>
                      <w:szCs w:val="21"/>
                    </w:rPr>
                  </w:pPr>
                  <w:r>
                    <w:rPr>
                      <w:rFonts w:hint="eastAsia" w:ascii="Calibri" w:hAnsi="Calibri" w:cs="Calibri"/>
                      <w:color w:val="auto"/>
                      <w:szCs w:val="21"/>
                      <w:lang w:val="en-US" w:eastAsia="zh-CN"/>
                    </w:rPr>
                    <w:t>模具生产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19</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摇臂钻床</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Z3050×16/1</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667" w:type="pct"/>
                  <w:tcBorders>
                    <w:tl2br w:val="nil"/>
                    <w:tr2bl w:val="nil"/>
                  </w:tcBorders>
                  <w:tcMar>
                    <w:top w:w="15" w:type="dxa"/>
                    <w:left w:w="15" w:type="dxa"/>
                    <w:right w:w="15" w:type="dxa"/>
                  </w:tcMar>
                  <w:vAlign w:val="center"/>
                </w:tcPr>
                <w:p>
                  <w:pPr>
                    <w:jc w:val="center"/>
                    <w:rPr>
                      <w:color w:val="auto"/>
                      <w:szCs w:val="21"/>
                    </w:rPr>
                  </w:pPr>
                  <w:r>
                    <w:rPr>
                      <w:rFonts w:hint="eastAsia" w:ascii="Calibri" w:hAnsi="Calibri" w:cs="Calibri"/>
                      <w:color w:val="auto"/>
                      <w:szCs w:val="21"/>
                      <w:lang w:val="en-US" w:eastAsia="zh-CN"/>
                    </w:rPr>
                    <w:t>模具生产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20</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bottom w:val="single" w:color="auto" w:sz="4" w:space="0"/>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color w:val="auto"/>
                      <w:szCs w:val="21"/>
                      <w:lang w:bidi="ar"/>
                    </w:rPr>
                  </w:pPr>
                  <w:r>
                    <w:rPr>
                      <w:rFonts w:ascii="Calibri" w:hAnsi="Calibri" w:cs="Calibri"/>
                      <w:color w:val="auto"/>
                      <w:szCs w:val="21"/>
                    </w:rPr>
                    <w:t>车床</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CY6250/1000</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667" w:type="pct"/>
                  <w:tcBorders>
                    <w:tl2br w:val="nil"/>
                    <w:tr2bl w:val="nil"/>
                  </w:tcBorders>
                  <w:tcMar>
                    <w:top w:w="15" w:type="dxa"/>
                    <w:left w:w="15" w:type="dxa"/>
                    <w:right w:w="15" w:type="dxa"/>
                  </w:tcMar>
                  <w:vAlign w:val="center"/>
                </w:tcPr>
                <w:p>
                  <w:pPr>
                    <w:jc w:val="center"/>
                    <w:rPr>
                      <w:color w:val="auto"/>
                      <w:szCs w:val="21"/>
                    </w:rPr>
                  </w:pPr>
                  <w:r>
                    <w:rPr>
                      <w:rFonts w:hint="eastAsia" w:ascii="Calibri" w:hAnsi="Calibri" w:cs="Calibri"/>
                      <w:color w:val="auto"/>
                      <w:szCs w:val="21"/>
                      <w:lang w:val="en-US" w:eastAsia="zh-CN"/>
                    </w:rPr>
                    <w:t>模具生产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21</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restart"/>
                  <w:tcBorders>
                    <w:top w:val="single" w:color="auto" w:sz="4" w:space="0"/>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szCs w:val="21"/>
                    </w:rPr>
                    <w:t>模具维修</w:t>
                  </w: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工具磨</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HZ-618</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667" w:type="pct"/>
                  <w:tcBorders>
                    <w:tl2br w:val="nil"/>
                    <w:tr2bl w:val="nil"/>
                  </w:tcBorders>
                  <w:tcMar>
                    <w:top w:w="15" w:type="dxa"/>
                    <w:left w:w="15" w:type="dxa"/>
                    <w:right w:w="15" w:type="dxa"/>
                  </w:tcMar>
                  <w:vAlign w:val="center"/>
                </w:tcPr>
                <w:p>
                  <w:pPr>
                    <w:jc w:val="center"/>
                    <w:rPr>
                      <w:color w:val="auto"/>
                      <w:szCs w:val="21"/>
                    </w:rPr>
                  </w:pPr>
                  <w:r>
                    <w:rPr>
                      <w:rFonts w:hint="eastAsia" w:ascii="Calibri" w:hAnsi="Calibri" w:cs="Calibri"/>
                      <w:color w:val="auto"/>
                      <w:szCs w:val="21"/>
                    </w:rPr>
                    <w:t>辅助模具维修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22</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摇臂万能铣床</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X6325T</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667" w:type="pct"/>
                  <w:tcBorders>
                    <w:tl2br w:val="nil"/>
                    <w:tr2bl w:val="nil"/>
                  </w:tcBorders>
                  <w:tcMar>
                    <w:top w:w="15" w:type="dxa"/>
                    <w:left w:w="15" w:type="dxa"/>
                    <w:right w:w="15" w:type="dxa"/>
                  </w:tcMar>
                  <w:vAlign w:val="center"/>
                </w:tcPr>
                <w:p>
                  <w:pPr>
                    <w:jc w:val="center"/>
                    <w:rPr>
                      <w:color w:val="auto"/>
                      <w:szCs w:val="21"/>
                    </w:rPr>
                  </w:pPr>
                  <w:r>
                    <w:rPr>
                      <w:rFonts w:hint="eastAsia" w:ascii="Calibri" w:hAnsi="Calibri" w:cs="Calibri"/>
                      <w:color w:val="auto"/>
                      <w:szCs w:val="21"/>
                    </w:rPr>
                    <w:t>辅助模具维修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kern w:val="0"/>
                      <w:szCs w:val="21"/>
                    </w:rPr>
                  </w:pPr>
                  <w:r>
                    <w:rPr>
                      <w:rFonts w:hint="eastAsia"/>
                      <w:color w:val="auto"/>
                      <w:kern w:val="0"/>
                      <w:szCs w:val="21"/>
                    </w:rPr>
                    <w:t>23</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color w:val="auto"/>
                      <w:szCs w:val="21"/>
                      <w:lang w:bidi="ar"/>
                    </w:rPr>
                  </w:pPr>
                  <w:r>
                    <w:rPr>
                      <w:rFonts w:ascii="Calibri" w:hAnsi="Calibri" w:cs="Calibri"/>
                      <w:color w:val="auto"/>
                      <w:szCs w:val="21"/>
                    </w:rPr>
                    <w:t>平面磨床</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M7130H</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667" w:type="pct"/>
                  <w:tcBorders>
                    <w:tl2br w:val="nil"/>
                    <w:tr2bl w:val="nil"/>
                  </w:tcBorders>
                  <w:tcMar>
                    <w:top w:w="15" w:type="dxa"/>
                    <w:left w:w="15" w:type="dxa"/>
                    <w:right w:w="15" w:type="dxa"/>
                  </w:tcMar>
                  <w:vAlign w:val="center"/>
                </w:tcPr>
                <w:p>
                  <w:pPr>
                    <w:jc w:val="center"/>
                    <w:rPr>
                      <w:color w:val="auto"/>
                      <w:szCs w:val="21"/>
                    </w:rPr>
                  </w:pPr>
                  <w:r>
                    <w:rPr>
                      <w:rFonts w:hint="eastAsia" w:ascii="Calibri" w:hAnsi="Calibri" w:cs="Calibri"/>
                      <w:color w:val="auto"/>
                      <w:szCs w:val="21"/>
                    </w:rPr>
                    <w:t>辅助模具维修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24</w:t>
                  </w:r>
                </w:p>
              </w:tc>
              <w:tc>
                <w:tcPr>
                  <w:tcW w:w="468" w:type="pct"/>
                  <w:vMerge w:val="restar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冲压件生产（车间一、车间二）</w:t>
                  </w:r>
                </w:p>
              </w:tc>
              <w:tc>
                <w:tcPr>
                  <w:tcW w:w="468" w:type="pct"/>
                  <w:vMerge w:val="restar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szCs w:val="21"/>
                    </w:rPr>
                    <w:t>冲压件生产</w:t>
                  </w: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型材切割机</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J3GG-400</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1126" w:type="dxa"/>
                  <w:tcBorders>
                    <w:tl2br w:val="nil"/>
                    <w:tr2bl w:val="nil"/>
                  </w:tcBorders>
                  <w:tcMar>
                    <w:top w:w="15" w:type="dxa"/>
                    <w:left w:w="15" w:type="dxa"/>
                    <w:right w:w="15" w:type="dxa"/>
                  </w:tcMar>
                  <w:vAlign w:val="center"/>
                </w:tcPr>
                <w:p>
                  <w:pPr>
                    <w:jc w:val="center"/>
                    <w:rPr>
                      <w:color w:val="auto"/>
                      <w:szCs w:val="21"/>
                    </w:rPr>
                  </w:pPr>
                  <w:r>
                    <w:rPr>
                      <w:rFonts w:hint="eastAsia"/>
                      <w:color w:val="auto"/>
                      <w:szCs w:val="21"/>
                    </w:rPr>
                    <w:t>冲压件生产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25</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250mm落地式砂轮机</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MS3025</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1126" w:type="dxa"/>
                  <w:tcBorders>
                    <w:tl2br w:val="nil"/>
                    <w:tr2bl w:val="nil"/>
                  </w:tcBorders>
                  <w:tcMar>
                    <w:top w:w="15" w:type="dxa"/>
                    <w:left w:w="15" w:type="dxa"/>
                    <w:right w:w="15" w:type="dxa"/>
                  </w:tcMar>
                  <w:vAlign w:val="center"/>
                </w:tcPr>
                <w:p>
                  <w:pPr>
                    <w:jc w:val="center"/>
                    <w:rPr>
                      <w:color w:val="auto"/>
                      <w:szCs w:val="21"/>
                    </w:rPr>
                  </w:pPr>
                  <w:r>
                    <w:rPr>
                      <w:rFonts w:hint="eastAsia"/>
                      <w:color w:val="auto"/>
                      <w:szCs w:val="21"/>
                    </w:rPr>
                    <w:t>冲压件生产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26</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NC自动送料机构</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NCF-600</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1126" w:type="dxa"/>
                  <w:tcBorders>
                    <w:tl2br w:val="nil"/>
                    <w:tr2bl w:val="nil"/>
                  </w:tcBorders>
                  <w:tcMar>
                    <w:top w:w="15" w:type="dxa"/>
                    <w:left w:w="15" w:type="dxa"/>
                    <w:right w:w="15" w:type="dxa"/>
                  </w:tcMar>
                  <w:vAlign w:val="center"/>
                </w:tcPr>
                <w:p>
                  <w:pPr>
                    <w:jc w:val="center"/>
                    <w:rPr>
                      <w:color w:val="auto"/>
                      <w:szCs w:val="21"/>
                    </w:rPr>
                  </w:pPr>
                  <w:r>
                    <w:rPr>
                      <w:rFonts w:hint="eastAsia"/>
                      <w:color w:val="auto"/>
                      <w:szCs w:val="21"/>
                    </w:rPr>
                    <w:t>冲压件生产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adjustRightInd w:val="0"/>
                    <w:snapToGrid w:val="0"/>
                    <w:jc w:val="center"/>
                    <w:rPr>
                      <w:color w:val="auto"/>
                      <w:szCs w:val="21"/>
                    </w:rPr>
                  </w:pPr>
                  <w:r>
                    <w:rPr>
                      <w:rFonts w:hint="eastAsia"/>
                      <w:color w:val="auto"/>
                      <w:kern w:val="0"/>
                      <w:szCs w:val="21"/>
                    </w:rPr>
                    <w:t>27</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液压摆式剪板机</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QC12Y-4</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1126" w:type="dxa"/>
                  <w:tcBorders>
                    <w:tl2br w:val="nil"/>
                    <w:tr2bl w:val="nil"/>
                  </w:tcBorders>
                  <w:tcMar>
                    <w:top w:w="15" w:type="dxa"/>
                    <w:left w:w="15" w:type="dxa"/>
                    <w:right w:w="15" w:type="dxa"/>
                  </w:tcMar>
                  <w:vAlign w:val="center"/>
                </w:tcPr>
                <w:p>
                  <w:pPr>
                    <w:jc w:val="center"/>
                    <w:rPr>
                      <w:color w:val="auto"/>
                      <w:szCs w:val="21"/>
                    </w:rPr>
                  </w:pPr>
                  <w:r>
                    <w:rPr>
                      <w:rFonts w:hint="eastAsia"/>
                      <w:color w:val="auto"/>
                      <w:szCs w:val="21"/>
                    </w:rPr>
                    <w:t>冲压件生产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jc w:val="center"/>
                    <w:rPr>
                      <w:color w:val="auto"/>
                      <w:szCs w:val="21"/>
                    </w:rPr>
                  </w:pPr>
                  <w:r>
                    <w:rPr>
                      <w:rFonts w:hint="eastAsia"/>
                      <w:color w:val="auto"/>
                      <w:szCs w:val="21"/>
                    </w:rPr>
                    <w:t>28</w:t>
                  </w: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adjustRightInd w:val="0"/>
                    <w:snapToGrid w:val="0"/>
                    <w:jc w:val="center"/>
                    <w:rPr>
                      <w:color w:val="auto"/>
                      <w:szCs w:val="21"/>
                    </w:rPr>
                  </w:pPr>
                </w:p>
              </w:tc>
              <w:tc>
                <w:tcPr>
                  <w:tcW w:w="1032" w:type="pct"/>
                  <w:tcBorders>
                    <w:tl2br w:val="nil"/>
                    <w:tr2bl w:val="nil"/>
                  </w:tcBorders>
                  <w:tcMar>
                    <w:top w:w="15" w:type="dxa"/>
                    <w:left w:w="15" w:type="dxa"/>
                    <w:right w:w="15" w:type="dxa"/>
                  </w:tcMar>
                  <w:vAlign w:val="center"/>
                </w:tcPr>
                <w:p>
                  <w:pPr>
                    <w:jc w:val="center"/>
                    <w:textAlignment w:val="baseline"/>
                    <w:rPr>
                      <w:color w:val="auto"/>
                      <w:kern w:val="0"/>
                      <w:szCs w:val="21"/>
                      <w:lang w:bidi="ar"/>
                    </w:rPr>
                  </w:pPr>
                  <w:r>
                    <w:rPr>
                      <w:rFonts w:ascii="Calibri" w:hAnsi="Calibri" w:cs="Calibri"/>
                      <w:color w:val="auto"/>
                      <w:szCs w:val="21"/>
                    </w:rPr>
                    <w:t>气点焊机</w:t>
                  </w:r>
                </w:p>
              </w:tc>
              <w:tc>
                <w:tcPr>
                  <w:tcW w:w="723" w:type="pct"/>
                  <w:tcBorders>
                    <w:tl2br w:val="nil"/>
                    <w:tr2bl w:val="nil"/>
                  </w:tcBorders>
                  <w:tcMar>
                    <w:top w:w="15" w:type="dxa"/>
                    <w:left w:w="15" w:type="dxa"/>
                    <w:right w:w="15" w:type="dxa"/>
                  </w:tcMar>
                  <w:vAlign w:val="center"/>
                </w:tcPr>
                <w:p>
                  <w:pPr>
                    <w:jc w:val="center"/>
                    <w:textAlignment w:val="baseline"/>
                    <w:rPr>
                      <w:color w:val="auto"/>
                      <w:szCs w:val="21"/>
                    </w:rPr>
                  </w:pPr>
                  <w:r>
                    <w:rPr>
                      <w:rFonts w:ascii="Calibri" w:hAnsi="Calibri" w:cs="Calibri"/>
                      <w:color w:val="auto"/>
                      <w:szCs w:val="21"/>
                    </w:rPr>
                    <w:t>DN-50KVA</w:t>
                  </w:r>
                </w:p>
              </w:tc>
              <w:tc>
                <w:tcPr>
                  <w:tcW w:w="444" w:type="pct"/>
                  <w:tcBorders>
                    <w:tl2br w:val="nil"/>
                    <w:tr2bl w:val="nil"/>
                  </w:tcBorders>
                  <w:tcMar>
                    <w:top w:w="15" w:type="dxa"/>
                    <w:left w:w="15" w:type="dxa"/>
                    <w:right w:w="15" w:type="dxa"/>
                  </w:tcMar>
                  <w:vAlign w:val="center"/>
                </w:tcPr>
                <w:p>
                  <w:pPr>
                    <w:jc w:val="center"/>
                    <w:rPr>
                      <w:color w:val="auto"/>
                      <w:kern w:val="0"/>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hint="eastAsia" w:ascii="Calibri" w:hAnsi="Calibri" w:eastAsia="宋体" w:cs="Calibri"/>
                      <w:bCs/>
                      <w:color w:val="auto"/>
                      <w:szCs w:val="21"/>
                      <w:lang w:val="en-US" w:eastAsia="zh-CN"/>
                    </w:rPr>
                  </w:pPr>
                  <w:r>
                    <w:rPr>
                      <w:rFonts w:hint="eastAsia" w:ascii="Calibri" w:hAnsi="Calibri" w:cs="Calibri"/>
                      <w:bCs/>
                      <w:color w:val="auto"/>
                      <w:szCs w:val="21"/>
                      <w:lang w:val="en-US" w:eastAsia="zh-CN"/>
                    </w:rPr>
                    <w:t>4</w:t>
                  </w:r>
                  <w:r>
                    <w:rPr>
                      <w:rFonts w:ascii="Calibri" w:hAnsi="Calibri" w:cs="Calibri"/>
                      <w:bCs/>
                      <w:color w:val="auto"/>
                      <w:szCs w:val="21"/>
                    </w:rPr>
                    <w:t>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+4</w:t>
                  </w:r>
                  <w:r>
                    <w:rPr>
                      <w:rFonts w:ascii="Calibri" w:hAnsi="Calibri" w:cs="Calibri"/>
                      <w:bCs/>
                      <w:color w:val="auto"/>
                      <w:szCs w:val="21"/>
                    </w:rPr>
                    <w:t>台</w:t>
                  </w:r>
                </w:p>
              </w:tc>
              <w:tc>
                <w:tcPr>
                  <w:tcW w:w="1126" w:type="dxa"/>
                  <w:tcBorders>
                    <w:tl2br w:val="nil"/>
                    <w:tr2bl w:val="nil"/>
                  </w:tcBorders>
                  <w:tcMar>
                    <w:top w:w="15" w:type="dxa"/>
                    <w:left w:w="15" w:type="dxa"/>
                    <w:right w:w="15" w:type="dxa"/>
                  </w:tcMar>
                  <w:vAlign w:val="center"/>
                </w:tcPr>
                <w:p>
                  <w:pPr>
                    <w:jc w:val="center"/>
                    <w:rPr>
                      <w:color w:val="auto"/>
                      <w:szCs w:val="21"/>
                    </w:rPr>
                  </w:pPr>
                  <w:r>
                    <w:rPr>
                      <w:rFonts w:hint="eastAsia"/>
                      <w:color w:val="auto"/>
                      <w:szCs w:val="21"/>
                    </w:rPr>
                    <w:t>冲压件生产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jc w:val="center"/>
                    <w:rPr>
                      <w:color w:val="auto"/>
                      <w:kern w:val="0"/>
                      <w:szCs w:val="21"/>
                    </w:rPr>
                  </w:pPr>
                  <w:r>
                    <w:rPr>
                      <w:rFonts w:hint="eastAsia"/>
                      <w:color w:val="auto"/>
                      <w:kern w:val="0"/>
                      <w:szCs w:val="21"/>
                    </w:rPr>
                    <w:t>29</w:t>
                  </w: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Cs w:val="21"/>
                    </w:rPr>
                  </w:pP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单梁地控起重机</w:t>
                  </w:r>
                </w:p>
              </w:tc>
              <w:tc>
                <w:tcPr>
                  <w:tcW w:w="723" w:type="pct"/>
                  <w:tcBorders>
                    <w:tl2br w:val="nil"/>
                    <w:tr2bl w:val="nil"/>
                  </w:tcBorders>
                  <w:tcMar>
                    <w:top w:w="15" w:type="dxa"/>
                    <w:left w:w="15" w:type="dxa"/>
                    <w:right w:w="15" w:type="dxa"/>
                  </w:tcMar>
                  <w:vAlign w:val="center"/>
                </w:tcPr>
                <w:p>
                  <w:pPr>
                    <w:jc w:val="center"/>
                    <w:textAlignment w:val="baseline"/>
                    <w:rPr>
                      <w:rStyle w:val="70"/>
                      <w:color w:val="auto"/>
                      <w:sz w:val="21"/>
                      <w:szCs w:val="21"/>
                      <w:lang w:bidi="ar"/>
                    </w:rPr>
                  </w:pPr>
                  <w:r>
                    <w:rPr>
                      <w:rFonts w:ascii="Calibri" w:hAnsi="Calibri" w:cs="Calibri"/>
                      <w:color w:val="auto"/>
                      <w:szCs w:val="21"/>
                    </w:rPr>
                    <w:t>LD-5</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1126" w:type="dxa"/>
                  <w:tcBorders>
                    <w:tl2br w:val="nil"/>
                    <w:tr2bl w:val="nil"/>
                  </w:tcBorders>
                  <w:tcMar>
                    <w:top w:w="15" w:type="dxa"/>
                    <w:left w:w="15" w:type="dxa"/>
                    <w:right w:w="15" w:type="dxa"/>
                  </w:tcMar>
                  <w:vAlign w:val="center"/>
                </w:tcPr>
                <w:p>
                  <w:pPr>
                    <w:jc w:val="center"/>
                    <w:rPr>
                      <w:color w:val="auto"/>
                      <w:szCs w:val="21"/>
                    </w:rPr>
                  </w:pPr>
                  <w:r>
                    <w:rPr>
                      <w:rFonts w:hint="eastAsia"/>
                      <w:color w:val="auto"/>
                      <w:szCs w:val="21"/>
                    </w:rPr>
                    <w:t>冲压件生产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jc w:val="center"/>
                    <w:rPr>
                      <w:color w:val="auto"/>
                      <w:kern w:val="0"/>
                      <w:szCs w:val="21"/>
                    </w:rPr>
                  </w:pPr>
                  <w:r>
                    <w:rPr>
                      <w:rFonts w:hint="eastAsia"/>
                      <w:color w:val="auto"/>
                      <w:kern w:val="0"/>
                      <w:szCs w:val="21"/>
                    </w:rPr>
                    <w:t>30</w:t>
                  </w: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Cs w:val="21"/>
                    </w:rPr>
                  </w:pP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气液增力缸式冲压设备</w:t>
                  </w:r>
                </w:p>
              </w:tc>
              <w:tc>
                <w:tcPr>
                  <w:tcW w:w="723" w:type="pct"/>
                  <w:tcBorders>
                    <w:tl2br w:val="nil"/>
                    <w:tr2bl w:val="nil"/>
                  </w:tcBorders>
                  <w:tcMar>
                    <w:top w:w="15" w:type="dxa"/>
                    <w:left w:w="15" w:type="dxa"/>
                    <w:right w:w="15" w:type="dxa"/>
                  </w:tcMar>
                  <w:vAlign w:val="center"/>
                </w:tcPr>
                <w:p>
                  <w:pPr>
                    <w:jc w:val="center"/>
                    <w:textAlignment w:val="baseline"/>
                    <w:rPr>
                      <w:rStyle w:val="70"/>
                      <w:color w:val="auto"/>
                      <w:sz w:val="21"/>
                      <w:szCs w:val="21"/>
                      <w:lang w:bidi="ar"/>
                    </w:rPr>
                  </w:pPr>
                  <w:r>
                    <w:rPr>
                      <w:rFonts w:ascii="Calibri" w:hAnsi="Calibri" w:cs="Calibri"/>
                      <w:color w:val="auto"/>
                      <w:szCs w:val="21"/>
                    </w:rPr>
                    <w:t>CEC08-1</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1126" w:type="dxa"/>
                  <w:tcBorders>
                    <w:tl2br w:val="nil"/>
                    <w:tr2bl w:val="nil"/>
                  </w:tcBorders>
                  <w:tcMar>
                    <w:top w:w="15" w:type="dxa"/>
                    <w:left w:w="15" w:type="dxa"/>
                    <w:right w:w="15" w:type="dxa"/>
                  </w:tcMar>
                  <w:vAlign w:val="center"/>
                </w:tcPr>
                <w:p>
                  <w:pPr>
                    <w:jc w:val="center"/>
                    <w:rPr>
                      <w:color w:val="auto"/>
                      <w:szCs w:val="21"/>
                    </w:rPr>
                  </w:pPr>
                  <w:r>
                    <w:rPr>
                      <w:rFonts w:hint="eastAsia"/>
                      <w:color w:val="auto"/>
                      <w:szCs w:val="21"/>
                    </w:rPr>
                    <w:t>冲压件生产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jc w:val="center"/>
                    <w:rPr>
                      <w:color w:val="auto"/>
                      <w:kern w:val="0"/>
                      <w:szCs w:val="21"/>
                    </w:rPr>
                  </w:pPr>
                  <w:r>
                    <w:rPr>
                      <w:rFonts w:hint="eastAsia"/>
                      <w:color w:val="auto"/>
                      <w:kern w:val="0"/>
                      <w:szCs w:val="21"/>
                    </w:rPr>
                    <w:t>31</w:t>
                  </w: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Cs w:val="21"/>
                    </w:rPr>
                  </w:pP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缠绕包装机</w:t>
                  </w:r>
                </w:p>
              </w:tc>
              <w:tc>
                <w:tcPr>
                  <w:tcW w:w="723" w:type="pct"/>
                  <w:tcBorders>
                    <w:tl2br w:val="nil"/>
                    <w:tr2bl w:val="nil"/>
                  </w:tcBorders>
                  <w:tcMar>
                    <w:top w:w="15" w:type="dxa"/>
                    <w:left w:w="15" w:type="dxa"/>
                    <w:right w:w="15" w:type="dxa"/>
                  </w:tcMar>
                  <w:vAlign w:val="center"/>
                </w:tcPr>
                <w:p>
                  <w:pPr>
                    <w:jc w:val="center"/>
                    <w:textAlignment w:val="baseline"/>
                    <w:rPr>
                      <w:rStyle w:val="70"/>
                      <w:color w:val="auto"/>
                      <w:sz w:val="21"/>
                      <w:szCs w:val="21"/>
                      <w:lang w:bidi="ar"/>
                    </w:rPr>
                  </w:pPr>
                  <w:r>
                    <w:rPr>
                      <w:rFonts w:ascii="Calibri" w:hAnsi="Calibri" w:cs="Calibri"/>
                      <w:color w:val="auto"/>
                      <w:szCs w:val="21"/>
                    </w:rPr>
                    <w:t>T1650F-H</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1126" w:type="dxa"/>
                  <w:tcBorders>
                    <w:tl2br w:val="nil"/>
                    <w:tr2bl w:val="nil"/>
                  </w:tcBorders>
                  <w:tcMar>
                    <w:top w:w="15" w:type="dxa"/>
                    <w:left w:w="15" w:type="dxa"/>
                    <w:right w:w="15" w:type="dxa"/>
                  </w:tcMar>
                  <w:vAlign w:val="center"/>
                </w:tcPr>
                <w:p>
                  <w:pPr>
                    <w:jc w:val="center"/>
                    <w:rPr>
                      <w:color w:val="auto"/>
                      <w:szCs w:val="21"/>
                    </w:rPr>
                  </w:pPr>
                  <w:r>
                    <w:rPr>
                      <w:rFonts w:hint="eastAsia"/>
                      <w:color w:val="auto"/>
                      <w:szCs w:val="21"/>
                    </w:rPr>
                    <w:t>冲压件生产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jc w:val="center"/>
                    <w:rPr>
                      <w:color w:val="auto"/>
                      <w:kern w:val="0"/>
                      <w:szCs w:val="21"/>
                    </w:rPr>
                  </w:pPr>
                  <w:r>
                    <w:rPr>
                      <w:rFonts w:hint="eastAsia"/>
                      <w:color w:val="auto"/>
                      <w:kern w:val="0"/>
                      <w:szCs w:val="21"/>
                    </w:rPr>
                    <w:t>32</w:t>
                  </w: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Cs w:val="21"/>
                    </w:rPr>
                  </w:pP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冷冻式干燥机</w:t>
                  </w:r>
                </w:p>
              </w:tc>
              <w:tc>
                <w:tcPr>
                  <w:tcW w:w="723" w:type="pct"/>
                  <w:tcBorders>
                    <w:tl2br w:val="nil"/>
                    <w:tr2bl w:val="nil"/>
                  </w:tcBorders>
                  <w:tcMar>
                    <w:top w:w="15" w:type="dxa"/>
                    <w:left w:w="15" w:type="dxa"/>
                    <w:right w:w="15" w:type="dxa"/>
                  </w:tcMar>
                  <w:vAlign w:val="center"/>
                </w:tcPr>
                <w:p>
                  <w:pPr>
                    <w:jc w:val="center"/>
                    <w:textAlignment w:val="baseline"/>
                    <w:rPr>
                      <w:rStyle w:val="70"/>
                      <w:color w:val="auto"/>
                      <w:sz w:val="21"/>
                      <w:szCs w:val="21"/>
                      <w:lang w:bidi="ar"/>
                    </w:rPr>
                  </w:pPr>
                  <w:r>
                    <w:rPr>
                      <w:rFonts w:ascii="Calibri" w:hAnsi="Calibri" w:cs="Calibri"/>
                      <w:color w:val="auto"/>
                      <w:szCs w:val="21"/>
                    </w:rPr>
                    <w:t>XY-10HTF</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1126" w:type="dxa"/>
                  <w:tcBorders>
                    <w:tl2br w:val="nil"/>
                    <w:tr2bl w:val="nil"/>
                  </w:tcBorders>
                  <w:tcMar>
                    <w:top w:w="15" w:type="dxa"/>
                    <w:left w:w="15" w:type="dxa"/>
                    <w:right w:w="15" w:type="dxa"/>
                  </w:tcMar>
                  <w:vAlign w:val="center"/>
                </w:tcPr>
                <w:p>
                  <w:pPr>
                    <w:jc w:val="center"/>
                    <w:rPr>
                      <w:color w:val="auto"/>
                      <w:szCs w:val="21"/>
                    </w:rPr>
                  </w:pPr>
                  <w:r>
                    <w:rPr>
                      <w:rFonts w:hint="eastAsia"/>
                      <w:color w:val="auto"/>
                      <w:szCs w:val="21"/>
                    </w:rPr>
                    <w:t>冲压件生产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jc w:val="center"/>
                    <w:rPr>
                      <w:color w:val="auto"/>
                      <w:kern w:val="0"/>
                      <w:szCs w:val="21"/>
                    </w:rPr>
                  </w:pPr>
                  <w:r>
                    <w:rPr>
                      <w:rFonts w:hint="eastAsia"/>
                      <w:color w:val="auto"/>
                      <w:kern w:val="0"/>
                      <w:szCs w:val="21"/>
                    </w:rPr>
                    <w:t>33</w:t>
                  </w: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Cs w:val="21"/>
                    </w:rPr>
                  </w:pP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油冷机</w:t>
                  </w:r>
                </w:p>
              </w:tc>
              <w:tc>
                <w:tcPr>
                  <w:tcW w:w="723" w:type="pct"/>
                  <w:tcBorders>
                    <w:tl2br w:val="nil"/>
                    <w:tr2bl w:val="nil"/>
                  </w:tcBorders>
                  <w:tcMar>
                    <w:top w:w="15" w:type="dxa"/>
                    <w:left w:w="15" w:type="dxa"/>
                    <w:right w:w="15" w:type="dxa"/>
                  </w:tcMar>
                  <w:vAlign w:val="center"/>
                </w:tcPr>
                <w:p>
                  <w:pPr>
                    <w:jc w:val="center"/>
                    <w:textAlignment w:val="baseline"/>
                    <w:rPr>
                      <w:rStyle w:val="70"/>
                      <w:color w:val="auto"/>
                      <w:sz w:val="21"/>
                      <w:szCs w:val="21"/>
                      <w:lang w:bidi="ar"/>
                    </w:rPr>
                  </w:pPr>
                  <w:r>
                    <w:rPr>
                      <w:rFonts w:ascii="Calibri" w:hAnsi="Calibri" w:cs="Calibri"/>
                      <w:color w:val="auto"/>
                      <w:szCs w:val="21"/>
                    </w:rPr>
                    <w:t>YCD120PA-1</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2台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2台</w:t>
                  </w:r>
                </w:p>
              </w:tc>
              <w:tc>
                <w:tcPr>
                  <w:tcW w:w="1126" w:type="dxa"/>
                  <w:tcBorders>
                    <w:tl2br w:val="nil"/>
                    <w:tr2bl w:val="nil"/>
                  </w:tcBorders>
                  <w:tcMar>
                    <w:top w:w="15" w:type="dxa"/>
                    <w:left w:w="15" w:type="dxa"/>
                    <w:right w:w="15" w:type="dxa"/>
                  </w:tcMar>
                  <w:vAlign w:val="center"/>
                </w:tcPr>
                <w:p>
                  <w:pPr>
                    <w:jc w:val="center"/>
                    <w:rPr>
                      <w:color w:val="auto"/>
                      <w:szCs w:val="21"/>
                    </w:rPr>
                  </w:pPr>
                  <w:r>
                    <w:rPr>
                      <w:rFonts w:hint="eastAsia"/>
                      <w:color w:val="auto"/>
                      <w:szCs w:val="21"/>
                    </w:rPr>
                    <w:t>冲压件生产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jc w:val="center"/>
                    <w:rPr>
                      <w:color w:val="auto"/>
                      <w:szCs w:val="21"/>
                    </w:rPr>
                  </w:pPr>
                  <w:r>
                    <w:rPr>
                      <w:rFonts w:hint="eastAsia"/>
                      <w:color w:val="auto"/>
                      <w:szCs w:val="21"/>
                    </w:rPr>
                    <w:t>34</w:t>
                  </w: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Cs w:val="21"/>
                    </w:rPr>
                  </w:pP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Cs w:val="21"/>
                    </w:rPr>
                  </w:pPr>
                </w:p>
              </w:tc>
              <w:tc>
                <w:tcPr>
                  <w:tcW w:w="1032" w:type="pct"/>
                  <w:tcBorders>
                    <w:tl2br w:val="nil"/>
                    <w:tr2bl w:val="nil"/>
                  </w:tcBorders>
                  <w:tcMar>
                    <w:top w:w="15" w:type="dxa"/>
                    <w:left w:w="15" w:type="dxa"/>
                    <w:right w:w="15" w:type="dxa"/>
                  </w:tcMar>
                  <w:vAlign w:val="center"/>
                </w:tcPr>
                <w:p>
                  <w:pPr>
                    <w:jc w:val="center"/>
                    <w:textAlignment w:val="baseline"/>
                    <w:rPr>
                      <w:rStyle w:val="72"/>
                      <w:color w:val="auto"/>
                      <w:sz w:val="21"/>
                      <w:szCs w:val="21"/>
                      <w:lang w:bidi="ar"/>
                    </w:rPr>
                  </w:pPr>
                  <w:r>
                    <w:rPr>
                      <w:rFonts w:ascii="Calibri" w:hAnsi="Calibri" w:cs="Calibri"/>
                      <w:color w:val="auto"/>
                      <w:szCs w:val="21"/>
                    </w:rPr>
                    <w:t>机器人料架</w:t>
                  </w:r>
                </w:p>
              </w:tc>
              <w:tc>
                <w:tcPr>
                  <w:tcW w:w="723" w:type="pct"/>
                  <w:tcBorders>
                    <w:tl2br w:val="nil"/>
                    <w:tr2bl w:val="nil"/>
                  </w:tcBorders>
                  <w:tcMar>
                    <w:top w:w="15" w:type="dxa"/>
                    <w:left w:w="15" w:type="dxa"/>
                    <w:right w:w="15" w:type="dxa"/>
                  </w:tcMar>
                  <w:vAlign w:val="center"/>
                </w:tcPr>
                <w:p>
                  <w:pPr>
                    <w:jc w:val="center"/>
                    <w:textAlignment w:val="baseline"/>
                    <w:rPr>
                      <w:rStyle w:val="70"/>
                      <w:color w:val="auto"/>
                      <w:sz w:val="21"/>
                      <w:szCs w:val="21"/>
                      <w:lang w:bidi="ar"/>
                    </w:rPr>
                  </w:pPr>
                  <w:r>
                    <w:rPr>
                      <w:rFonts w:ascii="Calibri" w:hAnsi="Calibri" w:cs="Calibri"/>
                      <w:color w:val="auto"/>
                      <w:szCs w:val="21"/>
                    </w:rPr>
                    <w:t>SXR060-2-S1</w:t>
                  </w:r>
                </w:p>
              </w:tc>
              <w:tc>
                <w:tcPr>
                  <w:tcW w:w="444" w:type="pct"/>
                  <w:tcBorders>
                    <w:tl2br w:val="nil"/>
                    <w:tr2bl w:val="nil"/>
                  </w:tcBorders>
                  <w:tcMar>
                    <w:top w:w="15" w:type="dxa"/>
                    <w:left w:w="15" w:type="dxa"/>
                    <w:right w:w="15" w:type="dxa"/>
                  </w:tcMar>
                  <w:vAlign w:val="center"/>
                </w:tcPr>
                <w:p>
                  <w:pPr>
                    <w:jc w:val="center"/>
                    <w:rPr>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1126" w:type="dxa"/>
                  <w:tcBorders>
                    <w:tl2br w:val="nil"/>
                    <w:tr2bl w:val="nil"/>
                  </w:tcBorders>
                  <w:tcMar>
                    <w:top w:w="15" w:type="dxa"/>
                    <w:left w:w="15" w:type="dxa"/>
                    <w:right w:w="15" w:type="dxa"/>
                  </w:tcMar>
                  <w:vAlign w:val="center"/>
                </w:tcPr>
                <w:p>
                  <w:pPr>
                    <w:jc w:val="center"/>
                    <w:rPr>
                      <w:color w:val="auto"/>
                      <w:szCs w:val="21"/>
                    </w:rPr>
                  </w:pPr>
                  <w:r>
                    <w:rPr>
                      <w:rFonts w:hint="eastAsia"/>
                      <w:color w:val="auto"/>
                      <w:szCs w:val="21"/>
                    </w:rPr>
                    <w:t>冲压件生产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jc w:val="center"/>
                    <w:rPr>
                      <w:color w:val="auto"/>
                      <w:kern w:val="0"/>
                      <w:szCs w:val="21"/>
                    </w:rPr>
                  </w:pPr>
                  <w:r>
                    <w:rPr>
                      <w:rFonts w:hint="eastAsia"/>
                      <w:color w:val="auto"/>
                      <w:kern w:val="0"/>
                      <w:szCs w:val="21"/>
                    </w:rPr>
                    <w:t>35</w:t>
                  </w:r>
                </w:p>
              </w:tc>
              <w:tc>
                <w:tcPr>
                  <w:tcW w:w="468" w:type="pct"/>
                  <w:vMerge w:val="continue"/>
                  <w:tcBorders>
                    <w:tl2br w:val="nil"/>
                    <w:tr2bl w:val="nil"/>
                  </w:tcBorders>
                  <w:tcMar>
                    <w:top w:w="15" w:type="dxa"/>
                    <w:left w:w="15" w:type="dxa"/>
                    <w:right w:w="15" w:type="dxa"/>
                  </w:tcMar>
                  <w:vAlign w:val="center"/>
                </w:tcPr>
                <w:p>
                  <w:pPr>
                    <w:widowControl/>
                    <w:jc w:val="center"/>
                    <w:rPr>
                      <w:color w:val="auto"/>
                      <w:szCs w:val="21"/>
                    </w:rPr>
                  </w:pP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Cs w:val="21"/>
                    </w:rPr>
                  </w:pPr>
                </w:p>
              </w:tc>
              <w:tc>
                <w:tcPr>
                  <w:tcW w:w="1032" w:type="pct"/>
                  <w:tcBorders>
                    <w:tl2br w:val="nil"/>
                    <w:tr2bl w:val="nil"/>
                  </w:tcBorders>
                  <w:tcMar>
                    <w:top w:w="15" w:type="dxa"/>
                    <w:left w:w="15" w:type="dxa"/>
                    <w:right w:w="15" w:type="dxa"/>
                  </w:tcMar>
                  <w:vAlign w:val="center"/>
                </w:tcPr>
                <w:p>
                  <w:pPr>
                    <w:jc w:val="center"/>
                    <w:textAlignment w:val="baseline"/>
                    <w:rPr>
                      <w:color w:val="auto"/>
                      <w:szCs w:val="21"/>
                      <w:lang w:bidi="ar"/>
                    </w:rPr>
                  </w:pPr>
                  <w:r>
                    <w:rPr>
                      <w:rFonts w:ascii="Calibri" w:hAnsi="Calibri" w:cs="Calibri"/>
                      <w:color w:val="auto"/>
                      <w:szCs w:val="21"/>
                    </w:rPr>
                    <w:t>机器人</w:t>
                  </w:r>
                </w:p>
              </w:tc>
              <w:tc>
                <w:tcPr>
                  <w:tcW w:w="723" w:type="pct"/>
                  <w:tcBorders>
                    <w:tl2br w:val="nil"/>
                    <w:tr2bl w:val="nil"/>
                  </w:tcBorders>
                  <w:tcMar>
                    <w:top w:w="15" w:type="dxa"/>
                    <w:left w:w="15" w:type="dxa"/>
                    <w:right w:w="15" w:type="dxa"/>
                  </w:tcMar>
                  <w:vAlign w:val="center"/>
                </w:tcPr>
                <w:p>
                  <w:pPr>
                    <w:jc w:val="center"/>
                    <w:textAlignment w:val="baseline"/>
                    <w:rPr>
                      <w:b/>
                      <w:bCs/>
                      <w:color w:val="auto"/>
                      <w:szCs w:val="21"/>
                      <w:lang w:bidi="ar"/>
                    </w:rPr>
                  </w:pPr>
                  <w:r>
                    <w:rPr>
                      <w:rFonts w:ascii="Calibri" w:hAnsi="Calibri" w:cs="Calibri"/>
                      <w:color w:val="auto"/>
                      <w:szCs w:val="21"/>
                    </w:rPr>
                    <w:t>B828111</w:t>
                  </w:r>
                </w:p>
              </w:tc>
              <w:tc>
                <w:tcPr>
                  <w:tcW w:w="444" w:type="pct"/>
                  <w:tcBorders>
                    <w:tl2br w:val="nil"/>
                    <w:tr2bl w:val="nil"/>
                  </w:tcBorders>
                  <w:tcMar>
                    <w:top w:w="15" w:type="dxa"/>
                    <w:left w:w="15" w:type="dxa"/>
                    <w:right w:w="15" w:type="dxa"/>
                  </w:tcMar>
                  <w:vAlign w:val="center"/>
                </w:tcPr>
                <w:p>
                  <w:pPr>
                    <w:jc w:val="center"/>
                    <w:rPr>
                      <w:color w:val="auto"/>
                      <w:sz w:val="24"/>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4台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4台</w:t>
                  </w:r>
                </w:p>
              </w:tc>
              <w:tc>
                <w:tcPr>
                  <w:tcW w:w="1126" w:type="dxa"/>
                  <w:tcBorders>
                    <w:tl2br w:val="nil"/>
                    <w:tr2bl w:val="nil"/>
                  </w:tcBorders>
                  <w:tcMar>
                    <w:top w:w="15" w:type="dxa"/>
                    <w:left w:w="15" w:type="dxa"/>
                    <w:right w:w="15" w:type="dxa"/>
                  </w:tcMar>
                  <w:vAlign w:val="center"/>
                </w:tcPr>
                <w:p>
                  <w:pPr>
                    <w:jc w:val="center"/>
                    <w:rPr>
                      <w:color w:val="auto"/>
                      <w:szCs w:val="21"/>
                    </w:rPr>
                  </w:pPr>
                  <w:r>
                    <w:rPr>
                      <w:rFonts w:hint="eastAsia"/>
                      <w:color w:val="auto"/>
                      <w:szCs w:val="21"/>
                    </w:rPr>
                    <w:t>冲压件生产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jc w:val="center"/>
                    <w:rPr>
                      <w:color w:val="auto"/>
                      <w:kern w:val="0"/>
                      <w:szCs w:val="21"/>
                    </w:rPr>
                  </w:pPr>
                  <w:r>
                    <w:rPr>
                      <w:rFonts w:hint="eastAsia"/>
                      <w:color w:val="auto"/>
                      <w:kern w:val="0"/>
                      <w:szCs w:val="21"/>
                    </w:rPr>
                    <w:t>36</w:t>
                  </w: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 w:val="18"/>
                      <w:szCs w:val="18"/>
                    </w:rPr>
                  </w:pP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 w:val="18"/>
                      <w:szCs w:val="18"/>
                    </w:rPr>
                  </w:pPr>
                </w:p>
              </w:tc>
              <w:tc>
                <w:tcPr>
                  <w:tcW w:w="1032" w:type="pct"/>
                  <w:tcBorders>
                    <w:tl2br w:val="nil"/>
                    <w:tr2bl w:val="nil"/>
                  </w:tcBorders>
                  <w:tcMar>
                    <w:top w:w="15" w:type="dxa"/>
                    <w:left w:w="15" w:type="dxa"/>
                    <w:right w:w="15" w:type="dxa"/>
                  </w:tcMar>
                  <w:vAlign w:val="center"/>
                </w:tcPr>
                <w:p>
                  <w:pPr>
                    <w:jc w:val="center"/>
                    <w:textAlignment w:val="baseline"/>
                    <w:rPr>
                      <w:color w:val="auto"/>
                      <w:szCs w:val="21"/>
                      <w:lang w:bidi="ar"/>
                    </w:rPr>
                  </w:pPr>
                  <w:r>
                    <w:rPr>
                      <w:rFonts w:ascii="Calibri" w:hAnsi="Calibri" w:cs="Calibri"/>
                      <w:color w:val="auto"/>
                      <w:szCs w:val="21"/>
                    </w:rPr>
                    <w:t>自动送料机</w:t>
                  </w:r>
                </w:p>
              </w:tc>
              <w:tc>
                <w:tcPr>
                  <w:tcW w:w="723" w:type="pct"/>
                  <w:tcBorders>
                    <w:tl2br w:val="nil"/>
                    <w:tr2bl w:val="nil"/>
                  </w:tcBorders>
                  <w:tcMar>
                    <w:top w:w="15" w:type="dxa"/>
                    <w:left w:w="15" w:type="dxa"/>
                    <w:right w:w="15" w:type="dxa"/>
                  </w:tcMar>
                  <w:vAlign w:val="center"/>
                </w:tcPr>
                <w:p>
                  <w:pPr>
                    <w:jc w:val="center"/>
                    <w:textAlignment w:val="baseline"/>
                    <w:rPr>
                      <w:b/>
                      <w:bCs/>
                      <w:color w:val="auto"/>
                      <w:szCs w:val="21"/>
                      <w:lang w:bidi="ar"/>
                    </w:rPr>
                  </w:pPr>
                  <w:r>
                    <w:rPr>
                      <w:rFonts w:hint="eastAsia"/>
                      <w:b/>
                      <w:bCs/>
                      <w:color w:val="auto"/>
                      <w:szCs w:val="21"/>
                      <w:lang w:bidi="ar"/>
                    </w:rPr>
                    <w:t>/</w:t>
                  </w:r>
                </w:p>
              </w:tc>
              <w:tc>
                <w:tcPr>
                  <w:tcW w:w="444" w:type="pct"/>
                  <w:tcBorders>
                    <w:tl2br w:val="nil"/>
                    <w:tr2bl w:val="nil"/>
                  </w:tcBorders>
                  <w:tcMar>
                    <w:top w:w="15" w:type="dxa"/>
                    <w:left w:w="15" w:type="dxa"/>
                    <w:right w:w="15" w:type="dxa"/>
                  </w:tcMar>
                  <w:vAlign w:val="center"/>
                </w:tcPr>
                <w:p>
                  <w:pPr>
                    <w:jc w:val="center"/>
                    <w:rPr>
                      <w:color w:val="auto"/>
                      <w:sz w:val="24"/>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hint="eastAsia" w:ascii="Calibri" w:hAnsi="Calibri" w:eastAsia="宋体" w:cs="Calibri"/>
                      <w:bCs/>
                      <w:color w:val="auto"/>
                      <w:szCs w:val="21"/>
                      <w:lang w:val="en-US" w:eastAsia="zh-CN"/>
                    </w:rPr>
                  </w:pPr>
                  <w:r>
                    <w:rPr>
                      <w:rFonts w:ascii="Calibri" w:hAnsi="Calibri" w:cs="Calibri"/>
                      <w:bCs/>
                      <w:color w:val="auto"/>
                      <w:szCs w:val="21"/>
                    </w:rPr>
                    <w:t>3</w:t>
                  </w:r>
                  <w:r>
                    <w:rPr>
                      <w:rFonts w:hint="eastAsia" w:ascii="Calibri" w:hAnsi="Calibri" w:cs="Calibri"/>
                      <w:bCs/>
                      <w:color w:val="auto"/>
                      <w:szCs w:val="21"/>
                      <w:lang w:val="en-US" w:eastAsia="zh-CN"/>
                    </w:rPr>
                    <w:t>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3</w:t>
                  </w:r>
                  <w:r>
                    <w:rPr>
                      <w:rFonts w:hint="eastAsia" w:ascii="Calibri" w:hAnsi="Calibri" w:cs="Calibri"/>
                      <w:bCs/>
                      <w:color w:val="auto"/>
                      <w:szCs w:val="21"/>
                      <w:lang w:val="en-US" w:eastAsia="zh-CN"/>
                    </w:rPr>
                    <w:t>台</w:t>
                  </w:r>
                </w:p>
              </w:tc>
              <w:tc>
                <w:tcPr>
                  <w:tcW w:w="1126" w:type="dxa"/>
                  <w:tcBorders>
                    <w:tl2br w:val="nil"/>
                    <w:tr2bl w:val="nil"/>
                  </w:tcBorders>
                  <w:tcMar>
                    <w:top w:w="15" w:type="dxa"/>
                    <w:left w:w="15" w:type="dxa"/>
                    <w:right w:w="15" w:type="dxa"/>
                  </w:tcMar>
                  <w:vAlign w:val="center"/>
                </w:tcPr>
                <w:p>
                  <w:pPr>
                    <w:jc w:val="center"/>
                    <w:rPr>
                      <w:color w:val="auto"/>
                      <w:szCs w:val="21"/>
                    </w:rPr>
                  </w:pPr>
                  <w:r>
                    <w:rPr>
                      <w:rFonts w:hint="eastAsia"/>
                      <w:color w:val="auto"/>
                      <w:szCs w:val="21"/>
                    </w:rPr>
                    <w:t>冲压件生产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jc w:val="center"/>
                    <w:rPr>
                      <w:color w:val="auto"/>
                      <w:kern w:val="0"/>
                      <w:szCs w:val="21"/>
                    </w:rPr>
                  </w:pPr>
                  <w:r>
                    <w:rPr>
                      <w:rFonts w:hint="eastAsia"/>
                      <w:color w:val="auto"/>
                      <w:kern w:val="0"/>
                      <w:szCs w:val="21"/>
                    </w:rPr>
                    <w:t>37</w:t>
                  </w:r>
                </w:p>
              </w:tc>
              <w:tc>
                <w:tcPr>
                  <w:tcW w:w="468" w:type="pct"/>
                  <w:vMerge w:val="restart"/>
                  <w:tcBorders>
                    <w:tl2br w:val="nil"/>
                    <w:tr2bl w:val="nil"/>
                  </w:tcBorders>
                  <w:tcMar>
                    <w:top w:w="15" w:type="dxa"/>
                    <w:left w:w="15" w:type="dxa"/>
                    <w:right w:w="15" w:type="dxa"/>
                  </w:tcMar>
                  <w:vAlign w:val="center"/>
                </w:tcPr>
                <w:p>
                  <w:pPr>
                    <w:widowControl/>
                    <w:jc w:val="center"/>
                    <w:rPr>
                      <w:color w:val="auto"/>
                      <w:kern w:val="0"/>
                      <w:sz w:val="21"/>
                      <w:szCs w:val="21"/>
                    </w:rPr>
                  </w:pPr>
                  <w:r>
                    <w:rPr>
                      <w:rFonts w:hint="eastAsia"/>
                      <w:color w:val="auto"/>
                      <w:kern w:val="0"/>
                      <w:sz w:val="21"/>
                      <w:szCs w:val="21"/>
                    </w:rPr>
                    <w:t>公辅设施</w:t>
                  </w:r>
                </w:p>
              </w:tc>
              <w:tc>
                <w:tcPr>
                  <w:tcW w:w="468" w:type="pct"/>
                  <w:vMerge w:val="restart"/>
                  <w:tcBorders>
                    <w:tl2br w:val="nil"/>
                    <w:tr2bl w:val="nil"/>
                  </w:tcBorders>
                  <w:tcMar>
                    <w:top w:w="15" w:type="dxa"/>
                    <w:left w:w="15" w:type="dxa"/>
                    <w:right w:w="15" w:type="dxa"/>
                  </w:tcMar>
                  <w:vAlign w:val="center"/>
                </w:tcPr>
                <w:p>
                  <w:pPr>
                    <w:widowControl/>
                    <w:jc w:val="center"/>
                    <w:rPr>
                      <w:color w:val="auto"/>
                      <w:kern w:val="0"/>
                      <w:sz w:val="21"/>
                      <w:szCs w:val="21"/>
                    </w:rPr>
                  </w:pPr>
                  <w:r>
                    <w:rPr>
                      <w:rFonts w:hint="eastAsia"/>
                      <w:color w:val="auto"/>
                      <w:kern w:val="0"/>
                      <w:sz w:val="21"/>
                      <w:szCs w:val="21"/>
                    </w:rPr>
                    <w:t>公辅设施</w:t>
                  </w:r>
                </w:p>
              </w:tc>
              <w:tc>
                <w:tcPr>
                  <w:tcW w:w="1032" w:type="pct"/>
                  <w:tcBorders>
                    <w:tl2br w:val="nil"/>
                    <w:tr2bl w:val="nil"/>
                  </w:tcBorders>
                  <w:tcMar>
                    <w:top w:w="15" w:type="dxa"/>
                    <w:left w:w="15" w:type="dxa"/>
                    <w:right w:w="15" w:type="dxa"/>
                  </w:tcMar>
                  <w:vAlign w:val="center"/>
                </w:tcPr>
                <w:p>
                  <w:pPr>
                    <w:jc w:val="center"/>
                    <w:textAlignment w:val="baseline"/>
                    <w:rPr>
                      <w:rFonts w:ascii="Calibri" w:hAnsi="Calibri" w:cs="Calibri"/>
                      <w:color w:val="auto"/>
                      <w:szCs w:val="21"/>
                    </w:rPr>
                  </w:pPr>
                  <w:r>
                    <w:rPr>
                      <w:rFonts w:ascii="Calibri" w:hAnsi="Calibri" w:cs="Calibri"/>
                      <w:color w:val="auto"/>
                      <w:szCs w:val="21"/>
                    </w:rPr>
                    <w:t>桥式起重机</w:t>
                  </w:r>
                </w:p>
              </w:tc>
              <w:tc>
                <w:tcPr>
                  <w:tcW w:w="723" w:type="pct"/>
                  <w:tcBorders>
                    <w:tl2br w:val="nil"/>
                    <w:tr2bl w:val="nil"/>
                  </w:tcBorders>
                  <w:tcMar>
                    <w:top w:w="15" w:type="dxa"/>
                    <w:left w:w="15" w:type="dxa"/>
                    <w:right w:w="15" w:type="dxa"/>
                  </w:tcMar>
                  <w:vAlign w:val="center"/>
                </w:tcPr>
                <w:p>
                  <w:pPr>
                    <w:jc w:val="center"/>
                    <w:textAlignment w:val="baseline"/>
                    <w:rPr>
                      <w:b/>
                      <w:bCs/>
                      <w:color w:val="auto"/>
                      <w:szCs w:val="21"/>
                      <w:lang w:bidi="ar"/>
                    </w:rPr>
                  </w:pPr>
                  <w:r>
                    <w:rPr>
                      <w:rFonts w:ascii="Calibri" w:hAnsi="Calibri" w:cs="Calibri"/>
                      <w:color w:val="auto"/>
                      <w:szCs w:val="21"/>
                    </w:rPr>
                    <w:t>WX-QD(4170)</w:t>
                  </w:r>
                </w:p>
              </w:tc>
              <w:tc>
                <w:tcPr>
                  <w:tcW w:w="444"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5台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5台</w:t>
                  </w:r>
                </w:p>
              </w:tc>
              <w:tc>
                <w:tcPr>
                  <w:tcW w:w="667" w:type="pct"/>
                  <w:tcBorders>
                    <w:tl2br w:val="nil"/>
                    <w:tr2bl w:val="nil"/>
                  </w:tcBorders>
                  <w:tcMar>
                    <w:top w:w="15" w:type="dxa"/>
                    <w:left w:w="15" w:type="dxa"/>
                    <w:right w:w="15" w:type="dxa"/>
                  </w:tcMar>
                  <w:vAlign w:val="center"/>
                </w:tcPr>
                <w:p>
                  <w:pPr>
                    <w:jc w:val="center"/>
                    <w:rPr>
                      <w:rFonts w:ascii="Calibri" w:hAnsi="Calibri" w:cs="Calibri"/>
                      <w:color w:val="auto"/>
                      <w:szCs w:val="21"/>
                    </w:rPr>
                  </w:pPr>
                  <w:r>
                    <w:rPr>
                      <w:rFonts w:ascii="Calibri" w:hAnsi="Calibri" w:cs="Calibri"/>
                      <w:color w:val="auto"/>
                      <w:szCs w:val="21"/>
                    </w:rPr>
                    <w:t>公辅设施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jc w:val="center"/>
                    <w:rPr>
                      <w:color w:val="auto"/>
                      <w:kern w:val="0"/>
                      <w:szCs w:val="21"/>
                    </w:rPr>
                  </w:pPr>
                  <w:r>
                    <w:rPr>
                      <w:rFonts w:hint="eastAsia"/>
                      <w:color w:val="auto"/>
                      <w:kern w:val="0"/>
                      <w:szCs w:val="21"/>
                    </w:rPr>
                    <w:t>38</w:t>
                  </w: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 w:val="18"/>
                      <w:szCs w:val="18"/>
                    </w:rPr>
                  </w:pP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 w:val="18"/>
                      <w:szCs w:val="18"/>
                    </w:rPr>
                  </w:pPr>
                </w:p>
              </w:tc>
              <w:tc>
                <w:tcPr>
                  <w:tcW w:w="1032" w:type="pct"/>
                  <w:tcBorders>
                    <w:tl2br w:val="nil"/>
                    <w:tr2bl w:val="nil"/>
                  </w:tcBorders>
                  <w:tcMar>
                    <w:top w:w="15" w:type="dxa"/>
                    <w:left w:w="15" w:type="dxa"/>
                    <w:right w:w="15" w:type="dxa"/>
                  </w:tcMar>
                  <w:vAlign w:val="center"/>
                </w:tcPr>
                <w:p>
                  <w:pPr>
                    <w:jc w:val="center"/>
                    <w:textAlignment w:val="baseline"/>
                    <w:rPr>
                      <w:rFonts w:ascii="Calibri" w:hAnsi="Calibri" w:cs="Calibri"/>
                      <w:color w:val="auto"/>
                      <w:szCs w:val="21"/>
                    </w:rPr>
                  </w:pPr>
                  <w:r>
                    <w:rPr>
                      <w:rFonts w:ascii="Calibri" w:hAnsi="Calibri" w:cs="Calibri"/>
                      <w:color w:val="auto"/>
                      <w:szCs w:val="21"/>
                    </w:rPr>
                    <w:t>叉式装卸车</w:t>
                  </w:r>
                </w:p>
              </w:tc>
              <w:tc>
                <w:tcPr>
                  <w:tcW w:w="723" w:type="pct"/>
                  <w:tcBorders>
                    <w:tl2br w:val="nil"/>
                    <w:tr2bl w:val="nil"/>
                  </w:tcBorders>
                  <w:tcMar>
                    <w:top w:w="15" w:type="dxa"/>
                    <w:left w:w="15" w:type="dxa"/>
                    <w:right w:w="15" w:type="dxa"/>
                  </w:tcMar>
                  <w:vAlign w:val="center"/>
                </w:tcPr>
                <w:p>
                  <w:pPr>
                    <w:jc w:val="center"/>
                    <w:textAlignment w:val="baseline"/>
                    <w:rPr>
                      <w:b/>
                      <w:bCs/>
                      <w:color w:val="auto"/>
                      <w:szCs w:val="21"/>
                      <w:lang w:bidi="ar"/>
                    </w:rPr>
                  </w:pPr>
                  <w:r>
                    <w:rPr>
                      <w:rFonts w:ascii="Calibri" w:hAnsi="Calibri" w:cs="Calibri"/>
                      <w:color w:val="auto"/>
                      <w:szCs w:val="21"/>
                    </w:rPr>
                    <w:t>CPCD30</w:t>
                  </w:r>
                </w:p>
              </w:tc>
              <w:tc>
                <w:tcPr>
                  <w:tcW w:w="444"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2台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2台</w:t>
                  </w:r>
                </w:p>
              </w:tc>
              <w:tc>
                <w:tcPr>
                  <w:tcW w:w="667" w:type="pct"/>
                  <w:tcBorders>
                    <w:tl2br w:val="nil"/>
                    <w:tr2bl w:val="nil"/>
                  </w:tcBorders>
                  <w:tcMar>
                    <w:top w:w="15" w:type="dxa"/>
                    <w:left w:w="15" w:type="dxa"/>
                    <w:right w:w="15" w:type="dxa"/>
                  </w:tcMar>
                  <w:vAlign w:val="center"/>
                </w:tcPr>
                <w:p>
                  <w:pPr>
                    <w:jc w:val="center"/>
                    <w:rPr>
                      <w:rFonts w:ascii="Calibri" w:hAnsi="Calibri" w:cs="Calibri"/>
                      <w:color w:val="auto"/>
                      <w:szCs w:val="21"/>
                    </w:rPr>
                  </w:pPr>
                  <w:r>
                    <w:rPr>
                      <w:rFonts w:ascii="Calibri" w:hAnsi="Calibri" w:cs="Calibri"/>
                      <w:color w:val="auto"/>
                      <w:szCs w:val="21"/>
                    </w:rPr>
                    <w:t>公辅设施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jc w:val="center"/>
                    <w:rPr>
                      <w:color w:val="auto"/>
                      <w:kern w:val="0"/>
                      <w:szCs w:val="21"/>
                    </w:rPr>
                  </w:pPr>
                  <w:r>
                    <w:rPr>
                      <w:rFonts w:hint="eastAsia"/>
                      <w:color w:val="auto"/>
                      <w:kern w:val="0"/>
                      <w:szCs w:val="21"/>
                    </w:rPr>
                    <w:t>39</w:t>
                  </w: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 w:val="18"/>
                      <w:szCs w:val="18"/>
                    </w:rPr>
                  </w:pP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 w:val="18"/>
                      <w:szCs w:val="18"/>
                    </w:rPr>
                  </w:pPr>
                </w:p>
              </w:tc>
              <w:tc>
                <w:tcPr>
                  <w:tcW w:w="1032" w:type="pct"/>
                  <w:tcBorders>
                    <w:tl2br w:val="nil"/>
                    <w:tr2bl w:val="nil"/>
                  </w:tcBorders>
                  <w:tcMar>
                    <w:top w:w="15" w:type="dxa"/>
                    <w:left w:w="15" w:type="dxa"/>
                    <w:right w:w="15" w:type="dxa"/>
                  </w:tcMar>
                  <w:vAlign w:val="center"/>
                </w:tcPr>
                <w:p>
                  <w:pPr>
                    <w:jc w:val="center"/>
                    <w:textAlignment w:val="baseline"/>
                    <w:rPr>
                      <w:rFonts w:ascii="Calibri" w:hAnsi="Calibri" w:cs="Calibri"/>
                      <w:color w:val="auto"/>
                      <w:szCs w:val="21"/>
                    </w:rPr>
                  </w:pPr>
                  <w:r>
                    <w:rPr>
                      <w:rFonts w:ascii="Calibri" w:hAnsi="Calibri" w:cs="Calibri"/>
                      <w:color w:val="auto"/>
                      <w:szCs w:val="21"/>
                    </w:rPr>
                    <w:t>液压装卸车</w:t>
                  </w:r>
                </w:p>
              </w:tc>
              <w:tc>
                <w:tcPr>
                  <w:tcW w:w="723" w:type="pct"/>
                  <w:tcBorders>
                    <w:tl2br w:val="nil"/>
                    <w:tr2bl w:val="nil"/>
                  </w:tcBorders>
                  <w:tcMar>
                    <w:top w:w="15" w:type="dxa"/>
                    <w:left w:w="15" w:type="dxa"/>
                    <w:right w:w="15" w:type="dxa"/>
                  </w:tcMar>
                  <w:vAlign w:val="center"/>
                </w:tcPr>
                <w:p>
                  <w:pPr>
                    <w:jc w:val="center"/>
                    <w:textAlignment w:val="baseline"/>
                    <w:rPr>
                      <w:b/>
                      <w:bCs/>
                      <w:color w:val="auto"/>
                      <w:szCs w:val="21"/>
                      <w:lang w:bidi="ar"/>
                    </w:rPr>
                  </w:pPr>
                  <w:r>
                    <w:rPr>
                      <w:rFonts w:ascii="Calibri" w:hAnsi="Calibri" w:cs="Calibri"/>
                      <w:color w:val="auto"/>
                      <w:szCs w:val="21"/>
                    </w:rPr>
                    <w:t>CTY1500</w:t>
                  </w:r>
                </w:p>
              </w:tc>
              <w:tc>
                <w:tcPr>
                  <w:tcW w:w="444"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667" w:type="pct"/>
                  <w:tcBorders>
                    <w:tl2br w:val="nil"/>
                    <w:tr2bl w:val="nil"/>
                  </w:tcBorders>
                  <w:tcMar>
                    <w:top w:w="15" w:type="dxa"/>
                    <w:left w:w="15" w:type="dxa"/>
                    <w:right w:w="15" w:type="dxa"/>
                  </w:tcMar>
                  <w:vAlign w:val="center"/>
                </w:tcPr>
                <w:p>
                  <w:pPr>
                    <w:jc w:val="center"/>
                    <w:rPr>
                      <w:rFonts w:ascii="Calibri" w:hAnsi="Calibri" w:cs="Calibri"/>
                      <w:color w:val="auto"/>
                      <w:szCs w:val="21"/>
                    </w:rPr>
                  </w:pPr>
                  <w:r>
                    <w:rPr>
                      <w:rFonts w:ascii="Calibri" w:hAnsi="Calibri" w:cs="Calibri"/>
                      <w:color w:val="auto"/>
                      <w:szCs w:val="21"/>
                    </w:rPr>
                    <w:t>公辅设施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jc w:val="center"/>
                    <w:rPr>
                      <w:color w:val="auto"/>
                      <w:kern w:val="0"/>
                      <w:szCs w:val="21"/>
                    </w:rPr>
                  </w:pPr>
                  <w:r>
                    <w:rPr>
                      <w:rFonts w:hint="eastAsia"/>
                      <w:color w:val="auto"/>
                      <w:kern w:val="0"/>
                      <w:szCs w:val="21"/>
                    </w:rPr>
                    <w:t>40</w:t>
                  </w: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 w:val="18"/>
                      <w:szCs w:val="18"/>
                    </w:rPr>
                  </w:pP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 w:val="18"/>
                      <w:szCs w:val="18"/>
                    </w:rPr>
                  </w:pPr>
                </w:p>
              </w:tc>
              <w:tc>
                <w:tcPr>
                  <w:tcW w:w="1032" w:type="pct"/>
                  <w:tcBorders>
                    <w:tl2br w:val="nil"/>
                    <w:tr2bl w:val="nil"/>
                  </w:tcBorders>
                  <w:tcMar>
                    <w:top w:w="15" w:type="dxa"/>
                    <w:left w:w="15" w:type="dxa"/>
                    <w:right w:w="15" w:type="dxa"/>
                  </w:tcMar>
                  <w:vAlign w:val="center"/>
                </w:tcPr>
                <w:p>
                  <w:pPr>
                    <w:jc w:val="center"/>
                    <w:textAlignment w:val="baseline"/>
                    <w:rPr>
                      <w:rFonts w:ascii="Calibri" w:hAnsi="Calibri" w:cs="Calibri"/>
                      <w:color w:val="auto"/>
                      <w:szCs w:val="21"/>
                    </w:rPr>
                  </w:pPr>
                  <w:r>
                    <w:rPr>
                      <w:rFonts w:ascii="Calibri" w:hAnsi="Calibri" w:cs="Calibri"/>
                      <w:color w:val="auto"/>
                      <w:szCs w:val="21"/>
                    </w:rPr>
                    <w:t>手动液压托盘搬运车</w:t>
                  </w:r>
                </w:p>
              </w:tc>
              <w:tc>
                <w:tcPr>
                  <w:tcW w:w="723" w:type="pct"/>
                  <w:tcBorders>
                    <w:tl2br w:val="nil"/>
                    <w:tr2bl w:val="nil"/>
                  </w:tcBorders>
                  <w:tcMar>
                    <w:top w:w="15" w:type="dxa"/>
                    <w:left w:w="15" w:type="dxa"/>
                    <w:right w:w="15" w:type="dxa"/>
                  </w:tcMar>
                  <w:vAlign w:val="center"/>
                </w:tcPr>
                <w:p>
                  <w:pPr>
                    <w:jc w:val="center"/>
                    <w:textAlignment w:val="baseline"/>
                    <w:rPr>
                      <w:b/>
                      <w:bCs/>
                      <w:color w:val="auto"/>
                      <w:szCs w:val="21"/>
                      <w:lang w:bidi="ar"/>
                    </w:rPr>
                  </w:pPr>
                  <w:r>
                    <w:rPr>
                      <w:rFonts w:ascii="Calibri" w:hAnsi="Calibri" w:cs="Calibri"/>
                      <w:color w:val="auto"/>
                      <w:szCs w:val="21"/>
                    </w:rPr>
                    <w:t>CBYG 2T</w:t>
                  </w:r>
                </w:p>
              </w:tc>
              <w:tc>
                <w:tcPr>
                  <w:tcW w:w="444"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4台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4台</w:t>
                  </w:r>
                </w:p>
              </w:tc>
              <w:tc>
                <w:tcPr>
                  <w:tcW w:w="667" w:type="pct"/>
                  <w:tcBorders>
                    <w:tl2br w:val="nil"/>
                    <w:tr2bl w:val="nil"/>
                  </w:tcBorders>
                  <w:tcMar>
                    <w:top w:w="15" w:type="dxa"/>
                    <w:left w:w="15" w:type="dxa"/>
                    <w:right w:w="15" w:type="dxa"/>
                  </w:tcMar>
                  <w:vAlign w:val="center"/>
                </w:tcPr>
                <w:p>
                  <w:pPr>
                    <w:jc w:val="center"/>
                    <w:rPr>
                      <w:rFonts w:ascii="Calibri" w:hAnsi="Calibri" w:cs="Calibri"/>
                      <w:color w:val="auto"/>
                      <w:szCs w:val="21"/>
                    </w:rPr>
                  </w:pPr>
                  <w:r>
                    <w:rPr>
                      <w:rFonts w:ascii="Calibri" w:hAnsi="Calibri" w:cs="Calibri"/>
                      <w:color w:val="auto"/>
                      <w:szCs w:val="21"/>
                    </w:rPr>
                    <w:t>公辅设施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jc w:val="center"/>
                    <w:rPr>
                      <w:color w:val="auto"/>
                      <w:kern w:val="0"/>
                      <w:szCs w:val="21"/>
                    </w:rPr>
                  </w:pPr>
                  <w:r>
                    <w:rPr>
                      <w:rFonts w:hint="eastAsia"/>
                      <w:color w:val="auto"/>
                      <w:kern w:val="0"/>
                      <w:szCs w:val="21"/>
                    </w:rPr>
                    <w:t>41</w:t>
                  </w: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 w:val="18"/>
                      <w:szCs w:val="18"/>
                    </w:rPr>
                  </w:pP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 w:val="18"/>
                      <w:szCs w:val="18"/>
                    </w:rPr>
                  </w:pPr>
                </w:p>
              </w:tc>
              <w:tc>
                <w:tcPr>
                  <w:tcW w:w="1032" w:type="pct"/>
                  <w:tcBorders>
                    <w:tl2br w:val="nil"/>
                    <w:tr2bl w:val="nil"/>
                  </w:tcBorders>
                  <w:tcMar>
                    <w:top w:w="15" w:type="dxa"/>
                    <w:left w:w="15" w:type="dxa"/>
                    <w:right w:w="15" w:type="dxa"/>
                  </w:tcMar>
                  <w:vAlign w:val="center"/>
                </w:tcPr>
                <w:p>
                  <w:pPr>
                    <w:jc w:val="center"/>
                    <w:textAlignment w:val="baseline"/>
                    <w:rPr>
                      <w:rFonts w:ascii="Calibri" w:hAnsi="Calibri" w:cs="Calibri"/>
                      <w:color w:val="auto"/>
                      <w:szCs w:val="21"/>
                    </w:rPr>
                  </w:pPr>
                  <w:r>
                    <w:rPr>
                      <w:rFonts w:ascii="Calibri" w:hAnsi="Calibri" w:cs="Calibri"/>
                      <w:color w:val="auto"/>
                      <w:szCs w:val="21"/>
                    </w:rPr>
                    <w:t>喷油螺杆压缩机</w:t>
                  </w:r>
                </w:p>
              </w:tc>
              <w:tc>
                <w:tcPr>
                  <w:tcW w:w="723" w:type="pct"/>
                  <w:tcBorders>
                    <w:tl2br w:val="nil"/>
                    <w:tr2bl w:val="nil"/>
                  </w:tcBorders>
                  <w:tcMar>
                    <w:top w:w="15" w:type="dxa"/>
                    <w:left w:w="15" w:type="dxa"/>
                    <w:right w:w="15" w:type="dxa"/>
                  </w:tcMar>
                  <w:vAlign w:val="center"/>
                </w:tcPr>
                <w:p>
                  <w:pPr>
                    <w:jc w:val="center"/>
                    <w:textAlignment w:val="baseline"/>
                    <w:rPr>
                      <w:b/>
                      <w:bCs/>
                      <w:color w:val="auto"/>
                      <w:szCs w:val="21"/>
                      <w:lang w:bidi="ar"/>
                    </w:rPr>
                  </w:pPr>
                  <w:r>
                    <w:rPr>
                      <w:rFonts w:ascii="Calibri" w:hAnsi="Calibri" w:cs="Calibri"/>
                      <w:color w:val="auto"/>
                      <w:szCs w:val="21"/>
                    </w:rPr>
                    <w:t>LGD37/021M</w:t>
                  </w:r>
                </w:p>
              </w:tc>
              <w:tc>
                <w:tcPr>
                  <w:tcW w:w="444"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667" w:type="pct"/>
                  <w:tcBorders>
                    <w:tl2br w:val="nil"/>
                    <w:tr2bl w:val="nil"/>
                  </w:tcBorders>
                  <w:tcMar>
                    <w:top w:w="15" w:type="dxa"/>
                    <w:left w:w="15" w:type="dxa"/>
                    <w:right w:w="15" w:type="dxa"/>
                  </w:tcMar>
                  <w:vAlign w:val="center"/>
                </w:tcPr>
                <w:p>
                  <w:pPr>
                    <w:jc w:val="center"/>
                    <w:rPr>
                      <w:rFonts w:ascii="Calibri" w:hAnsi="Calibri" w:cs="Calibri"/>
                      <w:color w:val="auto"/>
                      <w:szCs w:val="21"/>
                    </w:rPr>
                  </w:pPr>
                  <w:r>
                    <w:rPr>
                      <w:rFonts w:ascii="Calibri" w:hAnsi="Calibri" w:cs="Calibri"/>
                      <w:color w:val="auto"/>
                      <w:szCs w:val="21"/>
                    </w:rPr>
                    <w:t>公辅设施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tcMar>
                    <w:top w:w="15" w:type="dxa"/>
                    <w:left w:w="15" w:type="dxa"/>
                    <w:right w:w="15" w:type="dxa"/>
                  </w:tcMar>
                  <w:vAlign w:val="center"/>
                </w:tcPr>
                <w:p>
                  <w:pPr>
                    <w:widowControl/>
                    <w:jc w:val="center"/>
                    <w:rPr>
                      <w:color w:val="auto"/>
                      <w:kern w:val="0"/>
                      <w:szCs w:val="21"/>
                    </w:rPr>
                  </w:pPr>
                  <w:r>
                    <w:rPr>
                      <w:rFonts w:hint="eastAsia"/>
                      <w:color w:val="auto"/>
                      <w:kern w:val="0"/>
                      <w:szCs w:val="21"/>
                    </w:rPr>
                    <w:t>42</w:t>
                  </w: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 w:val="18"/>
                      <w:szCs w:val="18"/>
                    </w:rPr>
                  </w:pPr>
                </w:p>
              </w:tc>
              <w:tc>
                <w:tcPr>
                  <w:tcW w:w="468" w:type="pct"/>
                  <w:vMerge w:val="continue"/>
                  <w:tcBorders>
                    <w:tl2br w:val="nil"/>
                    <w:tr2bl w:val="nil"/>
                  </w:tcBorders>
                  <w:tcMar>
                    <w:top w:w="15" w:type="dxa"/>
                    <w:left w:w="15" w:type="dxa"/>
                    <w:right w:w="15" w:type="dxa"/>
                  </w:tcMar>
                  <w:vAlign w:val="center"/>
                </w:tcPr>
                <w:p>
                  <w:pPr>
                    <w:widowControl/>
                    <w:jc w:val="center"/>
                    <w:rPr>
                      <w:color w:val="auto"/>
                      <w:kern w:val="0"/>
                      <w:sz w:val="18"/>
                      <w:szCs w:val="18"/>
                    </w:rPr>
                  </w:pPr>
                </w:p>
              </w:tc>
              <w:tc>
                <w:tcPr>
                  <w:tcW w:w="1032" w:type="pct"/>
                  <w:tcBorders>
                    <w:tl2br w:val="nil"/>
                    <w:tr2bl w:val="nil"/>
                  </w:tcBorders>
                  <w:tcMar>
                    <w:top w:w="15" w:type="dxa"/>
                    <w:left w:w="15" w:type="dxa"/>
                    <w:right w:w="15" w:type="dxa"/>
                  </w:tcMar>
                  <w:vAlign w:val="center"/>
                </w:tcPr>
                <w:p>
                  <w:pPr>
                    <w:jc w:val="center"/>
                    <w:textAlignment w:val="baseline"/>
                    <w:rPr>
                      <w:rFonts w:ascii="Calibri" w:hAnsi="Calibri" w:cs="Calibri"/>
                      <w:color w:val="auto"/>
                      <w:szCs w:val="21"/>
                    </w:rPr>
                  </w:pPr>
                  <w:r>
                    <w:rPr>
                      <w:rFonts w:ascii="Calibri" w:hAnsi="Calibri" w:cs="Calibri"/>
                      <w:color w:val="auto"/>
                      <w:szCs w:val="21"/>
                    </w:rPr>
                    <w:t>空气压缩机</w:t>
                  </w:r>
                </w:p>
              </w:tc>
              <w:tc>
                <w:tcPr>
                  <w:tcW w:w="723" w:type="pct"/>
                  <w:tcBorders>
                    <w:tl2br w:val="nil"/>
                    <w:tr2bl w:val="nil"/>
                  </w:tcBorders>
                  <w:tcMar>
                    <w:top w:w="15" w:type="dxa"/>
                    <w:left w:w="15" w:type="dxa"/>
                    <w:right w:w="15" w:type="dxa"/>
                  </w:tcMar>
                  <w:vAlign w:val="center"/>
                </w:tcPr>
                <w:p>
                  <w:pPr>
                    <w:jc w:val="center"/>
                    <w:textAlignment w:val="baseline"/>
                    <w:rPr>
                      <w:b/>
                      <w:bCs/>
                      <w:color w:val="auto"/>
                      <w:szCs w:val="21"/>
                      <w:lang w:bidi="ar"/>
                    </w:rPr>
                  </w:pPr>
                  <w:r>
                    <w:rPr>
                      <w:rFonts w:ascii="Calibri" w:hAnsi="Calibri" w:cs="Calibri"/>
                      <w:color w:val="auto"/>
                      <w:szCs w:val="21"/>
                    </w:rPr>
                    <w:t>D-1.05/10</w:t>
                  </w:r>
                </w:p>
              </w:tc>
              <w:tc>
                <w:tcPr>
                  <w:tcW w:w="444"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b w:val="0"/>
                      <w:bCs w:val="0"/>
                      <w:color w:val="auto"/>
                      <w:szCs w:val="21"/>
                      <w:lang w:val="en-US" w:eastAsia="zh-CN"/>
                    </w:rPr>
                    <w:t>0</w:t>
                  </w:r>
                </w:p>
              </w:tc>
              <w:tc>
                <w:tcPr>
                  <w:tcW w:w="471" w:type="pct"/>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ascii="Calibri" w:hAnsi="Calibri" w:cs="Calibri"/>
                      <w:bCs/>
                      <w:color w:val="auto"/>
                      <w:szCs w:val="21"/>
                    </w:rPr>
                    <w:t>1台</w:t>
                  </w:r>
                </w:p>
              </w:tc>
              <w:tc>
                <w:tcPr>
                  <w:tcW w:w="885" w:type="dxa"/>
                  <w:tcBorders>
                    <w:tl2br w:val="nil"/>
                    <w:tr2bl w:val="nil"/>
                  </w:tcBorders>
                  <w:tcMar>
                    <w:top w:w="15" w:type="dxa"/>
                    <w:left w:w="15" w:type="dxa"/>
                    <w:right w:w="15" w:type="dxa"/>
                  </w:tcMar>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1台</w:t>
                  </w:r>
                </w:p>
              </w:tc>
              <w:tc>
                <w:tcPr>
                  <w:tcW w:w="667" w:type="pct"/>
                  <w:tcBorders>
                    <w:tl2br w:val="nil"/>
                    <w:tr2bl w:val="nil"/>
                  </w:tcBorders>
                  <w:tcMar>
                    <w:top w:w="15" w:type="dxa"/>
                    <w:left w:w="15" w:type="dxa"/>
                    <w:right w:w="15" w:type="dxa"/>
                  </w:tcMar>
                  <w:vAlign w:val="center"/>
                </w:tcPr>
                <w:p>
                  <w:pPr>
                    <w:jc w:val="center"/>
                    <w:rPr>
                      <w:rFonts w:ascii="Calibri" w:hAnsi="Calibri" w:cs="Calibri"/>
                      <w:color w:val="auto"/>
                      <w:szCs w:val="21"/>
                    </w:rPr>
                  </w:pPr>
                  <w:r>
                    <w:rPr>
                      <w:rFonts w:hint="eastAsia" w:ascii="Calibri" w:hAnsi="Calibri" w:cs="Calibri"/>
                      <w:color w:val="auto"/>
                      <w:szCs w:val="21"/>
                    </w:rPr>
                    <w:t>公辅设施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198" w:type="pct"/>
                  <w:vMerge w:val="restart"/>
                  <w:tcBorders>
                    <w:tl2br w:val="nil"/>
                    <w:tr2bl w:val="nil"/>
                  </w:tcBorders>
                  <w:vAlign w:val="center"/>
                </w:tcPr>
                <w:p>
                  <w:pPr>
                    <w:widowControl/>
                    <w:jc w:val="center"/>
                    <w:rPr>
                      <w:color w:val="auto"/>
                      <w:kern w:val="0"/>
                      <w:szCs w:val="21"/>
                    </w:rPr>
                  </w:pPr>
                  <w:r>
                    <w:rPr>
                      <w:rFonts w:hint="eastAsia"/>
                      <w:color w:val="auto"/>
                      <w:kern w:val="0"/>
                      <w:szCs w:val="21"/>
                    </w:rPr>
                    <w:t>43</w:t>
                  </w:r>
                </w:p>
              </w:tc>
              <w:tc>
                <w:tcPr>
                  <w:tcW w:w="468" w:type="pct"/>
                  <w:vMerge w:val="restart"/>
                  <w:tcBorders>
                    <w:tl2br w:val="nil"/>
                    <w:tr2bl w:val="nil"/>
                  </w:tcBorders>
                  <w:vAlign w:val="center"/>
                </w:tcPr>
                <w:p>
                  <w:pPr>
                    <w:widowControl/>
                    <w:jc w:val="center"/>
                    <w:rPr>
                      <w:color w:val="auto"/>
                      <w:kern w:val="0"/>
                      <w:sz w:val="21"/>
                      <w:szCs w:val="21"/>
                    </w:rPr>
                  </w:pPr>
                  <w:r>
                    <w:rPr>
                      <w:rFonts w:hint="eastAsia"/>
                      <w:color w:val="auto"/>
                      <w:kern w:val="0"/>
                      <w:sz w:val="21"/>
                      <w:szCs w:val="21"/>
                    </w:rPr>
                    <w:t>喷粉生产工艺（车间三）</w:t>
                  </w:r>
                </w:p>
              </w:tc>
              <w:tc>
                <w:tcPr>
                  <w:tcW w:w="468" w:type="pct"/>
                  <w:vMerge w:val="restart"/>
                  <w:tcBorders>
                    <w:tl2br w:val="nil"/>
                    <w:tr2bl w:val="nil"/>
                  </w:tcBorders>
                  <w:vAlign w:val="center"/>
                </w:tcPr>
                <w:p>
                  <w:pPr>
                    <w:widowControl/>
                    <w:jc w:val="center"/>
                    <w:rPr>
                      <w:color w:val="auto"/>
                      <w:kern w:val="0"/>
                      <w:sz w:val="21"/>
                      <w:szCs w:val="21"/>
                    </w:rPr>
                  </w:pPr>
                  <w:r>
                    <w:rPr>
                      <w:rFonts w:hint="eastAsia"/>
                      <w:color w:val="auto"/>
                      <w:kern w:val="0"/>
                      <w:sz w:val="21"/>
                      <w:szCs w:val="21"/>
                    </w:rPr>
                    <w:t>喷粉生产工艺前处理</w:t>
                  </w:r>
                </w:p>
              </w:tc>
              <w:tc>
                <w:tcPr>
                  <w:tcW w:w="1032"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预脱脂槽</w:t>
                  </w:r>
                </w:p>
              </w:tc>
              <w:tc>
                <w:tcPr>
                  <w:tcW w:w="723" w:type="pct"/>
                  <w:tcBorders>
                    <w:tl2br w:val="nil"/>
                    <w:tr2bl w:val="nil"/>
                  </w:tcBorders>
                  <w:vAlign w:val="center"/>
                </w:tcPr>
                <w:p>
                  <w:pPr>
                    <w:jc w:val="center"/>
                    <w:rPr>
                      <w:rFonts w:ascii="Calibri" w:hAnsi="Calibri" w:cs="Calibri"/>
                      <w:bCs/>
                      <w:color w:val="auto"/>
                      <w:szCs w:val="21"/>
                    </w:rPr>
                  </w:pPr>
                  <w:r>
                    <w:rPr>
                      <w:rFonts w:hint="eastAsia" w:ascii="Calibri" w:hAnsi="Calibri" w:cs="Calibri"/>
                      <w:bCs/>
                      <w:color w:val="auto"/>
                      <w:szCs w:val="21"/>
                    </w:rPr>
                    <w:t>1.6</w:t>
                  </w:r>
                  <w:r>
                    <w:rPr>
                      <w:rFonts w:ascii="Calibri" w:hAnsi="Calibri" w:cs="Calibri"/>
                      <w:bCs/>
                      <w:color w:val="auto"/>
                      <w:szCs w:val="21"/>
                    </w:rPr>
                    <w:t>m×</w:t>
                  </w:r>
                  <w:r>
                    <w:rPr>
                      <w:rFonts w:hint="eastAsia" w:ascii="Calibri" w:hAnsi="Calibri" w:cs="Calibri"/>
                      <w:bCs/>
                      <w:color w:val="auto"/>
                      <w:szCs w:val="21"/>
                    </w:rPr>
                    <w:t>1.6</w:t>
                  </w:r>
                  <w:r>
                    <w:rPr>
                      <w:rFonts w:ascii="Calibri" w:hAnsi="Calibri" w:cs="Calibri"/>
                      <w:bCs/>
                      <w:color w:val="auto"/>
                      <w:szCs w:val="21"/>
                    </w:rPr>
                    <w:t>m×</w:t>
                  </w:r>
                  <w:r>
                    <w:rPr>
                      <w:rFonts w:hint="eastAsia" w:ascii="Calibri" w:hAnsi="Calibri" w:cs="Calibri"/>
                      <w:bCs/>
                      <w:color w:val="auto"/>
                      <w:szCs w:val="21"/>
                    </w:rPr>
                    <w:t>2.2</w:t>
                  </w:r>
                  <w:r>
                    <w:rPr>
                      <w:rFonts w:ascii="Calibri" w:hAnsi="Calibri" w:cs="Calibri"/>
                      <w:bCs/>
                      <w:color w:val="auto"/>
                      <w:szCs w:val="21"/>
                    </w:rPr>
                    <w:t>m</w:t>
                  </w:r>
                </w:p>
              </w:tc>
              <w:tc>
                <w:tcPr>
                  <w:tcW w:w="444" w:type="pct"/>
                  <w:tcBorders>
                    <w:tl2br w:val="nil"/>
                    <w:tr2bl w:val="nil"/>
                  </w:tcBorders>
                  <w:vAlign w:val="center"/>
                </w:tcPr>
                <w:p>
                  <w:pPr>
                    <w:jc w:val="center"/>
                    <w:rPr>
                      <w:rFonts w:ascii="Calibri" w:hAnsi="Calibri" w:cs="Calibri"/>
                      <w:bCs/>
                      <w:color w:val="auto"/>
                      <w:szCs w:val="21"/>
                    </w:rPr>
                  </w:pPr>
                  <w:r>
                    <w:rPr>
                      <w:rFonts w:hint="eastAsia"/>
                      <w:b w:val="0"/>
                      <w:bCs w:val="0"/>
                      <w:color w:val="auto"/>
                      <w:szCs w:val="21"/>
                      <w:lang w:val="en-US" w:eastAsia="zh-CN"/>
                    </w:rPr>
                    <w:t>0</w:t>
                  </w:r>
                </w:p>
              </w:tc>
              <w:tc>
                <w:tcPr>
                  <w:tcW w:w="471" w:type="pct"/>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rPr>
                    <w:t>1个</w:t>
                  </w:r>
                </w:p>
              </w:tc>
              <w:tc>
                <w:tcPr>
                  <w:tcW w:w="885" w:type="dxa"/>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lang w:val="en-US" w:eastAsia="zh-CN"/>
                    </w:rPr>
                    <w:t>+</w:t>
                  </w:r>
                  <w:r>
                    <w:rPr>
                      <w:rFonts w:hint="eastAsia" w:ascii="Calibri" w:hAnsi="Calibri" w:cs="Calibri"/>
                      <w:bCs/>
                      <w:color w:val="auto"/>
                      <w:szCs w:val="21"/>
                    </w:rPr>
                    <w:t>1个</w:t>
                  </w:r>
                </w:p>
              </w:tc>
              <w:tc>
                <w:tcPr>
                  <w:tcW w:w="667"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预脱脂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98" w:type="pct"/>
                  <w:vMerge w:val="continue"/>
                  <w:tcBorders>
                    <w:tl2br w:val="nil"/>
                    <w:tr2bl w:val="nil"/>
                  </w:tcBorders>
                  <w:vAlign w:val="center"/>
                </w:tcPr>
                <w:p>
                  <w:pPr>
                    <w:widowControl/>
                    <w:jc w:val="center"/>
                    <w:rPr>
                      <w:color w:val="auto"/>
                      <w:kern w:val="0"/>
                      <w:szCs w:val="21"/>
                    </w:rPr>
                  </w:pPr>
                </w:p>
              </w:tc>
              <w:tc>
                <w:tcPr>
                  <w:tcW w:w="468" w:type="pct"/>
                  <w:vMerge w:val="continue"/>
                  <w:tcBorders>
                    <w:tl2br w:val="nil"/>
                    <w:tr2bl w:val="nil"/>
                  </w:tcBorders>
                  <w:vAlign w:val="center"/>
                </w:tcPr>
                <w:p>
                  <w:pPr>
                    <w:widowControl/>
                    <w:jc w:val="center"/>
                    <w:rPr>
                      <w:color w:val="auto"/>
                      <w:kern w:val="0"/>
                      <w:sz w:val="18"/>
                      <w:szCs w:val="18"/>
                    </w:rPr>
                  </w:pPr>
                </w:p>
              </w:tc>
              <w:tc>
                <w:tcPr>
                  <w:tcW w:w="468" w:type="pct"/>
                  <w:vMerge w:val="continue"/>
                  <w:tcBorders>
                    <w:tl2br w:val="nil"/>
                    <w:tr2bl w:val="nil"/>
                  </w:tcBorders>
                  <w:vAlign w:val="center"/>
                </w:tcPr>
                <w:p>
                  <w:pPr>
                    <w:widowControl/>
                    <w:jc w:val="center"/>
                    <w:rPr>
                      <w:color w:val="auto"/>
                      <w:kern w:val="0"/>
                      <w:sz w:val="18"/>
                      <w:szCs w:val="18"/>
                    </w:rPr>
                  </w:pPr>
                </w:p>
              </w:tc>
              <w:tc>
                <w:tcPr>
                  <w:tcW w:w="1032"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脱脂槽</w:t>
                  </w:r>
                </w:p>
              </w:tc>
              <w:tc>
                <w:tcPr>
                  <w:tcW w:w="723" w:type="pct"/>
                  <w:tcBorders>
                    <w:tl2br w:val="nil"/>
                    <w:tr2bl w:val="nil"/>
                  </w:tcBorders>
                  <w:vAlign w:val="center"/>
                </w:tcPr>
                <w:p>
                  <w:pPr>
                    <w:jc w:val="center"/>
                    <w:rPr>
                      <w:rFonts w:ascii="Calibri" w:hAnsi="Calibri" w:cs="Calibri"/>
                      <w:bCs/>
                      <w:color w:val="auto"/>
                      <w:szCs w:val="21"/>
                    </w:rPr>
                  </w:pPr>
                  <w:r>
                    <w:rPr>
                      <w:rFonts w:hint="eastAsia" w:ascii="Calibri" w:hAnsi="Calibri" w:cs="Calibri"/>
                      <w:bCs/>
                      <w:color w:val="auto"/>
                      <w:szCs w:val="21"/>
                    </w:rPr>
                    <w:t>2.2</w:t>
                  </w:r>
                  <w:r>
                    <w:rPr>
                      <w:rFonts w:ascii="Calibri" w:hAnsi="Calibri" w:cs="Calibri"/>
                      <w:bCs/>
                      <w:color w:val="auto"/>
                      <w:szCs w:val="21"/>
                    </w:rPr>
                    <w:t>m×</w:t>
                  </w:r>
                  <w:r>
                    <w:rPr>
                      <w:rFonts w:hint="eastAsia" w:ascii="Calibri" w:hAnsi="Calibri" w:cs="Calibri"/>
                      <w:bCs/>
                      <w:color w:val="auto"/>
                      <w:szCs w:val="21"/>
                    </w:rPr>
                    <w:t>2.2</w:t>
                  </w:r>
                  <w:r>
                    <w:rPr>
                      <w:rFonts w:ascii="Calibri" w:hAnsi="Calibri" w:cs="Calibri"/>
                      <w:bCs/>
                      <w:color w:val="auto"/>
                      <w:szCs w:val="21"/>
                    </w:rPr>
                    <w:t>m×</w:t>
                  </w:r>
                  <w:r>
                    <w:rPr>
                      <w:rFonts w:hint="eastAsia" w:ascii="Calibri" w:hAnsi="Calibri" w:cs="Calibri"/>
                      <w:bCs/>
                      <w:color w:val="auto"/>
                      <w:szCs w:val="21"/>
                    </w:rPr>
                    <w:t>2.2</w:t>
                  </w:r>
                  <w:r>
                    <w:rPr>
                      <w:rFonts w:ascii="Calibri" w:hAnsi="Calibri" w:cs="Calibri"/>
                      <w:bCs/>
                      <w:color w:val="auto"/>
                      <w:szCs w:val="21"/>
                    </w:rPr>
                    <w:t>m</w:t>
                  </w:r>
                </w:p>
              </w:tc>
              <w:tc>
                <w:tcPr>
                  <w:tcW w:w="444" w:type="pct"/>
                  <w:tcBorders>
                    <w:tl2br w:val="nil"/>
                    <w:tr2bl w:val="nil"/>
                  </w:tcBorders>
                  <w:vAlign w:val="center"/>
                </w:tcPr>
                <w:p>
                  <w:pPr>
                    <w:jc w:val="center"/>
                    <w:rPr>
                      <w:rFonts w:ascii="Calibri" w:hAnsi="Calibri" w:cs="Calibri"/>
                      <w:bCs/>
                      <w:color w:val="auto"/>
                      <w:szCs w:val="21"/>
                    </w:rPr>
                  </w:pPr>
                  <w:r>
                    <w:rPr>
                      <w:rFonts w:hint="eastAsia"/>
                      <w:b w:val="0"/>
                      <w:bCs w:val="0"/>
                      <w:color w:val="auto"/>
                      <w:szCs w:val="21"/>
                      <w:lang w:val="en-US" w:eastAsia="zh-CN"/>
                    </w:rPr>
                    <w:t>0</w:t>
                  </w:r>
                </w:p>
              </w:tc>
              <w:tc>
                <w:tcPr>
                  <w:tcW w:w="471" w:type="pct"/>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rPr>
                    <w:t>1个</w:t>
                  </w:r>
                </w:p>
              </w:tc>
              <w:tc>
                <w:tcPr>
                  <w:tcW w:w="885" w:type="dxa"/>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lang w:val="en-US" w:eastAsia="zh-CN"/>
                    </w:rPr>
                    <w:t>+</w:t>
                  </w:r>
                  <w:r>
                    <w:rPr>
                      <w:rFonts w:hint="eastAsia" w:ascii="Calibri" w:hAnsi="Calibri" w:cs="Calibri"/>
                      <w:bCs/>
                      <w:color w:val="auto"/>
                      <w:szCs w:val="21"/>
                    </w:rPr>
                    <w:t>1个</w:t>
                  </w:r>
                </w:p>
              </w:tc>
              <w:tc>
                <w:tcPr>
                  <w:tcW w:w="667"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脱脂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198" w:type="pct"/>
                  <w:vMerge w:val="continue"/>
                  <w:tcBorders>
                    <w:tl2br w:val="nil"/>
                    <w:tr2bl w:val="nil"/>
                  </w:tcBorders>
                  <w:vAlign w:val="center"/>
                </w:tcPr>
                <w:p>
                  <w:pPr>
                    <w:widowControl/>
                    <w:jc w:val="center"/>
                    <w:rPr>
                      <w:color w:val="auto"/>
                      <w:kern w:val="0"/>
                      <w:szCs w:val="21"/>
                    </w:rPr>
                  </w:pPr>
                </w:p>
              </w:tc>
              <w:tc>
                <w:tcPr>
                  <w:tcW w:w="468" w:type="pct"/>
                  <w:vMerge w:val="continue"/>
                  <w:tcBorders>
                    <w:tl2br w:val="nil"/>
                    <w:tr2bl w:val="nil"/>
                  </w:tcBorders>
                  <w:vAlign w:val="center"/>
                </w:tcPr>
                <w:p>
                  <w:pPr>
                    <w:widowControl/>
                    <w:jc w:val="center"/>
                    <w:rPr>
                      <w:color w:val="auto"/>
                      <w:kern w:val="0"/>
                      <w:sz w:val="18"/>
                      <w:szCs w:val="18"/>
                    </w:rPr>
                  </w:pPr>
                </w:p>
              </w:tc>
              <w:tc>
                <w:tcPr>
                  <w:tcW w:w="468" w:type="pct"/>
                  <w:vMerge w:val="continue"/>
                  <w:tcBorders>
                    <w:tl2br w:val="nil"/>
                    <w:tr2bl w:val="nil"/>
                  </w:tcBorders>
                  <w:vAlign w:val="center"/>
                </w:tcPr>
                <w:p>
                  <w:pPr>
                    <w:widowControl/>
                    <w:jc w:val="center"/>
                    <w:rPr>
                      <w:color w:val="auto"/>
                      <w:kern w:val="0"/>
                      <w:sz w:val="18"/>
                      <w:szCs w:val="18"/>
                    </w:rPr>
                  </w:pPr>
                </w:p>
              </w:tc>
              <w:tc>
                <w:tcPr>
                  <w:tcW w:w="1032"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脱脂水洗</w:t>
                  </w:r>
                  <w:r>
                    <w:rPr>
                      <w:rFonts w:hint="eastAsia" w:ascii="宋体" w:hAnsi="宋体" w:cs="宋体"/>
                      <w:color w:val="auto"/>
                      <w:szCs w:val="21"/>
                    </w:rPr>
                    <w:t>Ⅰ</w:t>
                  </w:r>
                  <w:r>
                    <w:rPr>
                      <w:rFonts w:hint="eastAsia" w:ascii="Calibri" w:hAnsi="Calibri" w:cs="Calibri"/>
                      <w:color w:val="auto"/>
                      <w:szCs w:val="21"/>
                    </w:rPr>
                    <w:t>槽</w:t>
                  </w:r>
                </w:p>
              </w:tc>
              <w:tc>
                <w:tcPr>
                  <w:tcW w:w="723" w:type="pct"/>
                  <w:tcBorders>
                    <w:tl2br w:val="nil"/>
                    <w:tr2bl w:val="nil"/>
                  </w:tcBorders>
                  <w:vAlign w:val="center"/>
                </w:tcPr>
                <w:p>
                  <w:pPr>
                    <w:jc w:val="center"/>
                    <w:rPr>
                      <w:rFonts w:ascii="Calibri" w:hAnsi="Calibri" w:cs="Calibri"/>
                      <w:bCs/>
                      <w:color w:val="auto"/>
                      <w:szCs w:val="21"/>
                    </w:rPr>
                  </w:pPr>
                  <w:r>
                    <w:rPr>
                      <w:rFonts w:hint="eastAsia" w:ascii="Calibri" w:hAnsi="Calibri" w:cs="Calibri"/>
                      <w:bCs/>
                      <w:color w:val="auto"/>
                      <w:szCs w:val="21"/>
                    </w:rPr>
                    <w:t>0.9</w:t>
                  </w:r>
                  <w:r>
                    <w:rPr>
                      <w:rFonts w:ascii="Calibri" w:hAnsi="Calibri" w:cs="Calibri"/>
                      <w:bCs/>
                      <w:color w:val="auto"/>
                      <w:szCs w:val="21"/>
                    </w:rPr>
                    <w:t>m×</w:t>
                  </w:r>
                  <w:r>
                    <w:rPr>
                      <w:rFonts w:hint="eastAsia" w:ascii="Calibri" w:hAnsi="Calibri" w:cs="Calibri"/>
                      <w:bCs/>
                      <w:color w:val="auto"/>
                      <w:szCs w:val="21"/>
                    </w:rPr>
                    <w:t>0.9</w:t>
                  </w:r>
                  <w:r>
                    <w:rPr>
                      <w:rFonts w:ascii="Calibri" w:hAnsi="Calibri" w:cs="Calibri"/>
                      <w:bCs/>
                      <w:color w:val="auto"/>
                      <w:szCs w:val="21"/>
                    </w:rPr>
                    <w:t>m×</w:t>
                  </w:r>
                  <w:r>
                    <w:rPr>
                      <w:rFonts w:hint="eastAsia" w:ascii="Calibri" w:hAnsi="Calibri" w:cs="Calibri"/>
                      <w:bCs/>
                      <w:color w:val="auto"/>
                      <w:szCs w:val="21"/>
                    </w:rPr>
                    <w:t>2.2</w:t>
                  </w:r>
                  <w:r>
                    <w:rPr>
                      <w:rFonts w:ascii="Calibri" w:hAnsi="Calibri" w:cs="Calibri"/>
                      <w:bCs/>
                      <w:color w:val="auto"/>
                      <w:szCs w:val="21"/>
                    </w:rPr>
                    <w:t>m</w:t>
                  </w:r>
                </w:p>
              </w:tc>
              <w:tc>
                <w:tcPr>
                  <w:tcW w:w="444" w:type="pct"/>
                  <w:tcBorders>
                    <w:tl2br w:val="nil"/>
                    <w:tr2bl w:val="nil"/>
                  </w:tcBorders>
                  <w:vAlign w:val="center"/>
                </w:tcPr>
                <w:p>
                  <w:pPr>
                    <w:jc w:val="center"/>
                    <w:rPr>
                      <w:rFonts w:ascii="Calibri" w:hAnsi="Calibri" w:cs="Calibri"/>
                      <w:bCs/>
                      <w:color w:val="auto"/>
                      <w:szCs w:val="21"/>
                    </w:rPr>
                  </w:pPr>
                  <w:r>
                    <w:rPr>
                      <w:rFonts w:hint="eastAsia"/>
                      <w:b w:val="0"/>
                      <w:bCs w:val="0"/>
                      <w:color w:val="auto"/>
                      <w:szCs w:val="21"/>
                      <w:lang w:val="en-US" w:eastAsia="zh-CN"/>
                    </w:rPr>
                    <w:t>0</w:t>
                  </w:r>
                </w:p>
              </w:tc>
              <w:tc>
                <w:tcPr>
                  <w:tcW w:w="471" w:type="pct"/>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rPr>
                    <w:t>1个</w:t>
                  </w:r>
                </w:p>
              </w:tc>
              <w:tc>
                <w:tcPr>
                  <w:tcW w:w="885" w:type="dxa"/>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lang w:val="en-US" w:eastAsia="zh-CN"/>
                    </w:rPr>
                    <w:t>+</w:t>
                  </w:r>
                  <w:r>
                    <w:rPr>
                      <w:rFonts w:hint="eastAsia" w:ascii="Calibri" w:hAnsi="Calibri" w:cs="Calibri"/>
                      <w:bCs/>
                      <w:color w:val="auto"/>
                      <w:szCs w:val="21"/>
                    </w:rPr>
                    <w:t>1个</w:t>
                  </w:r>
                </w:p>
              </w:tc>
              <w:tc>
                <w:tcPr>
                  <w:tcW w:w="667"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常温水洗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198" w:type="pct"/>
                  <w:vMerge w:val="continue"/>
                  <w:tcBorders>
                    <w:tl2br w:val="nil"/>
                    <w:tr2bl w:val="nil"/>
                  </w:tcBorders>
                  <w:vAlign w:val="center"/>
                </w:tcPr>
                <w:p>
                  <w:pPr>
                    <w:widowControl/>
                    <w:jc w:val="center"/>
                    <w:rPr>
                      <w:color w:val="auto"/>
                      <w:kern w:val="0"/>
                      <w:szCs w:val="21"/>
                    </w:rPr>
                  </w:pPr>
                </w:p>
              </w:tc>
              <w:tc>
                <w:tcPr>
                  <w:tcW w:w="468" w:type="pct"/>
                  <w:vMerge w:val="continue"/>
                  <w:tcBorders>
                    <w:tl2br w:val="nil"/>
                    <w:tr2bl w:val="nil"/>
                  </w:tcBorders>
                  <w:vAlign w:val="center"/>
                </w:tcPr>
                <w:p>
                  <w:pPr>
                    <w:widowControl/>
                    <w:jc w:val="center"/>
                    <w:rPr>
                      <w:color w:val="auto"/>
                      <w:kern w:val="0"/>
                      <w:sz w:val="18"/>
                      <w:szCs w:val="18"/>
                    </w:rPr>
                  </w:pPr>
                </w:p>
              </w:tc>
              <w:tc>
                <w:tcPr>
                  <w:tcW w:w="468" w:type="pct"/>
                  <w:vMerge w:val="continue"/>
                  <w:tcBorders>
                    <w:tl2br w:val="nil"/>
                    <w:tr2bl w:val="nil"/>
                  </w:tcBorders>
                  <w:vAlign w:val="center"/>
                </w:tcPr>
                <w:p>
                  <w:pPr>
                    <w:widowControl/>
                    <w:jc w:val="center"/>
                    <w:rPr>
                      <w:color w:val="auto"/>
                      <w:kern w:val="0"/>
                      <w:sz w:val="18"/>
                      <w:szCs w:val="18"/>
                    </w:rPr>
                  </w:pPr>
                </w:p>
              </w:tc>
              <w:tc>
                <w:tcPr>
                  <w:tcW w:w="1032"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脱脂水洗</w:t>
                  </w:r>
                  <w:r>
                    <w:rPr>
                      <w:color w:val="auto"/>
                      <w:sz w:val="24"/>
                    </w:rPr>
                    <w:t>Ⅱ</w:t>
                  </w:r>
                  <w:r>
                    <w:rPr>
                      <w:rFonts w:hint="eastAsia" w:ascii="Calibri" w:hAnsi="Calibri" w:cs="Calibri"/>
                      <w:color w:val="auto"/>
                      <w:szCs w:val="21"/>
                    </w:rPr>
                    <w:t>槽</w:t>
                  </w:r>
                </w:p>
              </w:tc>
              <w:tc>
                <w:tcPr>
                  <w:tcW w:w="723" w:type="pct"/>
                  <w:tcBorders>
                    <w:tl2br w:val="nil"/>
                    <w:tr2bl w:val="nil"/>
                  </w:tcBorders>
                  <w:vAlign w:val="center"/>
                </w:tcPr>
                <w:p>
                  <w:pPr>
                    <w:jc w:val="center"/>
                    <w:rPr>
                      <w:rFonts w:ascii="Calibri" w:hAnsi="Calibri" w:cs="Calibri"/>
                      <w:bCs/>
                      <w:color w:val="auto"/>
                      <w:szCs w:val="21"/>
                    </w:rPr>
                  </w:pPr>
                  <w:r>
                    <w:rPr>
                      <w:rFonts w:hint="eastAsia" w:ascii="Calibri" w:hAnsi="Calibri" w:cs="Calibri"/>
                      <w:bCs/>
                      <w:color w:val="auto"/>
                      <w:szCs w:val="21"/>
                    </w:rPr>
                    <w:t>0.9</w:t>
                  </w:r>
                  <w:r>
                    <w:rPr>
                      <w:rFonts w:ascii="Calibri" w:hAnsi="Calibri" w:cs="Calibri"/>
                      <w:bCs/>
                      <w:color w:val="auto"/>
                      <w:szCs w:val="21"/>
                    </w:rPr>
                    <w:t>m×</w:t>
                  </w:r>
                  <w:r>
                    <w:rPr>
                      <w:rFonts w:hint="eastAsia" w:ascii="Calibri" w:hAnsi="Calibri" w:cs="Calibri"/>
                      <w:bCs/>
                      <w:color w:val="auto"/>
                      <w:szCs w:val="21"/>
                    </w:rPr>
                    <w:t>0.9</w:t>
                  </w:r>
                  <w:r>
                    <w:rPr>
                      <w:rFonts w:ascii="Calibri" w:hAnsi="Calibri" w:cs="Calibri"/>
                      <w:bCs/>
                      <w:color w:val="auto"/>
                      <w:szCs w:val="21"/>
                    </w:rPr>
                    <w:t>m×</w:t>
                  </w:r>
                  <w:r>
                    <w:rPr>
                      <w:rFonts w:hint="eastAsia" w:ascii="Calibri" w:hAnsi="Calibri" w:cs="Calibri"/>
                      <w:bCs/>
                      <w:color w:val="auto"/>
                      <w:szCs w:val="21"/>
                    </w:rPr>
                    <w:t>2.2</w:t>
                  </w:r>
                  <w:r>
                    <w:rPr>
                      <w:rFonts w:ascii="Calibri" w:hAnsi="Calibri" w:cs="Calibri"/>
                      <w:bCs/>
                      <w:color w:val="auto"/>
                      <w:szCs w:val="21"/>
                    </w:rPr>
                    <w:t>m</w:t>
                  </w:r>
                </w:p>
              </w:tc>
              <w:tc>
                <w:tcPr>
                  <w:tcW w:w="444" w:type="pct"/>
                  <w:tcBorders>
                    <w:tl2br w:val="nil"/>
                    <w:tr2bl w:val="nil"/>
                  </w:tcBorders>
                  <w:vAlign w:val="center"/>
                </w:tcPr>
                <w:p>
                  <w:pPr>
                    <w:jc w:val="center"/>
                    <w:rPr>
                      <w:rFonts w:ascii="Calibri" w:hAnsi="Calibri" w:cs="Calibri"/>
                      <w:bCs/>
                      <w:color w:val="auto"/>
                      <w:szCs w:val="21"/>
                    </w:rPr>
                  </w:pPr>
                  <w:r>
                    <w:rPr>
                      <w:rFonts w:hint="eastAsia"/>
                      <w:b w:val="0"/>
                      <w:bCs w:val="0"/>
                      <w:color w:val="auto"/>
                      <w:szCs w:val="21"/>
                      <w:lang w:val="en-US" w:eastAsia="zh-CN"/>
                    </w:rPr>
                    <w:t>0</w:t>
                  </w:r>
                </w:p>
              </w:tc>
              <w:tc>
                <w:tcPr>
                  <w:tcW w:w="471" w:type="pct"/>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rPr>
                    <w:t>1个</w:t>
                  </w:r>
                </w:p>
              </w:tc>
              <w:tc>
                <w:tcPr>
                  <w:tcW w:w="885" w:type="dxa"/>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lang w:val="en-US" w:eastAsia="zh-CN"/>
                    </w:rPr>
                    <w:t>+</w:t>
                  </w:r>
                  <w:r>
                    <w:rPr>
                      <w:rFonts w:hint="eastAsia" w:ascii="Calibri" w:hAnsi="Calibri" w:cs="Calibri"/>
                      <w:bCs/>
                      <w:color w:val="auto"/>
                      <w:szCs w:val="21"/>
                    </w:rPr>
                    <w:t>1个</w:t>
                  </w:r>
                </w:p>
              </w:tc>
              <w:tc>
                <w:tcPr>
                  <w:tcW w:w="667"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常温水洗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98" w:type="pct"/>
                  <w:vMerge w:val="continue"/>
                  <w:tcBorders>
                    <w:tl2br w:val="nil"/>
                    <w:tr2bl w:val="nil"/>
                  </w:tcBorders>
                  <w:vAlign w:val="center"/>
                </w:tcPr>
                <w:p>
                  <w:pPr>
                    <w:widowControl/>
                    <w:jc w:val="center"/>
                    <w:rPr>
                      <w:color w:val="auto"/>
                      <w:kern w:val="0"/>
                      <w:szCs w:val="21"/>
                    </w:rPr>
                  </w:pPr>
                </w:p>
              </w:tc>
              <w:tc>
                <w:tcPr>
                  <w:tcW w:w="468" w:type="pct"/>
                  <w:vMerge w:val="continue"/>
                  <w:tcBorders>
                    <w:tl2br w:val="nil"/>
                    <w:tr2bl w:val="nil"/>
                  </w:tcBorders>
                  <w:vAlign w:val="center"/>
                </w:tcPr>
                <w:p>
                  <w:pPr>
                    <w:widowControl/>
                    <w:jc w:val="center"/>
                    <w:rPr>
                      <w:color w:val="auto"/>
                      <w:kern w:val="0"/>
                      <w:sz w:val="18"/>
                      <w:szCs w:val="18"/>
                    </w:rPr>
                  </w:pPr>
                </w:p>
              </w:tc>
              <w:tc>
                <w:tcPr>
                  <w:tcW w:w="468" w:type="pct"/>
                  <w:vMerge w:val="continue"/>
                  <w:tcBorders>
                    <w:tl2br w:val="nil"/>
                    <w:tr2bl w:val="nil"/>
                  </w:tcBorders>
                  <w:vAlign w:val="center"/>
                </w:tcPr>
                <w:p>
                  <w:pPr>
                    <w:widowControl/>
                    <w:jc w:val="center"/>
                    <w:rPr>
                      <w:color w:val="auto"/>
                      <w:kern w:val="0"/>
                      <w:sz w:val="18"/>
                      <w:szCs w:val="18"/>
                    </w:rPr>
                  </w:pPr>
                </w:p>
              </w:tc>
              <w:tc>
                <w:tcPr>
                  <w:tcW w:w="1032"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陶化</w:t>
                  </w:r>
                </w:p>
              </w:tc>
              <w:tc>
                <w:tcPr>
                  <w:tcW w:w="723" w:type="pct"/>
                  <w:tcBorders>
                    <w:tl2br w:val="nil"/>
                    <w:tr2bl w:val="nil"/>
                  </w:tcBorders>
                  <w:vAlign w:val="center"/>
                </w:tcPr>
                <w:p>
                  <w:pPr>
                    <w:jc w:val="center"/>
                    <w:rPr>
                      <w:rFonts w:ascii="Calibri" w:hAnsi="Calibri" w:cs="Calibri"/>
                      <w:bCs/>
                      <w:color w:val="auto"/>
                      <w:szCs w:val="21"/>
                    </w:rPr>
                  </w:pPr>
                  <w:r>
                    <w:rPr>
                      <w:rFonts w:hint="eastAsia" w:ascii="Calibri" w:hAnsi="Calibri" w:cs="Calibri"/>
                      <w:bCs/>
                      <w:color w:val="auto"/>
                      <w:szCs w:val="21"/>
                    </w:rPr>
                    <w:t>2.2</w:t>
                  </w:r>
                  <w:r>
                    <w:rPr>
                      <w:rFonts w:ascii="Calibri" w:hAnsi="Calibri" w:cs="Calibri"/>
                      <w:bCs/>
                      <w:color w:val="auto"/>
                      <w:szCs w:val="21"/>
                    </w:rPr>
                    <w:t>m×</w:t>
                  </w:r>
                  <w:r>
                    <w:rPr>
                      <w:rFonts w:hint="eastAsia" w:ascii="Calibri" w:hAnsi="Calibri" w:cs="Calibri"/>
                      <w:bCs/>
                      <w:color w:val="auto"/>
                      <w:szCs w:val="21"/>
                    </w:rPr>
                    <w:t>2.2</w:t>
                  </w:r>
                  <w:r>
                    <w:rPr>
                      <w:rFonts w:ascii="Calibri" w:hAnsi="Calibri" w:cs="Calibri"/>
                      <w:bCs/>
                      <w:color w:val="auto"/>
                      <w:szCs w:val="21"/>
                    </w:rPr>
                    <w:t>m×</w:t>
                  </w:r>
                  <w:r>
                    <w:rPr>
                      <w:rFonts w:hint="eastAsia" w:ascii="Calibri" w:hAnsi="Calibri" w:cs="Calibri"/>
                      <w:bCs/>
                      <w:color w:val="auto"/>
                      <w:szCs w:val="21"/>
                    </w:rPr>
                    <w:t>2.2</w:t>
                  </w:r>
                  <w:r>
                    <w:rPr>
                      <w:rFonts w:ascii="Calibri" w:hAnsi="Calibri" w:cs="Calibri"/>
                      <w:bCs/>
                      <w:color w:val="auto"/>
                      <w:szCs w:val="21"/>
                    </w:rPr>
                    <w:t>m</w:t>
                  </w:r>
                </w:p>
              </w:tc>
              <w:tc>
                <w:tcPr>
                  <w:tcW w:w="444" w:type="pct"/>
                  <w:tcBorders>
                    <w:tl2br w:val="nil"/>
                    <w:tr2bl w:val="nil"/>
                  </w:tcBorders>
                  <w:vAlign w:val="center"/>
                </w:tcPr>
                <w:p>
                  <w:pPr>
                    <w:jc w:val="center"/>
                    <w:rPr>
                      <w:rFonts w:ascii="Calibri" w:hAnsi="Calibri" w:cs="Calibri"/>
                      <w:bCs/>
                      <w:color w:val="auto"/>
                      <w:szCs w:val="21"/>
                    </w:rPr>
                  </w:pPr>
                  <w:r>
                    <w:rPr>
                      <w:rFonts w:hint="eastAsia"/>
                      <w:b w:val="0"/>
                      <w:bCs w:val="0"/>
                      <w:color w:val="auto"/>
                      <w:szCs w:val="21"/>
                      <w:lang w:val="en-US" w:eastAsia="zh-CN"/>
                    </w:rPr>
                    <w:t>0</w:t>
                  </w:r>
                </w:p>
              </w:tc>
              <w:tc>
                <w:tcPr>
                  <w:tcW w:w="471" w:type="pct"/>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rPr>
                    <w:t>1个</w:t>
                  </w:r>
                </w:p>
              </w:tc>
              <w:tc>
                <w:tcPr>
                  <w:tcW w:w="885" w:type="dxa"/>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lang w:val="en-US" w:eastAsia="zh-CN"/>
                    </w:rPr>
                    <w:t>+</w:t>
                  </w:r>
                  <w:r>
                    <w:rPr>
                      <w:rFonts w:hint="eastAsia" w:ascii="Calibri" w:hAnsi="Calibri" w:cs="Calibri"/>
                      <w:bCs/>
                      <w:color w:val="auto"/>
                      <w:szCs w:val="21"/>
                    </w:rPr>
                    <w:t>1个</w:t>
                  </w:r>
                </w:p>
              </w:tc>
              <w:tc>
                <w:tcPr>
                  <w:tcW w:w="667"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陶化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98" w:type="pct"/>
                  <w:vMerge w:val="continue"/>
                  <w:tcBorders>
                    <w:tl2br w:val="nil"/>
                    <w:tr2bl w:val="nil"/>
                  </w:tcBorders>
                  <w:vAlign w:val="center"/>
                </w:tcPr>
                <w:p>
                  <w:pPr>
                    <w:widowControl/>
                    <w:jc w:val="center"/>
                    <w:rPr>
                      <w:color w:val="auto"/>
                      <w:kern w:val="0"/>
                      <w:szCs w:val="21"/>
                    </w:rPr>
                  </w:pPr>
                </w:p>
              </w:tc>
              <w:tc>
                <w:tcPr>
                  <w:tcW w:w="468" w:type="pct"/>
                  <w:vMerge w:val="continue"/>
                  <w:tcBorders>
                    <w:tl2br w:val="nil"/>
                    <w:tr2bl w:val="nil"/>
                  </w:tcBorders>
                  <w:vAlign w:val="center"/>
                </w:tcPr>
                <w:p>
                  <w:pPr>
                    <w:widowControl/>
                    <w:jc w:val="center"/>
                    <w:rPr>
                      <w:color w:val="auto"/>
                      <w:kern w:val="0"/>
                      <w:sz w:val="18"/>
                      <w:szCs w:val="18"/>
                    </w:rPr>
                  </w:pPr>
                </w:p>
              </w:tc>
              <w:tc>
                <w:tcPr>
                  <w:tcW w:w="468" w:type="pct"/>
                  <w:vMerge w:val="continue"/>
                  <w:tcBorders>
                    <w:tl2br w:val="nil"/>
                    <w:tr2bl w:val="nil"/>
                  </w:tcBorders>
                  <w:vAlign w:val="center"/>
                </w:tcPr>
                <w:p>
                  <w:pPr>
                    <w:widowControl/>
                    <w:jc w:val="center"/>
                    <w:rPr>
                      <w:color w:val="auto"/>
                      <w:kern w:val="0"/>
                      <w:sz w:val="18"/>
                      <w:szCs w:val="18"/>
                    </w:rPr>
                  </w:pPr>
                </w:p>
              </w:tc>
              <w:tc>
                <w:tcPr>
                  <w:tcW w:w="1032"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陶化水洗</w:t>
                  </w:r>
                  <w:r>
                    <w:rPr>
                      <w:rFonts w:hint="eastAsia" w:ascii="宋体" w:hAnsi="宋体" w:cs="宋体"/>
                      <w:color w:val="auto"/>
                      <w:szCs w:val="21"/>
                    </w:rPr>
                    <w:t>Ⅰ</w:t>
                  </w:r>
                  <w:r>
                    <w:rPr>
                      <w:rFonts w:hint="eastAsia" w:ascii="Calibri" w:hAnsi="Calibri" w:cs="Calibri"/>
                      <w:color w:val="auto"/>
                      <w:szCs w:val="21"/>
                    </w:rPr>
                    <w:t>槽</w:t>
                  </w:r>
                </w:p>
              </w:tc>
              <w:tc>
                <w:tcPr>
                  <w:tcW w:w="723" w:type="pct"/>
                  <w:tcBorders>
                    <w:tl2br w:val="nil"/>
                    <w:tr2bl w:val="nil"/>
                  </w:tcBorders>
                  <w:vAlign w:val="center"/>
                </w:tcPr>
                <w:p>
                  <w:pPr>
                    <w:jc w:val="center"/>
                    <w:rPr>
                      <w:rFonts w:ascii="Calibri" w:hAnsi="Calibri" w:cs="Calibri"/>
                      <w:bCs/>
                      <w:color w:val="auto"/>
                      <w:szCs w:val="21"/>
                    </w:rPr>
                  </w:pPr>
                  <w:r>
                    <w:rPr>
                      <w:rFonts w:hint="eastAsia" w:ascii="Calibri" w:hAnsi="Calibri" w:cs="Calibri"/>
                      <w:bCs/>
                      <w:color w:val="auto"/>
                      <w:szCs w:val="21"/>
                    </w:rPr>
                    <w:t>0.9</w:t>
                  </w:r>
                  <w:r>
                    <w:rPr>
                      <w:rFonts w:ascii="Calibri" w:hAnsi="Calibri" w:cs="Calibri"/>
                      <w:bCs/>
                      <w:color w:val="auto"/>
                      <w:szCs w:val="21"/>
                    </w:rPr>
                    <w:t>m×</w:t>
                  </w:r>
                  <w:r>
                    <w:rPr>
                      <w:rFonts w:hint="eastAsia" w:ascii="Calibri" w:hAnsi="Calibri" w:cs="Calibri"/>
                      <w:bCs/>
                      <w:color w:val="auto"/>
                      <w:szCs w:val="21"/>
                    </w:rPr>
                    <w:t>0.9</w:t>
                  </w:r>
                  <w:r>
                    <w:rPr>
                      <w:rFonts w:ascii="Calibri" w:hAnsi="Calibri" w:cs="Calibri"/>
                      <w:bCs/>
                      <w:color w:val="auto"/>
                      <w:szCs w:val="21"/>
                    </w:rPr>
                    <w:t>m×</w:t>
                  </w:r>
                  <w:r>
                    <w:rPr>
                      <w:rFonts w:hint="eastAsia" w:ascii="Calibri" w:hAnsi="Calibri" w:cs="Calibri"/>
                      <w:bCs/>
                      <w:color w:val="auto"/>
                      <w:szCs w:val="21"/>
                    </w:rPr>
                    <w:t>2.2</w:t>
                  </w:r>
                  <w:r>
                    <w:rPr>
                      <w:rFonts w:ascii="Calibri" w:hAnsi="Calibri" w:cs="Calibri"/>
                      <w:bCs/>
                      <w:color w:val="auto"/>
                      <w:szCs w:val="21"/>
                    </w:rPr>
                    <w:t>m</w:t>
                  </w:r>
                </w:p>
              </w:tc>
              <w:tc>
                <w:tcPr>
                  <w:tcW w:w="444" w:type="pct"/>
                  <w:tcBorders>
                    <w:tl2br w:val="nil"/>
                    <w:tr2bl w:val="nil"/>
                  </w:tcBorders>
                  <w:vAlign w:val="center"/>
                </w:tcPr>
                <w:p>
                  <w:pPr>
                    <w:jc w:val="center"/>
                    <w:rPr>
                      <w:rFonts w:ascii="Calibri" w:hAnsi="Calibri" w:cs="Calibri"/>
                      <w:bCs/>
                      <w:color w:val="auto"/>
                      <w:szCs w:val="21"/>
                    </w:rPr>
                  </w:pPr>
                  <w:r>
                    <w:rPr>
                      <w:rFonts w:hint="eastAsia"/>
                      <w:b w:val="0"/>
                      <w:bCs w:val="0"/>
                      <w:color w:val="auto"/>
                      <w:szCs w:val="21"/>
                      <w:lang w:val="en-US" w:eastAsia="zh-CN"/>
                    </w:rPr>
                    <w:t>0</w:t>
                  </w:r>
                </w:p>
              </w:tc>
              <w:tc>
                <w:tcPr>
                  <w:tcW w:w="471" w:type="pct"/>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rPr>
                    <w:t>1个</w:t>
                  </w:r>
                </w:p>
              </w:tc>
              <w:tc>
                <w:tcPr>
                  <w:tcW w:w="885" w:type="dxa"/>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lang w:val="en-US" w:eastAsia="zh-CN"/>
                    </w:rPr>
                    <w:t>+</w:t>
                  </w:r>
                  <w:r>
                    <w:rPr>
                      <w:rFonts w:hint="eastAsia" w:ascii="Calibri" w:hAnsi="Calibri" w:cs="Calibri"/>
                      <w:bCs/>
                      <w:color w:val="auto"/>
                      <w:szCs w:val="21"/>
                    </w:rPr>
                    <w:t>1个</w:t>
                  </w:r>
                </w:p>
              </w:tc>
              <w:tc>
                <w:tcPr>
                  <w:tcW w:w="667"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常温水洗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98" w:type="pct"/>
                  <w:vMerge w:val="continue"/>
                  <w:tcBorders>
                    <w:tl2br w:val="nil"/>
                    <w:tr2bl w:val="nil"/>
                  </w:tcBorders>
                  <w:vAlign w:val="center"/>
                </w:tcPr>
                <w:p>
                  <w:pPr>
                    <w:widowControl/>
                    <w:jc w:val="center"/>
                    <w:rPr>
                      <w:color w:val="auto"/>
                      <w:kern w:val="0"/>
                      <w:szCs w:val="21"/>
                    </w:rPr>
                  </w:pPr>
                </w:p>
              </w:tc>
              <w:tc>
                <w:tcPr>
                  <w:tcW w:w="468" w:type="pct"/>
                  <w:vMerge w:val="continue"/>
                  <w:tcBorders>
                    <w:tl2br w:val="nil"/>
                    <w:tr2bl w:val="nil"/>
                  </w:tcBorders>
                  <w:vAlign w:val="center"/>
                </w:tcPr>
                <w:p>
                  <w:pPr>
                    <w:widowControl/>
                    <w:jc w:val="center"/>
                    <w:rPr>
                      <w:color w:val="auto"/>
                      <w:kern w:val="0"/>
                      <w:sz w:val="18"/>
                      <w:szCs w:val="18"/>
                    </w:rPr>
                  </w:pPr>
                </w:p>
              </w:tc>
              <w:tc>
                <w:tcPr>
                  <w:tcW w:w="468" w:type="pct"/>
                  <w:vMerge w:val="continue"/>
                  <w:tcBorders>
                    <w:tl2br w:val="nil"/>
                    <w:tr2bl w:val="nil"/>
                  </w:tcBorders>
                  <w:vAlign w:val="center"/>
                </w:tcPr>
                <w:p>
                  <w:pPr>
                    <w:widowControl/>
                    <w:jc w:val="center"/>
                    <w:rPr>
                      <w:color w:val="auto"/>
                      <w:kern w:val="0"/>
                      <w:sz w:val="18"/>
                      <w:szCs w:val="18"/>
                    </w:rPr>
                  </w:pPr>
                </w:p>
              </w:tc>
              <w:tc>
                <w:tcPr>
                  <w:tcW w:w="1032"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陶化水洗</w:t>
                  </w:r>
                  <w:r>
                    <w:rPr>
                      <w:color w:val="auto"/>
                      <w:sz w:val="24"/>
                    </w:rPr>
                    <w:t>Ⅱ</w:t>
                  </w:r>
                  <w:r>
                    <w:rPr>
                      <w:rFonts w:hint="eastAsia" w:ascii="Calibri" w:hAnsi="Calibri" w:cs="Calibri"/>
                      <w:color w:val="auto"/>
                      <w:szCs w:val="21"/>
                    </w:rPr>
                    <w:t>槽</w:t>
                  </w:r>
                </w:p>
              </w:tc>
              <w:tc>
                <w:tcPr>
                  <w:tcW w:w="723" w:type="pct"/>
                  <w:tcBorders>
                    <w:tl2br w:val="nil"/>
                    <w:tr2bl w:val="nil"/>
                  </w:tcBorders>
                  <w:vAlign w:val="center"/>
                </w:tcPr>
                <w:p>
                  <w:pPr>
                    <w:jc w:val="center"/>
                    <w:rPr>
                      <w:rFonts w:ascii="Calibri" w:hAnsi="Calibri" w:cs="Calibri"/>
                      <w:bCs/>
                      <w:color w:val="auto"/>
                      <w:szCs w:val="21"/>
                    </w:rPr>
                  </w:pPr>
                  <w:r>
                    <w:rPr>
                      <w:rFonts w:hint="eastAsia" w:ascii="Calibri" w:hAnsi="Calibri" w:cs="Calibri"/>
                      <w:bCs/>
                      <w:color w:val="auto"/>
                      <w:szCs w:val="21"/>
                    </w:rPr>
                    <w:t>0.9</w:t>
                  </w:r>
                  <w:r>
                    <w:rPr>
                      <w:rFonts w:ascii="Calibri" w:hAnsi="Calibri" w:cs="Calibri"/>
                      <w:bCs/>
                      <w:color w:val="auto"/>
                      <w:szCs w:val="21"/>
                    </w:rPr>
                    <w:t>m×</w:t>
                  </w:r>
                  <w:r>
                    <w:rPr>
                      <w:rFonts w:hint="eastAsia" w:ascii="Calibri" w:hAnsi="Calibri" w:cs="Calibri"/>
                      <w:bCs/>
                      <w:color w:val="auto"/>
                      <w:szCs w:val="21"/>
                    </w:rPr>
                    <w:t>0.9</w:t>
                  </w:r>
                  <w:r>
                    <w:rPr>
                      <w:rFonts w:ascii="Calibri" w:hAnsi="Calibri" w:cs="Calibri"/>
                      <w:bCs/>
                      <w:color w:val="auto"/>
                      <w:szCs w:val="21"/>
                    </w:rPr>
                    <w:t>m×</w:t>
                  </w:r>
                  <w:r>
                    <w:rPr>
                      <w:rFonts w:hint="eastAsia" w:ascii="Calibri" w:hAnsi="Calibri" w:cs="Calibri"/>
                      <w:bCs/>
                      <w:color w:val="auto"/>
                      <w:szCs w:val="21"/>
                    </w:rPr>
                    <w:t>2.2</w:t>
                  </w:r>
                  <w:r>
                    <w:rPr>
                      <w:rFonts w:ascii="Calibri" w:hAnsi="Calibri" w:cs="Calibri"/>
                      <w:bCs/>
                      <w:color w:val="auto"/>
                      <w:szCs w:val="21"/>
                    </w:rPr>
                    <w:t>m</w:t>
                  </w:r>
                </w:p>
              </w:tc>
              <w:tc>
                <w:tcPr>
                  <w:tcW w:w="444" w:type="pct"/>
                  <w:tcBorders>
                    <w:tl2br w:val="nil"/>
                    <w:tr2bl w:val="nil"/>
                  </w:tcBorders>
                  <w:vAlign w:val="center"/>
                </w:tcPr>
                <w:p>
                  <w:pPr>
                    <w:jc w:val="center"/>
                    <w:rPr>
                      <w:rFonts w:ascii="Calibri" w:hAnsi="Calibri" w:cs="Calibri"/>
                      <w:bCs/>
                      <w:color w:val="auto"/>
                      <w:szCs w:val="21"/>
                    </w:rPr>
                  </w:pPr>
                  <w:r>
                    <w:rPr>
                      <w:rFonts w:hint="eastAsia"/>
                      <w:b w:val="0"/>
                      <w:bCs w:val="0"/>
                      <w:color w:val="auto"/>
                      <w:szCs w:val="21"/>
                      <w:lang w:val="en-US" w:eastAsia="zh-CN"/>
                    </w:rPr>
                    <w:t>0</w:t>
                  </w:r>
                </w:p>
              </w:tc>
              <w:tc>
                <w:tcPr>
                  <w:tcW w:w="471" w:type="pct"/>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rPr>
                    <w:t>1个</w:t>
                  </w:r>
                </w:p>
              </w:tc>
              <w:tc>
                <w:tcPr>
                  <w:tcW w:w="885" w:type="dxa"/>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lang w:val="en-US" w:eastAsia="zh-CN"/>
                    </w:rPr>
                    <w:t>+</w:t>
                  </w:r>
                  <w:r>
                    <w:rPr>
                      <w:rFonts w:hint="eastAsia" w:ascii="Calibri" w:hAnsi="Calibri" w:cs="Calibri"/>
                      <w:bCs/>
                      <w:color w:val="auto"/>
                      <w:szCs w:val="21"/>
                    </w:rPr>
                    <w:t>1个</w:t>
                  </w:r>
                </w:p>
              </w:tc>
              <w:tc>
                <w:tcPr>
                  <w:tcW w:w="667"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常温水洗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98" w:type="pct"/>
                  <w:vMerge w:val="continue"/>
                  <w:tcBorders>
                    <w:tl2br w:val="nil"/>
                    <w:tr2bl w:val="nil"/>
                  </w:tcBorders>
                  <w:vAlign w:val="center"/>
                </w:tcPr>
                <w:p>
                  <w:pPr>
                    <w:widowControl/>
                    <w:jc w:val="center"/>
                    <w:rPr>
                      <w:color w:val="auto"/>
                      <w:kern w:val="0"/>
                      <w:szCs w:val="21"/>
                    </w:rPr>
                  </w:pPr>
                </w:p>
              </w:tc>
              <w:tc>
                <w:tcPr>
                  <w:tcW w:w="468" w:type="pct"/>
                  <w:vMerge w:val="continue"/>
                  <w:tcBorders>
                    <w:tl2br w:val="nil"/>
                    <w:tr2bl w:val="nil"/>
                  </w:tcBorders>
                  <w:vAlign w:val="center"/>
                </w:tcPr>
                <w:p>
                  <w:pPr>
                    <w:widowControl/>
                    <w:jc w:val="center"/>
                    <w:rPr>
                      <w:color w:val="auto"/>
                      <w:kern w:val="0"/>
                      <w:sz w:val="18"/>
                      <w:szCs w:val="18"/>
                    </w:rPr>
                  </w:pPr>
                </w:p>
              </w:tc>
              <w:tc>
                <w:tcPr>
                  <w:tcW w:w="468" w:type="pct"/>
                  <w:vMerge w:val="continue"/>
                  <w:tcBorders>
                    <w:tl2br w:val="nil"/>
                    <w:tr2bl w:val="nil"/>
                  </w:tcBorders>
                  <w:vAlign w:val="center"/>
                </w:tcPr>
                <w:p>
                  <w:pPr>
                    <w:widowControl/>
                    <w:jc w:val="center"/>
                    <w:rPr>
                      <w:color w:val="auto"/>
                      <w:kern w:val="0"/>
                      <w:sz w:val="18"/>
                      <w:szCs w:val="18"/>
                    </w:rPr>
                  </w:pPr>
                </w:p>
              </w:tc>
              <w:tc>
                <w:tcPr>
                  <w:tcW w:w="1032"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纯水洗</w:t>
                  </w:r>
                </w:p>
              </w:tc>
              <w:tc>
                <w:tcPr>
                  <w:tcW w:w="723" w:type="pct"/>
                  <w:tcBorders>
                    <w:tl2br w:val="nil"/>
                    <w:tr2bl w:val="nil"/>
                  </w:tcBorders>
                  <w:vAlign w:val="center"/>
                </w:tcPr>
                <w:p>
                  <w:pPr>
                    <w:jc w:val="center"/>
                    <w:rPr>
                      <w:rFonts w:ascii="Calibri" w:hAnsi="Calibri" w:cs="Calibri"/>
                      <w:bCs/>
                      <w:color w:val="auto"/>
                      <w:szCs w:val="21"/>
                    </w:rPr>
                  </w:pPr>
                  <w:r>
                    <w:rPr>
                      <w:rFonts w:hint="eastAsia" w:ascii="Calibri" w:hAnsi="Calibri" w:cs="Calibri"/>
                      <w:bCs/>
                      <w:color w:val="auto"/>
                      <w:szCs w:val="21"/>
                    </w:rPr>
                    <w:t>0.9</w:t>
                  </w:r>
                  <w:r>
                    <w:rPr>
                      <w:rFonts w:ascii="Calibri" w:hAnsi="Calibri" w:cs="Calibri"/>
                      <w:bCs/>
                      <w:color w:val="auto"/>
                      <w:szCs w:val="21"/>
                    </w:rPr>
                    <w:t>m×</w:t>
                  </w:r>
                  <w:r>
                    <w:rPr>
                      <w:rFonts w:hint="eastAsia" w:ascii="Calibri" w:hAnsi="Calibri" w:cs="Calibri"/>
                      <w:bCs/>
                      <w:color w:val="auto"/>
                      <w:szCs w:val="21"/>
                    </w:rPr>
                    <w:t>0.9</w:t>
                  </w:r>
                  <w:r>
                    <w:rPr>
                      <w:rFonts w:ascii="Calibri" w:hAnsi="Calibri" w:cs="Calibri"/>
                      <w:bCs/>
                      <w:color w:val="auto"/>
                      <w:szCs w:val="21"/>
                    </w:rPr>
                    <w:t>m×</w:t>
                  </w:r>
                  <w:r>
                    <w:rPr>
                      <w:rFonts w:hint="eastAsia" w:ascii="Calibri" w:hAnsi="Calibri" w:cs="Calibri"/>
                      <w:bCs/>
                      <w:color w:val="auto"/>
                      <w:szCs w:val="21"/>
                    </w:rPr>
                    <w:t>2.2</w:t>
                  </w:r>
                  <w:r>
                    <w:rPr>
                      <w:rFonts w:ascii="Calibri" w:hAnsi="Calibri" w:cs="Calibri"/>
                      <w:bCs/>
                      <w:color w:val="auto"/>
                      <w:szCs w:val="21"/>
                    </w:rPr>
                    <w:t>m</w:t>
                  </w:r>
                </w:p>
              </w:tc>
              <w:tc>
                <w:tcPr>
                  <w:tcW w:w="444" w:type="pct"/>
                  <w:tcBorders>
                    <w:tl2br w:val="nil"/>
                    <w:tr2bl w:val="nil"/>
                  </w:tcBorders>
                  <w:vAlign w:val="center"/>
                </w:tcPr>
                <w:p>
                  <w:pPr>
                    <w:jc w:val="center"/>
                    <w:rPr>
                      <w:rFonts w:ascii="Calibri" w:hAnsi="Calibri" w:cs="Calibri"/>
                      <w:bCs/>
                      <w:color w:val="auto"/>
                      <w:szCs w:val="21"/>
                    </w:rPr>
                  </w:pPr>
                  <w:r>
                    <w:rPr>
                      <w:rFonts w:hint="eastAsia"/>
                      <w:b w:val="0"/>
                      <w:bCs w:val="0"/>
                      <w:color w:val="auto"/>
                      <w:szCs w:val="21"/>
                      <w:lang w:val="en-US" w:eastAsia="zh-CN"/>
                    </w:rPr>
                    <w:t>0</w:t>
                  </w:r>
                </w:p>
              </w:tc>
              <w:tc>
                <w:tcPr>
                  <w:tcW w:w="471" w:type="pct"/>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rPr>
                    <w:t>1个</w:t>
                  </w:r>
                </w:p>
              </w:tc>
              <w:tc>
                <w:tcPr>
                  <w:tcW w:w="885" w:type="dxa"/>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lang w:val="en-US" w:eastAsia="zh-CN"/>
                    </w:rPr>
                    <w:t>+</w:t>
                  </w:r>
                  <w:r>
                    <w:rPr>
                      <w:rFonts w:hint="eastAsia" w:ascii="Calibri" w:hAnsi="Calibri" w:cs="Calibri"/>
                      <w:bCs/>
                      <w:color w:val="auto"/>
                      <w:szCs w:val="21"/>
                    </w:rPr>
                    <w:t>1个</w:t>
                  </w:r>
                </w:p>
              </w:tc>
              <w:tc>
                <w:tcPr>
                  <w:tcW w:w="667"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常温纯水洗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198" w:type="pct"/>
                  <w:vMerge w:val="continue"/>
                  <w:tcBorders>
                    <w:tl2br w:val="nil"/>
                    <w:tr2bl w:val="nil"/>
                  </w:tcBorders>
                  <w:vAlign w:val="center"/>
                </w:tcPr>
                <w:p>
                  <w:pPr>
                    <w:widowControl/>
                    <w:jc w:val="center"/>
                    <w:rPr>
                      <w:color w:val="auto"/>
                      <w:kern w:val="0"/>
                      <w:szCs w:val="21"/>
                    </w:rPr>
                  </w:pPr>
                </w:p>
              </w:tc>
              <w:tc>
                <w:tcPr>
                  <w:tcW w:w="468" w:type="pct"/>
                  <w:vMerge w:val="continue"/>
                  <w:tcBorders>
                    <w:tl2br w:val="nil"/>
                    <w:tr2bl w:val="nil"/>
                  </w:tcBorders>
                  <w:vAlign w:val="center"/>
                </w:tcPr>
                <w:p>
                  <w:pPr>
                    <w:widowControl/>
                    <w:jc w:val="center"/>
                    <w:rPr>
                      <w:color w:val="auto"/>
                      <w:kern w:val="0"/>
                      <w:sz w:val="18"/>
                      <w:szCs w:val="18"/>
                    </w:rPr>
                  </w:pPr>
                </w:p>
              </w:tc>
              <w:tc>
                <w:tcPr>
                  <w:tcW w:w="468" w:type="pct"/>
                  <w:vMerge w:val="continue"/>
                  <w:tcBorders>
                    <w:tl2br w:val="nil"/>
                    <w:tr2bl w:val="nil"/>
                  </w:tcBorders>
                  <w:vAlign w:val="center"/>
                </w:tcPr>
                <w:p>
                  <w:pPr>
                    <w:widowControl/>
                    <w:jc w:val="center"/>
                    <w:rPr>
                      <w:color w:val="auto"/>
                      <w:kern w:val="0"/>
                      <w:sz w:val="18"/>
                      <w:szCs w:val="18"/>
                    </w:rPr>
                  </w:pPr>
                </w:p>
              </w:tc>
              <w:tc>
                <w:tcPr>
                  <w:tcW w:w="1032"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纯水直喷</w:t>
                  </w:r>
                </w:p>
              </w:tc>
              <w:tc>
                <w:tcPr>
                  <w:tcW w:w="723" w:type="pct"/>
                  <w:tcBorders>
                    <w:tl2br w:val="nil"/>
                    <w:tr2bl w:val="nil"/>
                  </w:tcBorders>
                  <w:vAlign w:val="center"/>
                </w:tcPr>
                <w:p>
                  <w:pPr>
                    <w:jc w:val="center"/>
                    <w:rPr>
                      <w:rFonts w:ascii="Calibri" w:hAnsi="Calibri" w:cs="Calibri"/>
                      <w:bCs/>
                      <w:color w:val="auto"/>
                      <w:szCs w:val="21"/>
                    </w:rPr>
                  </w:pPr>
                  <w:r>
                    <w:rPr>
                      <w:rFonts w:hint="eastAsia" w:ascii="Calibri" w:hAnsi="Calibri" w:cs="Calibri"/>
                      <w:bCs/>
                      <w:color w:val="auto"/>
                      <w:szCs w:val="21"/>
                    </w:rPr>
                    <w:t>溢流量</w:t>
                  </w:r>
                  <w:r>
                    <w:rPr>
                      <w:rFonts w:hint="eastAsia" w:ascii="Calibri" w:hAnsi="Calibri" w:cs="Calibri"/>
                      <w:color w:val="auto"/>
                      <w:szCs w:val="21"/>
                    </w:rPr>
                    <w:t>1.2L/min</w:t>
                  </w:r>
                </w:p>
              </w:tc>
              <w:tc>
                <w:tcPr>
                  <w:tcW w:w="444" w:type="pct"/>
                  <w:tcBorders>
                    <w:tl2br w:val="nil"/>
                    <w:tr2bl w:val="nil"/>
                  </w:tcBorders>
                  <w:vAlign w:val="center"/>
                </w:tcPr>
                <w:p>
                  <w:pPr>
                    <w:jc w:val="center"/>
                    <w:rPr>
                      <w:rFonts w:ascii="Calibri" w:hAnsi="Calibri" w:cs="Calibri"/>
                      <w:bCs/>
                      <w:color w:val="auto"/>
                      <w:szCs w:val="21"/>
                    </w:rPr>
                  </w:pPr>
                  <w:r>
                    <w:rPr>
                      <w:rFonts w:hint="eastAsia"/>
                      <w:b w:val="0"/>
                      <w:bCs w:val="0"/>
                      <w:color w:val="auto"/>
                      <w:szCs w:val="21"/>
                      <w:lang w:val="en-US" w:eastAsia="zh-CN"/>
                    </w:rPr>
                    <w:t>0</w:t>
                  </w:r>
                </w:p>
              </w:tc>
              <w:tc>
                <w:tcPr>
                  <w:tcW w:w="471" w:type="pct"/>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rPr>
                    <w:t>1个</w:t>
                  </w:r>
                </w:p>
              </w:tc>
              <w:tc>
                <w:tcPr>
                  <w:tcW w:w="885" w:type="dxa"/>
                  <w:tcBorders>
                    <w:tl2br w:val="nil"/>
                    <w:tr2bl w:val="nil"/>
                  </w:tcBorders>
                  <w:vAlign w:val="center"/>
                </w:tcPr>
                <w:p>
                  <w:pPr>
                    <w:jc w:val="center"/>
                    <w:rPr>
                      <w:rFonts w:hint="eastAsia" w:ascii="Calibri" w:hAnsi="Calibri" w:cs="Calibri"/>
                      <w:bCs/>
                      <w:color w:val="auto"/>
                      <w:szCs w:val="21"/>
                    </w:rPr>
                  </w:pPr>
                  <w:r>
                    <w:rPr>
                      <w:rFonts w:hint="eastAsia" w:ascii="Calibri" w:hAnsi="Calibri" w:cs="Calibri"/>
                      <w:bCs/>
                      <w:color w:val="auto"/>
                      <w:szCs w:val="21"/>
                      <w:lang w:val="en-US" w:eastAsia="zh-CN"/>
                    </w:rPr>
                    <w:t>+</w:t>
                  </w:r>
                  <w:r>
                    <w:rPr>
                      <w:rFonts w:hint="eastAsia" w:ascii="Calibri" w:hAnsi="Calibri" w:cs="Calibri"/>
                      <w:bCs/>
                      <w:color w:val="auto"/>
                      <w:szCs w:val="21"/>
                    </w:rPr>
                    <w:t>1个</w:t>
                  </w:r>
                </w:p>
              </w:tc>
              <w:tc>
                <w:tcPr>
                  <w:tcW w:w="667" w:type="pct"/>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常温纯水洗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vAlign w:val="center"/>
                </w:tcPr>
                <w:p>
                  <w:pPr>
                    <w:widowControl/>
                    <w:jc w:val="center"/>
                    <w:rPr>
                      <w:color w:val="auto"/>
                      <w:kern w:val="0"/>
                      <w:szCs w:val="21"/>
                    </w:rPr>
                  </w:pPr>
                  <w:r>
                    <w:rPr>
                      <w:rFonts w:hint="eastAsia"/>
                      <w:color w:val="auto"/>
                      <w:kern w:val="0"/>
                      <w:szCs w:val="21"/>
                    </w:rPr>
                    <w:t>44</w:t>
                  </w:r>
                </w:p>
              </w:tc>
              <w:tc>
                <w:tcPr>
                  <w:tcW w:w="468" w:type="pct"/>
                  <w:vMerge w:val="continue"/>
                  <w:tcBorders>
                    <w:tl2br w:val="nil"/>
                    <w:tr2bl w:val="nil"/>
                  </w:tcBorders>
                  <w:vAlign w:val="center"/>
                </w:tcPr>
                <w:p>
                  <w:pPr>
                    <w:widowControl/>
                    <w:jc w:val="center"/>
                    <w:rPr>
                      <w:color w:val="auto"/>
                      <w:kern w:val="0"/>
                      <w:sz w:val="18"/>
                      <w:szCs w:val="18"/>
                    </w:rPr>
                  </w:pPr>
                </w:p>
              </w:tc>
              <w:tc>
                <w:tcPr>
                  <w:tcW w:w="468" w:type="pct"/>
                  <w:tcBorders>
                    <w:tl2br w:val="nil"/>
                    <w:tr2bl w:val="nil"/>
                  </w:tcBorders>
                  <w:vAlign w:val="center"/>
                </w:tcPr>
                <w:p>
                  <w:pPr>
                    <w:widowControl/>
                    <w:jc w:val="center"/>
                    <w:rPr>
                      <w:color w:val="auto"/>
                      <w:kern w:val="0"/>
                      <w:sz w:val="21"/>
                      <w:szCs w:val="21"/>
                    </w:rPr>
                  </w:pPr>
                  <w:r>
                    <w:rPr>
                      <w:rFonts w:hint="eastAsia"/>
                      <w:color w:val="auto"/>
                      <w:kern w:val="0"/>
                      <w:sz w:val="21"/>
                      <w:szCs w:val="21"/>
                    </w:rPr>
                    <w:t>烘干</w:t>
                  </w:r>
                </w:p>
              </w:tc>
              <w:tc>
                <w:tcPr>
                  <w:tcW w:w="1032" w:type="pct"/>
                  <w:tcBorders>
                    <w:tl2br w:val="nil"/>
                    <w:tr2bl w:val="nil"/>
                  </w:tcBorders>
                  <w:vAlign w:val="center"/>
                </w:tcPr>
                <w:p>
                  <w:pPr>
                    <w:jc w:val="center"/>
                    <w:rPr>
                      <w:color w:val="auto"/>
                      <w:szCs w:val="21"/>
                      <w:lang w:bidi="ar"/>
                    </w:rPr>
                  </w:pPr>
                  <w:r>
                    <w:rPr>
                      <w:rFonts w:ascii="Calibri" w:hAnsi="Calibri" w:cs="Calibri"/>
                      <w:bCs/>
                      <w:color w:val="auto"/>
                      <w:szCs w:val="21"/>
                    </w:rPr>
                    <w:t>联合烘干炉</w:t>
                  </w:r>
                </w:p>
              </w:tc>
              <w:tc>
                <w:tcPr>
                  <w:tcW w:w="723" w:type="pct"/>
                  <w:tcBorders>
                    <w:tl2br w:val="nil"/>
                    <w:tr2bl w:val="nil"/>
                  </w:tcBorders>
                  <w:vAlign w:val="center"/>
                </w:tcPr>
                <w:p>
                  <w:pPr>
                    <w:jc w:val="center"/>
                    <w:rPr>
                      <w:b/>
                      <w:bCs/>
                      <w:color w:val="auto"/>
                      <w:szCs w:val="21"/>
                      <w:lang w:bidi="ar"/>
                    </w:rPr>
                  </w:pPr>
                  <w:r>
                    <w:rPr>
                      <w:rFonts w:ascii="Calibri" w:hAnsi="Calibri" w:cs="Calibri"/>
                      <w:bCs/>
                      <w:color w:val="auto"/>
                      <w:szCs w:val="21"/>
                    </w:rPr>
                    <w:t>42m×3.7m×6.65m</w:t>
                  </w:r>
                </w:p>
              </w:tc>
              <w:tc>
                <w:tcPr>
                  <w:tcW w:w="444" w:type="pct"/>
                  <w:tcBorders>
                    <w:tl2br w:val="nil"/>
                    <w:tr2bl w:val="nil"/>
                  </w:tcBorders>
                  <w:vAlign w:val="center"/>
                </w:tcPr>
                <w:p>
                  <w:pPr>
                    <w:jc w:val="center"/>
                    <w:rPr>
                      <w:color w:val="auto"/>
                      <w:sz w:val="24"/>
                    </w:rPr>
                  </w:pPr>
                  <w:r>
                    <w:rPr>
                      <w:rFonts w:hint="eastAsia"/>
                      <w:b w:val="0"/>
                      <w:bCs w:val="0"/>
                      <w:color w:val="auto"/>
                      <w:szCs w:val="21"/>
                      <w:lang w:val="en-US" w:eastAsia="zh-CN"/>
                    </w:rPr>
                    <w:t>0</w:t>
                  </w:r>
                </w:p>
              </w:tc>
              <w:tc>
                <w:tcPr>
                  <w:tcW w:w="471" w:type="pct"/>
                  <w:tcBorders>
                    <w:tl2br w:val="nil"/>
                    <w:tr2bl w:val="nil"/>
                  </w:tcBorders>
                  <w:vAlign w:val="center"/>
                </w:tcPr>
                <w:p>
                  <w:pPr>
                    <w:jc w:val="center"/>
                    <w:rPr>
                      <w:rFonts w:ascii="Calibri" w:hAnsi="Calibri" w:cs="Calibri"/>
                      <w:bCs/>
                      <w:color w:val="auto"/>
                      <w:szCs w:val="21"/>
                    </w:rPr>
                  </w:pPr>
                  <w:r>
                    <w:rPr>
                      <w:rFonts w:ascii="Calibri" w:hAnsi="Calibri" w:cs="Calibri"/>
                      <w:bCs/>
                      <w:color w:val="auto"/>
                      <w:szCs w:val="21"/>
                    </w:rPr>
                    <w:t>1套</w:t>
                  </w:r>
                </w:p>
              </w:tc>
              <w:tc>
                <w:tcPr>
                  <w:tcW w:w="885" w:type="dxa"/>
                  <w:tcBorders>
                    <w:tl2br w:val="nil"/>
                    <w:tr2bl w:val="nil"/>
                  </w:tcBorders>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1套</w:t>
                  </w:r>
                </w:p>
              </w:tc>
              <w:tc>
                <w:tcPr>
                  <w:tcW w:w="667" w:type="pct"/>
                  <w:tcBorders>
                    <w:tl2br w:val="nil"/>
                    <w:tr2bl w:val="nil"/>
                  </w:tcBorders>
                  <w:vAlign w:val="center"/>
                </w:tcPr>
                <w:p>
                  <w:pPr>
                    <w:jc w:val="center"/>
                    <w:rPr>
                      <w:color w:val="auto"/>
                      <w:szCs w:val="21"/>
                    </w:rPr>
                  </w:pPr>
                  <w:r>
                    <w:rPr>
                      <w:rFonts w:ascii="Calibri" w:hAnsi="Calibri" w:cs="Calibri"/>
                      <w:color w:val="auto"/>
                      <w:szCs w:val="21"/>
                    </w:rPr>
                    <w:t>包括水份烘干炉、粉末固化炉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vAlign w:val="center"/>
                </w:tcPr>
                <w:p>
                  <w:pPr>
                    <w:widowControl/>
                    <w:jc w:val="center"/>
                    <w:rPr>
                      <w:color w:val="auto"/>
                      <w:kern w:val="0"/>
                      <w:szCs w:val="21"/>
                    </w:rPr>
                  </w:pPr>
                  <w:r>
                    <w:rPr>
                      <w:rFonts w:hint="eastAsia"/>
                      <w:color w:val="auto"/>
                      <w:kern w:val="0"/>
                      <w:szCs w:val="21"/>
                    </w:rPr>
                    <w:t>45</w:t>
                  </w:r>
                </w:p>
              </w:tc>
              <w:tc>
                <w:tcPr>
                  <w:tcW w:w="468" w:type="pct"/>
                  <w:vMerge w:val="continue"/>
                  <w:tcBorders>
                    <w:tl2br w:val="nil"/>
                    <w:tr2bl w:val="nil"/>
                  </w:tcBorders>
                  <w:vAlign w:val="center"/>
                </w:tcPr>
                <w:p>
                  <w:pPr>
                    <w:widowControl/>
                    <w:jc w:val="center"/>
                    <w:rPr>
                      <w:color w:val="auto"/>
                      <w:kern w:val="0"/>
                      <w:sz w:val="18"/>
                      <w:szCs w:val="18"/>
                    </w:rPr>
                  </w:pPr>
                </w:p>
              </w:tc>
              <w:tc>
                <w:tcPr>
                  <w:tcW w:w="468" w:type="pct"/>
                  <w:vMerge w:val="restart"/>
                  <w:tcBorders>
                    <w:tl2br w:val="nil"/>
                    <w:tr2bl w:val="nil"/>
                  </w:tcBorders>
                  <w:vAlign w:val="center"/>
                </w:tcPr>
                <w:p>
                  <w:pPr>
                    <w:widowControl/>
                    <w:jc w:val="center"/>
                    <w:rPr>
                      <w:color w:val="auto"/>
                      <w:kern w:val="0"/>
                      <w:sz w:val="21"/>
                      <w:szCs w:val="21"/>
                    </w:rPr>
                  </w:pPr>
                  <w:r>
                    <w:rPr>
                      <w:rFonts w:hint="eastAsia"/>
                      <w:color w:val="auto"/>
                      <w:kern w:val="0"/>
                      <w:sz w:val="21"/>
                      <w:szCs w:val="21"/>
                    </w:rPr>
                    <w:t>喷粉</w:t>
                  </w:r>
                </w:p>
              </w:tc>
              <w:tc>
                <w:tcPr>
                  <w:tcW w:w="1032" w:type="pct"/>
                  <w:tcBorders>
                    <w:tl2br w:val="nil"/>
                    <w:tr2bl w:val="nil"/>
                  </w:tcBorders>
                  <w:vAlign w:val="center"/>
                </w:tcPr>
                <w:p>
                  <w:pPr>
                    <w:jc w:val="center"/>
                    <w:rPr>
                      <w:color w:val="auto"/>
                      <w:szCs w:val="21"/>
                      <w:lang w:bidi="ar"/>
                    </w:rPr>
                  </w:pPr>
                  <w:r>
                    <w:rPr>
                      <w:rFonts w:ascii="Calibri" w:hAnsi="Calibri" w:cs="Calibri"/>
                      <w:bCs/>
                      <w:color w:val="auto"/>
                      <w:szCs w:val="21"/>
                    </w:rPr>
                    <w:t>喷粉室</w:t>
                  </w:r>
                </w:p>
              </w:tc>
              <w:tc>
                <w:tcPr>
                  <w:tcW w:w="723" w:type="pct"/>
                  <w:tcBorders>
                    <w:tl2br w:val="nil"/>
                    <w:tr2bl w:val="nil"/>
                  </w:tcBorders>
                  <w:vAlign w:val="center"/>
                </w:tcPr>
                <w:p>
                  <w:pPr>
                    <w:jc w:val="center"/>
                    <w:rPr>
                      <w:b/>
                      <w:bCs/>
                      <w:color w:val="auto"/>
                      <w:szCs w:val="21"/>
                      <w:lang w:bidi="ar"/>
                    </w:rPr>
                  </w:pPr>
                  <w:r>
                    <w:rPr>
                      <w:rFonts w:ascii="Calibri" w:hAnsi="Calibri" w:cs="Calibri"/>
                      <w:bCs/>
                      <w:color w:val="auto"/>
                      <w:szCs w:val="21"/>
                    </w:rPr>
                    <w:t>12m×8.6m×4.5m</w:t>
                  </w:r>
                </w:p>
              </w:tc>
              <w:tc>
                <w:tcPr>
                  <w:tcW w:w="444" w:type="pct"/>
                  <w:tcBorders>
                    <w:tl2br w:val="nil"/>
                    <w:tr2bl w:val="nil"/>
                  </w:tcBorders>
                  <w:vAlign w:val="center"/>
                </w:tcPr>
                <w:p>
                  <w:pPr>
                    <w:jc w:val="center"/>
                    <w:rPr>
                      <w:color w:val="auto"/>
                      <w:sz w:val="24"/>
                    </w:rPr>
                  </w:pPr>
                  <w:r>
                    <w:rPr>
                      <w:rFonts w:hint="eastAsia"/>
                      <w:b w:val="0"/>
                      <w:bCs w:val="0"/>
                      <w:color w:val="auto"/>
                      <w:szCs w:val="21"/>
                      <w:lang w:val="en-US" w:eastAsia="zh-CN"/>
                    </w:rPr>
                    <w:t>0</w:t>
                  </w:r>
                </w:p>
              </w:tc>
              <w:tc>
                <w:tcPr>
                  <w:tcW w:w="471" w:type="pct"/>
                  <w:tcBorders>
                    <w:tl2br w:val="nil"/>
                    <w:tr2bl w:val="nil"/>
                  </w:tcBorders>
                  <w:vAlign w:val="center"/>
                </w:tcPr>
                <w:p>
                  <w:pPr>
                    <w:jc w:val="center"/>
                    <w:rPr>
                      <w:rFonts w:ascii="Calibri" w:hAnsi="Calibri" w:cs="Calibri"/>
                      <w:bCs/>
                      <w:color w:val="auto"/>
                      <w:szCs w:val="21"/>
                    </w:rPr>
                  </w:pPr>
                  <w:r>
                    <w:rPr>
                      <w:rFonts w:ascii="Calibri" w:hAnsi="Calibri" w:cs="Calibri"/>
                      <w:bCs/>
                      <w:color w:val="auto"/>
                      <w:szCs w:val="21"/>
                    </w:rPr>
                    <w:t>1套</w:t>
                  </w:r>
                </w:p>
              </w:tc>
              <w:tc>
                <w:tcPr>
                  <w:tcW w:w="885" w:type="dxa"/>
                  <w:tcBorders>
                    <w:tl2br w:val="nil"/>
                    <w:tr2bl w:val="nil"/>
                  </w:tcBorders>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1套</w:t>
                  </w:r>
                </w:p>
              </w:tc>
              <w:tc>
                <w:tcPr>
                  <w:tcW w:w="667" w:type="pct"/>
                  <w:vMerge w:val="restart"/>
                  <w:tcBorders>
                    <w:tl2br w:val="nil"/>
                    <w:tr2bl w:val="nil"/>
                  </w:tcBorders>
                  <w:vAlign w:val="center"/>
                </w:tcPr>
                <w:p>
                  <w:pPr>
                    <w:jc w:val="center"/>
                    <w:rPr>
                      <w:color w:val="auto"/>
                      <w:szCs w:val="21"/>
                    </w:rPr>
                  </w:pPr>
                  <w:r>
                    <w:rPr>
                      <w:rFonts w:ascii="Calibri" w:hAnsi="Calibri" w:cs="Calibri"/>
                      <w:color w:val="auto"/>
                      <w:szCs w:val="21"/>
                    </w:rPr>
                    <w:t>静电喷粉生产线设备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vAlign w:val="center"/>
                </w:tcPr>
                <w:p>
                  <w:pPr>
                    <w:widowControl/>
                    <w:jc w:val="center"/>
                    <w:rPr>
                      <w:color w:val="auto"/>
                      <w:kern w:val="0"/>
                      <w:szCs w:val="21"/>
                    </w:rPr>
                  </w:pPr>
                  <w:r>
                    <w:rPr>
                      <w:rFonts w:hint="eastAsia"/>
                      <w:color w:val="auto"/>
                      <w:kern w:val="0"/>
                      <w:szCs w:val="21"/>
                    </w:rPr>
                    <w:t>46</w:t>
                  </w:r>
                </w:p>
              </w:tc>
              <w:tc>
                <w:tcPr>
                  <w:tcW w:w="468" w:type="pct"/>
                  <w:vMerge w:val="continue"/>
                  <w:tcBorders>
                    <w:tl2br w:val="nil"/>
                    <w:tr2bl w:val="nil"/>
                  </w:tcBorders>
                  <w:vAlign w:val="center"/>
                </w:tcPr>
                <w:p>
                  <w:pPr>
                    <w:widowControl/>
                    <w:jc w:val="center"/>
                    <w:rPr>
                      <w:color w:val="auto"/>
                      <w:kern w:val="0"/>
                      <w:sz w:val="18"/>
                      <w:szCs w:val="18"/>
                    </w:rPr>
                  </w:pPr>
                </w:p>
              </w:tc>
              <w:tc>
                <w:tcPr>
                  <w:tcW w:w="468" w:type="pct"/>
                  <w:vMerge w:val="continue"/>
                  <w:tcBorders>
                    <w:tl2br w:val="nil"/>
                    <w:tr2bl w:val="nil"/>
                  </w:tcBorders>
                  <w:vAlign w:val="center"/>
                </w:tcPr>
                <w:p>
                  <w:pPr>
                    <w:widowControl/>
                    <w:jc w:val="center"/>
                    <w:rPr>
                      <w:color w:val="auto"/>
                      <w:kern w:val="0"/>
                      <w:sz w:val="21"/>
                      <w:szCs w:val="21"/>
                    </w:rPr>
                  </w:pPr>
                </w:p>
              </w:tc>
              <w:tc>
                <w:tcPr>
                  <w:tcW w:w="1032" w:type="pct"/>
                  <w:tcBorders>
                    <w:tl2br w:val="nil"/>
                    <w:tr2bl w:val="nil"/>
                  </w:tcBorders>
                  <w:vAlign w:val="center"/>
                </w:tcPr>
                <w:p>
                  <w:pPr>
                    <w:jc w:val="center"/>
                    <w:rPr>
                      <w:color w:val="auto"/>
                      <w:szCs w:val="21"/>
                      <w:lang w:bidi="ar"/>
                    </w:rPr>
                  </w:pPr>
                  <w:r>
                    <w:rPr>
                      <w:rFonts w:ascii="Calibri" w:hAnsi="Calibri" w:cs="Calibri"/>
                      <w:bCs/>
                      <w:color w:val="auto"/>
                      <w:szCs w:val="21"/>
                    </w:rPr>
                    <w:t>自动喷粉枪</w:t>
                  </w:r>
                </w:p>
              </w:tc>
              <w:tc>
                <w:tcPr>
                  <w:tcW w:w="723" w:type="pct"/>
                  <w:tcBorders>
                    <w:tl2br w:val="nil"/>
                    <w:tr2bl w:val="nil"/>
                  </w:tcBorders>
                  <w:vAlign w:val="center"/>
                </w:tcPr>
                <w:p>
                  <w:pPr>
                    <w:jc w:val="center"/>
                    <w:rPr>
                      <w:b/>
                      <w:bCs/>
                      <w:color w:val="auto"/>
                      <w:szCs w:val="21"/>
                      <w:lang w:bidi="ar"/>
                    </w:rPr>
                  </w:pPr>
                  <w:r>
                    <w:rPr>
                      <w:rFonts w:ascii="Calibri" w:hAnsi="Calibri" w:cs="Calibri"/>
                      <w:bCs/>
                      <w:color w:val="auto"/>
                      <w:szCs w:val="21"/>
                    </w:rPr>
                    <w:t>14+2</w:t>
                  </w:r>
                </w:p>
              </w:tc>
              <w:tc>
                <w:tcPr>
                  <w:tcW w:w="444" w:type="pct"/>
                  <w:tcBorders>
                    <w:tl2br w:val="nil"/>
                    <w:tr2bl w:val="nil"/>
                  </w:tcBorders>
                  <w:vAlign w:val="center"/>
                </w:tcPr>
                <w:p>
                  <w:pPr>
                    <w:jc w:val="center"/>
                    <w:rPr>
                      <w:color w:val="auto"/>
                      <w:sz w:val="24"/>
                    </w:rPr>
                  </w:pPr>
                  <w:r>
                    <w:rPr>
                      <w:rFonts w:hint="eastAsia"/>
                      <w:b w:val="0"/>
                      <w:bCs w:val="0"/>
                      <w:color w:val="auto"/>
                      <w:szCs w:val="21"/>
                      <w:lang w:val="en-US" w:eastAsia="zh-CN"/>
                    </w:rPr>
                    <w:t>0</w:t>
                  </w:r>
                </w:p>
              </w:tc>
              <w:tc>
                <w:tcPr>
                  <w:tcW w:w="471" w:type="pct"/>
                  <w:tcBorders>
                    <w:tl2br w:val="nil"/>
                    <w:tr2bl w:val="nil"/>
                  </w:tcBorders>
                  <w:vAlign w:val="center"/>
                </w:tcPr>
                <w:p>
                  <w:pPr>
                    <w:jc w:val="center"/>
                    <w:rPr>
                      <w:rFonts w:ascii="Calibri" w:hAnsi="Calibri" w:cs="Calibri"/>
                      <w:bCs/>
                      <w:color w:val="auto"/>
                      <w:szCs w:val="21"/>
                    </w:rPr>
                  </w:pPr>
                  <w:r>
                    <w:rPr>
                      <w:rFonts w:ascii="Calibri" w:hAnsi="Calibri" w:cs="Calibri"/>
                      <w:bCs/>
                      <w:color w:val="auto"/>
                      <w:szCs w:val="21"/>
                    </w:rPr>
                    <w:t>1套</w:t>
                  </w:r>
                </w:p>
              </w:tc>
              <w:tc>
                <w:tcPr>
                  <w:tcW w:w="885" w:type="dxa"/>
                  <w:tcBorders>
                    <w:tl2br w:val="nil"/>
                    <w:tr2bl w:val="nil"/>
                  </w:tcBorders>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1套</w:t>
                  </w:r>
                </w:p>
              </w:tc>
              <w:tc>
                <w:tcPr>
                  <w:tcW w:w="667" w:type="pct"/>
                  <w:vMerge w:val="continue"/>
                  <w:tcBorders>
                    <w:tl2br w:val="nil"/>
                    <w:tr2bl w:val="nil"/>
                  </w:tcBorders>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vAlign w:val="center"/>
                </w:tcPr>
                <w:p>
                  <w:pPr>
                    <w:widowControl/>
                    <w:jc w:val="center"/>
                    <w:rPr>
                      <w:color w:val="auto"/>
                      <w:szCs w:val="21"/>
                    </w:rPr>
                  </w:pPr>
                  <w:r>
                    <w:rPr>
                      <w:rFonts w:hint="eastAsia"/>
                      <w:color w:val="auto"/>
                      <w:szCs w:val="21"/>
                    </w:rPr>
                    <w:t>47</w:t>
                  </w:r>
                </w:p>
              </w:tc>
              <w:tc>
                <w:tcPr>
                  <w:tcW w:w="468" w:type="pct"/>
                  <w:vMerge w:val="continue"/>
                  <w:tcBorders>
                    <w:tl2br w:val="nil"/>
                    <w:tr2bl w:val="nil"/>
                  </w:tcBorders>
                  <w:vAlign w:val="center"/>
                </w:tcPr>
                <w:p>
                  <w:pPr>
                    <w:widowControl/>
                    <w:jc w:val="center"/>
                    <w:rPr>
                      <w:color w:val="auto"/>
                      <w:kern w:val="0"/>
                      <w:sz w:val="18"/>
                      <w:szCs w:val="18"/>
                    </w:rPr>
                  </w:pPr>
                </w:p>
              </w:tc>
              <w:tc>
                <w:tcPr>
                  <w:tcW w:w="468" w:type="pct"/>
                  <w:vMerge w:val="continue"/>
                  <w:tcBorders>
                    <w:tl2br w:val="nil"/>
                    <w:tr2bl w:val="nil"/>
                  </w:tcBorders>
                  <w:vAlign w:val="center"/>
                </w:tcPr>
                <w:p>
                  <w:pPr>
                    <w:widowControl/>
                    <w:jc w:val="center"/>
                    <w:rPr>
                      <w:color w:val="auto"/>
                      <w:kern w:val="0"/>
                      <w:sz w:val="21"/>
                      <w:szCs w:val="21"/>
                    </w:rPr>
                  </w:pPr>
                </w:p>
              </w:tc>
              <w:tc>
                <w:tcPr>
                  <w:tcW w:w="1032" w:type="pct"/>
                  <w:tcBorders>
                    <w:tl2br w:val="nil"/>
                    <w:tr2bl w:val="nil"/>
                  </w:tcBorders>
                  <w:vAlign w:val="center"/>
                </w:tcPr>
                <w:p>
                  <w:pPr>
                    <w:jc w:val="center"/>
                    <w:rPr>
                      <w:color w:val="auto"/>
                      <w:szCs w:val="21"/>
                      <w:lang w:bidi="ar"/>
                    </w:rPr>
                  </w:pPr>
                  <w:r>
                    <w:rPr>
                      <w:rFonts w:ascii="Calibri" w:hAnsi="Calibri" w:cs="Calibri"/>
                      <w:bCs/>
                      <w:color w:val="auto"/>
                      <w:szCs w:val="21"/>
                    </w:rPr>
                    <w:t>悬挂自动输送机</w:t>
                  </w:r>
                </w:p>
              </w:tc>
              <w:tc>
                <w:tcPr>
                  <w:tcW w:w="723" w:type="pct"/>
                  <w:tcBorders>
                    <w:tl2br w:val="nil"/>
                    <w:tr2bl w:val="nil"/>
                  </w:tcBorders>
                  <w:vAlign w:val="center"/>
                </w:tcPr>
                <w:p>
                  <w:pPr>
                    <w:jc w:val="center"/>
                    <w:rPr>
                      <w:b/>
                      <w:bCs/>
                      <w:color w:val="auto"/>
                      <w:szCs w:val="21"/>
                      <w:lang w:bidi="ar"/>
                    </w:rPr>
                  </w:pPr>
                  <w:r>
                    <w:rPr>
                      <w:rFonts w:ascii="Calibri" w:hAnsi="Calibri" w:cs="Calibri"/>
                      <w:bCs/>
                      <w:color w:val="auto"/>
                      <w:szCs w:val="21"/>
                    </w:rPr>
                    <w:t>Q250</w:t>
                  </w:r>
                </w:p>
              </w:tc>
              <w:tc>
                <w:tcPr>
                  <w:tcW w:w="444" w:type="pct"/>
                  <w:tcBorders>
                    <w:tl2br w:val="nil"/>
                    <w:tr2bl w:val="nil"/>
                  </w:tcBorders>
                  <w:vAlign w:val="center"/>
                </w:tcPr>
                <w:p>
                  <w:pPr>
                    <w:jc w:val="center"/>
                    <w:rPr>
                      <w:color w:val="auto"/>
                      <w:sz w:val="24"/>
                    </w:rPr>
                  </w:pPr>
                  <w:r>
                    <w:rPr>
                      <w:rFonts w:hint="eastAsia"/>
                      <w:b w:val="0"/>
                      <w:bCs w:val="0"/>
                      <w:color w:val="auto"/>
                      <w:szCs w:val="21"/>
                      <w:lang w:val="en-US" w:eastAsia="zh-CN"/>
                    </w:rPr>
                    <w:t>0</w:t>
                  </w:r>
                </w:p>
              </w:tc>
              <w:tc>
                <w:tcPr>
                  <w:tcW w:w="471" w:type="pct"/>
                  <w:tcBorders>
                    <w:tl2br w:val="nil"/>
                    <w:tr2bl w:val="nil"/>
                  </w:tcBorders>
                  <w:vAlign w:val="center"/>
                </w:tcPr>
                <w:p>
                  <w:pPr>
                    <w:jc w:val="center"/>
                    <w:rPr>
                      <w:rFonts w:ascii="Calibri" w:hAnsi="Calibri" w:cs="Calibri"/>
                      <w:bCs/>
                      <w:color w:val="auto"/>
                      <w:szCs w:val="21"/>
                    </w:rPr>
                  </w:pPr>
                  <w:r>
                    <w:rPr>
                      <w:rFonts w:ascii="Calibri" w:hAnsi="Calibri" w:cs="Calibri"/>
                      <w:bCs/>
                      <w:color w:val="auto"/>
                      <w:szCs w:val="21"/>
                    </w:rPr>
                    <w:t>1套</w:t>
                  </w:r>
                </w:p>
              </w:tc>
              <w:tc>
                <w:tcPr>
                  <w:tcW w:w="885" w:type="dxa"/>
                  <w:tcBorders>
                    <w:tl2br w:val="nil"/>
                    <w:tr2bl w:val="nil"/>
                  </w:tcBorders>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1套</w:t>
                  </w:r>
                </w:p>
              </w:tc>
              <w:tc>
                <w:tcPr>
                  <w:tcW w:w="667" w:type="pct"/>
                  <w:vMerge w:val="continue"/>
                  <w:tcBorders>
                    <w:tl2br w:val="nil"/>
                    <w:tr2bl w:val="nil"/>
                  </w:tcBorders>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vAlign w:val="center"/>
                </w:tcPr>
                <w:p>
                  <w:pPr>
                    <w:widowControl/>
                    <w:jc w:val="center"/>
                    <w:rPr>
                      <w:color w:val="auto"/>
                      <w:kern w:val="0"/>
                      <w:szCs w:val="21"/>
                    </w:rPr>
                  </w:pPr>
                  <w:r>
                    <w:rPr>
                      <w:rFonts w:hint="eastAsia"/>
                      <w:color w:val="auto"/>
                      <w:kern w:val="0"/>
                      <w:szCs w:val="21"/>
                    </w:rPr>
                    <w:t>48</w:t>
                  </w:r>
                </w:p>
              </w:tc>
              <w:tc>
                <w:tcPr>
                  <w:tcW w:w="468" w:type="pct"/>
                  <w:vMerge w:val="continue"/>
                  <w:tcBorders>
                    <w:tl2br w:val="nil"/>
                    <w:tr2bl w:val="nil"/>
                  </w:tcBorders>
                  <w:vAlign w:val="center"/>
                </w:tcPr>
                <w:p>
                  <w:pPr>
                    <w:widowControl/>
                    <w:jc w:val="center"/>
                    <w:rPr>
                      <w:color w:val="auto"/>
                      <w:szCs w:val="21"/>
                    </w:rPr>
                  </w:pPr>
                </w:p>
              </w:tc>
              <w:tc>
                <w:tcPr>
                  <w:tcW w:w="468" w:type="pct"/>
                  <w:tcBorders>
                    <w:tl2br w:val="nil"/>
                    <w:tr2bl w:val="nil"/>
                  </w:tcBorders>
                  <w:vAlign w:val="center"/>
                </w:tcPr>
                <w:p>
                  <w:pPr>
                    <w:widowControl/>
                    <w:jc w:val="center"/>
                    <w:rPr>
                      <w:color w:val="auto"/>
                      <w:kern w:val="0"/>
                      <w:sz w:val="21"/>
                      <w:szCs w:val="21"/>
                    </w:rPr>
                  </w:pPr>
                  <w:r>
                    <w:rPr>
                      <w:rFonts w:hint="eastAsia"/>
                      <w:color w:val="auto"/>
                      <w:kern w:val="0"/>
                      <w:sz w:val="21"/>
                      <w:szCs w:val="21"/>
                    </w:rPr>
                    <w:t>纯水</w:t>
                  </w:r>
                </w:p>
              </w:tc>
              <w:tc>
                <w:tcPr>
                  <w:tcW w:w="1032" w:type="pct"/>
                  <w:tcBorders>
                    <w:tl2br w:val="nil"/>
                    <w:tr2bl w:val="nil"/>
                  </w:tcBorders>
                  <w:vAlign w:val="center"/>
                </w:tcPr>
                <w:p>
                  <w:pPr>
                    <w:jc w:val="center"/>
                    <w:rPr>
                      <w:color w:val="auto"/>
                      <w:szCs w:val="21"/>
                      <w:lang w:bidi="ar"/>
                    </w:rPr>
                  </w:pPr>
                  <w:r>
                    <w:rPr>
                      <w:rFonts w:ascii="Calibri" w:hAnsi="Calibri" w:cs="Calibri"/>
                      <w:bCs/>
                      <w:color w:val="auto"/>
                      <w:szCs w:val="21"/>
                    </w:rPr>
                    <w:t>纯水装置</w:t>
                  </w:r>
                </w:p>
              </w:tc>
              <w:tc>
                <w:tcPr>
                  <w:tcW w:w="723" w:type="pct"/>
                  <w:tcBorders>
                    <w:tl2br w:val="nil"/>
                    <w:tr2bl w:val="nil"/>
                  </w:tcBorders>
                  <w:vAlign w:val="center"/>
                </w:tcPr>
                <w:p>
                  <w:pPr>
                    <w:jc w:val="center"/>
                    <w:rPr>
                      <w:b/>
                      <w:bCs/>
                      <w:color w:val="auto"/>
                      <w:szCs w:val="21"/>
                      <w:lang w:bidi="ar"/>
                    </w:rPr>
                  </w:pPr>
                  <w:r>
                    <w:rPr>
                      <w:rFonts w:ascii="Calibri" w:hAnsi="Calibri" w:cs="Calibri"/>
                      <w:bCs/>
                      <w:color w:val="auto"/>
                      <w:szCs w:val="21"/>
                    </w:rPr>
                    <w:t>2t/h</w:t>
                  </w:r>
                </w:p>
              </w:tc>
              <w:tc>
                <w:tcPr>
                  <w:tcW w:w="444" w:type="pct"/>
                  <w:tcBorders>
                    <w:tl2br w:val="nil"/>
                    <w:tr2bl w:val="nil"/>
                  </w:tcBorders>
                  <w:vAlign w:val="center"/>
                </w:tcPr>
                <w:p>
                  <w:pPr>
                    <w:jc w:val="center"/>
                    <w:rPr>
                      <w:color w:val="auto"/>
                      <w:sz w:val="24"/>
                    </w:rPr>
                  </w:pPr>
                  <w:r>
                    <w:rPr>
                      <w:rFonts w:hint="eastAsia"/>
                      <w:b w:val="0"/>
                      <w:bCs w:val="0"/>
                      <w:color w:val="auto"/>
                      <w:szCs w:val="21"/>
                      <w:lang w:val="en-US" w:eastAsia="zh-CN"/>
                    </w:rPr>
                    <w:t>0</w:t>
                  </w:r>
                </w:p>
              </w:tc>
              <w:tc>
                <w:tcPr>
                  <w:tcW w:w="471" w:type="pct"/>
                  <w:tcBorders>
                    <w:tl2br w:val="nil"/>
                    <w:tr2bl w:val="nil"/>
                  </w:tcBorders>
                  <w:vAlign w:val="center"/>
                </w:tcPr>
                <w:p>
                  <w:pPr>
                    <w:jc w:val="center"/>
                    <w:rPr>
                      <w:rFonts w:ascii="Calibri" w:hAnsi="Calibri" w:cs="Calibri"/>
                      <w:bCs/>
                      <w:color w:val="auto"/>
                      <w:szCs w:val="21"/>
                    </w:rPr>
                  </w:pPr>
                  <w:r>
                    <w:rPr>
                      <w:rFonts w:ascii="Calibri" w:hAnsi="Calibri" w:cs="Calibri"/>
                      <w:bCs/>
                      <w:color w:val="auto"/>
                      <w:szCs w:val="21"/>
                    </w:rPr>
                    <w:t>1套</w:t>
                  </w:r>
                </w:p>
              </w:tc>
              <w:tc>
                <w:tcPr>
                  <w:tcW w:w="885" w:type="dxa"/>
                  <w:tcBorders>
                    <w:tl2br w:val="nil"/>
                    <w:tr2bl w:val="nil"/>
                  </w:tcBorders>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1套</w:t>
                  </w:r>
                </w:p>
              </w:tc>
              <w:tc>
                <w:tcPr>
                  <w:tcW w:w="667" w:type="pct"/>
                  <w:tcBorders>
                    <w:tl2br w:val="nil"/>
                    <w:tr2bl w:val="nil"/>
                  </w:tcBorders>
                  <w:vAlign w:val="center"/>
                </w:tcPr>
                <w:p>
                  <w:pPr>
                    <w:jc w:val="center"/>
                    <w:rPr>
                      <w:color w:val="auto"/>
                      <w:szCs w:val="21"/>
                    </w:rPr>
                  </w:pPr>
                  <w:r>
                    <w:rPr>
                      <w:rFonts w:ascii="Calibri" w:hAnsi="Calibri" w:cs="Calibri"/>
                      <w:color w:val="auto"/>
                      <w:szCs w:val="21"/>
                    </w:rPr>
                    <w:t>公用设施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vAlign w:val="center"/>
                </w:tcPr>
                <w:p>
                  <w:pPr>
                    <w:widowControl/>
                    <w:jc w:val="center"/>
                    <w:rPr>
                      <w:color w:val="auto"/>
                      <w:kern w:val="0"/>
                      <w:szCs w:val="21"/>
                    </w:rPr>
                  </w:pPr>
                  <w:r>
                    <w:rPr>
                      <w:rFonts w:hint="eastAsia"/>
                      <w:color w:val="auto"/>
                      <w:kern w:val="0"/>
                      <w:szCs w:val="21"/>
                    </w:rPr>
                    <w:t>49</w:t>
                  </w:r>
                </w:p>
              </w:tc>
              <w:tc>
                <w:tcPr>
                  <w:tcW w:w="468" w:type="pct"/>
                  <w:vMerge w:val="continue"/>
                  <w:tcBorders>
                    <w:tl2br w:val="nil"/>
                    <w:tr2bl w:val="nil"/>
                  </w:tcBorders>
                  <w:vAlign w:val="center"/>
                </w:tcPr>
                <w:p>
                  <w:pPr>
                    <w:widowControl/>
                    <w:jc w:val="center"/>
                    <w:rPr>
                      <w:color w:val="auto"/>
                      <w:kern w:val="0"/>
                      <w:sz w:val="18"/>
                      <w:szCs w:val="18"/>
                    </w:rPr>
                  </w:pPr>
                </w:p>
              </w:tc>
              <w:tc>
                <w:tcPr>
                  <w:tcW w:w="468" w:type="pct"/>
                  <w:tcBorders>
                    <w:tl2br w:val="nil"/>
                    <w:tr2bl w:val="nil"/>
                  </w:tcBorders>
                  <w:vAlign w:val="center"/>
                </w:tcPr>
                <w:p>
                  <w:pPr>
                    <w:widowControl/>
                    <w:jc w:val="center"/>
                    <w:rPr>
                      <w:color w:val="auto"/>
                      <w:kern w:val="0"/>
                      <w:sz w:val="21"/>
                      <w:szCs w:val="21"/>
                    </w:rPr>
                  </w:pPr>
                  <w:r>
                    <w:rPr>
                      <w:rFonts w:hint="eastAsia"/>
                      <w:color w:val="auto"/>
                      <w:kern w:val="0"/>
                      <w:sz w:val="21"/>
                      <w:szCs w:val="21"/>
                    </w:rPr>
                    <w:t>废水处理</w:t>
                  </w:r>
                </w:p>
              </w:tc>
              <w:tc>
                <w:tcPr>
                  <w:tcW w:w="1032" w:type="pct"/>
                  <w:tcBorders>
                    <w:tl2br w:val="nil"/>
                    <w:tr2bl w:val="nil"/>
                  </w:tcBorders>
                  <w:vAlign w:val="center"/>
                </w:tcPr>
                <w:p>
                  <w:pPr>
                    <w:jc w:val="center"/>
                    <w:rPr>
                      <w:color w:val="auto"/>
                      <w:szCs w:val="21"/>
                      <w:lang w:bidi="ar"/>
                    </w:rPr>
                  </w:pPr>
                  <w:r>
                    <w:rPr>
                      <w:rFonts w:ascii="Calibri" w:hAnsi="Calibri" w:cs="Calibri"/>
                      <w:bCs/>
                      <w:color w:val="auto"/>
                      <w:szCs w:val="21"/>
                    </w:rPr>
                    <w:t>废水处理回用装置</w:t>
                  </w:r>
                </w:p>
              </w:tc>
              <w:tc>
                <w:tcPr>
                  <w:tcW w:w="723" w:type="pct"/>
                  <w:tcBorders>
                    <w:tl2br w:val="nil"/>
                    <w:tr2bl w:val="nil"/>
                  </w:tcBorders>
                  <w:vAlign w:val="center"/>
                </w:tcPr>
                <w:p>
                  <w:pPr>
                    <w:jc w:val="center"/>
                    <w:rPr>
                      <w:b/>
                      <w:bCs/>
                      <w:color w:val="auto"/>
                      <w:szCs w:val="21"/>
                      <w:lang w:bidi="ar"/>
                    </w:rPr>
                  </w:pPr>
                  <w:r>
                    <w:rPr>
                      <w:rFonts w:ascii="Calibri" w:hAnsi="Calibri" w:cs="Calibri"/>
                      <w:bCs/>
                      <w:color w:val="auto"/>
                      <w:szCs w:val="21"/>
                    </w:rPr>
                    <w:t>2m</w:t>
                  </w:r>
                  <w:r>
                    <w:rPr>
                      <w:rFonts w:ascii="Calibri" w:hAnsi="Calibri" w:cs="Calibri"/>
                      <w:bCs/>
                      <w:color w:val="auto"/>
                      <w:szCs w:val="21"/>
                      <w:vertAlign w:val="superscript"/>
                    </w:rPr>
                    <w:t>3</w:t>
                  </w:r>
                  <w:r>
                    <w:rPr>
                      <w:rFonts w:ascii="Calibri" w:hAnsi="Calibri" w:cs="Calibri"/>
                      <w:bCs/>
                      <w:color w:val="auto"/>
                      <w:szCs w:val="21"/>
                    </w:rPr>
                    <w:t>/h</w:t>
                  </w:r>
                </w:p>
              </w:tc>
              <w:tc>
                <w:tcPr>
                  <w:tcW w:w="444" w:type="pct"/>
                  <w:tcBorders>
                    <w:tl2br w:val="nil"/>
                    <w:tr2bl w:val="nil"/>
                  </w:tcBorders>
                  <w:vAlign w:val="center"/>
                </w:tcPr>
                <w:p>
                  <w:pPr>
                    <w:jc w:val="center"/>
                    <w:rPr>
                      <w:color w:val="auto"/>
                      <w:sz w:val="24"/>
                    </w:rPr>
                  </w:pPr>
                  <w:r>
                    <w:rPr>
                      <w:rFonts w:hint="eastAsia"/>
                      <w:b w:val="0"/>
                      <w:bCs w:val="0"/>
                      <w:color w:val="auto"/>
                      <w:szCs w:val="21"/>
                      <w:lang w:val="en-US" w:eastAsia="zh-CN"/>
                    </w:rPr>
                    <w:t>0</w:t>
                  </w:r>
                </w:p>
              </w:tc>
              <w:tc>
                <w:tcPr>
                  <w:tcW w:w="471" w:type="pct"/>
                  <w:tcBorders>
                    <w:tl2br w:val="nil"/>
                    <w:tr2bl w:val="nil"/>
                  </w:tcBorders>
                  <w:vAlign w:val="center"/>
                </w:tcPr>
                <w:p>
                  <w:pPr>
                    <w:jc w:val="center"/>
                    <w:rPr>
                      <w:rFonts w:ascii="Calibri" w:hAnsi="Calibri" w:cs="Calibri"/>
                      <w:bCs/>
                      <w:color w:val="auto"/>
                      <w:szCs w:val="21"/>
                    </w:rPr>
                  </w:pPr>
                  <w:r>
                    <w:rPr>
                      <w:rFonts w:ascii="Calibri" w:hAnsi="Calibri" w:cs="Calibri"/>
                      <w:bCs/>
                      <w:color w:val="auto"/>
                      <w:szCs w:val="21"/>
                    </w:rPr>
                    <w:t>1套</w:t>
                  </w:r>
                </w:p>
              </w:tc>
              <w:tc>
                <w:tcPr>
                  <w:tcW w:w="885" w:type="dxa"/>
                  <w:tcBorders>
                    <w:tl2br w:val="nil"/>
                    <w:tr2bl w:val="nil"/>
                  </w:tcBorders>
                  <w:vAlign w:val="center"/>
                </w:tcPr>
                <w:p>
                  <w:pPr>
                    <w:jc w:val="center"/>
                    <w:rPr>
                      <w:rFonts w:ascii="Calibri" w:hAnsi="Calibri" w:cs="Calibri"/>
                      <w:bCs/>
                      <w:color w:val="auto"/>
                      <w:szCs w:val="21"/>
                    </w:rPr>
                  </w:pPr>
                  <w:r>
                    <w:rPr>
                      <w:rFonts w:hint="eastAsia" w:ascii="Calibri" w:hAnsi="Calibri" w:cs="Calibri"/>
                      <w:bCs/>
                      <w:color w:val="auto"/>
                      <w:szCs w:val="21"/>
                      <w:lang w:val="en-US" w:eastAsia="zh-CN"/>
                    </w:rPr>
                    <w:t>+</w:t>
                  </w:r>
                  <w:r>
                    <w:rPr>
                      <w:rFonts w:ascii="Calibri" w:hAnsi="Calibri" w:cs="Calibri"/>
                      <w:bCs/>
                      <w:color w:val="auto"/>
                      <w:szCs w:val="21"/>
                    </w:rPr>
                    <w:t>1套</w:t>
                  </w:r>
                </w:p>
              </w:tc>
              <w:tc>
                <w:tcPr>
                  <w:tcW w:w="667" w:type="pct"/>
                  <w:tcBorders>
                    <w:tl2br w:val="nil"/>
                    <w:tr2bl w:val="nil"/>
                  </w:tcBorders>
                  <w:vAlign w:val="center"/>
                </w:tcPr>
                <w:p>
                  <w:pPr>
                    <w:jc w:val="center"/>
                    <w:rPr>
                      <w:color w:val="auto"/>
                      <w:szCs w:val="21"/>
                    </w:rPr>
                  </w:pPr>
                  <w:r>
                    <w:rPr>
                      <w:rFonts w:ascii="Calibri" w:hAnsi="Calibri" w:cs="Calibri"/>
                      <w:color w:val="auto"/>
                      <w:szCs w:val="21"/>
                    </w:rPr>
                    <w:t>生产废水经处理后回用于生产，不外排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50</w:t>
                  </w:r>
                </w:p>
              </w:tc>
              <w:tc>
                <w:tcPr>
                  <w:tcW w:w="468" w:type="pct"/>
                  <w:vMerge w:val="restart"/>
                  <w:tcBorders>
                    <w:tl2br w:val="nil"/>
                    <w:tr2bl w:val="nil"/>
                  </w:tcBorders>
                  <w:vAlign w:val="center"/>
                </w:tcPr>
                <w:p>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五金、冲压件生产</w:t>
                  </w:r>
                </w:p>
              </w:tc>
              <w:tc>
                <w:tcPr>
                  <w:tcW w:w="468" w:type="pct"/>
                  <w:vMerge w:val="restart"/>
                  <w:tcBorders>
                    <w:tl2br w:val="nil"/>
                    <w:tr2bl w:val="nil"/>
                  </w:tcBorders>
                  <w:vAlign w:val="center"/>
                </w:tcPr>
                <w:p>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五金、冲压件生产</w:t>
                  </w:r>
                </w:p>
              </w:tc>
              <w:tc>
                <w:tcPr>
                  <w:tcW w:w="1032" w:type="pct"/>
                  <w:tcBorders>
                    <w:tl2br w:val="nil"/>
                    <w:tr2bl w:val="nil"/>
                  </w:tcBorders>
                  <w:vAlign w:val="center"/>
                </w:tcPr>
                <w:p>
                  <w:pPr>
                    <w:jc w:val="center"/>
                    <w:rPr>
                      <w:rFonts w:hint="default" w:ascii="Calibri" w:hAnsi="Calibri" w:cs="Calibri"/>
                      <w:bCs/>
                      <w:color w:val="auto"/>
                      <w:sz w:val="21"/>
                      <w:szCs w:val="21"/>
                      <w:lang w:val="en-US"/>
                    </w:rPr>
                  </w:pPr>
                  <w:r>
                    <w:rPr>
                      <w:rFonts w:hint="eastAsia"/>
                      <w:color w:val="auto"/>
                      <w:kern w:val="0"/>
                      <w:sz w:val="21"/>
                      <w:szCs w:val="21"/>
                      <w:lang w:val="en-US" w:eastAsia="zh-CN"/>
                    </w:rPr>
                    <w:t>250T闭式双点压力机</w:t>
                  </w:r>
                </w:p>
              </w:tc>
              <w:tc>
                <w:tcPr>
                  <w:tcW w:w="723" w:type="pct"/>
                  <w:tcBorders>
                    <w:tl2br w:val="nil"/>
                    <w:tr2bl w:val="nil"/>
                  </w:tcBorders>
                  <w:vAlign w:val="center"/>
                </w:tcPr>
                <w:p>
                  <w:pPr>
                    <w:jc w:val="center"/>
                    <w:rPr>
                      <w:rFonts w:ascii="Calibri" w:hAnsi="Calibri" w:cs="Calibri"/>
                      <w:bCs/>
                      <w:color w:val="auto"/>
                      <w:sz w:val="21"/>
                      <w:szCs w:val="21"/>
                    </w:rPr>
                  </w:pPr>
                  <w:r>
                    <w:rPr>
                      <w:color w:val="auto"/>
                      <w:sz w:val="21"/>
                      <w:szCs w:val="21"/>
                    </w:rPr>
                    <w:t>—</w:t>
                  </w:r>
                </w:p>
              </w:tc>
              <w:tc>
                <w:tcPr>
                  <w:tcW w:w="444"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1台</w:t>
                  </w:r>
                </w:p>
              </w:tc>
              <w:tc>
                <w:tcPr>
                  <w:tcW w:w="471" w:type="pct"/>
                  <w:tcBorders>
                    <w:tl2br w:val="nil"/>
                    <w:tr2bl w:val="nil"/>
                  </w:tcBorders>
                  <w:vAlign w:val="center"/>
                </w:tcPr>
                <w:p>
                  <w:pPr>
                    <w:jc w:val="center"/>
                    <w:rPr>
                      <w:rFonts w:hint="eastAsia" w:ascii="Calibri" w:hAnsi="Calibri" w:eastAsia="宋体" w:cs="Calibri"/>
                      <w:bCs/>
                      <w:color w:val="auto"/>
                      <w:sz w:val="21"/>
                      <w:szCs w:val="21"/>
                      <w:lang w:val="en-US" w:eastAsia="zh-CN"/>
                    </w:rPr>
                  </w:pPr>
                  <w:r>
                    <w:rPr>
                      <w:rFonts w:hint="eastAsia" w:ascii="Calibri" w:hAnsi="Calibri" w:cs="Calibri"/>
                      <w:bCs/>
                      <w:color w:val="auto"/>
                      <w:sz w:val="21"/>
                      <w:szCs w:val="21"/>
                      <w:lang w:val="en-US" w:eastAsia="zh-CN"/>
                    </w:rPr>
                    <w:t>0</w:t>
                  </w:r>
                </w:p>
              </w:tc>
              <w:tc>
                <w:tcPr>
                  <w:tcW w:w="524" w:type="pct"/>
                  <w:tcBorders>
                    <w:tl2br w:val="nil"/>
                    <w:tr2bl w:val="nil"/>
                  </w:tcBorders>
                  <w:vAlign w:val="center"/>
                </w:tcPr>
                <w:p>
                  <w:pPr>
                    <w:jc w:val="center"/>
                    <w:rPr>
                      <w:rFonts w:ascii="Calibri" w:hAnsi="Calibri" w:cs="Calibri"/>
                      <w:bCs/>
                      <w:color w:val="auto"/>
                      <w:sz w:val="21"/>
                      <w:szCs w:val="21"/>
                    </w:rPr>
                  </w:pPr>
                  <w:r>
                    <w:rPr>
                      <w:rFonts w:hint="eastAsia"/>
                      <w:color w:val="auto"/>
                      <w:sz w:val="21"/>
                      <w:szCs w:val="21"/>
                      <w:lang w:val="en-US" w:eastAsia="zh-CN"/>
                    </w:rPr>
                    <w:t>-1台</w:t>
                  </w:r>
                </w:p>
              </w:tc>
              <w:tc>
                <w:tcPr>
                  <w:tcW w:w="667" w:type="pct"/>
                  <w:vMerge w:val="restart"/>
                  <w:tcBorders>
                    <w:tl2br w:val="nil"/>
                    <w:tr2bl w:val="nil"/>
                  </w:tcBorders>
                  <w:vAlign w:val="center"/>
                </w:tcPr>
                <w:p>
                  <w:pPr>
                    <w:jc w:val="center"/>
                    <w:rPr>
                      <w:rFonts w:ascii="Calibri" w:hAnsi="Calibri" w:cs="Calibri"/>
                      <w:color w:val="auto"/>
                      <w:szCs w:val="21"/>
                    </w:rPr>
                  </w:pPr>
                  <w:r>
                    <w:rPr>
                      <w:rFonts w:hint="eastAsia"/>
                      <w:color w:val="auto"/>
                      <w:kern w:val="0"/>
                      <w:sz w:val="21"/>
                      <w:szCs w:val="21"/>
                      <w:lang w:val="en-US" w:eastAsia="zh-CN"/>
                    </w:rPr>
                    <w:t>五金、冲压件生产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51</w:t>
                  </w:r>
                </w:p>
              </w:tc>
              <w:tc>
                <w:tcPr>
                  <w:tcW w:w="468" w:type="pct"/>
                  <w:vMerge w:val="continue"/>
                  <w:tcBorders>
                    <w:tl2br w:val="nil"/>
                    <w:tr2bl w:val="nil"/>
                  </w:tcBorders>
                  <w:vAlign w:val="center"/>
                </w:tcPr>
                <w:p>
                  <w:pPr>
                    <w:widowControl/>
                    <w:jc w:val="center"/>
                    <w:rPr>
                      <w:color w:val="auto"/>
                      <w:kern w:val="0"/>
                      <w:sz w:val="21"/>
                      <w:szCs w:val="21"/>
                    </w:rPr>
                  </w:pPr>
                </w:p>
              </w:tc>
              <w:tc>
                <w:tcPr>
                  <w:tcW w:w="468" w:type="pct"/>
                  <w:vMerge w:val="continue"/>
                  <w:tcBorders>
                    <w:tl2br w:val="nil"/>
                    <w:tr2bl w:val="nil"/>
                  </w:tcBorders>
                  <w:vAlign w:val="center"/>
                </w:tcPr>
                <w:p>
                  <w:pPr>
                    <w:widowControl/>
                    <w:jc w:val="center"/>
                    <w:rPr>
                      <w:rFonts w:hint="eastAsia"/>
                      <w:color w:val="auto"/>
                      <w:kern w:val="0"/>
                      <w:sz w:val="21"/>
                      <w:szCs w:val="21"/>
                    </w:rPr>
                  </w:pPr>
                </w:p>
              </w:tc>
              <w:tc>
                <w:tcPr>
                  <w:tcW w:w="1032" w:type="pct"/>
                  <w:tcBorders>
                    <w:tl2br w:val="nil"/>
                    <w:tr2bl w:val="nil"/>
                  </w:tcBorders>
                  <w:vAlign w:val="center"/>
                </w:tcPr>
                <w:p>
                  <w:pPr>
                    <w:jc w:val="center"/>
                    <w:rPr>
                      <w:rFonts w:hint="default" w:ascii="Calibri" w:hAnsi="Calibri" w:eastAsia="宋体" w:cs="Calibri"/>
                      <w:bCs/>
                      <w:color w:val="auto"/>
                      <w:sz w:val="21"/>
                      <w:szCs w:val="21"/>
                      <w:lang w:val="en-US" w:eastAsia="zh-CN"/>
                    </w:rPr>
                  </w:pPr>
                  <w:r>
                    <w:rPr>
                      <w:rFonts w:hint="eastAsia" w:ascii="Calibri" w:hAnsi="Calibri" w:cs="Calibri"/>
                      <w:bCs/>
                      <w:color w:val="auto"/>
                      <w:sz w:val="21"/>
                      <w:szCs w:val="21"/>
                      <w:lang w:val="en-US" w:eastAsia="zh-CN"/>
                    </w:rPr>
                    <w:t>160T开式压力机</w:t>
                  </w:r>
                </w:p>
              </w:tc>
              <w:tc>
                <w:tcPr>
                  <w:tcW w:w="723" w:type="pct"/>
                  <w:tcBorders>
                    <w:tl2br w:val="nil"/>
                    <w:tr2bl w:val="nil"/>
                  </w:tcBorders>
                  <w:vAlign w:val="center"/>
                </w:tcPr>
                <w:p>
                  <w:pPr>
                    <w:jc w:val="center"/>
                    <w:rPr>
                      <w:rFonts w:ascii="Calibri" w:hAnsi="Calibri" w:cs="Calibri"/>
                      <w:bCs/>
                      <w:color w:val="auto"/>
                      <w:sz w:val="21"/>
                      <w:szCs w:val="21"/>
                    </w:rPr>
                  </w:pPr>
                  <w:r>
                    <w:rPr>
                      <w:color w:val="auto"/>
                      <w:sz w:val="21"/>
                      <w:szCs w:val="21"/>
                    </w:rPr>
                    <w:t>—</w:t>
                  </w:r>
                </w:p>
              </w:tc>
              <w:tc>
                <w:tcPr>
                  <w:tcW w:w="444" w:type="pct"/>
                  <w:tcBorders>
                    <w:tl2br w:val="nil"/>
                    <w:tr2bl w:val="nil"/>
                  </w:tcBorders>
                  <w:vAlign w:val="center"/>
                </w:tcPr>
                <w:p>
                  <w:pPr>
                    <w:jc w:val="center"/>
                    <w:rPr>
                      <w:rFonts w:hint="default" w:eastAsia="宋体"/>
                      <w:color w:val="auto"/>
                      <w:sz w:val="21"/>
                      <w:szCs w:val="21"/>
                      <w:lang w:val="en-US" w:eastAsia="zh-CN"/>
                    </w:rPr>
                  </w:pPr>
                  <w:r>
                    <w:rPr>
                      <w:rFonts w:hint="eastAsia"/>
                      <w:color w:val="auto"/>
                      <w:sz w:val="21"/>
                      <w:szCs w:val="21"/>
                      <w:lang w:val="en-US" w:eastAsia="zh-CN"/>
                    </w:rPr>
                    <w:t>3台</w:t>
                  </w:r>
                </w:p>
              </w:tc>
              <w:tc>
                <w:tcPr>
                  <w:tcW w:w="471" w:type="pct"/>
                  <w:tcBorders>
                    <w:tl2br w:val="nil"/>
                    <w:tr2bl w:val="nil"/>
                  </w:tcBorders>
                  <w:vAlign w:val="center"/>
                </w:tcPr>
                <w:p>
                  <w:pPr>
                    <w:jc w:val="center"/>
                    <w:rPr>
                      <w:rFonts w:hint="eastAsia" w:ascii="Calibri" w:hAnsi="Calibri" w:eastAsia="宋体" w:cs="Calibri"/>
                      <w:bCs/>
                      <w:color w:val="auto"/>
                      <w:sz w:val="21"/>
                      <w:szCs w:val="21"/>
                      <w:lang w:val="en-US" w:eastAsia="zh-CN"/>
                    </w:rPr>
                  </w:pPr>
                  <w:r>
                    <w:rPr>
                      <w:rFonts w:hint="eastAsia" w:ascii="Calibri" w:hAnsi="Calibri" w:cs="Calibri"/>
                      <w:bCs/>
                      <w:color w:val="auto"/>
                      <w:sz w:val="21"/>
                      <w:szCs w:val="21"/>
                      <w:lang w:val="en-US" w:eastAsia="zh-CN"/>
                    </w:rPr>
                    <w:t>0</w:t>
                  </w:r>
                </w:p>
              </w:tc>
              <w:tc>
                <w:tcPr>
                  <w:tcW w:w="524" w:type="pct"/>
                  <w:tcBorders>
                    <w:tl2br w:val="nil"/>
                    <w:tr2bl w:val="nil"/>
                  </w:tcBorders>
                  <w:vAlign w:val="center"/>
                </w:tcPr>
                <w:p>
                  <w:pPr>
                    <w:jc w:val="center"/>
                    <w:rPr>
                      <w:rFonts w:ascii="Calibri" w:hAnsi="Calibri" w:cs="Calibri"/>
                      <w:bCs/>
                      <w:color w:val="auto"/>
                      <w:sz w:val="21"/>
                      <w:szCs w:val="21"/>
                    </w:rPr>
                  </w:pPr>
                  <w:r>
                    <w:rPr>
                      <w:rFonts w:hint="eastAsia"/>
                      <w:color w:val="auto"/>
                      <w:sz w:val="21"/>
                      <w:szCs w:val="21"/>
                      <w:lang w:val="en-US" w:eastAsia="zh-CN"/>
                    </w:rPr>
                    <w:t>-3台</w:t>
                  </w:r>
                </w:p>
              </w:tc>
              <w:tc>
                <w:tcPr>
                  <w:tcW w:w="667" w:type="pct"/>
                  <w:vMerge w:val="continue"/>
                  <w:tcBorders>
                    <w:tl2br w:val="nil"/>
                    <w:tr2bl w:val="nil"/>
                  </w:tcBorders>
                  <w:vAlign w:val="center"/>
                </w:tcPr>
                <w:p>
                  <w:pPr>
                    <w:jc w:val="center"/>
                    <w:rPr>
                      <w:rFonts w:ascii="Calibri" w:hAnsi="Calibri" w:cs="Calibri"/>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52</w:t>
                  </w:r>
                </w:p>
              </w:tc>
              <w:tc>
                <w:tcPr>
                  <w:tcW w:w="468" w:type="pct"/>
                  <w:vMerge w:val="continue"/>
                  <w:tcBorders>
                    <w:bottom w:val="single" w:color="auto" w:sz="4" w:space="0"/>
                    <w:tl2br w:val="nil"/>
                    <w:tr2bl w:val="nil"/>
                  </w:tcBorders>
                  <w:vAlign w:val="center"/>
                </w:tcPr>
                <w:p>
                  <w:pPr>
                    <w:widowControl/>
                    <w:jc w:val="center"/>
                    <w:rPr>
                      <w:color w:val="auto"/>
                      <w:kern w:val="0"/>
                      <w:sz w:val="21"/>
                      <w:szCs w:val="21"/>
                    </w:rPr>
                  </w:pPr>
                </w:p>
              </w:tc>
              <w:tc>
                <w:tcPr>
                  <w:tcW w:w="468" w:type="pct"/>
                  <w:tcBorders>
                    <w:bottom w:val="single" w:color="auto" w:sz="4" w:space="0"/>
                    <w:tl2br w:val="nil"/>
                    <w:tr2bl w:val="nil"/>
                  </w:tcBorders>
                  <w:vAlign w:val="center"/>
                </w:tcPr>
                <w:p>
                  <w:pPr>
                    <w:widowControl/>
                    <w:jc w:val="center"/>
                    <w:rPr>
                      <w:rFonts w:hint="eastAsia" w:eastAsia="宋体"/>
                      <w:color w:val="auto"/>
                      <w:kern w:val="0"/>
                      <w:sz w:val="21"/>
                      <w:szCs w:val="21"/>
                      <w:lang w:val="en-US" w:eastAsia="zh-CN"/>
                    </w:rPr>
                  </w:pPr>
                  <w:r>
                    <w:rPr>
                      <w:rFonts w:hint="eastAsia"/>
                      <w:color w:val="auto"/>
                      <w:kern w:val="0"/>
                      <w:sz w:val="21"/>
                      <w:szCs w:val="21"/>
                      <w:lang w:val="en-US" w:eastAsia="zh-CN"/>
                    </w:rPr>
                    <w:t>剪板</w:t>
                  </w:r>
                </w:p>
              </w:tc>
              <w:tc>
                <w:tcPr>
                  <w:tcW w:w="1032" w:type="pct"/>
                  <w:tcBorders>
                    <w:tl2br w:val="nil"/>
                    <w:tr2bl w:val="nil"/>
                  </w:tcBorders>
                  <w:vAlign w:val="center"/>
                </w:tcPr>
                <w:p>
                  <w:pPr>
                    <w:jc w:val="center"/>
                    <w:rPr>
                      <w:rFonts w:hint="eastAsia" w:ascii="Calibri" w:hAnsi="Calibri" w:eastAsia="宋体" w:cs="Calibri"/>
                      <w:bCs/>
                      <w:color w:val="auto"/>
                      <w:sz w:val="21"/>
                      <w:szCs w:val="21"/>
                      <w:lang w:val="en-US" w:eastAsia="zh-CN"/>
                    </w:rPr>
                  </w:pPr>
                  <w:r>
                    <w:rPr>
                      <w:rFonts w:hint="eastAsia" w:ascii="Calibri" w:hAnsi="Calibri" w:cs="Calibri"/>
                      <w:bCs/>
                      <w:color w:val="auto"/>
                      <w:sz w:val="21"/>
                      <w:szCs w:val="21"/>
                      <w:lang w:val="en-US" w:eastAsia="zh-CN"/>
                    </w:rPr>
                    <w:t>剪板机</w:t>
                  </w:r>
                </w:p>
              </w:tc>
              <w:tc>
                <w:tcPr>
                  <w:tcW w:w="723" w:type="pct"/>
                  <w:tcBorders>
                    <w:tl2br w:val="nil"/>
                    <w:tr2bl w:val="nil"/>
                  </w:tcBorders>
                  <w:vAlign w:val="center"/>
                </w:tcPr>
                <w:p>
                  <w:pPr>
                    <w:jc w:val="center"/>
                    <w:rPr>
                      <w:rFonts w:ascii="Calibri" w:hAnsi="Calibri" w:cs="Calibri"/>
                      <w:bCs/>
                      <w:color w:val="auto"/>
                      <w:sz w:val="21"/>
                      <w:szCs w:val="21"/>
                    </w:rPr>
                  </w:pPr>
                  <w:r>
                    <w:rPr>
                      <w:color w:val="auto"/>
                      <w:sz w:val="21"/>
                      <w:szCs w:val="21"/>
                    </w:rPr>
                    <w:t>—</w:t>
                  </w:r>
                </w:p>
              </w:tc>
              <w:tc>
                <w:tcPr>
                  <w:tcW w:w="444" w:type="pct"/>
                  <w:tcBorders>
                    <w:tl2br w:val="nil"/>
                    <w:tr2bl w:val="nil"/>
                  </w:tcBorders>
                  <w:vAlign w:val="center"/>
                </w:tcPr>
                <w:p>
                  <w:pPr>
                    <w:jc w:val="center"/>
                    <w:rPr>
                      <w:color w:val="auto"/>
                      <w:sz w:val="21"/>
                      <w:szCs w:val="21"/>
                    </w:rPr>
                  </w:pPr>
                  <w:r>
                    <w:rPr>
                      <w:rFonts w:hint="eastAsia"/>
                      <w:color w:val="auto"/>
                      <w:sz w:val="21"/>
                      <w:szCs w:val="21"/>
                      <w:lang w:val="en-US" w:eastAsia="zh-CN"/>
                    </w:rPr>
                    <w:t>1台</w:t>
                  </w:r>
                </w:p>
              </w:tc>
              <w:tc>
                <w:tcPr>
                  <w:tcW w:w="471" w:type="pct"/>
                  <w:tcBorders>
                    <w:tl2br w:val="nil"/>
                    <w:tr2bl w:val="nil"/>
                  </w:tcBorders>
                  <w:vAlign w:val="center"/>
                </w:tcPr>
                <w:p>
                  <w:pPr>
                    <w:jc w:val="center"/>
                    <w:rPr>
                      <w:rFonts w:hint="eastAsia" w:ascii="Calibri" w:hAnsi="Calibri" w:eastAsia="宋体" w:cs="Calibri"/>
                      <w:bCs/>
                      <w:color w:val="auto"/>
                      <w:sz w:val="21"/>
                      <w:szCs w:val="21"/>
                      <w:lang w:val="en-US" w:eastAsia="zh-CN"/>
                    </w:rPr>
                  </w:pPr>
                  <w:r>
                    <w:rPr>
                      <w:rFonts w:hint="eastAsia" w:ascii="Calibri" w:hAnsi="Calibri" w:cs="Calibri"/>
                      <w:bCs/>
                      <w:color w:val="auto"/>
                      <w:sz w:val="21"/>
                      <w:szCs w:val="21"/>
                      <w:lang w:val="en-US" w:eastAsia="zh-CN"/>
                    </w:rPr>
                    <w:t>0</w:t>
                  </w:r>
                </w:p>
              </w:tc>
              <w:tc>
                <w:tcPr>
                  <w:tcW w:w="524" w:type="pct"/>
                  <w:tcBorders>
                    <w:tl2br w:val="nil"/>
                    <w:tr2bl w:val="nil"/>
                  </w:tcBorders>
                  <w:vAlign w:val="center"/>
                </w:tcPr>
                <w:p>
                  <w:pPr>
                    <w:jc w:val="center"/>
                    <w:rPr>
                      <w:rFonts w:ascii="Calibri" w:hAnsi="Calibri" w:cs="Calibri"/>
                      <w:bCs/>
                      <w:color w:val="auto"/>
                      <w:sz w:val="21"/>
                      <w:szCs w:val="21"/>
                    </w:rPr>
                  </w:pPr>
                  <w:r>
                    <w:rPr>
                      <w:rFonts w:hint="eastAsia"/>
                      <w:color w:val="auto"/>
                      <w:sz w:val="21"/>
                      <w:szCs w:val="21"/>
                      <w:lang w:val="en-US" w:eastAsia="zh-CN"/>
                    </w:rPr>
                    <w:t>-1台</w:t>
                  </w:r>
                </w:p>
              </w:tc>
              <w:tc>
                <w:tcPr>
                  <w:tcW w:w="667" w:type="pct"/>
                  <w:tcBorders>
                    <w:tl2br w:val="nil"/>
                    <w:tr2bl w:val="nil"/>
                  </w:tcBorders>
                  <w:vAlign w:val="center"/>
                </w:tcPr>
                <w:p>
                  <w:pPr>
                    <w:jc w:val="center"/>
                    <w:rPr>
                      <w:rFonts w:hint="eastAsia" w:ascii="Calibri" w:hAnsi="Calibri" w:eastAsia="宋体" w:cs="Calibri"/>
                      <w:color w:val="auto"/>
                      <w:szCs w:val="21"/>
                      <w:lang w:val="en-US" w:eastAsia="zh-CN"/>
                    </w:rPr>
                  </w:pPr>
                  <w:r>
                    <w:rPr>
                      <w:rFonts w:hint="eastAsia" w:ascii="Calibri" w:hAnsi="Calibri" w:cs="Calibri"/>
                      <w:color w:val="auto"/>
                      <w:szCs w:val="21"/>
                      <w:lang w:val="en-US" w:eastAsia="zh-CN"/>
                    </w:rPr>
                    <w:t>剪板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53</w:t>
                  </w:r>
                </w:p>
              </w:tc>
              <w:tc>
                <w:tcPr>
                  <w:tcW w:w="468" w:type="pct"/>
                  <w:vMerge w:val="restart"/>
                  <w:tcBorders>
                    <w:top w:val="single" w:color="auto" w:sz="4" w:space="0"/>
                    <w:tl2br w:val="nil"/>
                    <w:tr2bl w:val="nil"/>
                  </w:tcBorders>
                  <w:vAlign w:val="center"/>
                </w:tcPr>
                <w:p>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公辅设施</w:t>
                  </w:r>
                </w:p>
              </w:tc>
              <w:tc>
                <w:tcPr>
                  <w:tcW w:w="468" w:type="pct"/>
                  <w:vMerge w:val="restart"/>
                  <w:tcBorders>
                    <w:top w:val="single" w:color="auto" w:sz="4" w:space="0"/>
                    <w:tl2br w:val="nil"/>
                    <w:tr2bl w:val="nil"/>
                  </w:tcBorders>
                  <w:vAlign w:val="center"/>
                </w:tcPr>
                <w:p>
                  <w:pPr>
                    <w:widowControl/>
                    <w:jc w:val="center"/>
                    <w:rPr>
                      <w:rFonts w:hint="eastAsia"/>
                      <w:color w:val="auto"/>
                      <w:kern w:val="0"/>
                      <w:sz w:val="21"/>
                      <w:szCs w:val="21"/>
                    </w:rPr>
                  </w:pPr>
                  <w:r>
                    <w:rPr>
                      <w:rFonts w:hint="eastAsia"/>
                      <w:color w:val="auto"/>
                      <w:kern w:val="0"/>
                      <w:sz w:val="21"/>
                      <w:szCs w:val="21"/>
                      <w:lang w:val="en-US" w:eastAsia="zh-CN"/>
                    </w:rPr>
                    <w:t>公辅设施</w:t>
                  </w:r>
                </w:p>
              </w:tc>
              <w:tc>
                <w:tcPr>
                  <w:tcW w:w="1032" w:type="pct"/>
                  <w:tcBorders>
                    <w:tl2br w:val="nil"/>
                    <w:tr2bl w:val="nil"/>
                  </w:tcBorders>
                  <w:vAlign w:val="center"/>
                </w:tcPr>
                <w:p>
                  <w:pPr>
                    <w:jc w:val="center"/>
                    <w:rPr>
                      <w:rFonts w:hint="default" w:ascii="Calibri" w:hAnsi="Calibri" w:eastAsia="宋体" w:cs="Calibri"/>
                      <w:bCs/>
                      <w:color w:val="auto"/>
                      <w:sz w:val="21"/>
                      <w:szCs w:val="21"/>
                      <w:lang w:val="en-US" w:eastAsia="zh-CN"/>
                    </w:rPr>
                  </w:pPr>
                  <w:r>
                    <w:rPr>
                      <w:rFonts w:hint="eastAsia" w:ascii="Calibri" w:hAnsi="Calibri" w:cs="Calibri"/>
                      <w:bCs/>
                      <w:color w:val="auto"/>
                      <w:sz w:val="21"/>
                      <w:szCs w:val="21"/>
                      <w:lang w:val="en-US" w:eastAsia="zh-CN"/>
                    </w:rPr>
                    <w:t>3T叉车</w:t>
                  </w:r>
                </w:p>
              </w:tc>
              <w:tc>
                <w:tcPr>
                  <w:tcW w:w="723" w:type="pct"/>
                  <w:tcBorders>
                    <w:tl2br w:val="nil"/>
                    <w:tr2bl w:val="nil"/>
                  </w:tcBorders>
                  <w:vAlign w:val="center"/>
                </w:tcPr>
                <w:p>
                  <w:pPr>
                    <w:jc w:val="center"/>
                    <w:rPr>
                      <w:rFonts w:ascii="Calibri" w:hAnsi="Calibri" w:cs="Calibri"/>
                      <w:bCs/>
                      <w:color w:val="auto"/>
                      <w:sz w:val="21"/>
                      <w:szCs w:val="21"/>
                    </w:rPr>
                  </w:pPr>
                  <w:r>
                    <w:rPr>
                      <w:color w:val="auto"/>
                      <w:sz w:val="21"/>
                      <w:szCs w:val="21"/>
                    </w:rPr>
                    <w:t>—</w:t>
                  </w:r>
                </w:p>
              </w:tc>
              <w:tc>
                <w:tcPr>
                  <w:tcW w:w="444" w:type="pct"/>
                  <w:tcBorders>
                    <w:tl2br w:val="nil"/>
                    <w:tr2bl w:val="nil"/>
                  </w:tcBorders>
                  <w:vAlign w:val="center"/>
                </w:tcPr>
                <w:p>
                  <w:pPr>
                    <w:jc w:val="center"/>
                    <w:rPr>
                      <w:color w:val="auto"/>
                      <w:sz w:val="21"/>
                      <w:szCs w:val="21"/>
                    </w:rPr>
                  </w:pPr>
                  <w:r>
                    <w:rPr>
                      <w:rFonts w:hint="eastAsia"/>
                      <w:color w:val="auto"/>
                      <w:sz w:val="21"/>
                      <w:szCs w:val="21"/>
                      <w:lang w:val="en-US" w:eastAsia="zh-CN"/>
                    </w:rPr>
                    <w:t>1台</w:t>
                  </w:r>
                </w:p>
              </w:tc>
              <w:tc>
                <w:tcPr>
                  <w:tcW w:w="471" w:type="pct"/>
                  <w:tcBorders>
                    <w:tl2br w:val="nil"/>
                    <w:tr2bl w:val="nil"/>
                  </w:tcBorders>
                  <w:vAlign w:val="center"/>
                </w:tcPr>
                <w:p>
                  <w:pPr>
                    <w:jc w:val="center"/>
                    <w:rPr>
                      <w:rFonts w:hint="eastAsia" w:ascii="Calibri" w:hAnsi="Calibri" w:eastAsia="宋体" w:cs="Calibri"/>
                      <w:bCs/>
                      <w:color w:val="auto"/>
                      <w:sz w:val="21"/>
                      <w:szCs w:val="21"/>
                      <w:lang w:val="en-US" w:eastAsia="zh-CN"/>
                    </w:rPr>
                  </w:pPr>
                  <w:r>
                    <w:rPr>
                      <w:rFonts w:hint="eastAsia" w:ascii="Calibri" w:hAnsi="Calibri" w:cs="Calibri"/>
                      <w:bCs/>
                      <w:color w:val="auto"/>
                      <w:sz w:val="21"/>
                      <w:szCs w:val="21"/>
                      <w:lang w:val="en-US" w:eastAsia="zh-CN"/>
                    </w:rPr>
                    <w:t>0</w:t>
                  </w:r>
                </w:p>
              </w:tc>
              <w:tc>
                <w:tcPr>
                  <w:tcW w:w="524" w:type="pct"/>
                  <w:tcBorders>
                    <w:tl2br w:val="nil"/>
                    <w:tr2bl w:val="nil"/>
                  </w:tcBorders>
                  <w:vAlign w:val="center"/>
                </w:tcPr>
                <w:p>
                  <w:pPr>
                    <w:jc w:val="center"/>
                    <w:rPr>
                      <w:rFonts w:ascii="Calibri" w:hAnsi="Calibri" w:cs="Calibri"/>
                      <w:bCs/>
                      <w:color w:val="auto"/>
                      <w:sz w:val="21"/>
                      <w:szCs w:val="21"/>
                    </w:rPr>
                  </w:pPr>
                  <w:r>
                    <w:rPr>
                      <w:rFonts w:hint="eastAsia"/>
                      <w:color w:val="auto"/>
                      <w:sz w:val="21"/>
                      <w:szCs w:val="21"/>
                      <w:lang w:val="en-US" w:eastAsia="zh-CN"/>
                    </w:rPr>
                    <w:t>-1台</w:t>
                  </w:r>
                </w:p>
              </w:tc>
              <w:tc>
                <w:tcPr>
                  <w:tcW w:w="667" w:type="pct"/>
                  <w:vMerge w:val="restart"/>
                  <w:tcBorders>
                    <w:tl2br w:val="nil"/>
                    <w:tr2bl w:val="nil"/>
                  </w:tcBorders>
                  <w:vAlign w:val="center"/>
                </w:tcPr>
                <w:p>
                  <w:pPr>
                    <w:jc w:val="center"/>
                    <w:rPr>
                      <w:rFonts w:ascii="Calibri" w:hAnsi="Calibri" w:cs="Calibri"/>
                      <w:color w:val="auto"/>
                      <w:szCs w:val="21"/>
                    </w:rPr>
                  </w:pPr>
                  <w:r>
                    <w:rPr>
                      <w:rFonts w:hint="eastAsia"/>
                      <w:color w:val="auto"/>
                      <w:kern w:val="0"/>
                      <w:sz w:val="21"/>
                      <w:szCs w:val="21"/>
                      <w:lang w:val="en-US" w:eastAsia="zh-CN"/>
                    </w:rPr>
                    <w:t>公辅设施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198" w:type="pct"/>
                  <w:tcBorders>
                    <w:tl2br w:val="nil"/>
                    <w:tr2bl w:val="nil"/>
                  </w:tcBorders>
                  <w:vAlign w:val="center"/>
                </w:tcPr>
                <w:p>
                  <w:pPr>
                    <w:widowControl/>
                    <w:jc w:val="center"/>
                    <w:rPr>
                      <w:rFonts w:hint="default" w:eastAsia="宋体"/>
                      <w:color w:val="auto"/>
                      <w:kern w:val="0"/>
                      <w:szCs w:val="21"/>
                      <w:lang w:val="en-US" w:eastAsia="zh-CN"/>
                    </w:rPr>
                  </w:pPr>
                  <w:r>
                    <w:rPr>
                      <w:rFonts w:hint="eastAsia"/>
                      <w:color w:val="auto"/>
                      <w:kern w:val="0"/>
                      <w:szCs w:val="21"/>
                      <w:lang w:val="en-US" w:eastAsia="zh-CN"/>
                    </w:rPr>
                    <w:t>54</w:t>
                  </w:r>
                </w:p>
              </w:tc>
              <w:tc>
                <w:tcPr>
                  <w:tcW w:w="468" w:type="pct"/>
                  <w:vMerge w:val="continue"/>
                  <w:tcBorders>
                    <w:tl2br w:val="nil"/>
                    <w:tr2bl w:val="nil"/>
                  </w:tcBorders>
                  <w:vAlign w:val="center"/>
                </w:tcPr>
                <w:p>
                  <w:pPr>
                    <w:widowControl/>
                    <w:jc w:val="center"/>
                    <w:rPr>
                      <w:color w:val="auto"/>
                      <w:kern w:val="0"/>
                      <w:sz w:val="21"/>
                      <w:szCs w:val="21"/>
                    </w:rPr>
                  </w:pPr>
                </w:p>
              </w:tc>
              <w:tc>
                <w:tcPr>
                  <w:tcW w:w="468" w:type="pct"/>
                  <w:vMerge w:val="continue"/>
                  <w:tcBorders>
                    <w:tl2br w:val="nil"/>
                    <w:tr2bl w:val="nil"/>
                  </w:tcBorders>
                  <w:vAlign w:val="center"/>
                </w:tcPr>
                <w:p>
                  <w:pPr>
                    <w:widowControl/>
                    <w:jc w:val="center"/>
                    <w:rPr>
                      <w:rFonts w:hint="eastAsia"/>
                      <w:color w:val="auto"/>
                      <w:kern w:val="0"/>
                      <w:sz w:val="21"/>
                      <w:szCs w:val="21"/>
                    </w:rPr>
                  </w:pPr>
                </w:p>
              </w:tc>
              <w:tc>
                <w:tcPr>
                  <w:tcW w:w="1032" w:type="pct"/>
                  <w:tcBorders>
                    <w:tl2br w:val="nil"/>
                    <w:tr2bl w:val="nil"/>
                  </w:tcBorders>
                  <w:vAlign w:val="center"/>
                </w:tcPr>
                <w:p>
                  <w:pPr>
                    <w:jc w:val="center"/>
                    <w:rPr>
                      <w:rFonts w:hint="eastAsia" w:ascii="Calibri" w:hAnsi="Calibri" w:eastAsia="宋体" w:cs="Calibri"/>
                      <w:bCs/>
                      <w:color w:val="auto"/>
                      <w:sz w:val="21"/>
                      <w:szCs w:val="21"/>
                      <w:lang w:val="en-US" w:eastAsia="zh-CN"/>
                    </w:rPr>
                  </w:pPr>
                  <w:r>
                    <w:rPr>
                      <w:rFonts w:hint="eastAsia" w:ascii="Calibri" w:hAnsi="Calibri" w:cs="Calibri"/>
                      <w:bCs/>
                      <w:color w:val="auto"/>
                      <w:sz w:val="21"/>
                      <w:szCs w:val="21"/>
                      <w:lang w:val="en-US" w:eastAsia="zh-CN"/>
                    </w:rPr>
                    <w:t>空压机</w:t>
                  </w:r>
                </w:p>
              </w:tc>
              <w:tc>
                <w:tcPr>
                  <w:tcW w:w="723" w:type="pct"/>
                  <w:tcBorders>
                    <w:tl2br w:val="nil"/>
                    <w:tr2bl w:val="nil"/>
                  </w:tcBorders>
                  <w:vAlign w:val="center"/>
                </w:tcPr>
                <w:p>
                  <w:pPr>
                    <w:jc w:val="center"/>
                    <w:rPr>
                      <w:rFonts w:ascii="Calibri" w:hAnsi="Calibri" w:cs="Calibri"/>
                      <w:bCs/>
                      <w:color w:val="auto"/>
                      <w:sz w:val="21"/>
                      <w:szCs w:val="21"/>
                    </w:rPr>
                  </w:pPr>
                  <w:r>
                    <w:rPr>
                      <w:color w:val="auto"/>
                      <w:sz w:val="21"/>
                      <w:szCs w:val="21"/>
                    </w:rPr>
                    <w:t>—</w:t>
                  </w:r>
                </w:p>
              </w:tc>
              <w:tc>
                <w:tcPr>
                  <w:tcW w:w="444" w:type="pct"/>
                  <w:tcBorders>
                    <w:tl2br w:val="nil"/>
                    <w:tr2bl w:val="nil"/>
                  </w:tcBorders>
                  <w:vAlign w:val="center"/>
                </w:tcPr>
                <w:p>
                  <w:pPr>
                    <w:jc w:val="center"/>
                    <w:rPr>
                      <w:color w:val="auto"/>
                      <w:sz w:val="21"/>
                      <w:szCs w:val="21"/>
                    </w:rPr>
                  </w:pPr>
                  <w:r>
                    <w:rPr>
                      <w:rFonts w:hint="eastAsia"/>
                      <w:color w:val="auto"/>
                      <w:sz w:val="21"/>
                      <w:szCs w:val="21"/>
                      <w:lang w:val="en-US" w:eastAsia="zh-CN"/>
                    </w:rPr>
                    <w:t>1台</w:t>
                  </w:r>
                </w:p>
              </w:tc>
              <w:tc>
                <w:tcPr>
                  <w:tcW w:w="471" w:type="pct"/>
                  <w:tcBorders>
                    <w:tl2br w:val="nil"/>
                    <w:tr2bl w:val="nil"/>
                  </w:tcBorders>
                  <w:vAlign w:val="center"/>
                </w:tcPr>
                <w:p>
                  <w:pPr>
                    <w:jc w:val="center"/>
                    <w:rPr>
                      <w:rFonts w:hint="eastAsia" w:ascii="Calibri" w:hAnsi="Calibri" w:eastAsia="宋体" w:cs="Calibri"/>
                      <w:bCs/>
                      <w:color w:val="auto"/>
                      <w:sz w:val="21"/>
                      <w:szCs w:val="21"/>
                      <w:lang w:val="en-US" w:eastAsia="zh-CN"/>
                    </w:rPr>
                  </w:pPr>
                  <w:r>
                    <w:rPr>
                      <w:rFonts w:hint="eastAsia" w:ascii="Calibri" w:hAnsi="Calibri" w:cs="Calibri"/>
                      <w:bCs/>
                      <w:color w:val="auto"/>
                      <w:sz w:val="21"/>
                      <w:szCs w:val="21"/>
                      <w:lang w:val="en-US" w:eastAsia="zh-CN"/>
                    </w:rPr>
                    <w:t>0</w:t>
                  </w:r>
                </w:p>
              </w:tc>
              <w:tc>
                <w:tcPr>
                  <w:tcW w:w="524" w:type="pct"/>
                  <w:tcBorders>
                    <w:tl2br w:val="nil"/>
                    <w:tr2bl w:val="nil"/>
                  </w:tcBorders>
                  <w:vAlign w:val="center"/>
                </w:tcPr>
                <w:p>
                  <w:pPr>
                    <w:jc w:val="center"/>
                    <w:rPr>
                      <w:rFonts w:ascii="Calibri" w:hAnsi="Calibri" w:cs="Calibri"/>
                      <w:bCs/>
                      <w:color w:val="auto"/>
                      <w:sz w:val="21"/>
                      <w:szCs w:val="21"/>
                    </w:rPr>
                  </w:pPr>
                  <w:r>
                    <w:rPr>
                      <w:rFonts w:hint="eastAsia"/>
                      <w:color w:val="auto"/>
                      <w:sz w:val="21"/>
                      <w:szCs w:val="21"/>
                      <w:lang w:val="en-US" w:eastAsia="zh-CN"/>
                    </w:rPr>
                    <w:t>-1台</w:t>
                  </w:r>
                </w:p>
              </w:tc>
              <w:tc>
                <w:tcPr>
                  <w:tcW w:w="667" w:type="pct"/>
                  <w:vMerge w:val="continue"/>
                  <w:tcBorders>
                    <w:tl2br w:val="nil"/>
                    <w:tr2bl w:val="nil"/>
                  </w:tcBorders>
                  <w:vAlign w:val="center"/>
                </w:tcPr>
                <w:p>
                  <w:pPr>
                    <w:jc w:val="center"/>
                    <w:rPr>
                      <w:rFonts w:ascii="Calibri" w:hAnsi="Calibri" w:cs="Calibri"/>
                      <w:color w:val="auto"/>
                      <w:szCs w:val="21"/>
                    </w:rPr>
                  </w:pPr>
                </w:p>
              </w:tc>
            </w:tr>
          </w:tbl>
          <w:p>
            <w:pPr>
              <w:pStyle w:val="15"/>
              <w:keepNext w:val="0"/>
              <w:keepLines w:val="0"/>
              <w:pageBreakBefore w:val="0"/>
              <w:widowControl w:val="0"/>
              <w:tabs>
                <w:tab w:val="left" w:pos="3400"/>
              </w:tabs>
              <w:kinsoku/>
              <w:wordWrap/>
              <w:overflowPunct/>
              <w:topLinePunct w:val="0"/>
              <w:autoSpaceDE/>
              <w:autoSpaceDN/>
              <w:bidi w:val="0"/>
              <w:adjustRightInd/>
              <w:snapToGrid/>
              <w:ind w:firstLine="0" w:firstLineChars="0"/>
              <w:textAlignment w:val="auto"/>
              <w:rPr>
                <w:rFonts w:ascii="Calibri" w:hAnsi="Calibri" w:cs="Calibri"/>
                <w:b/>
                <w:bCs/>
                <w:color w:val="auto"/>
              </w:rPr>
            </w:pPr>
            <w:r>
              <w:rPr>
                <w:rFonts w:ascii="Calibri" w:hAnsi="Calibri" w:cs="Calibri"/>
                <w:b/>
                <w:bCs/>
                <w:color w:val="auto"/>
              </w:rPr>
              <w:t>7、项目用排水平衡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ins w:id="379" w:author="admin" w:date="2022-12-27T14:45:00Z"/>
                <w:rFonts w:ascii="Calibri" w:hAnsi="Calibri" w:cs="Calibri"/>
                <w:color w:val="auto"/>
                <w:sz w:val="24"/>
              </w:rPr>
            </w:pPr>
            <w:r>
              <w:rPr>
                <w:rFonts w:ascii="Calibri" w:hAnsi="Calibri" w:cs="Calibri"/>
                <w:color w:val="auto"/>
                <w:sz w:val="24"/>
              </w:rPr>
              <w:t>本项目用水主要为</w:t>
            </w:r>
            <w:r>
              <w:rPr>
                <w:rFonts w:hint="eastAsia" w:ascii="Calibri" w:hAnsi="Calibri" w:cs="Calibri"/>
                <w:color w:val="auto"/>
                <w:sz w:val="24"/>
              </w:rPr>
              <w:t>员工生活用水、生产用水。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Calibri" w:hAnsi="Calibri" w:cs="Calibri"/>
                <w:color w:val="auto"/>
                <w:sz w:val="24"/>
              </w:rPr>
            </w:pPr>
            <w:r>
              <w:rPr>
                <w:rFonts w:hint="eastAsia" w:ascii="Calibri" w:hAnsi="Calibri" w:cs="Calibri"/>
                <w:color w:val="auto"/>
                <w:sz w:val="24"/>
              </w:rPr>
              <w:t>生产用水包括</w:t>
            </w:r>
            <w:r>
              <w:rPr>
                <w:rFonts w:ascii="Calibri" w:hAnsi="Calibri" w:cs="Calibri"/>
                <w:color w:val="auto"/>
                <w:sz w:val="24"/>
              </w:rPr>
              <w:t>纯水制备</w:t>
            </w:r>
            <w:r>
              <w:rPr>
                <w:rFonts w:hint="eastAsia" w:ascii="Calibri" w:hAnsi="Calibri" w:cs="Calibri"/>
                <w:color w:val="auto"/>
                <w:sz w:val="24"/>
              </w:rPr>
              <w:t>用水（包括设备</w:t>
            </w:r>
            <w:r>
              <w:rPr>
                <w:rFonts w:ascii="Calibri" w:hAnsi="Calibri" w:cs="Calibri"/>
                <w:color w:val="auto"/>
                <w:sz w:val="24"/>
              </w:rPr>
              <w:t>反冲洗水</w:t>
            </w:r>
            <w:r>
              <w:rPr>
                <w:rFonts w:hint="eastAsia" w:ascii="Calibri" w:hAnsi="Calibri" w:cs="Calibri"/>
                <w:color w:val="auto"/>
                <w:sz w:val="24"/>
              </w:rPr>
              <w:t>）、喷粉生产线配槽用水（包括预脱脂、脱脂槽、陶化配槽用水）、水洗用水</w:t>
            </w:r>
            <w:r>
              <w:rPr>
                <w:rFonts w:ascii="Calibri" w:hAnsi="Calibri" w:cs="Calibri"/>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Calibri" w:hAnsi="Calibri" w:cs="Calibri"/>
                <w:b/>
                <w:bCs/>
                <w:color w:val="auto"/>
                <w:sz w:val="24"/>
              </w:rPr>
            </w:pPr>
            <w:r>
              <w:rPr>
                <w:rFonts w:hint="eastAsia" w:ascii="Calibri" w:hAnsi="Calibri" w:cs="Calibri"/>
                <w:b/>
                <w:bCs/>
                <w:color w:val="auto"/>
                <w:sz w:val="24"/>
              </w:rPr>
              <w:t>（1）</w:t>
            </w:r>
            <w:r>
              <w:rPr>
                <w:rFonts w:ascii="Calibri" w:hAnsi="Calibri" w:cs="Calibri"/>
                <w:b/>
                <w:bCs/>
                <w:color w:val="auto"/>
                <w:sz w:val="24"/>
              </w:rPr>
              <w:t>生活用水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Calibri" w:hAnsi="Calibri" w:cs="Calibri"/>
                <w:color w:val="auto"/>
              </w:rPr>
            </w:pPr>
            <w:r>
              <w:rPr>
                <w:rFonts w:hint="default" w:ascii="Times New Roman" w:hAnsi="Times New Roman" w:cs="Times New Roman"/>
                <w:color w:val="auto"/>
                <w:sz w:val="24"/>
              </w:rPr>
              <w:t>按照国家《建筑给水排水设计标准》（2019版），工业企业建筑、管理人员、车间工人生活用水定额建筑给水排水设计规范为30～50L/人•班，本报告采用50L/人•班计。本项目有职工140人，双班制生产，全年工作300天，生活用水的总量</w:t>
            </w:r>
          </w:p>
        </w:tc>
      </w:tr>
    </w:tbl>
    <w:p>
      <w:pPr>
        <w:rPr>
          <w:color w:val="auto"/>
        </w:rPr>
      </w:pPr>
      <w:r>
        <w:rPr>
          <w:color w:val="auto"/>
        </w:rPr>
        <w:br w:type="page"/>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widowControl/>
              <w:jc w:val="left"/>
              <w:rPr>
                <w:rFonts w:ascii="Calibri" w:hAnsi="Calibri" w:cs="Calibri"/>
                <w:color w:val="auto"/>
              </w:rPr>
            </w:pPr>
            <w:r>
              <w:rPr>
                <w:rFonts w:hint="eastAsia" w:ascii="Calibri" w:hAnsi="Calibri" w:cs="Calibri"/>
                <w:color w:val="auto"/>
              </w:rPr>
              <w:t>建设内容</w:t>
            </w:r>
          </w:p>
        </w:tc>
        <w:tc>
          <w:tcPr>
            <w:tcW w:w="7875"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Calibri" w:hAnsi="Calibri" w:cs="Calibri"/>
                <w:color w:val="auto"/>
                <w:sz w:val="24"/>
              </w:rPr>
            </w:pPr>
            <w:r>
              <w:rPr>
                <w:rFonts w:hint="default" w:ascii="Times New Roman" w:hAnsi="Times New Roman" w:cs="Times New Roman"/>
                <w:color w:val="auto"/>
                <w:sz w:val="24"/>
              </w:rPr>
              <w:t>为2100t/a。污水产生量按用水量的90%计算，损耗按10%计算。</w:t>
            </w:r>
          </w:p>
          <w:p>
            <w:pPr>
              <w:pStyle w:val="24"/>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（2）生产用水</w:t>
            </w:r>
          </w:p>
          <w:p>
            <w:pPr>
              <w:widowControl/>
              <w:spacing w:line="360" w:lineRule="auto"/>
              <w:ind w:firstLine="480" w:firstLineChars="200"/>
              <w:jc w:val="left"/>
              <w:rPr>
                <w:rFonts w:ascii="Calibri" w:hAnsi="Calibri" w:cs="Calibri"/>
                <w:color w:val="auto"/>
                <w:sz w:val="24"/>
              </w:rPr>
            </w:pPr>
            <w:r>
              <w:rPr>
                <w:rFonts w:ascii="Calibri" w:hAnsi="Calibri" w:cs="Calibri"/>
                <w:color w:val="auto"/>
                <w:kern w:val="0"/>
                <w:sz w:val="24"/>
                <w:lang w:bidi="ar"/>
              </w:rPr>
              <w:t>喷粉前处理</w:t>
            </w:r>
            <w:r>
              <w:rPr>
                <w:rFonts w:hint="eastAsia" w:ascii="Calibri" w:hAnsi="Calibri" w:cs="Calibri"/>
                <w:color w:val="auto"/>
                <w:kern w:val="0"/>
                <w:sz w:val="24"/>
                <w:lang w:bidi="ar"/>
              </w:rPr>
              <w:t>工艺采用</w:t>
            </w:r>
            <w:r>
              <w:rPr>
                <w:rFonts w:ascii="Calibri" w:hAnsi="Calibri" w:cs="Calibri"/>
                <w:color w:val="auto"/>
                <w:kern w:val="0"/>
                <w:sz w:val="24"/>
                <w:lang w:bidi="ar"/>
              </w:rPr>
              <w:t>连续通过式喷淋清洗，</w:t>
            </w:r>
            <w:r>
              <w:rPr>
                <w:rFonts w:hint="eastAsia" w:ascii="Calibri" w:hAnsi="Calibri" w:cs="Calibri"/>
                <w:color w:val="auto"/>
                <w:kern w:val="0"/>
                <w:sz w:val="24"/>
                <w:lang w:bidi="ar"/>
              </w:rPr>
              <w:t>水洗采用</w:t>
            </w:r>
            <w:r>
              <w:rPr>
                <w:rFonts w:ascii="Calibri" w:hAnsi="Calibri" w:cs="Calibri"/>
                <w:color w:val="auto"/>
                <w:kern w:val="0"/>
                <w:sz w:val="24"/>
                <w:lang w:bidi="ar"/>
              </w:rPr>
              <w:t>“逆流漂洗”，以提高水的利用率。</w:t>
            </w:r>
          </w:p>
          <w:p>
            <w:pPr>
              <w:pStyle w:val="24"/>
              <w:spacing w:line="360" w:lineRule="auto"/>
              <w:ind w:firstLine="480" w:firstLineChars="200"/>
              <w:rPr>
                <w:rFonts w:ascii="Times New Roman" w:hAnsi="Times New Roman" w:eastAsia="宋体" w:cs="Times New Roman"/>
                <w:b w:val="0"/>
                <w:bCs w:val="0"/>
                <w:color w:val="auto"/>
                <w:sz w:val="24"/>
                <w:szCs w:val="24"/>
              </w:rPr>
            </w:pPr>
            <w:r>
              <w:rPr>
                <w:rFonts w:ascii="Times New Roman" w:hAnsi="Times New Roman" w:eastAsia="宋体" w:cs="Times New Roman"/>
                <w:b w:val="0"/>
                <w:bCs w:val="0"/>
                <w:color w:val="auto"/>
                <w:sz w:val="24"/>
                <w:szCs w:val="24"/>
              </w:rPr>
              <w:t>这些</w:t>
            </w:r>
            <w:r>
              <w:rPr>
                <w:rFonts w:hint="eastAsia" w:ascii="Times New Roman" w:hAnsi="Times New Roman" w:eastAsia="宋体" w:cs="Times New Roman"/>
                <w:b w:val="0"/>
                <w:bCs w:val="0"/>
                <w:color w:val="auto"/>
                <w:sz w:val="24"/>
                <w:szCs w:val="24"/>
              </w:rPr>
              <w:t>清槽废水、水</w:t>
            </w:r>
            <w:r>
              <w:rPr>
                <w:rFonts w:ascii="Times New Roman" w:hAnsi="Times New Roman" w:eastAsia="宋体" w:cs="Times New Roman"/>
                <w:b w:val="0"/>
                <w:bCs w:val="0"/>
                <w:color w:val="auto"/>
                <w:sz w:val="24"/>
                <w:szCs w:val="24"/>
              </w:rPr>
              <w:t>洗水排入污水处理站做废水处理。</w:t>
            </w:r>
          </w:p>
          <w:p>
            <w:pPr>
              <w:pStyle w:val="24"/>
              <w:spacing w:line="360" w:lineRule="auto"/>
              <w:ind w:firstLine="482" w:firstLineChars="200"/>
              <w:rPr>
                <w:rFonts w:ascii="Times New Roman" w:hAnsi="Times New Roman" w:eastAsia="宋体" w:cs="Times New Roman"/>
                <w:color w:val="auto"/>
                <w:sz w:val="24"/>
                <w:szCs w:val="24"/>
              </w:rPr>
            </w:pPr>
            <w:r>
              <w:rPr>
                <w:rFonts w:ascii="Times New Roman" w:hAnsi="Times New Roman" w:cs="Times New Roman"/>
                <w:color w:val="auto"/>
                <w:sz w:val="24"/>
              </w:rPr>
              <w:t>①</w:t>
            </w:r>
            <w:r>
              <w:rPr>
                <w:rFonts w:ascii="Times New Roman" w:hAnsi="Times New Roman" w:eastAsia="宋体" w:cs="Times New Roman"/>
                <w:color w:val="auto"/>
                <w:sz w:val="24"/>
                <w:szCs w:val="24"/>
              </w:rPr>
              <w:t>纯水制备用水</w:t>
            </w:r>
          </w:p>
          <w:p>
            <w:pPr>
              <w:adjustRightInd w:val="0"/>
              <w:snapToGrid w:val="0"/>
              <w:spacing w:line="360" w:lineRule="auto"/>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本项目生产过程使用纯水工序主要为纯水洗（纯水直喷），项目设置纯水制备系统1套，2t/h，纯水制备率约为50%。制备纯水用自来水量1090.6t/a（包括纯水制备反冲洗水2t/a，纯水制备浓水544.3t/a，纯水544.3t/a）。</w:t>
            </w:r>
          </w:p>
          <w:p>
            <w:pPr>
              <w:spacing w:line="360" w:lineRule="auto"/>
              <w:ind w:firstLine="465"/>
              <w:rPr>
                <w:rFonts w:ascii="Calibri" w:hAnsi="Calibri" w:cs="Calibri"/>
                <w:b/>
                <w:bCs/>
                <w:color w:val="auto"/>
                <w:sz w:val="24"/>
              </w:rPr>
            </w:pPr>
            <w:r>
              <w:rPr>
                <w:rFonts w:ascii="Calibri" w:hAnsi="Calibri" w:cs="Calibri"/>
                <w:b/>
                <w:bCs/>
                <w:color w:val="auto"/>
                <w:sz w:val="24"/>
              </w:rPr>
              <w:t>纯水制备系统反冲洗水</w:t>
            </w:r>
          </w:p>
          <w:p>
            <w:pPr>
              <w:spacing w:line="360" w:lineRule="auto"/>
              <w:ind w:firstLine="465"/>
              <w:rPr>
                <w:rFonts w:hint="default" w:ascii="Times New Roman" w:hAnsi="Times New Roman" w:cs="Times New Roman"/>
                <w:color w:val="auto"/>
                <w:sz w:val="24"/>
              </w:rPr>
            </w:pPr>
            <w:r>
              <w:rPr>
                <w:rFonts w:hint="default" w:ascii="Times New Roman" w:hAnsi="Times New Roman" w:cs="Times New Roman"/>
                <w:color w:val="auto"/>
                <w:sz w:val="24"/>
              </w:rPr>
              <w:t>纯水制备设施的过滤组件需要定期进行反冲洗，产生反冲洗废水。依据建设单位提供资料，反冲洗过程不需要另外添加清洗剂，纯水制备系统每三个月反冲洗一次，每次使用0.5t水，故，制备纯水过程中年产生反冲洗废水约2t。</w:t>
            </w:r>
          </w:p>
          <w:p>
            <w:pPr>
              <w:spacing w:line="360" w:lineRule="auto"/>
              <w:ind w:firstLine="482" w:firstLineChars="200"/>
              <w:rPr>
                <w:rFonts w:ascii="Calibri" w:hAnsi="Calibri" w:cs="Calibri"/>
                <w:b/>
                <w:bCs/>
                <w:color w:val="auto"/>
                <w:sz w:val="24"/>
              </w:rPr>
            </w:pPr>
            <w:r>
              <w:rPr>
                <w:rFonts w:ascii="Calibri" w:hAnsi="Calibri" w:cs="Calibri"/>
                <w:b/>
                <w:bCs/>
                <w:color w:val="auto"/>
                <w:sz w:val="24"/>
              </w:rPr>
              <w:t>②预脱脂槽配槽用水</w:t>
            </w:r>
          </w:p>
          <w:p>
            <w:pPr>
              <w:spacing w:line="360" w:lineRule="auto"/>
              <w:ind w:firstLine="480" w:firstLineChars="200"/>
              <w:rPr>
                <w:rFonts w:ascii="Calibri" w:hAnsi="Calibri" w:cs="Calibri"/>
                <w:color w:val="auto"/>
                <w:sz w:val="24"/>
              </w:rPr>
            </w:pPr>
            <w:r>
              <w:rPr>
                <w:rFonts w:ascii="Calibri" w:hAnsi="Calibri" w:cs="Calibri"/>
                <w:color w:val="auto"/>
                <w:sz w:val="24"/>
              </w:rPr>
              <w:t>本项目新购入喷粉工艺前处理清洗设备，根据</w:t>
            </w:r>
            <w:ins w:id="380" w:author="Sunny" w:date="2022-12-29T09:47:00Z">
              <w:r>
                <w:rPr>
                  <w:rFonts w:ascii="Calibri" w:hAnsi="Calibri" w:cs="Calibri"/>
                  <w:color w:val="auto"/>
                  <w:sz w:val="24"/>
                </w:rPr>
                <w:t>建设单位</w:t>
              </w:r>
            </w:ins>
            <w:r>
              <w:rPr>
                <w:rFonts w:ascii="Calibri" w:hAnsi="Calibri" w:cs="Calibri"/>
                <w:color w:val="auto"/>
                <w:sz w:val="24"/>
              </w:rPr>
              <w:t>提供资料预脱脂槽有效容积4.2m</w:t>
            </w:r>
            <w:r>
              <w:rPr>
                <w:rFonts w:ascii="Calibri" w:hAnsi="Calibri" w:cs="Calibri"/>
                <w:color w:val="auto"/>
                <w:sz w:val="24"/>
                <w:vertAlign w:val="superscript"/>
              </w:rPr>
              <w:t>3</w:t>
            </w:r>
            <w:r>
              <w:rPr>
                <w:rFonts w:ascii="Calibri" w:hAnsi="Calibri" w:cs="Calibri"/>
                <w:color w:val="auto"/>
                <w:sz w:val="24"/>
              </w:rPr>
              <w:t>，</w:t>
            </w:r>
            <w:ins w:id="381" w:author="Sunny" w:date="2022-12-29T09:51:00Z">
              <w:r>
                <w:rPr>
                  <w:rFonts w:ascii="Calibri" w:hAnsi="Calibri" w:cs="Calibri"/>
                  <w:color w:val="auto"/>
                  <w:sz w:val="24"/>
                </w:rPr>
                <w:t>预</w:t>
              </w:r>
            </w:ins>
            <w:ins w:id="382" w:author="Sunny" w:date="2022-12-29T09:51:00Z">
              <w:r>
                <w:rPr>
                  <w:rFonts w:ascii="Calibri" w:hAnsi="Calibri" w:cs="Calibri"/>
                  <w:bCs/>
                  <w:color w:val="auto"/>
                  <w:sz w:val="24"/>
                </w:rPr>
                <w:t>脱脂液为脱脂剂</w:t>
              </w:r>
            </w:ins>
            <w:r>
              <w:rPr>
                <w:rFonts w:ascii="Calibri" w:hAnsi="Calibri" w:cs="Calibri"/>
                <w:bCs/>
                <w:color w:val="auto"/>
                <w:sz w:val="24"/>
              </w:rPr>
              <w:t>和脱脂助剂</w:t>
            </w:r>
            <w:ins w:id="383" w:author="Sunny" w:date="2022-12-29T09:51:00Z">
              <w:r>
                <w:rPr>
                  <w:rFonts w:ascii="Calibri" w:hAnsi="Calibri" w:cs="Calibri"/>
                  <w:bCs/>
                  <w:color w:val="auto"/>
                  <w:sz w:val="24"/>
                </w:rPr>
                <w:t>与</w:t>
              </w:r>
            </w:ins>
            <w:r>
              <w:rPr>
                <w:rFonts w:ascii="Calibri" w:hAnsi="Calibri" w:cs="Calibri"/>
                <w:bCs/>
                <w:color w:val="auto"/>
                <w:sz w:val="24"/>
              </w:rPr>
              <w:t>回用水</w:t>
            </w:r>
            <w:ins w:id="384" w:author="Sunny" w:date="2022-12-29T09:51:00Z">
              <w:r>
                <w:rPr>
                  <w:rFonts w:ascii="Calibri" w:hAnsi="Calibri" w:cs="Calibri"/>
                  <w:bCs/>
                  <w:color w:val="auto"/>
                  <w:sz w:val="24"/>
                </w:rPr>
                <w:t>按照</w:t>
              </w:r>
            </w:ins>
            <w:r>
              <w:rPr>
                <w:rFonts w:ascii="Calibri" w:hAnsi="Calibri" w:cs="Calibri"/>
                <w:bCs/>
                <w:color w:val="auto"/>
                <w:sz w:val="24"/>
              </w:rPr>
              <w:t>1：0.125：27</w:t>
            </w:r>
            <w:ins w:id="385" w:author="Sunny" w:date="2022-12-29T09:51:00Z">
              <w:r>
                <w:rPr>
                  <w:rFonts w:ascii="Calibri" w:hAnsi="Calibri" w:cs="Calibri"/>
                  <w:bCs/>
                  <w:color w:val="auto"/>
                  <w:sz w:val="24"/>
                </w:rPr>
                <w:t>进行配制，</w:t>
              </w:r>
            </w:ins>
            <w:ins w:id="386" w:author="Sunny" w:date="2022-12-28T14:44:00Z">
              <w:r>
                <w:rPr>
                  <w:rFonts w:ascii="Calibri" w:hAnsi="Calibri" w:cs="Calibri"/>
                  <w:color w:val="auto"/>
                  <w:sz w:val="24"/>
                </w:rPr>
                <w:t>本项目</w:t>
              </w:r>
            </w:ins>
            <w:ins w:id="387" w:author="Sunny" w:date="2022-12-28T14:47:00Z">
              <w:r>
                <w:rPr>
                  <w:rFonts w:ascii="Calibri" w:hAnsi="Calibri" w:cs="Calibri"/>
                  <w:color w:val="auto"/>
                  <w:sz w:val="24"/>
                </w:rPr>
                <w:t>预脱脂槽</w:t>
              </w:r>
            </w:ins>
            <w:ins w:id="388" w:author="Sunny" w:date="2022-12-28T14:44:00Z">
              <w:r>
                <w:rPr>
                  <w:rFonts w:ascii="Calibri" w:hAnsi="Calibri" w:cs="Calibri"/>
                  <w:color w:val="auto"/>
                  <w:sz w:val="24"/>
                </w:rPr>
                <w:t>脱脂剂用量为</w:t>
              </w:r>
            </w:ins>
            <w:r>
              <w:rPr>
                <w:rFonts w:ascii="Calibri" w:hAnsi="Calibri" w:cs="Calibri"/>
                <w:color w:val="auto"/>
                <w:sz w:val="24"/>
              </w:rPr>
              <w:t>4</w:t>
            </w:r>
            <w:ins w:id="389" w:author="Sunny" w:date="2022-12-28T14:45:00Z">
              <w:r>
                <w:rPr>
                  <w:rFonts w:ascii="Calibri" w:hAnsi="Calibri" w:cs="Calibri"/>
                  <w:color w:val="auto"/>
                  <w:sz w:val="24"/>
                </w:rPr>
                <w:t>t/a</w:t>
              </w:r>
            </w:ins>
            <w:ins w:id="390" w:author="Sunny" w:date="2022-12-28T14:48:00Z">
              <w:r>
                <w:rPr>
                  <w:rFonts w:ascii="Calibri" w:hAnsi="Calibri" w:cs="Calibri"/>
                  <w:color w:val="auto"/>
                  <w:sz w:val="24"/>
                </w:rPr>
                <w:t>，</w:t>
              </w:r>
            </w:ins>
            <w:ins w:id="391" w:author="Sunny" w:date="2022-12-28T15:04:00Z">
              <w:r>
                <w:rPr>
                  <w:rFonts w:ascii="Calibri" w:hAnsi="Calibri" w:cs="Calibri"/>
                  <w:color w:val="auto"/>
                  <w:sz w:val="24"/>
                </w:rPr>
                <w:t>脱脂助剂使用0.</w:t>
              </w:r>
            </w:ins>
            <w:r>
              <w:rPr>
                <w:rFonts w:ascii="Calibri" w:hAnsi="Calibri" w:cs="Calibri"/>
                <w:color w:val="auto"/>
                <w:sz w:val="24"/>
              </w:rPr>
              <w:t>5</w:t>
            </w:r>
            <w:ins w:id="392" w:author="Sunny" w:date="2022-12-28T15:04:00Z">
              <w:r>
                <w:rPr>
                  <w:rFonts w:ascii="Calibri" w:hAnsi="Calibri" w:cs="Calibri"/>
                  <w:color w:val="auto"/>
                  <w:sz w:val="24"/>
                </w:rPr>
                <w:t>t/a，</w:t>
              </w:r>
            </w:ins>
            <w:ins w:id="393" w:author="Sunny" w:date="2022-12-28T14:48:00Z">
              <w:r>
                <w:rPr>
                  <w:rFonts w:ascii="Calibri" w:hAnsi="Calibri" w:cs="Calibri"/>
                  <w:color w:val="auto"/>
                  <w:sz w:val="24"/>
                </w:rPr>
                <w:t>则配制用水量为</w:t>
              </w:r>
            </w:ins>
            <w:r>
              <w:rPr>
                <w:rFonts w:ascii="Calibri" w:hAnsi="Calibri" w:cs="Calibri"/>
                <w:color w:val="auto"/>
                <w:sz w:val="24"/>
              </w:rPr>
              <w:t>108</w:t>
            </w:r>
            <w:ins w:id="394" w:author="Sunny" w:date="2022-12-28T14:48:00Z">
              <w:r>
                <w:rPr>
                  <w:rFonts w:ascii="Calibri" w:hAnsi="Calibri" w:cs="Calibri"/>
                  <w:color w:val="auto"/>
                  <w:sz w:val="24"/>
                </w:rPr>
                <w:t>t/a，预脱脂槽液</w:t>
              </w:r>
            </w:ins>
            <w:ins w:id="395" w:author="Sunny" w:date="2022-12-28T14:49:00Z">
              <w:r>
                <w:rPr>
                  <w:rFonts w:ascii="Calibri" w:hAnsi="Calibri" w:cs="Calibri"/>
                  <w:color w:val="auto"/>
                  <w:sz w:val="24"/>
                </w:rPr>
                <w:t>定期更换，</w:t>
              </w:r>
            </w:ins>
            <w:r>
              <w:rPr>
                <w:rFonts w:ascii="Calibri" w:hAnsi="Calibri" w:cs="Calibri"/>
                <w:color w:val="auto"/>
                <w:sz w:val="24"/>
              </w:rPr>
              <w:t>约</w:t>
            </w:r>
            <w:r>
              <w:rPr>
                <w:rFonts w:hint="eastAsia" w:ascii="Calibri" w:hAnsi="Calibri" w:cs="Calibri"/>
                <w:color w:val="auto"/>
                <w:sz w:val="24"/>
              </w:rPr>
              <w:t>20</w:t>
            </w:r>
            <w:r>
              <w:rPr>
                <w:rFonts w:ascii="Calibri" w:hAnsi="Calibri" w:cs="Calibri"/>
                <w:color w:val="auto"/>
                <w:sz w:val="24"/>
              </w:rPr>
              <w:t>-</w:t>
            </w:r>
            <w:r>
              <w:rPr>
                <w:rFonts w:hint="eastAsia" w:ascii="Calibri" w:hAnsi="Calibri" w:cs="Calibri"/>
                <w:color w:val="auto"/>
                <w:sz w:val="24"/>
              </w:rPr>
              <w:t>50天</w:t>
            </w:r>
            <w:r>
              <w:rPr>
                <w:rFonts w:ascii="Calibri" w:hAnsi="Calibri" w:cs="Calibri"/>
                <w:color w:val="auto"/>
                <w:sz w:val="24"/>
              </w:rPr>
              <w:t>清槽一次，损耗约50%，</w:t>
            </w:r>
            <w:ins w:id="396" w:author="Sunny" w:date="2022-12-29T09:57:00Z">
              <w:r>
                <w:rPr>
                  <w:rFonts w:ascii="Calibri" w:hAnsi="Calibri" w:cs="Calibri"/>
                  <w:color w:val="auto"/>
                  <w:sz w:val="24"/>
                </w:rPr>
                <w:t>清渣过程约槽液</w:t>
              </w:r>
            </w:ins>
            <w:r>
              <w:rPr>
                <w:rFonts w:ascii="Calibri" w:hAnsi="Calibri" w:cs="Calibri"/>
                <w:color w:val="auto"/>
                <w:sz w:val="24"/>
              </w:rPr>
              <w:t>5</w:t>
            </w:r>
            <w:ins w:id="397" w:author="Sunny" w:date="2022-12-29T09:57:00Z">
              <w:r>
                <w:rPr>
                  <w:rFonts w:ascii="Calibri" w:hAnsi="Calibri" w:cs="Calibri"/>
                  <w:color w:val="auto"/>
                  <w:sz w:val="24"/>
                </w:rPr>
                <w:t>%进入脱脂废渣（液），</w:t>
              </w:r>
            </w:ins>
            <w:ins w:id="398" w:author="Sunny" w:date="2022-12-29T10:54:00Z">
              <w:r>
                <w:rPr>
                  <w:rFonts w:ascii="Calibri" w:hAnsi="Calibri" w:cs="Calibri"/>
                  <w:color w:val="auto"/>
                  <w:sz w:val="24"/>
                </w:rPr>
                <w:t>脱脂废</w:t>
              </w:r>
            </w:ins>
            <w:ins w:id="399" w:author="Sunny" w:date="2022-12-29T10:59:00Z">
              <w:r>
                <w:rPr>
                  <w:rFonts w:ascii="Calibri" w:hAnsi="Calibri" w:cs="Calibri"/>
                  <w:color w:val="auto"/>
                  <w:sz w:val="24"/>
                </w:rPr>
                <w:t>渣</w:t>
              </w:r>
            </w:ins>
            <w:ins w:id="400" w:author="Sunny" w:date="2022-12-29T10:54:00Z">
              <w:r>
                <w:rPr>
                  <w:rFonts w:ascii="Calibri" w:hAnsi="Calibri" w:cs="Calibri"/>
                  <w:color w:val="auto"/>
                  <w:sz w:val="24"/>
                </w:rPr>
                <w:t>（</w:t>
              </w:r>
            </w:ins>
            <w:ins w:id="401" w:author="Sunny" w:date="2022-12-29T11:00:00Z">
              <w:r>
                <w:rPr>
                  <w:rFonts w:ascii="Calibri" w:hAnsi="Calibri" w:cs="Calibri"/>
                  <w:color w:val="auto"/>
                  <w:sz w:val="24"/>
                </w:rPr>
                <w:t>液</w:t>
              </w:r>
            </w:ins>
            <w:ins w:id="402" w:author="Sunny" w:date="2022-12-29T10:54:00Z">
              <w:r>
                <w:rPr>
                  <w:rFonts w:ascii="Calibri" w:hAnsi="Calibri" w:cs="Calibri"/>
                  <w:color w:val="auto"/>
                  <w:sz w:val="24"/>
                </w:rPr>
                <w:t>）</w:t>
              </w:r>
            </w:ins>
            <w:ins w:id="403" w:author="Sunny" w:date="2022-12-28T14:50:00Z">
              <w:r>
                <w:rPr>
                  <w:rFonts w:ascii="Calibri" w:hAnsi="Calibri" w:cs="Calibri"/>
                  <w:color w:val="auto"/>
                  <w:sz w:val="24"/>
                </w:rPr>
                <w:t>产生量为</w:t>
              </w:r>
            </w:ins>
            <w:r>
              <w:rPr>
                <w:rFonts w:ascii="Calibri" w:hAnsi="Calibri" w:cs="Calibri"/>
                <w:color w:val="auto"/>
                <w:sz w:val="24"/>
              </w:rPr>
              <w:t>5.6</w:t>
            </w:r>
            <w:ins w:id="404" w:author="Sunny" w:date="2022-12-28T14:50:00Z">
              <w:r>
                <w:rPr>
                  <w:rFonts w:ascii="Calibri" w:hAnsi="Calibri" w:cs="Calibri"/>
                  <w:color w:val="auto"/>
                  <w:sz w:val="24"/>
                </w:rPr>
                <w:t>t/a</w:t>
              </w:r>
            </w:ins>
            <w:ins w:id="405" w:author="Sunny" w:date="2022-12-29T10:55:00Z">
              <w:r>
                <w:rPr>
                  <w:rFonts w:ascii="Calibri" w:hAnsi="Calibri" w:cs="Calibri"/>
                  <w:color w:val="auto"/>
                  <w:sz w:val="24"/>
                </w:rPr>
                <w:t>，</w:t>
              </w:r>
            </w:ins>
            <w:ins w:id="406" w:author="Sunny" w:date="2022-12-29T10:54:00Z">
              <w:r>
                <w:rPr>
                  <w:rFonts w:ascii="Calibri" w:hAnsi="Calibri" w:cs="Calibri"/>
                  <w:color w:val="auto"/>
                  <w:sz w:val="24"/>
                </w:rPr>
                <w:t>预脱脂槽</w:t>
              </w:r>
            </w:ins>
            <w:ins w:id="407" w:author="Sunny" w:date="2022-12-29T11:00:00Z">
              <w:r>
                <w:rPr>
                  <w:rFonts w:ascii="Calibri" w:hAnsi="Calibri" w:cs="Calibri"/>
                  <w:color w:val="auto"/>
                  <w:sz w:val="24"/>
                </w:rPr>
                <w:t>清槽废水</w:t>
              </w:r>
            </w:ins>
            <w:ins w:id="408" w:author="Sunny" w:date="2022-12-29T10:55:00Z">
              <w:r>
                <w:rPr>
                  <w:rFonts w:ascii="Calibri" w:hAnsi="Calibri" w:cs="Calibri"/>
                  <w:color w:val="auto"/>
                  <w:sz w:val="24"/>
                </w:rPr>
                <w:t>产生量为</w:t>
              </w:r>
            </w:ins>
            <w:commentRangeStart w:id="9"/>
            <w:r>
              <w:rPr>
                <w:rFonts w:ascii="Calibri" w:hAnsi="Calibri" w:cs="Calibri"/>
                <w:color w:val="auto"/>
                <w:sz w:val="24"/>
              </w:rPr>
              <w:t>5</w:t>
            </w:r>
            <w:r>
              <w:rPr>
                <w:rFonts w:hint="eastAsia" w:ascii="Calibri" w:hAnsi="Calibri" w:cs="Calibri"/>
                <w:color w:val="auto"/>
                <w:sz w:val="24"/>
                <w:lang w:val="en-US" w:eastAsia="zh-CN"/>
              </w:rPr>
              <w:t>0.6</w:t>
            </w:r>
            <w:ins w:id="409" w:author="Sunny" w:date="2022-12-29T10:54:00Z">
              <w:r>
                <w:rPr>
                  <w:rFonts w:ascii="Calibri" w:hAnsi="Calibri" w:cs="Calibri"/>
                  <w:color w:val="auto"/>
                  <w:sz w:val="24"/>
                </w:rPr>
                <w:t>t/</w:t>
              </w:r>
              <w:commentRangeEnd w:id="9"/>
            </w:ins>
            <w:r>
              <w:rPr>
                <w:color w:val="auto"/>
              </w:rPr>
              <w:commentReference w:id="9"/>
            </w:r>
            <w:ins w:id="410" w:author="Sunny" w:date="2022-12-29T10:54:00Z">
              <w:r>
                <w:rPr>
                  <w:rFonts w:ascii="Calibri" w:hAnsi="Calibri" w:cs="Calibri"/>
                  <w:color w:val="auto"/>
                  <w:sz w:val="24"/>
                </w:rPr>
                <w:t>a。</w:t>
              </w:r>
            </w:ins>
          </w:p>
          <w:p>
            <w:pPr>
              <w:spacing w:line="360" w:lineRule="auto"/>
              <w:ind w:firstLine="482" w:firstLineChars="200"/>
              <w:rPr>
                <w:rFonts w:ascii="Calibri" w:hAnsi="Calibri" w:cs="Calibri"/>
                <w:b/>
                <w:bCs/>
                <w:color w:val="auto"/>
                <w:sz w:val="24"/>
              </w:rPr>
            </w:pPr>
            <w:r>
              <w:rPr>
                <w:rFonts w:ascii="Calibri" w:hAnsi="Calibri" w:cs="Calibri"/>
                <w:b/>
                <w:bCs/>
                <w:color w:val="auto"/>
                <w:sz w:val="24"/>
              </w:rPr>
              <w:t>③脱脂槽配槽用水</w:t>
            </w:r>
          </w:p>
          <w:p>
            <w:pPr>
              <w:spacing w:line="360" w:lineRule="auto"/>
              <w:ind w:firstLine="480" w:firstLineChars="200"/>
              <w:rPr>
                <w:rFonts w:ascii="Calibri" w:hAnsi="Calibri" w:cs="Calibri"/>
                <w:color w:val="auto"/>
                <w:sz w:val="24"/>
              </w:rPr>
            </w:pPr>
            <w:ins w:id="411" w:author="Sunny" w:date="2022-12-28T15:06:00Z">
              <w:r>
                <w:rPr>
                  <w:rFonts w:ascii="Calibri" w:hAnsi="Calibri" w:cs="Calibri"/>
                  <w:color w:val="auto"/>
                  <w:sz w:val="24"/>
                </w:rPr>
                <w:t>根据建设单位提供资料脱脂槽槽体有效容积8.4m</w:t>
              </w:r>
            </w:ins>
            <w:ins w:id="412" w:author="Sunny" w:date="2022-12-28T15:06:00Z">
              <w:r>
                <w:rPr>
                  <w:rFonts w:ascii="Calibri" w:hAnsi="Calibri" w:cs="Calibri"/>
                  <w:color w:val="auto"/>
                  <w:sz w:val="24"/>
                  <w:vertAlign w:val="superscript"/>
                </w:rPr>
                <w:t>3</w:t>
              </w:r>
            </w:ins>
            <w:ins w:id="413" w:author="Sunny" w:date="2022-12-28T15:06:00Z">
              <w:r>
                <w:rPr>
                  <w:rFonts w:ascii="Calibri" w:hAnsi="Calibri" w:cs="Calibri"/>
                  <w:color w:val="auto"/>
                  <w:sz w:val="24"/>
                </w:rPr>
                <w:t>，</w:t>
              </w:r>
            </w:ins>
            <w:ins w:id="414" w:author="Sunny" w:date="2022-12-29T10:01:00Z">
              <w:r>
                <w:rPr>
                  <w:rFonts w:ascii="Calibri" w:hAnsi="Calibri" w:cs="Calibri"/>
                  <w:bCs/>
                  <w:color w:val="auto"/>
                  <w:sz w:val="24"/>
                </w:rPr>
                <w:t>脱脂液为脱脂剂</w:t>
              </w:r>
            </w:ins>
            <w:r>
              <w:rPr>
                <w:rFonts w:ascii="Calibri" w:hAnsi="Calibri" w:cs="Calibri"/>
                <w:bCs/>
                <w:color w:val="auto"/>
                <w:sz w:val="24"/>
              </w:rPr>
              <w:t>和脱脂助剂</w:t>
            </w:r>
            <w:ins w:id="415" w:author="Sunny" w:date="2022-12-29T10:01:00Z">
              <w:r>
                <w:rPr>
                  <w:rFonts w:ascii="Calibri" w:hAnsi="Calibri" w:cs="Calibri"/>
                  <w:bCs/>
                  <w:color w:val="auto"/>
                  <w:sz w:val="24"/>
                </w:rPr>
                <w:t>与</w:t>
              </w:r>
            </w:ins>
            <w:r>
              <w:rPr>
                <w:rFonts w:ascii="Calibri" w:hAnsi="Calibri" w:cs="Calibri"/>
                <w:bCs/>
                <w:color w:val="auto"/>
                <w:sz w:val="24"/>
              </w:rPr>
              <w:t>回用水</w:t>
            </w:r>
            <w:ins w:id="416" w:author="Sunny" w:date="2022-12-29T10:01:00Z">
              <w:r>
                <w:rPr>
                  <w:rFonts w:ascii="Calibri" w:hAnsi="Calibri" w:cs="Calibri"/>
                  <w:bCs/>
                  <w:color w:val="auto"/>
                  <w:sz w:val="24"/>
                </w:rPr>
                <w:t>按照</w:t>
              </w:r>
            </w:ins>
            <w:r>
              <w:rPr>
                <w:rFonts w:ascii="Calibri" w:hAnsi="Calibri" w:cs="Calibri"/>
                <w:bCs/>
                <w:color w:val="auto"/>
                <w:sz w:val="24"/>
              </w:rPr>
              <w:t>1：0.125：27</w:t>
            </w:r>
            <w:ins w:id="417" w:author="Sunny" w:date="2022-12-29T10:01:00Z">
              <w:r>
                <w:rPr>
                  <w:rFonts w:ascii="Calibri" w:hAnsi="Calibri" w:cs="Calibri"/>
                  <w:bCs/>
                  <w:color w:val="auto"/>
                  <w:sz w:val="24"/>
                </w:rPr>
                <w:t>进行配制</w:t>
              </w:r>
            </w:ins>
            <w:ins w:id="418" w:author="Sunny" w:date="2022-12-28T14:51:00Z">
              <w:r>
                <w:rPr>
                  <w:rFonts w:ascii="Calibri" w:hAnsi="Calibri" w:cs="Calibri"/>
                  <w:color w:val="auto"/>
                  <w:sz w:val="24"/>
                </w:rPr>
                <w:t>，</w:t>
              </w:r>
            </w:ins>
            <w:ins w:id="419" w:author="Sunny" w:date="2022-12-28T14:52:00Z">
              <w:r>
                <w:rPr>
                  <w:rFonts w:ascii="Calibri" w:hAnsi="Calibri" w:cs="Calibri"/>
                  <w:color w:val="auto"/>
                  <w:sz w:val="24"/>
                </w:rPr>
                <w:t>本项目脱脂槽脱脂剂用量为</w:t>
              </w:r>
            </w:ins>
            <w:r>
              <w:rPr>
                <w:rFonts w:ascii="Calibri" w:hAnsi="Calibri" w:cs="Calibri"/>
                <w:color w:val="auto"/>
                <w:sz w:val="24"/>
              </w:rPr>
              <w:t>8</w:t>
            </w:r>
            <w:ins w:id="420" w:author="Sunny" w:date="2022-12-28T14:52:00Z">
              <w:r>
                <w:rPr>
                  <w:rFonts w:ascii="Calibri" w:hAnsi="Calibri" w:cs="Calibri"/>
                  <w:color w:val="auto"/>
                  <w:sz w:val="24"/>
                </w:rPr>
                <w:t>t/a，</w:t>
              </w:r>
            </w:ins>
            <w:ins w:id="421" w:author="Sunny" w:date="2022-12-28T15:04:00Z">
              <w:r>
                <w:rPr>
                  <w:rFonts w:ascii="Calibri" w:hAnsi="Calibri" w:cs="Calibri"/>
                  <w:color w:val="auto"/>
                  <w:sz w:val="24"/>
                </w:rPr>
                <w:t>脱脂助剂使用</w:t>
              </w:r>
            </w:ins>
            <w:r>
              <w:rPr>
                <w:rFonts w:ascii="Calibri" w:hAnsi="Calibri" w:cs="Calibri"/>
                <w:color w:val="auto"/>
                <w:sz w:val="24"/>
              </w:rPr>
              <w:t>1</w:t>
            </w:r>
            <w:ins w:id="422" w:author="Sunny" w:date="2022-12-28T15:04:00Z">
              <w:r>
                <w:rPr>
                  <w:rFonts w:ascii="Calibri" w:hAnsi="Calibri" w:cs="Calibri"/>
                  <w:color w:val="auto"/>
                  <w:sz w:val="24"/>
                </w:rPr>
                <w:t>t/a，</w:t>
              </w:r>
            </w:ins>
            <w:ins w:id="423" w:author="Sunny" w:date="2022-12-28T14:52:00Z">
              <w:r>
                <w:rPr>
                  <w:rFonts w:ascii="Calibri" w:hAnsi="Calibri" w:cs="Calibri"/>
                  <w:color w:val="auto"/>
                  <w:sz w:val="24"/>
                </w:rPr>
                <w:t>则配制用水量为</w:t>
              </w:r>
            </w:ins>
            <w:r>
              <w:rPr>
                <w:rFonts w:ascii="Calibri" w:hAnsi="Calibri" w:cs="Calibri"/>
                <w:color w:val="auto"/>
                <w:sz w:val="24"/>
              </w:rPr>
              <w:t>216</w:t>
            </w:r>
            <w:ins w:id="424" w:author="Sunny" w:date="2022-12-28T14:52:00Z">
              <w:r>
                <w:rPr>
                  <w:rFonts w:ascii="Calibri" w:hAnsi="Calibri" w:cs="Calibri"/>
                  <w:color w:val="auto"/>
                  <w:sz w:val="24"/>
                </w:rPr>
                <w:t>t/a，脱脂槽液定期更换，约</w:t>
              </w:r>
            </w:ins>
            <w:r>
              <w:rPr>
                <w:rFonts w:ascii="Calibri" w:hAnsi="Calibri" w:cs="Calibri"/>
                <w:color w:val="auto"/>
                <w:sz w:val="24"/>
              </w:rPr>
              <w:t>20-50天</w:t>
            </w:r>
            <w:ins w:id="425" w:author="Sunny" w:date="2022-12-28T14:52:00Z">
              <w:r>
                <w:rPr>
                  <w:rFonts w:ascii="Calibri" w:hAnsi="Calibri" w:cs="Calibri"/>
                  <w:color w:val="auto"/>
                  <w:sz w:val="24"/>
                </w:rPr>
                <w:t>清槽一次，</w:t>
              </w:r>
            </w:ins>
            <w:r>
              <w:rPr>
                <w:rFonts w:ascii="Calibri" w:hAnsi="Calibri" w:cs="Calibri"/>
                <w:color w:val="auto"/>
                <w:sz w:val="24"/>
              </w:rPr>
              <w:t>损耗约50%，</w:t>
            </w:r>
            <w:ins w:id="426" w:author="Sunny" w:date="2022-12-29T09:57:00Z">
              <w:r>
                <w:rPr>
                  <w:rFonts w:ascii="Calibri" w:hAnsi="Calibri" w:cs="Calibri"/>
                  <w:color w:val="auto"/>
                  <w:sz w:val="24"/>
                </w:rPr>
                <w:t>清渣过程约槽液</w:t>
              </w:r>
            </w:ins>
            <w:r>
              <w:rPr>
                <w:rFonts w:ascii="Calibri" w:hAnsi="Calibri" w:cs="Calibri"/>
                <w:color w:val="auto"/>
                <w:sz w:val="24"/>
              </w:rPr>
              <w:t>3</w:t>
            </w:r>
            <w:ins w:id="427" w:author="Sunny" w:date="2022-12-29T09:57:00Z">
              <w:r>
                <w:rPr>
                  <w:rFonts w:ascii="Calibri" w:hAnsi="Calibri" w:cs="Calibri"/>
                  <w:color w:val="auto"/>
                  <w:sz w:val="24"/>
                </w:rPr>
                <w:t>%进入脱脂废渣（液），</w:t>
              </w:r>
            </w:ins>
            <w:ins w:id="428" w:author="Sunny" w:date="2022-12-29T10:54:00Z">
              <w:r>
                <w:rPr>
                  <w:rFonts w:ascii="Calibri" w:hAnsi="Calibri" w:cs="Calibri"/>
                  <w:color w:val="auto"/>
                  <w:sz w:val="24"/>
                </w:rPr>
                <w:t>脱脂废</w:t>
              </w:r>
            </w:ins>
            <w:ins w:id="429" w:author="Sunny" w:date="2022-12-29T10:59:00Z">
              <w:r>
                <w:rPr>
                  <w:rFonts w:ascii="Calibri" w:hAnsi="Calibri" w:cs="Calibri"/>
                  <w:color w:val="auto"/>
                  <w:sz w:val="24"/>
                </w:rPr>
                <w:t>渣</w:t>
              </w:r>
            </w:ins>
            <w:ins w:id="430" w:author="Sunny" w:date="2022-12-29T10:54:00Z">
              <w:r>
                <w:rPr>
                  <w:rFonts w:ascii="Calibri" w:hAnsi="Calibri" w:cs="Calibri"/>
                  <w:color w:val="auto"/>
                  <w:sz w:val="24"/>
                </w:rPr>
                <w:t>（</w:t>
              </w:r>
            </w:ins>
            <w:ins w:id="431" w:author="Sunny" w:date="2022-12-29T11:00:00Z">
              <w:r>
                <w:rPr>
                  <w:rFonts w:ascii="Calibri" w:hAnsi="Calibri" w:cs="Calibri"/>
                  <w:color w:val="auto"/>
                  <w:sz w:val="24"/>
                </w:rPr>
                <w:t>液</w:t>
              </w:r>
            </w:ins>
            <w:ins w:id="432" w:author="Sunny" w:date="2022-12-29T10:54:00Z">
              <w:r>
                <w:rPr>
                  <w:rFonts w:ascii="Calibri" w:hAnsi="Calibri" w:cs="Calibri"/>
                  <w:color w:val="auto"/>
                  <w:sz w:val="24"/>
                </w:rPr>
                <w:t>）</w:t>
              </w:r>
            </w:ins>
            <w:ins w:id="433" w:author="Sunny" w:date="2022-12-28T14:50:00Z">
              <w:r>
                <w:rPr>
                  <w:rFonts w:ascii="Calibri" w:hAnsi="Calibri" w:cs="Calibri"/>
                  <w:color w:val="auto"/>
                  <w:sz w:val="24"/>
                </w:rPr>
                <w:t>产生量为</w:t>
              </w:r>
            </w:ins>
            <w:r>
              <w:rPr>
                <w:rFonts w:ascii="Calibri" w:hAnsi="Calibri" w:cs="Calibri"/>
                <w:color w:val="auto"/>
                <w:sz w:val="24"/>
              </w:rPr>
              <w:t>6.</w:t>
            </w:r>
            <w:r>
              <w:rPr>
                <w:rFonts w:hint="eastAsia" w:ascii="Calibri" w:hAnsi="Calibri" w:cs="Calibri"/>
                <w:color w:val="auto"/>
                <w:sz w:val="24"/>
              </w:rPr>
              <w:t>8</w:t>
            </w:r>
            <w:ins w:id="434" w:author="Sunny" w:date="2022-12-28T14:50:00Z">
              <w:r>
                <w:rPr>
                  <w:rFonts w:ascii="Calibri" w:hAnsi="Calibri" w:cs="Calibri"/>
                  <w:color w:val="auto"/>
                  <w:sz w:val="24"/>
                </w:rPr>
                <w:t>t/a</w:t>
              </w:r>
            </w:ins>
            <w:ins w:id="435" w:author="Sunny" w:date="2022-12-29T10:55:00Z">
              <w:r>
                <w:rPr>
                  <w:rFonts w:ascii="Calibri" w:hAnsi="Calibri" w:cs="Calibri"/>
                  <w:color w:val="auto"/>
                  <w:sz w:val="24"/>
                </w:rPr>
                <w:t>，</w:t>
              </w:r>
            </w:ins>
            <w:ins w:id="436" w:author="Sunny" w:date="2022-12-29T10:54:00Z">
              <w:r>
                <w:rPr>
                  <w:rFonts w:ascii="Calibri" w:hAnsi="Calibri" w:cs="Calibri"/>
                  <w:color w:val="auto"/>
                  <w:sz w:val="24"/>
                </w:rPr>
                <w:t>预脱脂槽</w:t>
              </w:r>
            </w:ins>
            <w:ins w:id="437" w:author="Sunny" w:date="2022-12-29T11:00:00Z">
              <w:r>
                <w:rPr>
                  <w:rFonts w:ascii="Calibri" w:hAnsi="Calibri" w:cs="Calibri"/>
                  <w:color w:val="auto"/>
                  <w:sz w:val="24"/>
                </w:rPr>
                <w:t>清槽废水</w:t>
              </w:r>
            </w:ins>
            <w:ins w:id="438" w:author="Sunny" w:date="2022-12-29T10:55:00Z">
              <w:r>
                <w:rPr>
                  <w:rFonts w:ascii="Calibri" w:hAnsi="Calibri" w:cs="Calibri"/>
                  <w:color w:val="auto"/>
                  <w:sz w:val="24"/>
                </w:rPr>
                <w:t>产生量为</w:t>
              </w:r>
            </w:ins>
            <w:commentRangeStart w:id="10"/>
            <w:r>
              <w:rPr>
                <w:rFonts w:hint="eastAsia" w:ascii="Calibri" w:hAnsi="Calibri" w:cs="Calibri"/>
                <w:color w:val="auto"/>
                <w:sz w:val="24"/>
                <w:lang w:val="en-US" w:eastAsia="zh-CN"/>
              </w:rPr>
              <w:t>1</w:t>
            </w:r>
            <w:commentRangeEnd w:id="10"/>
            <w:r>
              <w:rPr>
                <w:color w:val="auto"/>
              </w:rPr>
              <w:commentReference w:id="10"/>
            </w:r>
            <w:r>
              <w:rPr>
                <w:rFonts w:hint="eastAsia" w:ascii="Calibri" w:hAnsi="Calibri" w:cs="Calibri"/>
                <w:color w:val="auto"/>
                <w:sz w:val="24"/>
                <w:lang w:val="en-US" w:eastAsia="zh-CN"/>
              </w:rPr>
              <w:t>05.7</w:t>
            </w:r>
            <w:ins w:id="439" w:author="Sunny" w:date="2022-12-29T10:54:00Z">
              <w:r>
                <w:rPr>
                  <w:rFonts w:ascii="Calibri" w:hAnsi="Calibri" w:cs="Calibri"/>
                  <w:color w:val="auto"/>
                  <w:sz w:val="24"/>
                </w:rPr>
                <w:t>t/a</w:t>
              </w:r>
            </w:ins>
            <w:ins w:id="440" w:author="Sunny" w:date="2022-12-29T10:53:00Z">
              <w:r>
                <w:rPr>
                  <w:rFonts w:ascii="Calibri" w:hAnsi="Calibri" w:cs="Calibri"/>
                  <w:color w:val="auto"/>
                  <w:sz w:val="24"/>
                </w:rPr>
                <w:t>。</w:t>
              </w:r>
            </w:ins>
          </w:p>
          <w:p>
            <w:pPr>
              <w:pStyle w:val="17"/>
              <w:widowControl w:val="0"/>
              <w:snapToGrid/>
              <w:spacing w:before="0" w:after="0" w:line="360" w:lineRule="auto"/>
              <w:ind w:firstLine="482" w:firstLineChars="200"/>
              <w:rPr>
                <w:rFonts w:ascii="Calibri" w:hAnsi="Calibri" w:cs="Calibri"/>
                <w:b/>
                <w:bCs/>
                <w:color w:val="auto"/>
                <w:sz w:val="24"/>
                <w:szCs w:val="24"/>
              </w:rPr>
            </w:pPr>
            <w:r>
              <w:rPr>
                <w:rFonts w:ascii="Calibri" w:hAnsi="Calibri" w:cs="Calibri"/>
                <w:b/>
                <w:bCs/>
                <w:color w:val="auto"/>
                <w:sz w:val="24"/>
                <w:szCs w:val="24"/>
              </w:rPr>
              <w:t>④陶化配制用水</w:t>
            </w:r>
          </w:p>
          <w:p>
            <w:pPr>
              <w:spacing w:line="360" w:lineRule="auto"/>
              <w:ind w:firstLine="480" w:firstLineChars="200"/>
              <w:rPr>
                <w:rFonts w:ascii="Calibri" w:hAnsi="Calibri" w:cs="Calibri"/>
                <w:color w:val="auto"/>
                <w:sz w:val="24"/>
              </w:rPr>
            </w:pPr>
            <w:r>
              <w:rPr>
                <w:rFonts w:ascii="Calibri" w:hAnsi="Calibri" w:cs="Calibri"/>
                <w:color w:val="auto"/>
                <w:sz w:val="24"/>
              </w:rPr>
              <w:t>根据建设单位提供资料喷粉生产线前处理陶化段槽体有效容积8.4m</w:t>
            </w:r>
            <w:r>
              <w:rPr>
                <w:rFonts w:ascii="Calibri" w:hAnsi="Calibri" w:cs="Calibri"/>
                <w:color w:val="auto"/>
                <w:sz w:val="24"/>
                <w:vertAlign w:val="superscript"/>
              </w:rPr>
              <w:t>3</w:t>
            </w:r>
            <w:r>
              <w:rPr>
                <w:rFonts w:ascii="Calibri" w:hAnsi="Calibri" w:cs="Calibri"/>
                <w:color w:val="auto"/>
                <w:sz w:val="24"/>
              </w:rPr>
              <w:t>，</w:t>
            </w:r>
            <w:ins w:id="441" w:author="Sunny" w:date="2022-12-28T14:59:00Z">
              <w:r>
                <w:rPr>
                  <w:rFonts w:ascii="Calibri" w:hAnsi="Calibri" w:cs="Calibri"/>
                  <w:color w:val="auto"/>
                  <w:sz w:val="24"/>
                </w:rPr>
                <w:t>陶化</w:t>
              </w:r>
            </w:ins>
            <w:ins w:id="442" w:author="Sunny" w:date="2022-12-29T10:05:00Z">
              <w:r>
                <w:rPr>
                  <w:rFonts w:ascii="Calibri" w:hAnsi="Calibri" w:cs="Calibri"/>
                  <w:color w:val="auto"/>
                  <w:sz w:val="24"/>
                </w:rPr>
                <w:t>为无磷转化液</w:t>
              </w:r>
            </w:ins>
            <w:r>
              <w:rPr>
                <w:rFonts w:ascii="Calibri" w:hAnsi="Calibri" w:cs="Calibri"/>
                <w:color w:val="auto"/>
                <w:sz w:val="24"/>
              </w:rPr>
              <w:t>、</w:t>
            </w:r>
            <w:ins w:id="443" w:author="Sunny" w:date="2022-12-28T15:32:00Z">
              <w:r>
                <w:rPr>
                  <w:rFonts w:ascii="Calibri" w:hAnsi="Calibri" w:cs="Calibri"/>
                  <w:color w:val="auto"/>
                  <w:sz w:val="24"/>
                </w:rPr>
                <w:t>硅烷处理剂</w:t>
              </w:r>
            </w:ins>
            <w:ins w:id="444" w:author="Sunny" w:date="2022-12-29T10:05:00Z">
              <w:r>
                <w:rPr>
                  <w:rFonts w:ascii="Calibri" w:hAnsi="Calibri" w:cs="Calibri"/>
                  <w:color w:val="auto"/>
                  <w:sz w:val="24"/>
                </w:rPr>
                <w:t>与</w:t>
              </w:r>
            </w:ins>
            <w:r>
              <w:rPr>
                <w:rFonts w:ascii="Calibri" w:hAnsi="Calibri" w:cs="Calibri"/>
                <w:color w:val="auto"/>
                <w:sz w:val="24"/>
              </w:rPr>
              <w:t>回用水</w:t>
            </w:r>
            <w:ins w:id="445" w:author="Sunny" w:date="2022-12-29T10:05:00Z">
              <w:r>
                <w:rPr>
                  <w:rFonts w:ascii="Calibri" w:hAnsi="Calibri" w:cs="Calibri"/>
                  <w:color w:val="auto"/>
                  <w:sz w:val="24"/>
                </w:rPr>
                <w:t>按照</w:t>
              </w:r>
            </w:ins>
            <w:r>
              <w:rPr>
                <w:rFonts w:hint="eastAsia" w:ascii="Calibri" w:hAnsi="Calibri" w:cs="Calibri"/>
                <w:color w:val="auto"/>
                <w:sz w:val="24"/>
              </w:rPr>
              <w:t>1：0.11：26.7</w:t>
            </w:r>
            <w:ins w:id="446" w:author="Sunny" w:date="2022-12-29T10:05:00Z">
              <w:r>
                <w:rPr>
                  <w:rFonts w:ascii="Calibri" w:hAnsi="Calibri" w:cs="Calibri"/>
                  <w:color w:val="auto"/>
                  <w:sz w:val="24"/>
                </w:rPr>
                <w:t>进行配比，</w:t>
              </w:r>
            </w:ins>
            <w:ins w:id="447" w:author="Sunny" w:date="2022-12-28T14:59:00Z">
              <w:r>
                <w:rPr>
                  <w:rFonts w:ascii="Calibri" w:hAnsi="Calibri" w:cs="Calibri"/>
                  <w:color w:val="auto"/>
                  <w:sz w:val="24"/>
                </w:rPr>
                <w:t>本项目陶化使用</w:t>
              </w:r>
            </w:ins>
            <w:ins w:id="448" w:author="Sunny" w:date="2022-12-28T15:00:00Z">
              <w:r>
                <w:rPr>
                  <w:rFonts w:ascii="Calibri" w:hAnsi="Calibri" w:cs="Calibri"/>
                  <w:color w:val="auto"/>
                  <w:sz w:val="24"/>
                </w:rPr>
                <w:t>无磷转化液</w:t>
              </w:r>
            </w:ins>
            <w:r>
              <w:rPr>
                <w:rFonts w:hint="eastAsia" w:ascii="Calibri" w:hAnsi="Calibri" w:cs="Calibri"/>
                <w:color w:val="auto"/>
                <w:sz w:val="24"/>
              </w:rPr>
              <w:t>9</w:t>
            </w:r>
            <w:ins w:id="449" w:author="Sunny" w:date="2022-12-28T15:00:00Z">
              <w:r>
                <w:rPr>
                  <w:rFonts w:ascii="Calibri" w:hAnsi="Calibri" w:cs="Calibri"/>
                  <w:color w:val="auto"/>
                  <w:sz w:val="24"/>
                </w:rPr>
                <w:t>t/a，</w:t>
              </w:r>
            </w:ins>
            <w:ins w:id="450" w:author="Sunny" w:date="2022-12-28T15:32:00Z">
              <w:r>
                <w:rPr>
                  <w:rFonts w:ascii="Calibri" w:hAnsi="Calibri" w:cs="Calibri"/>
                  <w:color w:val="auto"/>
                  <w:sz w:val="24"/>
                </w:rPr>
                <w:t>硅烷处理剂</w:t>
              </w:r>
            </w:ins>
            <w:r>
              <w:rPr>
                <w:rFonts w:ascii="Calibri" w:hAnsi="Calibri" w:cs="Calibri"/>
                <w:color w:val="auto"/>
                <w:sz w:val="24"/>
              </w:rPr>
              <w:t>1</w:t>
            </w:r>
            <w:ins w:id="451" w:author="Sunny" w:date="2022-12-28T15:32:00Z">
              <w:r>
                <w:rPr>
                  <w:rFonts w:ascii="Calibri" w:hAnsi="Calibri" w:cs="Calibri"/>
                  <w:color w:val="auto"/>
                  <w:sz w:val="24"/>
                </w:rPr>
                <w:t>t/a，</w:t>
              </w:r>
            </w:ins>
            <w:r>
              <w:rPr>
                <w:rFonts w:ascii="Calibri" w:hAnsi="Calibri" w:cs="Calibri"/>
                <w:color w:val="auto"/>
                <w:sz w:val="24"/>
              </w:rPr>
              <w:t>使用</w:t>
            </w:r>
            <w:ins w:id="452" w:author="Sunny" w:date="2022-12-28T15:32:00Z">
              <w:r>
                <w:rPr>
                  <w:rFonts w:ascii="Calibri" w:hAnsi="Calibri" w:cs="Calibri"/>
                  <w:color w:val="auto"/>
                  <w:sz w:val="24"/>
                </w:rPr>
                <w:t>酸碱度调整剂</w:t>
              </w:r>
            </w:ins>
            <w:r>
              <w:rPr>
                <w:rFonts w:ascii="Calibri" w:hAnsi="Calibri" w:cs="Calibri"/>
                <w:color w:val="auto"/>
                <w:sz w:val="24"/>
              </w:rPr>
              <w:t>0.5</w:t>
            </w:r>
            <w:ins w:id="453" w:author="Sunny" w:date="2022-12-28T15:32:00Z">
              <w:r>
                <w:rPr>
                  <w:rFonts w:ascii="Calibri" w:hAnsi="Calibri" w:cs="Calibri"/>
                  <w:color w:val="auto"/>
                  <w:sz w:val="24"/>
                </w:rPr>
                <w:t>t/a</w:t>
              </w:r>
            </w:ins>
            <w:r>
              <w:rPr>
                <w:rFonts w:ascii="Calibri" w:hAnsi="Calibri" w:cs="Calibri"/>
                <w:color w:val="auto"/>
                <w:sz w:val="24"/>
              </w:rPr>
              <w:t>调整陶化酸碱度</w:t>
            </w:r>
            <w:ins w:id="454" w:author="Sunny" w:date="2022-12-28T15:32:00Z">
              <w:r>
                <w:rPr>
                  <w:rFonts w:ascii="Calibri" w:hAnsi="Calibri" w:cs="Calibri"/>
                  <w:color w:val="auto"/>
                  <w:sz w:val="24"/>
                </w:rPr>
                <w:t>，</w:t>
              </w:r>
            </w:ins>
            <w:ins w:id="455" w:author="Sunny" w:date="2022-12-28T15:00:00Z">
              <w:r>
                <w:rPr>
                  <w:rFonts w:ascii="Calibri" w:hAnsi="Calibri" w:cs="Calibri"/>
                  <w:color w:val="auto"/>
                  <w:sz w:val="24"/>
                </w:rPr>
                <w:t>则配置用水量</w:t>
              </w:r>
            </w:ins>
            <w:r>
              <w:rPr>
                <w:rFonts w:hint="eastAsia" w:ascii="Calibri" w:hAnsi="Calibri" w:cs="Calibri"/>
                <w:color w:val="auto"/>
                <w:sz w:val="24"/>
              </w:rPr>
              <w:t>约</w:t>
            </w:r>
            <w:ins w:id="456" w:author="Sunny" w:date="2022-12-28T15:00:00Z">
              <w:r>
                <w:rPr>
                  <w:rFonts w:ascii="Calibri" w:hAnsi="Calibri" w:cs="Calibri"/>
                  <w:color w:val="auto"/>
                  <w:sz w:val="24"/>
                </w:rPr>
                <w:t>为</w:t>
              </w:r>
            </w:ins>
            <w:r>
              <w:rPr>
                <w:rFonts w:ascii="Calibri" w:hAnsi="Calibri" w:cs="Calibri"/>
                <w:color w:val="auto"/>
                <w:sz w:val="24"/>
              </w:rPr>
              <w:t>2</w:t>
            </w:r>
            <w:r>
              <w:rPr>
                <w:rFonts w:hint="eastAsia" w:ascii="Calibri" w:hAnsi="Calibri" w:cs="Calibri"/>
                <w:color w:val="auto"/>
                <w:sz w:val="24"/>
              </w:rPr>
              <w:t>40</w:t>
            </w:r>
            <w:ins w:id="457" w:author="Sunny" w:date="2022-12-28T15:00:00Z">
              <w:r>
                <w:rPr>
                  <w:rFonts w:ascii="Calibri" w:hAnsi="Calibri" w:cs="Calibri"/>
                  <w:color w:val="auto"/>
                  <w:sz w:val="24"/>
                </w:rPr>
                <w:t>t/a</w:t>
              </w:r>
            </w:ins>
            <w:ins w:id="458" w:author="Sunny" w:date="2022-12-28T15:01:00Z">
              <w:r>
                <w:rPr>
                  <w:rFonts w:ascii="Calibri" w:hAnsi="Calibri" w:cs="Calibri"/>
                  <w:color w:val="auto"/>
                  <w:sz w:val="24"/>
                </w:rPr>
                <w:t>，陶化槽定期更换，约</w:t>
              </w:r>
            </w:ins>
            <w:r>
              <w:rPr>
                <w:rFonts w:ascii="Calibri" w:hAnsi="Calibri" w:cs="Calibri"/>
                <w:color w:val="auto"/>
                <w:sz w:val="24"/>
              </w:rPr>
              <w:t>20-50天</w:t>
            </w:r>
            <w:ins w:id="459" w:author="Sunny" w:date="2022-12-28T15:01:00Z">
              <w:r>
                <w:rPr>
                  <w:rFonts w:ascii="Calibri" w:hAnsi="Calibri" w:cs="Calibri"/>
                  <w:color w:val="auto"/>
                  <w:sz w:val="24"/>
                </w:rPr>
                <w:t>清槽一次，</w:t>
              </w:r>
            </w:ins>
            <w:r>
              <w:rPr>
                <w:rFonts w:ascii="Calibri" w:hAnsi="Calibri" w:cs="Calibri"/>
                <w:color w:val="auto"/>
                <w:sz w:val="24"/>
              </w:rPr>
              <w:t>损耗约50%，</w:t>
            </w:r>
            <w:ins w:id="460" w:author="Sunny" w:date="2022-12-29T09:57:00Z">
              <w:r>
                <w:rPr>
                  <w:rFonts w:ascii="Calibri" w:hAnsi="Calibri" w:cs="Calibri"/>
                  <w:color w:val="auto"/>
                  <w:sz w:val="24"/>
                </w:rPr>
                <w:t>清渣过程约槽液</w:t>
              </w:r>
            </w:ins>
            <w:r>
              <w:rPr>
                <w:rFonts w:ascii="Calibri" w:hAnsi="Calibri" w:cs="Calibri"/>
                <w:color w:val="auto"/>
                <w:sz w:val="24"/>
              </w:rPr>
              <w:t>1</w:t>
            </w:r>
            <w:ins w:id="461" w:author="Sunny" w:date="2022-12-29T09:57:00Z">
              <w:r>
                <w:rPr>
                  <w:rFonts w:ascii="Calibri" w:hAnsi="Calibri" w:cs="Calibri"/>
                  <w:color w:val="auto"/>
                  <w:sz w:val="24"/>
                </w:rPr>
                <w:t>%进入</w:t>
              </w:r>
            </w:ins>
            <w:r>
              <w:rPr>
                <w:rFonts w:ascii="Calibri" w:hAnsi="Calibri" w:cs="Calibri"/>
                <w:color w:val="auto"/>
                <w:sz w:val="24"/>
              </w:rPr>
              <w:t>陶化</w:t>
            </w:r>
            <w:ins w:id="462" w:author="Sunny" w:date="2022-12-29T09:57:00Z">
              <w:r>
                <w:rPr>
                  <w:rFonts w:ascii="Calibri" w:hAnsi="Calibri" w:cs="Calibri"/>
                  <w:color w:val="auto"/>
                  <w:sz w:val="24"/>
                </w:rPr>
                <w:t>废渣（液），</w:t>
              </w:r>
            </w:ins>
            <w:r>
              <w:rPr>
                <w:rFonts w:ascii="Calibri" w:hAnsi="Calibri" w:cs="Calibri"/>
                <w:color w:val="auto"/>
                <w:sz w:val="24"/>
              </w:rPr>
              <w:t>陶化</w:t>
            </w:r>
            <w:ins w:id="463" w:author="Sunny" w:date="2022-12-29T10:54:00Z">
              <w:r>
                <w:rPr>
                  <w:rFonts w:ascii="Calibri" w:hAnsi="Calibri" w:cs="Calibri"/>
                  <w:color w:val="auto"/>
                  <w:sz w:val="24"/>
                </w:rPr>
                <w:t>废</w:t>
              </w:r>
            </w:ins>
            <w:ins w:id="464" w:author="Sunny" w:date="2022-12-29T10:59:00Z">
              <w:r>
                <w:rPr>
                  <w:rFonts w:ascii="Calibri" w:hAnsi="Calibri" w:cs="Calibri"/>
                  <w:color w:val="auto"/>
                  <w:sz w:val="24"/>
                </w:rPr>
                <w:t>渣</w:t>
              </w:r>
            </w:ins>
            <w:ins w:id="465" w:author="Sunny" w:date="2022-12-29T10:54:00Z">
              <w:r>
                <w:rPr>
                  <w:rFonts w:ascii="Calibri" w:hAnsi="Calibri" w:cs="Calibri"/>
                  <w:color w:val="auto"/>
                  <w:sz w:val="24"/>
                </w:rPr>
                <w:t>（</w:t>
              </w:r>
            </w:ins>
            <w:ins w:id="466" w:author="Sunny" w:date="2022-12-29T11:00:00Z">
              <w:r>
                <w:rPr>
                  <w:rFonts w:ascii="Calibri" w:hAnsi="Calibri" w:cs="Calibri"/>
                  <w:color w:val="auto"/>
                  <w:sz w:val="24"/>
                </w:rPr>
                <w:t>液</w:t>
              </w:r>
            </w:ins>
            <w:ins w:id="467" w:author="Sunny" w:date="2022-12-29T10:54:00Z">
              <w:r>
                <w:rPr>
                  <w:rFonts w:ascii="Calibri" w:hAnsi="Calibri" w:cs="Calibri"/>
                  <w:color w:val="auto"/>
                  <w:sz w:val="24"/>
                </w:rPr>
                <w:t>）</w:t>
              </w:r>
            </w:ins>
            <w:ins w:id="468" w:author="Sunny" w:date="2022-12-28T14:50:00Z">
              <w:r>
                <w:rPr>
                  <w:rFonts w:ascii="Calibri" w:hAnsi="Calibri" w:cs="Calibri"/>
                  <w:color w:val="auto"/>
                  <w:sz w:val="24"/>
                </w:rPr>
                <w:t>产生量为</w:t>
              </w:r>
            </w:ins>
            <w:r>
              <w:rPr>
                <w:rFonts w:ascii="Calibri" w:hAnsi="Calibri" w:cs="Calibri"/>
                <w:color w:val="auto"/>
                <w:sz w:val="24"/>
              </w:rPr>
              <w:t>2.5</w:t>
            </w:r>
            <w:ins w:id="469" w:author="Sunny" w:date="2022-12-28T14:50:00Z">
              <w:r>
                <w:rPr>
                  <w:rFonts w:ascii="Calibri" w:hAnsi="Calibri" w:cs="Calibri"/>
                  <w:color w:val="auto"/>
                  <w:sz w:val="24"/>
                </w:rPr>
                <w:t>t/a</w:t>
              </w:r>
            </w:ins>
            <w:ins w:id="470" w:author="Sunny" w:date="2022-12-29T10:55:00Z">
              <w:r>
                <w:rPr>
                  <w:rFonts w:ascii="Calibri" w:hAnsi="Calibri" w:cs="Calibri"/>
                  <w:color w:val="auto"/>
                  <w:sz w:val="24"/>
                </w:rPr>
                <w:t>，</w:t>
              </w:r>
            </w:ins>
            <w:ins w:id="471" w:author="Sunny" w:date="2022-12-29T10:54:00Z">
              <w:r>
                <w:rPr>
                  <w:rFonts w:ascii="Calibri" w:hAnsi="Calibri" w:cs="Calibri"/>
                  <w:color w:val="auto"/>
                  <w:sz w:val="24"/>
                </w:rPr>
                <w:t>预脱脂槽</w:t>
              </w:r>
            </w:ins>
            <w:ins w:id="472" w:author="Sunny" w:date="2022-12-29T11:00:00Z">
              <w:r>
                <w:rPr>
                  <w:rFonts w:ascii="Calibri" w:hAnsi="Calibri" w:cs="Calibri"/>
                  <w:color w:val="auto"/>
                  <w:sz w:val="24"/>
                </w:rPr>
                <w:t>清槽废水</w:t>
              </w:r>
            </w:ins>
            <w:ins w:id="473" w:author="Sunny" w:date="2022-12-29T10:55:00Z">
              <w:r>
                <w:rPr>
                  <w:rFonts w:ascii="Calibri" w:hAnsi="Calibri" w:cs="Calibri"/>
                  <w:color w:val="auto"/>
                  <w:sz w:val="24"/>
                </w:rPr>
                <w:t>产生量为</w:t>
              </w:r>
            </w:ins>
            <w:commentRangeStart w:id="11"/>
            <w:r>
              <w:rPr>
                <w:rFonts w:ascii="Calibri" w:hAnsi="Calibri" w:cs="Calibri"/>
                <w:color w:val="auto"/>
                <w:sz w:val="24"/>
              </w:rPr>
              <w:t>12</w:t>
            </w:r>
            <w:r>
              <w:rPr>
                <w:rFonts w:hint="eastAsia" w:ascii="Calibri" w:hAnsi="Calibri" w:cs="Calibri"/>
                <w:color w:val="auto"/>
                <w:sz w:val="24"/>
                <w:lang w:val="en-US" w:eastAsia="zh-CN"/>
              </w:rPr>
              <w:t>3</w:t>
            </w:r>
            <w:ins w:id="474" w:author="Sunny" w:date="2022-12-29T10:54:00Z">
              <w:r>
                <w:rPr>
                  <w:rFonts w:ascii="Calibri" w:hAnsi="Calibri" w:cs="Calibri"/>
                  <w:color w:val="auto"/>
                  <w:sz w:val="24"/>
                </w:rPr>
                <w:t>t</w:t>
              </w:r>
              <w:commentRangeEnd w:id="11"/>
            </w:ins>
            <w:r>
              <w:rPr>
                <w:color w:val="auto"/>
              </w:rPr>
              <w:commentReference w:id="11"/>
            </w:r>
            <w:ins w:id="475" w:author="Sunny" w:date="2022-12-29T10:54:00Z">
              <w:r>
                <w:rPr>
                  <w:rFonts w:ascii="Calibri" w:hAnsi="Calibri" w:cs="Calibri"/>
                  <w:color w:val="auto"/>
                  <w:sz w:val="24"/>
                </w:rPr>
                <w:t>/a</w:t>
              </w:r>
            </w:ins>
            <w:ins w:id="476" w:author="Sunny" w:date="2022-12-29T10:53:00Z">
              <w:r>
                <w:rPr>
                  <w:rFonts w:ascii="Calibri" w:hAnsi="Calibri" w:cs="Calibri"/>
                  <w:color w:val="auto"/>
                  <w:sz w:val="24"/>
                </w:rPr>
                <w:t>。</w:t>
              </w:r>
            </w:ins>
          </w:p>
          <w:p>
            <w:pPr>
              <w:pStyle w:val="17"/>
              <w:widowControl w:val="0"/>
              <w:snapToGrid/>
              <w:spacing w:before="0" w:after="0" w:line="360" w:lineRule="auto"/>
              <w:ind w:firstLine="480" w:firstLineChars="200"/>
              <w:rPr>
                <w:rFonts w:ascii="Calibri" w:hAnsi="Calibri" w:cs="Calibri"/>
                <w:b/>
                <w:bCs/>
                <w:color w:val="auto"/>
                <w:sz w:val="24"/>
                <w:szCs w:val="24"/>
              </w:rPr>
            </w:pPr>
            <w:r>
              <w:rPr>
                <w:rFonts w:ascii="Calibri" w:hAnsi="Calibri" w:eastAsia="微软雅黑" w:cs="Calibri"/>
                <w:b/>
                <w:bCs/>
                <w:color w:val="auto"/>
                <w:sz w:val="24"/>
                <w:szCs w:val="24"/>
              </w:rPr>
              <w:t>⑤</w:t>
            </w:r>
            <w:r>
              <w:rPr>
                <w:rFonts w:ascii="Calibri" w:hAnsi="Calibri" w:cs="Calibri"/>
                <w:b/>
                <w:bCs/>
                <w:color w:val="auto"/>
                <w:sz w:val="24"/>
                <w:szCs w:val="24"/>
              </w:rPr>
              <w:t>水洗用水</w:t>
            </w:r>
          </w:p>
          <w:p>
            <w:pPr>
              <w:spacing w:line="480" w:lineRule="exact"/>
              <w:ind w:firstLine="482"/>
              <w:rPr>
                <w:rFonts w:ascii="Calibri" w:hAnsi="Calibri" w:cs="Calibri"/>
                <w:color w:val="auto"/>
                <w:sz w:val="24"/>
              </w:rPr>
            </w:pPr>
            <w:ins w:id="477" w:author="Sunny" w:date="2022-12-28T10:55:00Z">
              <w:r>
                <w:rPr>
                  <w:rFonts w:ascii="Calibri" w:hAnsi="Calibri" w:cs="Calibri"/>
                  <w:color w:val="auto"/>
                  <w:sz w:val="24"/>
                </w:rPr>
                <w:t>脱脂</w:t>
              </w:r>
            </w:ins>
            <w:r>
              <w:rPr>
                <w:rFonts w:ascii="Calibri" w:hAnsi="Calibri" w:cs="Calibri"/>
                <w:color w:val="auto"/>
                <w:sz w:val="24"/>
              </w:rPr>
              <w:t>水洗Ⅰ、Ⅱ</w:t>
            </w:r>
            <w:ins w:id="478" w:author="Sunny" w:date="2022-12-28T10:55:00Z">
              <w:r>
                <w:rPr>
                  <w:rFonts w:ascii="Calibri" w:hAnsi="Calibri" w:cs="Calibri"/>
                  <w:color w:val="auto"/>
                  <w:sz w:val="24"/>
                </w:rPr>
                <w:t>、陶化水洗Ⅰ、Ⅱ</w:t>
              </w:r>
            </w:ins>
            <w:r>
              <w:rPr>
                <w:rFonts w:ascii="Calibri" w:hAnsi="Calibri" w:cs="Calibri"/>
                <w:color w:val="auto"/>
                <w:sz w:val="24"/>
              </w:rPr>
              <w:t>槽体体积有效容积均为1.44m</w:t>
            </w:r>
            <w:r>
              <w:rPr>
                <w:rFonts w:ascii="Calibri" w:hAnsi="Calibri" w:cs="Calibri"/>
                <w:color w:val="auto"/>
                <w:sz w:val="24"/>
                <w:vertAlign w:val="superscript"/>
              </w:rPr>
              <w:t>3</w:t>
            </w:r>
            <w:r>
              <w:rPr>
                <w:rFonts w:ascii="Calibri" w:hAnsi="Calibri" w:cs="Calibri"/>
                <w:color w:val="auto"/>
                <w:sz w:val="24"/>
              </w:rPr>
              <w:t>，采用逆流水洗，回用水从</w:t>
            </w:r>
            <w:ins w:id="479" w:author="Sunny" w:date="2022-12-28T14:55:00Z">
              <w:r>
                <w:rPr>
                  <w:rFonts w:ascii="Calibri" w:hAnsi="Calibri" w:cs="Calibri"/>
                  <w:color w:val="auto"/>
                  <w:sz w:val="24"/>
                </w:rPr>
                <w:t>陶化</w:t>
              </w:r>
            </w:ins>
            <w:r>
              <w:rPr>
                <w:rFonts w:ascii="Calibri" w:hAnsi="Calibri" w:cs="Calibri"/>
                <w:color w:val="auto"/>
                <w:sz w:val="24"/>
              </w:rPr>
              <w:t>水洗</w:t>
            </w:r>
            <w:ins w:id="480" w:author="Sunny" w:date="2022-12-28T14:55:00Z">
              <w:r>
                <w:rPr>
                  <w:rFonts w:ascii="Calibri" w:hAnsi="Calibri" w:cs="Calibri"/>
                  <w:color w:val="auto"/>
                  <w:sz w:val="24"/>
                </w:rPr>
                <w:t>Ⅱ</w:t>
              </w:r>
            </w:ins>
            <w:r>
              <w:rPr>
                <w:rFonts w:ascii="Calibri" w:hAnsi="Calibri" w:cs="Calibri"/>
                <w:color w:val="auto"/>
                <w:sz w:val="24"/>
              </w:rPr>
              <w:t>槽进水逆流到</w:t>
            </w:r>
            <w:ins w:id="481" w:author="Sunny" w:date="2022-12-28T14:55:00Z">
              <w:r>
                <w:rPr>
                  <w:rFonts w:ascii="Calibri" w:hAnsi="Calibri" w:cs="Calibri"/>
                  <w:color w:val="auto"/>
                  <w:sz w:val="24"/>
                </w:rPr>
                <w:t>脱脂</w:t>
              </w:r>
            </w:ins>
            <w:r>
              <w:rPr>
                <w:rFonts w:ascii="Calibri" w:hAnsi="Calibri" w:cs="Calibri"/>
                <w:color w:val="auto"/>
                <w:sz w:val="24"/>
              </w:rPr>
              <w:t>水洗Ⅰ槽，</w:t>
            </w:r>
            <w:ins w:id="482" w:author="Sunny" w:date="2022-12-28T14:55:00Z">
              <w:r>
                <w:rPr>
                  <w:rFonts w:ascii="Calibri" w:hAnsi="Calibri" w:cs="Calibri"/>
                  <w:color w:val="auto"/>
                  <w:sz w:val="24"/>
                </w:rPr>
                <w:t>脱脂</w:t>
              </w:r>
            </w:ins>
            <w:r>
              <w:rPr>
                <w:rFonts w:ascii="Calibri" w:hAnsi="Calibri" w:cs="Calibri"/>
                <w:color w:val="auto"/>
                <w:sz w:val="24"/>
              </w:rPr>
              <w:t>水洗Ⅰ槽产生的清洗废水进入厂内污水处理设施处理。</w:t>
            </w:r>
            <w:r>
              <w:rPr>
                <w:rFonts w:hint="eastAsia" w:ascii="Calibri" w:hAnsi="Calibri" w:cs="Calibri"/>
                <w:color w:val="auto"/>
                <w:sz w:val="24"/>
              </w:rPr>
              <w:t>溢流量</w:t>
            </w:r>
            <w:r>
              <w:rPr>
                <w:rFonts w:ascii="Calibri" w:hAnsi="Calibri" w:cs="Calibri"/>
                <w:color w:val="auto"/>
                <w:sz w:val="24"/>
              </w:rPr>
              <w:t>1.2L/min</w:t>
            </w:r>
            <w:r>
              <w:rPr>
                <w:rFonts w:hint="eastAsia" w:ascii="Calibri" w:hAnsi="Calibri" w:cs="Calibri"/>
                <w:color w:val="auto"/>
                <w:sz w:val="24"/>
              </w:rPr>
              <w:t>，工作时间300天，24h计，</w:t>
            </w:r>
            <w:r>
              <w:rPr>
                <w:rFonts w:ascii="Calibri" w:hAnsi="Calibri" w:cs="Calibri"/>
                <w:color w:val="auto"/>
                <w:sz w:val="24"/>
              </w:rPr>
              <w:t>故水洗槽年用水量约518.4t/a，损耗约20%。</w:t>
            </w:r>
          </w:p>
          <w:p>
            <w:pPr>
              <w:pStyle w:val="2"/>
              <w:snapToGrid/>
              <w:spacing w:before="0" w:after="0" w:line="360" w:lineRule="auto"/>
              <w:ind w:firstLine="480" w:firstLineChars="200"/>
              <w:rPr>
                <w:rFonts w:ascii="Calibri" w:hAnsi="Calibri" w:cs="Calibri"/>
                <w:color w:val="auto"/>
                <w:sz w:val="24"/>
                <w:szCs w:val="24"/>
              </w:rPr>
            </w:pPr>
            <w:r>
              <w:rPr>
                <w:rFonts w:ascii="Calibri" w:hAnsi="Calibri" w:cs="Calibri"/>
                <w:color w:val="auto"/>
                <w:sz w:val="24"/>
                <w:szCs w:val="24"/>
              </w:rPr>
              <w:t>纯水洗槽体体积有效容积1.44m</w:t>
            </w:r>
            <w:r>
              <w:rPr>
                <w:rFonts w:ascii="Calibri" w:hAnsi="Calibri" w:cs="Calibri"/>
                <w:color w:val="auto"/>
                <w:sz w:val="24"/>
                <w:szCs w:val="24"/>
                <w:vertAlign w:val="superscript"/>
              </w:rPr>
              <w:t>3</w:t>
            </w:r>
            <w:r>
              <w:rPr>
                <w:rFonts w:ascii="Calibri" w:hAnsi="Calibri" w:cs="Calibri"/>
                <w:color w:val="auto"/>
                <w:sz w:val="24"/>
                <w:szCs w:val="24"/>
              </w:rPr>
              <w:t>，循环使用，约20-50天清槽一次，使用纯水量25.9t/a，损耗约</w:t>
            </w:r>
            <w:r>
              <w:rPr>
                <w:rFonts w:hint="eastAsia" w:ascii="Calibri" w:hAnsi="Calibri" w:cs="Calibri"/>
                <w:color w:val="auto"/>
                <w:sz w:val="24"/>
                <w:szCs w:val="24"/>
              </w:rPr>
              <w:t>2</w:t>
            </w:r>
            <w:r>
              <w:rPr>
                <w:rFonts w:ascii="Calibri" w:hAnsi="Calibri" w:cs="Calibri"/>
                <w:color w:val="auto"/>
                <w:sz w:val="24"/>
                <w:szCs w:val="24"/>
              </w:rPr>
              <w:t>0%。</w:t>
            </w:r>
          </w:p>
          <w:p>
            <w:pPr>
              <w:pStyle w:val="2"/>
              <w:snapToGrid/>
              <w:spacing w:before="0" w:after="0" w:line="360" w:lineRule="auto"/>
              <w:ind w:firstLine="480" w:firstLineChars="200"/>
              <w:rPr>
                <w:rFonts w:ascii="Calibri" w:hAnsi="Calibri" w:cs="Calibri"/>
                <w:color w:val="auto"/>
                <w:sz w:val="24"/>
              </w:rPr>
            </w:pPr>
            <w:r>
              <w:rPr>
                <w:rFonts w:ascii="Calibri" w:hAnsi="Calibri" w:cs="Calibri"/>
                <w:color w:val="auto"/>
                <w:sz w:val="24"/>
                <w:szCs w:val="24"/>
              </w:rPr>
              <w:t>纯水直喷溢流量1.2L/min，</w:t>
            </w:r>
            <w:r>
              <w:rPr>
                <w:rFonts w:hint="eastAsia" w:ascii="Calibri" w:hAnsi="Calibri" w:cs="Calibri"/>
                <w:color w:val="auto"/>
                <w:sz w:val="24"/>
                <w:szCs w:val="24"/>
              </w:rPr>
              <w:t>工作时间300天，24h计，</w:t>
            </w:r>
            <w:r>
              <w:rPr>
                <w:rFonts w:ascii="Calibri" w:hAnsi="Calibri" w:cs="Calibri"/>
                <w:color w:val="auto"/>
                <w:sz w:val="24"/>
                <w:szCs w:val="24"/>
              </w:rPr>
              <w:t>使用纯水518.4</w:t>
            </w:r>
            <w:r>
              <w:rPr>
                <w:rFonts w:ascii="Calibri" w:hAnsi="Calibri" w:cs="Calibri"/>
                <w:color w:val="auto"/>
                <w:sz w:val="24"/>
              </w:rPr>
              <w:t xml:space="preserve"> t/a，损耗约</w:t>
            </w:r>
            <w:r>
              <w:rPr>
                <w:rFonts w:hint="eastAsia" w:ascii="Calibri" w:hAnsi="Calibri" w:cs="Calibri"/>
                <w:color w:val="auto"/>
                <w:sz w:val="24"/>
              </w:rPr>
              <w:t>2</w:t>
            </w:r>
            <w:r>
              <w:rPr>
                <w:rFonts w:ascii="Calibri" w:hAnsi="Calibri" w:cs="Calibri"/>
                <w:color w:val="auto"/>
                <w:sz w:val="24"/>
              </w:rPr>
              <w:t>0%。喷粉前处理用水量详见下表。</w:t>
            </w: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pStyle w:val="3"/>
              <w:widowControl w:val="0"/>
              <w:numPr>
                <w:ilvl w:val="0"/>
                <w:numId w:val="0"/>
              </w:numPr>
              <w:jc w:val="both"/>
              <w:rPr>
                <w:rFonts w:ascii="Calibri" w:hAnsi="Calibri" w:cs="Calibri"/>
                <w:color w:val="auto"/>
                <w:sz w:val="24"/>
              </w:rPr>
            </w:pPr>
          </w:p>
          <w:p>
            <w:pPr>
              <w:widowControl/>
              <w:jc w:val="left"/>
              <w:rPr>
                <w:rFonts w:ascii="Calibri" w:hAnsi="Calibri" w:cs="Calibri"/>
                <w:color w:val="auto"/>
              </w:rPr>
            </w:pPr>
          </w:p>
        </w:tc>
      </w:tr>
    </w:tbl>
    <w:p>
      <w:pPr>
        <w:widowControl/>
        <w:jc w:val="left"/>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color w:val="auto"/>
        </w:rPr>
        <w:br w:type="page"/>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13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pPr>
              <w:widowControl/>
              <w:jc w:val="left"/>
              <w:rPr>
                <w:rFonts w:ascii="Calibri" w:hAnsi="Calibri" w:cs="Calibri"/>
                <w:color w:val="auto"/>
              </w:rPr>
            </w:pPr>
          </w:p>
        </w:tc>
        <w:tc>
          <w:tcPr>
            <w:tcW w:w="13527" w:type="dxa"/>
          </w:tcPr>
          <w:p>
            <w:pPr>
              <w:widowControl/>
              <w:numPr>
                <w:ilvl w:val="0"/>
                <w:numId w:val="4"/>
              </w:numPr>
              <w:adjustRightInd w:val="0"/>
              <w:snapToGrid w:val="0"/>
              <w:ind w:firstLine="480" w:firstLineChars="200"/>
              <w:jc w:val="center"/>
              <w:rPr>
                <w:rFonts w:ascii="Calibri" w:hAnsi="Calibri" w:cs="Calibri"/>
                <w:b/>
                <w:bCs/>
                <w:color w:val="auto"/>
                <w:sz w:val="24"/>
              </w:rPr>
            </w:pPr>
            <w:r>
              <w:rPr>
                <w:rFonts w:hint="eastAsia" w:ascii="Calibri" w:hAnsi="Calibri" w:cs="Calibri"/>
                <w:b/>
                <w:bCs/>
                <w:color w:val="auto"/>
                <w:sz w:val="24"/>
              </w:rPr>
              <w:t>喷粉生产线前处理用水统计</w:t>
            </w:r>
            <w:r>
              <w:rPr>
                <w:rFonts w:ascii="Calibri" w:hAnsi="Calibri" w:cs="Calibri"/>
                <w:b/>
                <w:bCs/>
                <w:color w:val="auto"/>
                <w:sz w:val="24"/>
              </w:rPr>
              <w:t>一览表</w:t>
            </w:r>
          </w:p>
          <w:tbl>
            <w:tblPr>
              <w:tblStyle w:val="26"/>
              <w:tblW w:w="131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1134"/>
              <w:gridCol w:w="850"/>
              <w:gridCol w:w="993"/>
              <w:gridCol w:w="1004"/>
              <w:gridCol w:w="1495"/>
              <w:gridCol w:w="870"/>
              <w:gridCol w:w="847"/>
              <w:gridCol w:w="880"/>
              <w:gridCol w:w="876"/>
              <w:gridCol w:w="915"/>
              <w:gridCol w:w="835"/>
              <w:gridCol w:w="880"/>
              <w:gridCol w:w="8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98" w:type="dxa"/>
                  <w:vMerge w:val="restart"/>
                  <w:tcBorders>
                    <w:tl2br w:val="nil"/>
                    <w:tr2bl w:val="nil"/>
                  </w:tcBorders>
                  <w:noWrap/>
                  <w:vAlign w:val="center"/>
                </w:tcPr>
                <w:p>
                  <w:pPr>
                    <w:kinsoku w:val="0"/>
                    <w:overflowPunct w:val="0"/>
                    <w:adjustRightInd w:val="0"/>
                    <w:snapToGrid w:val="0"/>
                    <w:jc w:val="center"/>
                    <w:textAlignment w:val="center"/>
                    <w:rPr>
                      <w:color w:val="auto"/>
                      <w:szCs w:val="21"/>
                    </w:rPr>
                  </w:pPr>
                  <w:r>
                    <w:rPr>
                      <w:b/>
                      <w:bCs/>
                      <w:color w:val="auto"/>
                      <w:szCs w:val="21"/>
                    </w:rPr>
                    <w:t>名称</w:t>
                  </w:r>
                </w:p>
              </w:tc>
              <w:tc>
                <w:tcPr>
                  <w:tcW w:w="425" w:type="dxa"/>
                  <w:vMerge w:val="restart"/>
                  <w:tcBorders>
                    <w:tl2br w:val="nil"/>
                    <w:tr2bl w:val="nil"/>
                  </w:tcBorders>
                  <w:noWrap/>
                  <w:vAlign w:val="center"/>
                </w:tcPr>
                <w:p>
                  <w:pPr>
                    <w:kinsoku w:val="0"/>
                    <w:overflowPunct w:val="0"/>
                    <w:adjustRightInd w:val="0"/>
                    <w:snapToGrid w:val="0"/>
                    <w:jc w:val="center"/>
                    <w:textAlignment w:val="center"/>
                    <w:rPr>
                      <w:b/>
                      <w:bCs/>
                      <w:color w:val="auto"/>
                      <w:szCs w:val="21"/>
                    </w:rPr>
                  </w:pPr>
                  <w:r>
                    <w:rPr>
                      <w:b/>
                      <w:bCs/>
                      <w:color w:val="auto"/>
                      <w:kern w:val="0"/>
                      <w:szCs w:val="21"/>
                      <w:lang w:bidi="ar"/>
                    </w:rPr>
                    <w:t>序号</w:t>
                  </w:r>
                </w:p>
              </w:tc>
              <w:tc>
                <w:tcPr>
                  <w:tcW w:w="1134" w:type="dxa"/>
                  <w:vMerge w:val="restart"/>
                  <w:tcBorders>
                    <w:tl2br w:val="nil"/>
                    <w:tr2bl w:val="nil"/>
                  </w:tcBorders>
                  <w:noWrap/>
                  <w:vAlign w:val="center"/>
                </w:tcPr>
                <w:p>
                  <w:pPr>
                    <w:kinsoku w:val="0"/>
                    <w:overflowPunct w:val="0"/>
                    <w:adjustRightInd w:val="0"/>
                    <w:snapToGrid w:val="0"/>
                    <w:jc w:val="center"/>
                    <w:textAlignment w:val="center"/>
                    <w:rPr>
                      <w:b/>
                      <w:bCs/>
                      <w:color w:val="auto"/>
                      <w:szCs w:val="21"/>
                    </w:rPr>
                  </w:pPr>
                  <w:r>
                    <w:rPr>
                      <w:b/>
                      <w:bCs/>
                      <w:color w:val="auto"/>
                      <w:kern w:val="0"/>
                      <w:szCs w:val="21"/>
                      <w:lang w:bidi="ar"/>
                    </w:rPr>
                    <w:t>工段</w:t>
                  </w:r>
                </w:p>
              </w:tc>
              <w:tc>
                <w:tcPr>
                  <w:tcW w:w="850" w:type="dxa"/>
                  <w:vMerge w:val="restart"/>
                  <w:tcBorders>
                    <w:tl2br w:val="nil"/>
                    <w:tr2bl w:val="nil"/>
                  </w:tcBorders>
                  <w:vAlign w:val="center"/>
                </w:tcPr>
                <w:p>
                  <w:pPr>
                    <w:kinsoku w:val="0"/>
                    <w:overflowPunct w:val="0"/>
                    <w:adjustRightInd w:val="0"/>
                    <w:snapToGrid w:val="0"/>
                    <w:jc w:val="center"/>
                    <w:textAlignment w:val="center"/>
                    <w:rPr>
                      <w:b/>
                      <w:bCs/>
                      <w:color w:val="auto"/>
                      <w:kern w:val="0"/>
                      <w:szCs w:val="21"/>
                      <w:lang w:bidi="ar"/>
                    </w:rPr>
                  </w:pPr>
                  <w:r>
                    <w:rPr>
                      <w:b/>
                      <w:bCs/>
                      <w:color w:val="auto"/>
                      <w:kern w:val="0"/>
                      <w:szCs w:val="21"/>
                      <w:lang w:bidi="ar"/>
                    </w:rPr>
                    <w:t>槽体数量</w:t>
                  </w:r>
                </w:p>
                <w:p>
                  <w:pPr>
                    <w:kinsoku w:val="0"/>
                    <w:overflowPunct w:val="0"/>
                    <w:adjustRightInd w:val="0"/>
                    <w:snapToGrid w:val="0"/>
                    <w:jc w:val="center"/>
                    <w:textAlignment w:val="center"/>
                    <w:rPr>
                      <w:b/>
                      <w:bCs/>
                      <w:color w:val="auto"/>
                      <w:szCs w:val="21"/>
                    </w:rPr>
                  </w:pPr>
                  <w:r>
                    <w:rPr>
                      <w:b/>
                      <w:bCs/>
                      <w:color w:val="auto"/>
                      <w:kern w:val="0"/>
                      <w:szCs w:val="21"/>
                      <w:lang w:bidi="ar"/>
                    </w:rPr>
                    <w:t>（个）</w:t>
                  </w:r>
                </w:p>
              </w:tc>
              <w:tc>
                <w:tcPr>
                  <w:tcW w:w="993" w:type="dxa"/>
                  <w:vMerge w:val="restart"/>
                  <w:tcBorders>
                    <w:tl2br w:val="nil"/>
                    <w:tr2bl w:val="nil"/>
                  </w:tcBorders>
                  <w:vAlign w:val="center"/>
                </w:tcPr>
                <w:p>
                  <w:pPr>
                    <w:kinsoku w:val="0"/>
                    <w:overflowPunct w:val="0"/>
                    <w:adjustRightInd w:val="0"/>
                    <w:snapToGrid w:val="0"/>
                    <w:jc w:val="center"/>
                    <w:textAlignment w:val="center"/>
                    <w:rPr>
                      <w:b/>
                      <w:bCs/>
                      <w:color w:val="auto"/>
                      <w:szCs w:val="21"/>
                    </w:rPr>
                  </w:pPr>
                  <w:r>
                    <w:rPr>
                      <w:b/>
                      <w:bCs/>
                      <w:color w:val="auto"/>
                      <w:kern w:val="0"/>
                      <w:szCs w:val="21"/>
                      <w:lang w:bidi="ar"/>
                    </w:rPr>
                    <w:t>有效容积（</w:t>
                  </w:r>
                  <w:r>
                    <w:rPr>
                      <w:rStyle w:val="69"/>
                      <w:color w:val="auto"/>
                      <w:sz w:val="21"/>
                      <w:szCs w:val="21"/>
                      <w:lang w:bidi="ar"/>
                    </w:rPr>
                    <w:t>m</w:t>
                  </w:r>
                  <w:r>
                    <w:rPr>
                      <w:rStyle w:val="69"/>
                      <w:color w:val="auto"/>
                      <w:sz w:val="21"/>
                      <w:szCs w:val="21"/>
                      <w:vertAlign w:val="superscript"/>
                      <w:lang w:bidi="ar"/>
                    </w:rPr>
                    <w:t>3</w:t>
                  </w:r>
                  <w:r>
                    <w:rPr>
                      <w:rStyle w:val="70"/>
                      <w:color w:val="auto"/>
                      <w:sz w:val="21"/>
                      <w:szCs w:val="21"/>
                      <w:lang w:bidi="ar"/>
                    </w:rPr>
                    <w:t>）</w:t>
                  </w:r>
                </w:p>
              </w:tc>
              <w:tc>
                <w:tcPr>
                  <w:tcW w:w="1004" w:type="dxa"/>
                  <w:vMerge w:val="restart"/>
                  <w:tcBorders>
                    <w:tl2br w:val="nil"/>
                    <w:tr2bl w:val="nil"/>
                  </w:tcBorders>
                  <w:noWrap/>
                  <w:vAlign w:val="center"/>
                </w:tcPr>
                <w:p>
                  <w:pPr>
                    <w:kinsoku w:val="0"/>
                    <w:overflowPunct w:val="0"/>
                    <w:adjustRightInd w:val="0"/>
                    <w:snapToGrid w:val="0"/>
                    <w:jc w:val="center"/>
                    <w:textAlignment w:val="center"/>
                    <w:rPr>
                      <w:b/>
                      <w:bCs/>
                      <w:color w:val="auto"/>
                      <w:szCs w:val="21"/>
                    </w:rPr>
                  </w:pPr>
                  <w:r>
                    <w:rPr>
                      <w:b/>
                      <w:bCs/>
                      <w:color w:val="auto"/>
                      <w:kern w:val="0"/>
                      <w:szCs w:val="21"/>
                      <w:lang w:bidi="ar"/>
                    </w:rPr>
                    <w:t>用水性质</w:t>
                  </w:r>
                </w:p>
              </w:tc>
              <w:tc>
                <w:tcPr>
                  <w:tcW w:w="1526" w:type="dxa"/>
                  <w:vMerge w:val="restart"/>
                  <w:tcBorders>
                    <w:tl2br w:val="nil"/>
                    <w:tr2bl w:val="nil"/>
                  </w:tcBorders>
                  <w:vAlign w:val="center"/>
                </w:tcPr>
                <w:p>
                  <w:pPr>
                    <w:kinsoku w:val="0"/>
                    <w:overflowPunct w:val="0"/>
                    <w:adjustRightInd w:val="0"/>
                    <w:snapToGrid w:val="0"/>
                    <w:jc w:val="center"/>
                    <w:textAlignment w:val="center"/>
                    <w:rPr>
                      <w:b/>
                      <w:bCs/>
                      <w:color w:val="auto"/>
                      <w:szCs w:val="21"/>
                    </w:rPr>
                  </w:pPr>
                  <w:r>
                    <w:rPr>
                      <w:b/>
                      <w:bCs/>
                      <w:color w:val="auto"/>
                      <w:kern w:val="0"/>
                      <w:szCs w:val="21"/>
                      <w:lang w:bidi="ar"/>
                    </w:rPr>
                    <w:t>排放方式</w:t>
                  </w:r>
                </w:p>
              </w:tc>
              <w:tc>
                <w:tcPr>
                  <w:tcW w:w="1717" w:type="dxa"/>
                  <w:gridSpan w:val="2"/>
                  <w:tcBorders>
                    <w:tl2br w:val="nil"/>
                    <w:tr2bl w:val="nil"/>
                  </w:tcBorders>
                  <w:noWrap/>
                  <w:vAlign w:val="center"/>
                </w:tcPr>
                <w:p>
                  <w:pPr>
                    <w:kinsoku w:val="0"/>
                    <w:overflowPunct w:val="0"/>
                    <w:adjustRightInd w:val="0"/>
                    <w:snapToGrid w:val="0"/>
                    <w:jc w:val="center"/>
                    <w:textAlignment w:val="center"/>
                    <w:rPr>
                      <w:b/>
                      <w:bCs/>
                      <w:color w:val="auto"/>
                      <w:szCs w:val="21"/>
                    </w:rPr>
                  </w:pPr>
                  <w:r>
                    <w:rPr>
                      <w:b/>
                      <w:bCs/>
                      <w:color w:val="auto"/>
                      <w:kern w:val="0"/>
                      <w:szCs w:val="21"/>
                      <w:lang w:bidi="ar"/>
                    </w:rPr>
                    <w:t>补水量</w:t>
                  </w:r>
                </w:p>
              </w:tc>
              <w:tc>
                <w:tcPr>
                  <w:tcW w:w="1756" w:type="dxa"/>
                  <w:gridSpan w:val="2"/>
                  <w:tcBorders>
                    <w:tl2br w:val="nil"/>
                    <w:tr2bl w:val="nil"/>
                  </w:tcBorders>
                  <w:noWrap/>
                  <w:vAlign w:val="center"/>
                </w:tcPr>
                <w:p>
                  <w:pPr>
                    <w:kinsoku w:val="0"/>
                    <w:overflowPunct w:val="0"/>
                    <w:adjustRightInd w:val="0"/>
                    <w:snapToGrid w:val="0"/>
                    <w:jc w:val="center"/>
                    <w:textAlignment w:val="center"/>
                    <w:rPr>
                      <w:b/>
                      <w:bCs/>
                      <w:color w:val="auto"/>
                      <w:szCs w:val="21"/>
                    </w:rPr>
                  </w:pPr>
                  <w:r>
                    <w:rPr>
                      <w:b/>
                      <w:bCs/>
                      <w:color w:val="auto"/>
                      <w:kern w:val="0"/>
                      <w:szCs w:val="21"/>
                      <w:lang w:bidi="ar"/>
                    </w:rPr>
                    <w:t>排放废水（清洗废水）</w:t>
                  </w:r>
                </w:p>
              </w:tc>
              <w:tc>
                <w:tcPr>
                  <w:tcW w:w="1750" w:type="dxa"/>
                  <w:gridSpan w:val="2"/>
                  <w:tcBorders>
                    <w:tl2br w:val="nil"/>
                    <w:tr2bl w:val="nil"/>
                  </w:tcBorders>
                  <w:noWrap/>
                  <w:vAlign w:val="center"/>
                </w:tcPr>
                <w:p>
                  <w:pPr>
                    <w:kinsoku w:val="0"/>
                    <w:overflowPunct w:val="0"/>
                    <w:adjustRightInd w:val="0"/>
                    <w:snapToGrid w:val="0"/>
                    <w:jc w:val="center"/>
                    <w:textAlignment w:val="center"/>
                    <w:rPr>
                      <w:b/>
                      <w:bCs/>
                      <w:color w:val="auto"/>
                      <w:szCs w:val="21"/>
                    </w:rPr>
                  </w:pPr>
                  <w:r>
                    <w:rPr>
                      <w:b/>
                      <w:bCs/>
                      <w:color w:val="auto"/>
                      <w:kern w:val="0"/>
                      <w:szCs w:val="21"/>
                      <w:lang w:bidi="ar"/>
                    </w:rPr>
                    <w:t>倒槽废</w:t>
                  </w:r>
                  <w:r>
                    <w:rPr>
                      <w:color w:val="auto"/>
                    </w:rPr>
                    <w:commentReference w:id="12"/>
                  </w:r>
                  <w:r>
                    <w:rPr>
                      <w:b/>
                      <w:bCs/>
                      <w:color w:val="auto"/>
                      <w:kern w:val="0"/>
                      <w:szCs w:val="21"/>
                      <w:lang w:bidi="ar"/>
                    </w:rPr>
                    <w:t>水</w:t>
                  </w:r>
                </w:p>
              </w:tc>
              <w:tc>
                <w:tcPr>
                  <w:tcW w:w="1624" w:type="dxa"/>
                  <w:gridSpan w:val="2"/>
                  <w:tcBorders>
                    <w:tl2br w:val="nil"/>
                    <w:tr2bl w:val="nil"/>
                  </w:tcBorders>
                  <w:noWrap/>
                  <w:vAlign w:val="center"/>
                </w:tcPr>
                <w:p>
                  <w:pPr>
                    <w:kinsoku w:val="0"/>
                    <w:overflowPunct w:val="0"/>
                    <w:adjustRightInd w:val="0"/>
                    <w:snapToGrid w:val="0"/>
                    <w:jc w:val="center"/>
                    <w:textAlignment w:val="center"/>
                    <w:rPr>
                      <w:b/>
                      <w:bCs/>
                      <w:color w:val="auto"/>
                      <w:szCs w:val="21"/>
                    </w:rPr>
                  </w:pPr>
                  <w:r>
                    <w:rPr>
                      <w:b/>
                      <w:bCs/>
                      <w:color w:val="auto"/>
                      <w:kern w:val="0"/>
                      <w:szCs w:val="21"/>
                      <w:lang w:bidi="ar"/>
                    </w:rPr>
                    <w:t>倒槽废渣（液）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98" w:type="dxa"/>
                  <w:vMerge w:val="continue"/>
                  <w:tcBorders>
                    <w:tl2br w:val="nil"/>
                    <w:tr2bl w:val="nil"/>
                  </w:tcBorders>
                  <w:noWrap/>
                  <w:vAlign w:val="center"/>
                </w:tcPr>
                <w:p>
                  <w:pPr>
                    <w:kinsoku w:val="0"/>
                    <w:overflowPunct w:val="0"/>
                    <w:adjustRightInd w:val="0"/>
                    <w:snapToGrid w:val="0"/>
                    <w:jc w:val="center"/>
                    <w:rPr>
                      <w:color w:val="auto"/>
                      <w:szCs w:val="21"/>
                    </w:rPr>
                  </w:pPr>
                </w:p>
              </w:tc>
              <w:tc>
                <w:tcPr>
                  <w:tcW w:w="425" w:type="dxa"/>
                  <w:vMerge w:val="continue"/>
                  <w:tcBorders>
                    <w:tl2br w:val="nil"/>
                    <w:tr2bl w:val="nil"/>
                  </w:tcBorders>
                  <w:noWrap/>
                  <w:vAlign w:val="center"/>
                </w:tcPr>
                <w:p>
                  <w:pPr>
                    <w:kinsoku w:val="0"/>
                    <w:overflowPunct w:val="0"/>
                    <w:adjustRightInd w:val="0"/>
                    <w:snapToGrid w:val="0"/>
                    <w:jc w:val="center"/>
                    <w:rPr>
                      <w:b/>
                      <w:bCs/>
                      <w:color w:val="auto"/>
                      <w:szCs w:val="21"/>
                    </w:rPr>
                  </w:pPr>
                </w:p>
              </w:tc>
              <w:tc>
                <w:tcPr>
                  <w:tcW w:w="1134" w:type="dxa"/>
                  <w:vMerge w:val="continue"/>
                  <w:tcBorders>
                    <w:tl2br w:val="nil"/>
                    <w:tr2bl w:val="nil"/>
                  </w:tcBorders>
                  <w:noWrap/>
                  <w:vAlign w:val="center"/>
                </w:tcPr>
                <w:p>
                  <w:pPr>
                    <w:kinsoku w:val="0"/>
                    <w:overflowPunct w:val="0"/>
                    <w:adjustRightInd w:val="0"/>
                    <w:snapToGrid w:val="0"/>
                    <w:jc w:val="center"/>
                    <w:rPr>
                      <w:b/>
                      <w:bCs/>
                      <w:color w:val="auto"/>
                      <w:szCs w:val="21"/>
                    </w:rPr>
                  </w:pPr>
                </w:p>
              </w:tc>
              <w:tc>
                <w:tcPr>
                  <w:tcW w:w="850" w:type="dxa"/>
                  <w:vMerge w:val="continue"/>
                  <w:tcBorders>
                    <w:tl2br w:val="nil"/>
                    <w:tr2bl w:val="nil"/>
                  </w:tcBorders>
                  <w:vAlign w:val="center"/>
                </w:tcPr>
                <w:p>
                  <w:pPr>
                    <w:kinsoku w:val="0"/>
                    <w:overflowPunct w:val="0"/>
                    <w:adjustRightInd w:val="0"/>
                    <w:snapToGrid w:val="0"/>
                    <w:jc w:val="center"/>
                    <w:textAlignment w:val="center"/>
                    <w:rPr>
                      <w:b/>
                      <w:bCs/>
                      <w:color w:val="auto"/>
                      <w:szCs w:val="21"/>
                    </w:rPr>
                  </w:pPr>
                </w:p>
              </w:tc>
              <w:tc>
                <w:tcPr>
                  <w:tcW w:w="993" w:type="dxa"/>
                  <w:vMerge w:val="continue"/>
                  <w:tcBorders>
                    <w:tl2br w:val="nil"/>
                    <w:tr2bl w:val="nil"/>
                  </w:tcBorders>
                  <w:vAlign w:val="center"/>
                </w:tcPr>
                <w:p>
                  <w:pPr>
                    <w:kinsoku w:val="0"/>
                    <w:overflowPunct w:val="0"/>
                    <w:adjustRightInd w:val="0"/>
                    <w:snapToGrid w:val="0"/>
                    <w:jc w:val="center"/>
                    <w:rPr>
                      <w:b/>
                      <w:bCs/>
                      <w:color w:val="auto"/>
                      <w:szCs w:val="21"/>
                    </w:rPr>
                  </w:pPr>
                </w:p>
              </w:tc>
              <w:tc>
                <w:tcPr>
                  <w:tcW w:w="1004" w:type="dxa"/>
                  <w:vMerge w:val="continue"/>
                  <w:tcBorders>
                    <w:tl2br w:val="nil"/>
                    <w:tr2bl w:val="nil"/>
                  </w:tcBorders>
                  <w:noWrap/>
                  <w:vAlign w:val="center"/>
                </w:tcPr>
                <w:p>
                  <w:pPr>
                    <w:kinsoku w:val="0"/>
                    <w:overflowPunct w:val="0"/>
                    <w:adjustRightInd w:val="0"/>
                    <w:snapToGrid w:val="0"/>
                    <w:jc w:val="center"/>
                    <w:rPr>
                      <w:b/>
                      <w:bCs/>
                      <w:color w:val="auto"/>
                      <w:szCs w:val="21"/>
                    </w:rPr>
                  </w:pPr>
                </w:p>
              </w:tc>
              <w:tc>
                <w:tcPr>
                  <w:tcW w:w="1526" w:type="dxa"/>
                  <w:vMerge w:val="continue"/>
                  <w:tcBorders>
                    <w:tl2br w:val="nil"/>
                    <w:tr2bl w:val="nil"/>
                  </w:tcBorders>
                  <w:vAlign w:val="center"/>
                </w:tcPr>
                <w:p>
                  <w:pPr>
                    <w:kinsoku w:val="0"/>
                    <w:overflowPunct w:val="0"/>
                    <w:adjustRightInd w:val="0"/>
                    <w:snapToGrid w:val="0"/>
                    <w:jc w:val="center"/>
                    <w:rPr>
                      <w:b/>
                      <w:bCs/>
                      <w:color w:val="auto"/>
                      <w:szCs w:val="21"/>
                    </w:rPr>
                  </w:pPr>
                </w:p>
              </w:tc>
              <w:tc>
                <w:tcPr>
                  <w:tcW w:w="895" w:type="dxa"/>
                  <w:tcBorders>
                    <w:tl2br w:val="nil"/>
                    <w:tr2bl w:val="nil"/>
                  </w:tcBorders>
                  <w:vAlign w:val="center"/>
                </w:tcPr>
                <w:p>
                  <w:pPr>
                    <w:kinsoku w:val="0"/>
                    <w:overflowPunct w:val="0"/>
                    <w:adjustRightInd w:val="0"/>
                    <w:snapToGrid w:val="0"/>
                    <w:jc w:val="center"/>
                    <w:textAlignment w:val="center"/>
                    <w:rPr>
                      <w:b/>
                      <w:bCs/>
                      <w:color w:val="auto"/>
                      <w:kern w:val="0"/>
                      <w:szCs w:val="21"/>
                      <w:lang w:bidi="ar"/>
                    </w:rPr>
                  </w:pPr>
                  <w:r>
                    <w:rPr>
                      <w:b/>
                      <w:bCs/>
                      <w:color w:val="auto"/>
                      <w:kern w:val="0"/>
                      <w:szCs w:val="21"/>
                      <w:lang w:bidi="ar"/>
                    </w:rPr>
                    <w:t>溢流速度</w:t>
                  </w:r>
                </w:p>
                <w:p>
                  <w:pPr>
                    <w:kinsoku w:val="0"/>
                    <w:overflowPunct w:val="0"/>
                    <w:adjustRightInd w:val="0"/>
                    <w:snapToGrid w:val="0"/>
                    <w:jc w:val="center"/>
                    <w:textAlignment w:val="center"/>
                    <w:rPr>
                      <w:b/>
                      <w:bCs/>
                      <w:color w:val="auto"/>
                      <w:szCs w:val="21"/>
                    </w:rPr>
                  </w:pPr>
                  <w:r>
                    <w:rPr>
                      <w:b/>
                      <w:bCs/>
                      <w:color w:val="auto"/>
                      <w:kern w:val="0"/>
                      <w:szCs w:val="21"/>
                      <w:lang w:bidi="ar"/>
                    </w:rPr>
                    <w:t>L/min</w:t>
                  </w:r>
                </w:p>
              </w:tc>
              <w:tc>
                <w:tcPr>
                  <w:tcW w:w="822" w:type="dxa"/>
                  <w:tcBorders>
                    <w:tl2br w:val="nil"/>
                    <w:tr2bl w:val="nil"/>
                  </w:tcBorders>
                  <w:vAlign w:val="center"/>
                </w:tcPr>
                <w:p>
                  <w:pPr>
                    <w:kinsoku w:val="0"/>
                    <w:overflowPunct w:val="0"/>
                    <w:adjustRightInd w:val="0"/>
                    <w:snapToGrid w:val="0"/>
                    <w:jc w:val="center"/>
                    <w:textAlignment w:val="center"/>
                    <w:rPr>
                      <w:b/>
                      <w:bCs/>
                      <w:color w:val="auto"/>
                      <w:kern w:val="0"/>
                      <w:szCs w:val="21"/>
                      <w:lang w:bidi="ar"/>
                    </w:rPr>
                  </w:pPr>
                  <w:r>
                    <w:rPr>
                      <w:b/>
                      <w:bCs/>
                      <w:color w:val="auto"/>
                      <w:kern w:val="0"/>
                      <w:szCs w:val="21"/>
                      <w:lang w:bidi="ar"/>
                    </w:rPr>
                    <w:t>补水量</w:t>
                  </w:r>
                </w:p>
                <w:p>
                  <w:pPr>
                    <w:kinsoku w:val="0"/>
                    <w:overflowPunct w:val="0"/>
                    <w:adjustRightInd w:val="0"/>
                    <w:snapToGrid w:val="0"/>
                    <w:jc w:val="center"/>
                    <w:textAlignment w:val="center"/>
                    <w:rPr>
                      <w:b/>
                      <w:bCs/>
                      <w:color w:val="auto"/>
                      <w:szCs w:val="21"/>
                    </w:rPr>
                  </w:pPr>
                  <w:r>
                    <w:rPr>
                      <w:b/>
                      <w:bCs/>
                      <w:color w:val="auto"/>
                      <w:kern w:val="0"/>
                      <w:szCs w:val="21"/>
                      <w:lang w:bidi="ar"/>
                    </w:rPr>
                    <w:t>（</w:t>
                  </w:r>
                  <w:r>
                    <w:rPr>
                      <w:rStyle w:val="69"/>
                      <w:color w:val="auto"/>
                      <w:sz w:val="21"/>
                      <w:szCs w:val="21"/>
                      <w:lang w:bidi="ar"/>
                    </w:rPr>
                    <w:t>t/a</w:t>
                  </w:r>
                  <w:r>
                    <w:rPr>
                      <w:rStyle w:val="70"/>
                      <w:color w:val="auto"/>
                      <w:sz w:val="21"/>
                      <w:szCs w:val="21"/>
                      <w:lang w:bidi="ar"/>
                    </w:rPr>
                    <w:t>）</w:t>
                  </w:r>
                </w:p>
              </w:tc>
              <w:tc>
                <w:tcPr>
                  <w:tcW w:w="880" w:type="dxa"/>
                  <w:tcBorders>
                    <w:tl2br w:val="nil"/>
                    <w:tr2bl w:val="nil"/>
                  </w:tcBorders>
                  <w:vAlign w:val="center"/>
                </w:tcPr>
                <w:p>
                  <w:pPr>
                    <w:kinsoku w:val="0"/>
                    <w:overflowPunct w:val="0"/>
                    <w:adjustRightInd w:val="0"/>
                    <w:snapToGrid w:val="0"/>
                    <w:jc w:val="center"/>
                    <w:textAlignment w:val="center"/>
                    <w:rPr>
                      <w:b/>
                      <w:bCs/>
                      <w:color w:val="auto"/>
                      <w:kern w:val="0"/>
                      <w:szCs w:val="21"/>
                      <w:lang w:bidi="ar"/>
                    </w:rPr>
                  </w:pPr>
                  <w:r>
                    <w:rPr>
                      <w:b/>
                      <w:bCs/>
                      <w:color w:val="auto"/>
                      <w:kern w:val="0"/>
                      <w:szCs w:val="21"/>
                      <w:lang w:bidi="ar"/>
                    </w:rPr>
                    <w:t>溢流速度</w:t>
                  </w:r>
                </w:p>
                <w:p>
                  <w:pPr>
                    <w:kinsoku w:val="0"/>
                    <w:overflowPunct w:val="0"/>
                    <w:adjustRightInd w:val="0"/>
                    <w:snapToGrid w:val="0"/>
                    <w:jc w:val="center"/>
                    <w:textAlignment w:val="center"/>
                    <w:rPr>
                      <w:b/>
                      <w:bCs/>
                      <w:color w:val="auto"/>
                      <w:szCs w:val="21"/>
                    </w:rPr>
                  </w:pPr>
                  <w:r>
                    <w:rPr>
                      <w:b/>
                      <w:bCs/>
                      <w:color w:val="auto"/>
                      <w:kern w:val="0"/>
                      <w:szCs w:val="21"/>
                      <w:lang w:bidi="ar"/>
                    </w:rPr>
                    <w:t>L/min</w:t>
                  </w:r>
                </w:p>
              </w:tc>
              <w:tc>
                <w:tcPr>
                  <w:tcW w:w="876" w:type="dxa"/>
                  <w:tcBorders>
                    <w:tl2br w:val="nil"/>
                    <w:tr2bl w:val="nil"/>
                  </w:tcBorders>
                  <w:vAlign w:val="center"/>
                </w:tcPr>
                <w:p>
                  <w:pPr>
                    <w:kinsoku w:val="0"/>
                    <w:overflowPunct w:val="0"/>
                    <w:adjustRightInd w:val="0"/>
                    <w:snapToGrid w:val="0"/>
                    <w:jc w:val="center"/>
                    <w:textAlignment w:val="center"/>
                    <w:rPr>
                      <w:b/>
                      <w:bCs/>
                      <w:color w:val="auto"/>
                      <w:kern w:val="0"/>
                      <w:szCs w:val="21"/>
                      <w:lang w:bidi="ar"/>
                    </w:rPr>
                  </w:pPr>
                  <w:r>
                    <w:rPr>
                      <w:b/>
                      <w:bCs/>
                      <w:color w:val="auto"/>
                      <w:kern w:val="0"/>
                      <w:szCs w:val="21"/>
                      <w:lang w:bidi="ar"/>
                    </w:rPr>
                    <w:t>废水量</w:t>
                  </w:r>
                </w:p>
                <w:p>
                  <w:pPr>
                    <w:kinsoku w:val="0"/>
                    <w:overflowPunct w:val="0"/>
                    <w:adjustRightInd w:val="0"/>
                    <w:snapToGrid w:val="0"/>
                    <w:jc w:val="center"/>
                    <w:textAlignment w:val="center"/>
                    <w:rPr>
                      <w:b/>
                      <w:bCs/>
                      <w:color w:val="auto"/>
                      <w:szCs w:val="21"/>
                    </w:rPr>
                  </w:pPr>
                  <w:r>
                    <w:rPr>
                      <w:b/>
                      <w:bCs/>
                      <w:color w:val="auto"/>
                      <w:kern w:val="0"/>
                      <w:szCs w:val="21"/>
                      <w:lang w:bidi="ar"/>
                    </w:rPr>
                    <w:t>（</w:t>
                  </w:r>
                  <w:r>
                    <w:rPr>
                      <w:rStyle w:val="69"/>
                      <w:color w:val="auto"/>
                      <w:sz w:val="21"/>
                      <w:szCs w:val="21"/>
                      <w:lang w:bidi="ar"/>
                    </w:rPr>
                    <w:t>t/a</w:t>
                  </w:r>
                  <w:r>
                    <w:rPr>
                      <w:rStyle w:val="70"/>
                      <w:color w:val="auto"/>
                      <w:sz w:val="21"/>
                      <w:szCs w:val="21"/>
                      <w:lang w:bidi="ar"/>
                    </w:rPr>
                    <w:t>）</w:t>
                  </w:r>
                </w:p>
              </w:tc>
              <w:tc>
                <w:tcPr>
                  <w:tcW w:w="915" w:type="dxa"/>
                  <w:tcBorders>
                    <w:tl2br w:val="nil"/>
                    <w:tr2bl w:val="nil"/>
                  </w:tcBorders>
                  <w:vAlign w:val="center"/>
                </w:tcPr>
                <w:p>
                  <w:pPr>
                    <w:kinsoku w:val="0"/>
                    <w:overflowPunct w:val="0"/>
                    <w:adjustRightInd w:val="0"/>
                    <w:snapToGrid w:val="0"/>
                    <w:jc w:val="center"/>
                    <w:textAlignment w:val="center"/>
                    <w:rPr>
                      <w:b/>
                      <w:bCs/>
                      <w:color w:val="auto"/>
                      <w:kern w:val="0"/>
                      <w:szCs w:val="21"/>
                      <w:lang w:bidi="ar"/>
                    </w:rPr>
                  </w:pPr>
                  <w:r>
                    <w:rPr>
                      <w:b/>
                      <w:bCs/>
                      <w:color w:val="auto"/>
                      <w:kern w:val="0"/>
                      <w:szCs w:val="21"/>
                      <w:lang w:bidi="ar"/>
                    </w:rPr>
                    <w:t>倒槽</w:t>
                  </w:r>
                </w:p>
                <w:p>
                  <w:pPr>
                    <w:kinsoku w:val="0"/>
                    <w:overflowPunct w:val="0"/>
                    <w:adjustRightInd w:val="0"/>
                    <w:snapToGrid w:val="0"/>
                    <w:jc w:val="center"/>
                    <w:textAlignment w:val="center"/>
                    <w:rPr>
                      <w:b/>
                      <w:bCs/>
                      <w:color w:val="auto"/>
                      <w:szCs w:val="21"/>
                    </w:rPr>
                  </w:pPr>
                  <w:r>
                    <w:rPr>
                      <w:b/>
                      <w:bCs/>
                      <w:color w:val="auto"/>
                      <w:kern w:val="0"/>
                      <w:szCs w:val="21"/>
                      <w:lang w:bidi="ar"/>
                    </w:rPr>
                    <w:t>频率</w:t>
                  </w:r>
                </w:p>
              </w:tc>
              <w:tc>
                <w:tcPr>
                  <w:tcW w:w="835" w:type="dxa"/>
                  <w:tcBorders>
                    <w:tl2br w:val="nil"/>
                    <w:tr2bl w:val="nil"/>
                  </w:tcBorders>
                  <w:vAlign w:val="center"/>
                </w:tcPr>
                <w:p>
                  <w:pPr>
                    <w:kinsoku w:val="0"/>
                    <w:overflowPunct w:val="0"/>
                    <w:adjustRightInd w:val="0"/>
                    <w:snapToGrid w:val="0"/>
                    <w:jc w:val="center"/>
                    <w:textAlignment w:val="center"/>
                    <w:rPr>
                      <w:b/>
                      <w:bCs/>
                      <w:color w:val="auto"/>
                      <w:kern w:val="0"/>
                      <w:szCs w:val="21"/>
                      <w:lang w:bidi="ar"/>
                    </w:rPr>
                  </w:pPr>
                  <w:r>
                    <w:rPr>
                      <w:b/>
                      <w:bCs/>
                      <w:color w:val="auto"/>
                      <w:kern w:val="0"/>
                      <w:szCs w:val="21"/>
                      <w:lang w:bidi="ar"/>
                    </w:rPr>
                    <w:t>废水量</w:t>
                  </w:r>
                </w:p>
                <w:p>
                  <w:pPr>
                    <w:kinsoku w:val="0"/>
                    <w:overflowPunct w:val="0"/>
                    <w:adjustRightInd w:val="0"/>
                    <w:snapToGrid w:val="0"/>
                    <w:jc w:val="center"/>
                    <w:textAlignment w:val="center"/>
                    <w:rPr>
                      <w:b/>
                      <w:bCs/>
                      <w:color w:val="auto"/>
                      <w:szCs w:val="21"/>
                    </w:rPr>
                  </w:pPr>
                  <w:r>
                    <w:rPr>
                      <w:b/>
                      <w:bCs/>
                      <w:color w:val="auto"/>
                      <w:kern w:val="0"/>
                      <w:szCs w:val="21"/>
                      <w:lang w:bidi="ar"/>
                    </w:rPr>
                    <w:t>(t/a)</w:t>
                  </w:r>
                </w:p>
              </w:tc>
              <w:tc>
                <w:tcPr>
                  <w:tcW w:w="880" w:type="dxa"/>
                  <w:tcBorders>
                    <w:tl2br w:val="nil"/>
                    <w:tr2bl w:val="nil"/>
                  </w:tcBorders>
                  <w:vAlign w:val="center"/>
                </w:tcPr>
                <w:p>
                  <w:pPr>
                    <w:kinsoku w:val="0"/>
                    <w:overflowPunct w:val="0"/>
                    <w:adjustRightInd w:val="0"/>
                    <w:snapToGrid w:val="0"/>
                    <w:jc w:val="center"/>
                    <w:textAlignment w:val="center"/>
                    <w:rPr>
                      <w:b/>
                      <w:bCs/>
                      <w:color w:val="auto"/>
                      <w:szCs w:val="21"/>
                    </w:rPr>
                  </w:pPr>
                  <w:r>
                    <w:rPr>
                      <w:b/>
                      <w:bCs/>
                      <w:color w:val="auto"/>
                      <w:kern w:val="0"/>
                      <w:szCs w:val="21"/>
                      <w:lang w:bidi="ar"/>
                    </w:rPr>
                    <w:t>倒槽频率</w:t>
                  </w:r>
                </w:p>
              </w:tc>
              <w:tc>
                <w:tcPr>
                  <w:tcW w:w="744" w:type="dxa"/>
                  <w:tcBorders>
                    <w:tl2br w:val="nil"/>
                    <w:tr2bl w:val="nil"/>
                  </w:tcBorders>
                  <w:vAlign w:val="center"/>
                </w:tcPr>
                <w:p>
                  <w:pPr>
                    <w:kinsoku w:val="0"/>
                    <w:overflowPunct w:val="0"/>
                    <w:adjustRightInd w:val="0"/>
                    <w:snapToGrid w:val="0"/>
                    <w:jc w:val="center"/>
                    <w:textAlignment w:val="center"/>
                    <w:rPr>
                      <w:b/>
                      <w:bCs/>
                      <w:color w:val="auto"/>
                      <w:kern w:val="0"/>
                      <w:szCs w:val="21"/>
                      <w:lang w:bidi="ar"/>
                    </w:rPr>
                  </w:pPr>
                  <w:r>
                    <w:rPr>
                      <w:b/>
                      <w:bCs/>
                      <w:color w:val="auto"/>
                      <w:kern w:val="0"/>
                      <w:szCs w:val="21"/>
                      <w:lang w:bidi="ar"/>
                    </w:rPr>
                    <w:t>废渣（液）量</w:t>
                  </w:r>
                </w:p>
                <w:p>
                  <w:pPr>
                    <w:kinsoku w:val="0"/>
                    <w:overflowPunct w:val="0"/>
                    <w:adjustRightInd w:val="0"/>
                    <w:snapToGrid w:val="0"/>
                    <w:jc w:val="center"/>
                    <w:textAlignment w:val="center"/>
                    <w:rPr>
                      <w:b/>
                      <w:bCs/>
                      <w:color w:val="auto"/>
                      <w:szCs w:val="21"/>
                    </w:rPr>
                  </w:pPr>
                  <w:r>
                    <w:rPr>
                      <w:b/>
                      <w:bCs/>
                      <w:color w:val="auto"/>
                      <w:kern w:val="0"/>
                      <w:szCs w:val="21"/>
                      <w:lang w:bidi="ar"/>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98" w:type="dxa"/>
                  <w:vMerge w:val="restart"/>
                  <w:tcBorders>
                    <w:tl2br w:val="nil"/>
                    <w:tr2bl w:val="nil"/>
                  </w:tcBorders>
                  <w:noWrap/>
                  <w:vAlign w:val="center"/>
                </w:tcPr>
                <w:p>
                  <w:pPr>
                    <w:kinsoku w:val="0"/>
                    <w:overflowPunct w:val="0"/>
                    <w:adjustRightInd w:val="0"/>
                    <w:snapToGrid w:val="0"/>
                    <w:rPr>
                      <w:color w:val="auto"/>
                      <w:szCs w:val="21"/>
                    </w:rPr>
                  </w:pPr>
                  <w:r>
                    <w:rPr>
                      <w:color w:val="auto"/>
                      <w:kern w:val="0"/>
                      <w:szCs w:val="21"/>
                      <w:lang w:bidi="ar"/>
                    </w:rPr>
                    <w:t>喷粉前处理</w:t>
                  </w:r>
                </w:p>
              </w:tc>
              <w:tc>
                <w:tcPr>
                  <w:tcW w:w="425"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kern w:val="0"/>
                      <w:szCs w:val="21"/>
                      <w:lang w:bidi="ar"/>
                    </w:rPr>
                    <w:t>1</w:t>
                  </w:r>
                </w:p>
              </w:tc>
              <w:tc>
                <w:tcPr>
                  <w:tcW w:w="1134"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预脱脂槽</w:t>
                  </w:r>
                </w:p>
              </w:tc>
              <w:tc>
                <w:tcPr>
                  <w:tcW w:w="850"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1</w:t>
                  </w:r>
                </w:p>
              </w:tc>
              <w:tc>
                <w:tcPr>
                  <w:tcW w:w="993"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4.2</w:t>
                  </w:r>
                </w:p>
              </w:tc>
              <w:tc>
                <w:tcPr>
                  <w:tcW w:w="1004"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szCs w:val="21"/>
                    </w:rPr>
                    <w:t>回用水</w:t>
                  </w:r>
                </w:p>
              </w:tc>
              <w:tc>
                <w:tcPr>
                  <w:tcW w:w="1526"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整槽更换</w:t>
                  </w:r>
                </w:p>
              </w:tc>
              <w:tc>
                <w:tcPr>
                  <w:tcW w:w="895"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822"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880"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876"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915"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20-50天</w:t>
                  </w:r>
                </w:p>
              </w:tc>
              <w:tc>
                <w:tcPr>
                  <w:tcW w:w="835" w:type="dxa"/>
                  <w:tcBorders>
                    <w:tl2br w:val="nil"/>
                    <w:tr2bl w:val="nil"/>
                  </w:tcBorders>
                  <w:vAlign w:val="center"/>
                </w:tcPr>
                <w:p>
                  <w:pPr>
                    <w:kinsoku w:val="0"/>
                    <w:overflowPunct w:val="0"/>
                    <w:adjustRightInd w:val="0"/>
                    <w:snapToGrid w:val="0"/>
                    <w:jc w:val="center"/>
                    <w:textAlignment w:val="center"/>
                    <w:rPr>
                      <w:rFonts w:hint="default" w:eastAsia="宋体"/>
                      <w:color w:val="auto"/>
                      <w:szCs w:val="21"/>
                      <w:lang w:val="en-US" w:eastAsia="zh-CN"/>
                    </w:rPr>
                  </w:pPr>
                  <w:r>
                    <w:rPr>
                      <w:rFonts w:hint="eastAsia"/>
                      <w:color w:val="auto"/>
                      <w:kern w:val="0"/>
                      <w:szCs w:val="21"/>
                      <w:lang w:val="en-US" w:eastAsia="zh-CN" w:bidi="ar"/>
                    </w:rPr>
                    <w:t>50.6</w:t>
                  </w:r>
                </w:p>
              </w:tc>
              <w:tc>
                <w:tcPr>
                  <w:tcW w:w="880" w:type="dxa"/>
                  <w:tcBorders>
                    <w:tl2br w:val="nil"/>
                    <w:tr2bl w:val="nil"/>
                  </w:tcBorders>
                  <w:vAlign w:val="center"/>
                </w:tcPr>
                <w:p>
                  <w:pPr>
                    <w:widowControl/>
                    <w:jc w:val="center"/>
                    <w:textAlignment w:val="center"/>
                    <w:rPr>
                      <w:color w:val="auto"/>
                      <w:szCs w:val="21"/>
                    </w:rPr>
                  </w:pPr>
                  <w:r>
                    <w:rPr>
                      <w:color w:val="auto"/>
                      <w:kern w:val="0"/>
                      <w:szCs w:val="21"/>
                      <w:lang w:bidi="ar"/>
                    </w:rPr>
                    <w:t>20-50天</w:t>
                  </w:r>
                </w:p>
              </w:tc>
              <w:tc>
                <w:tcPr>
                  <w:tcW w:w="744" w:type="dxa"/>
                  <w:tcBorders>
                    <w:tl2br w:val="nil"/>
                    <w:tr2bl w:val="nil"/>
                  </w:tcBorders>
                  <w:vAlign w:val="center"/>
                </w:tcPr>
                <w:p>
                  <w:pPr>
                    <w:widowControl/>
                    <w:jc w:val="center"/>
                    <w:textAlignment w:val="center"/>
                    <w:rPr>
                      <w:color w:val="auto"/>
                      <w:szCs w:val="21"/>
                    </w:rPr>
                  </w:pPr>
                  <w:r>
                    <w:rPr>
                      <w:color w:val="auto"/>
                      <w:szCs w:val="21"/>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98" w:type="dxa"/>
                  <w:vMerge w:val="continue"/>
                  <w:tcBorders>
                    <w:tl2br w:val="nil"/>
                    <w:tr2bl w:val="nil"/>
                  </w:tcBorders>
                  <w:noWrap/>
                  <w:vAlign w:val="center"/>
                </w:tcPr>
                <w:p>
                  <w:pPr>
                    <w:kinsoku w:val="0"/>
                    <w:overflowPunct w:val="0"/>
                    <w:adjustRightInd w:val="0"/>
                    <w:snapToGrid w:val="0"/>
                    <w:jc w:val="center"/>
                    <w:rPr>
                      <w:color w:val="auto"/>
                      <w:kern w:val="0"/>
                      <w:szCs w:val="21"/>
                      <w:lang w:bidi="ar"/>
                    </w:rPr>
                  </w:pPr>
                </w:p>
              </w:tc>
              <w:tc>
                <w:tcPr>
                  <w:tcW w:w="425" w:type="dxa"/>
                  <w:tcBorders>
                    <w:tl2br w:val="nil"/>
                    <w:tr2bl w:val="nil"/>
                  </w:tcBorders>
                  <w:noWrap/>
                  <w:vAlign w:val="center"/>
                </w:tcPr>
                <w:p>
                  <w:pPr>
                    <w:kinsoku w:val="0"/>
                    <w:overflowPunct w:val="0"/>
                    <w:adjustRightInd w:val="0"/>
                    <w:snapToGrid w:val="0"/>
                    <w:jc w:val="center"/>
                    <w:textAlignment w:val="center"/>
                    <w:rPr>
                      <w:color w:val="auto"/>
                      <w:kern w:val="0"/>
                      <w:szCs w:val="21"/>
                      <w:lang w:bidi="ar"/>
                    </w:rPr>
                  </w:pPr>
                  <w:r>
                    <w:rPr>
                      <w:color w:val="auto"/>
                      <w:kern w:val="0"/>
                      <w:szCs w:val="21"/>
                      <w:lang w:bidi="ar"/>
                    </w:rPr>
                    <w:t>2</w:t>
                  </w:r>
                </w:p>
              </w:tc>
              <w:tc>
                <w:tcPr>
                  <w:tcW w:w="1134" w:type="dxa"/>
                  <w:tcBorders>
                    <w:tl2br w:val="nil"/>
                    <w:tr2bl w:val="nil"/>
                  </w:tcBorders>
                  <w:noWrap/>
                  <w:vAlign w:val="center"/>
                </w:tcPr>
                <w:p>
                  <w:pPr>
                    <w:kinsoku w:val="0"/>
                    <w:overflowPunct w:val="0"/>
                    <w:adjustRightInd w:val="0"/>
                    <w:snapToGrid w:val="0"/>
                    <w:jc w:val="center"/>
                    <w:textAlignment w:val="center"/>
                    <w:rPr>
                      <w:color w:val="auto"/>
                      <w:kern w:val="0"/>
                      <w:szCs w:val="21"/>
                      <w:lang w:bidi="ar"/>
                    </w:rPr>
                  </w:pPr>
                  <w:r>
                    <w:rPr>
                      <w:color w:val="auto"/>
                      <w:szCs w:val="21"/>
                    </w:rPr>
                    <w:t>脱脂槽</w:t>
                  </w:r>
                </w:p>
              </w:tc>
              <w:tc>
                <w:tcPr>
                  <w:tcW w:w="850" w:type="dxa"/>
                  <w:tcBorders>
                    <w:tl2br w:val="nil"/>
                    <w:tr2bl w:val="nil"/>
                  </w:tcBorders>
                  <w:noWrap/>
                  <w:vAlign w:val="center"/>
                </w:tcPr>
                <w:p>
                  <w:pPr>
                    <w:kinsoku w:val="0"/>
                    <w:overflowPunct w:val="0"/>
                    <w:adjustRightInd w:val="0"/>
                    <w:snapToGrid w:val="0"/>
                    <w:jc w:val="center"/>
                    <w:textAlignment w:val="center"/>
                    <w:rPr>
                      <w:color w:val="auto"/>
                      <w:kern w:val="0"/>
                      <w:szCs w:val="21"/>
                      <w:lang w:bidi="ar"/>
                    </w:rPr>
                  </w:pPr>
                  <w:r>
                    <w:rPr>
                      <w:color w:val="auto"/>
                      <w:kern w:val="0"/>
                      <w:szCs w:val="21"/>
                      <w:lang w:bidi="ar"/>
                    </w:rPr>
                    <w:t>1</w:t>
                  </w:r>
                </w:p>
              </w:tc>
              <w:tc>
                <w:tcPr>
                  <w:tcW w:w="993" w:type="dxa"/>
                  <w:tcBorders>
                    <w:tl2br w:val="nil"/>
                    <w:tr2bl w:val="nil"/>
                  </w:tcBorders>
                  <w:noWrap/>
                  <w:vAlign w:val="center"/>
                </w:tcPr>
                <w:p>
                  <w:pPr>
                    <w:kinsoku w:val="0"/>
                    <w:overflowPunct w:val="0"/>
                    <w:adjustRightInd w:val="0"/>
                    <w:snapToGrid w:val="0"/>
                    <w:jc w:val="center"/>
                    <w:textAlignment w:val="center"/>
                    <w:rPr>
                      <w:color w:val="auto"/>
                      <w:kern w:val="0"/>
                      <w:szCs w:val="21"/>
                      <w:lang w:bidi="ar"/>
                    </w:rPr>
                  </w:pPr>
                  <w:r>
                    <w:rPr>
                      <w:color w:val="auto"/>
                      <w:szCs w:val="21"/>
                    </w:rPr>
                    <w:t>8.4</w:t>
                  </w:r>
                </w:p>
              </w:tc>
              <w:tc>
                <w:tcPr>
                  <w:tcW w:w="1004" w:type="dxa"/>
                  <w:tcBorders>
                    <w:tl2br w:val="nil"/>
                    <w:tr2bl w:val="nil"/>
                  </w:tcBorders>
                  <w:vAlign w:val="center"/>
                </w:tcPr>
                <w:p>
                  <w:pPr>
                    <w:kinsoku w:val="0"/>
                    <w:overflowPunct w:val="0"/>
                    <w:adjustRightInd w:val="0"/>
                    <w:snapToGrid w:val="0"/>
                    <w:jc w:val="center"/>
                    <w:textAlignment w:val="center"/>
                    <w:rPr>
                      <w:color w:val="auto"/>
                      <w:kern w:val="0"/>
                      <w:szCs w:val="21"/>
                      <w:lang w:bidi="ar"/>
                    </w:rPr>
                  </w:pPr>
                  <w:r>
                    <w:rPr>
                      <w:color w:val="auto"/>
                      <w:szCs w:val="21"/>
                    </w:rPr>
                    <w:t>回用水</w:t>
                  </w:r>
                </w:p>
              </w:tc>
              <w:tc>
                <w:tcPr>
                  <w:tcW w:w="1526" w:type="dxa"/>
                  <w:tcBorders>
                    <w:tl2br w:val="nil"/>
                    <w:tr2bl w:val="nil"/>
                  </w:tcBorders>
                  <w:vAlign w:val="center"/>
                </w:tcPr>
                <w:p>
                  <w:pPr>
                    <w:kinsoku w:val="0"/>
                    <w:overflowPunct w:val="0"/>
                    <w:adjustRightInd w:val="0"/>
                    <w:snapToGrid w:val="0"/>
                    <w:jc w:val="center"/>
                    <w:textAlignment w:val="center"/>
                    <w:rPr>
                      <w:color w:val="auto"/>
                      <w:kern w:val="0"/>
                      <w:szCs w:val="21"/>
                      <w:lang w:bidi="ar"/>
                    </w:rPr>
                  </w:pPr>
                  <w:r>
                    <w:rPr>
                      <w:color w:val="auto"/>
                      <w:kern w:val="0"/>
                      <w:szCs w:val="21"/>
                      <w:lang w:bidi="ar"/>
                    </w:rPr>
                    <w:t>整槽更换</w:t>
                  </w:r>
                </w:p>
              </w:tc>
              <w:tc>
                <w:tcPr>
                  <w:tcW w:w="895" w:type="dxa"/>
                  <w:tcBorders>
                    <w:tl2br w:val="nil"/>
                    <w:tr2bl w:val="nil"/>
                  </w:tcBorders>
                  <w:vAlign w:val="center"/>
                </w:tcPr>
                <w:p>
                  <w:pPr>
                    <w:jc w:val="center"/>
                    <w:rPr>
                      <w:color w:val="auto"/>
                      <w:szCs w:val="21"/>
                    </w:rPr>
                  </w:pPr>
                  <w:r>
                    <w:rPr>
                      <w:color w:val="auto"/>
                      <w:szCs w:val="21"/>
                    </w:rPr>
                    <w:t>/</w:t>
                  </w:r>
                </w:p>
              </w:tc>
              <w:tc>
                <w:tcPr>
                  <w:tcW w:w="822" w:type="dxa"/>
                  <w:tcBorders>
                    <w:tl2br w:val="nil"/>
                    <w:tr2bl w:val="nil"/>
                  </w:tcBorders>
                  <w:vAlign w:val="center"/>
                </w:tcPr>
                <w:p>
                  <w:pPr>
                    <w:jc w:val="center"/>
                    <w:rPr>
                      <w:color w:val="auto"/>
                      <w:szCs w:val="21"/>
                    </w:rPr>
                  </w:pPr>
                  <w:r>
                    <w:rPr>
                      <w:color w:val="auto"/>
                      <w:szCs w:val="21"/>
                    </w:rPr>
                    <w:t>/</w:t>
                  </w:r>
                </w:p>
              </w:tc>
              <w:tc>
                <w:tcPr>
                  <w:tcW w:w="880" w:type="dxa"/>
                  <w:tcBorders>
                    <w:tl2br w:val="nil"/>
                    <w:tr2bl w:val="nil"/>
                  </w:tcBorders>
                  <w:vAlign w:val="center"/>
                </w:tcPr>
                <w:p>
                  <w:pPr>
                    <w:jc w:val="center"/>
                    <w:rPr>
                      <w:color w:val="auto"/>
                      <w:szCs w:val="21"/>
                    </w:rPr>
                  </w:pPr>
                  <w:r>
                    <w:rPr>
                      <w:color w:val="auto"/>
                      <w:szCs w:val="21"/>
                    </w:rPr>
                    <w:t>/</w:t>
                  </w:r>
                </w:p>
              </w:tc>
              <w:tc>
                <w:tcPr>
                  <w:tcW w:w="876" w:type="dxa"/>
                  <w:tcBorders>
                    <w:tl2br w:val="nil"/>
                    <w:tr2bl w:val="nil"/>
                  </w:tcBorders>
                  <w:vAlign w:val="center"/>
                </w:tcPr>
                <w:p>
                  <w:pPr>
                    <w:jc w:val="center"/>
                    <w:rPr>
                      <w:color w:val="auto"/>
                      <w:szCs w:val="21"/>
                    </w:rPr>
                  </w:pPr>
                  <w:r>
                    <w:rPr>
                      <w:color w:val="auto"/>
                      <w:szCs w:val="21"/>
                    </w:rPr>
                    <w:t>/</w:t>
                  </w:r>
                </w:p>
              </w:tc>
              <w:tc>
                <w:tcPr>
                  <w:tcW w:w="915"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20-50天</w:t>
                  </w:r>
                </w:p>
              </w:tc>
              <w:tc>
                <w:tcPr>
                  <w:tcW w:w="835" w:type="dxa"/>
                  <w:tcBorders>
                    <w:tl2br w:val="nil"/>
                    <w:tr2bl w:val="nil"/>
                  </w:tcBorders>
                  <w:vAlign w:val="center"/>
                </w:tcPr>
                <w:p>
                  <w:pPr>
                    <w:kinsoku w:val="0"/>
                    <w:overflowPunct w:val="0"/>
                    <w:adjustRightInd w:val="0"/>
                    <w:snapToGrid w:val="0"/>
                    <w:jc w:val="center"/>
                    <w:textAlignment w:val="center"/>
                    <w:rPr>
                      <w:rFonts w:hint="default" w:eastAsia="宋体"/>
                      <w:color w:val="auto"/>
                      <w:szCs w:val="21"/>
                      <w:lang w:val="en-US" w:eastAsia="zh-CN"/>
                    </w:rPr>
                  </w:pPr>
                  <w:r>
                    <w:rPr>
                      <w:rFonts w:hint="eastAsia"/>
                      <w:color w:val="auto"/>
                      <w:kern w:val="0"/>
                      <w:szCs w:val="21"/>
                      <w:lang w:val="en-US" w:eastAsia="zh-CN" w:bidi="ar"/>
                    </w:rPr>
                    <w:t>105.7</w:t>
                  </w:r>
                </w:p>
              </w:tc>
              <w:tc>
                <w:tcPr>
                  <w:tcW w:w="880" w:type="dxa"/>
                  <w:tcBorders>
                    <w:tl2br w:val="nil"/>
                    <w:tr2bl w:val="nil"/>
                  </w:tcBorders>
                  <w:vAlign w:val="center"/>
                </w:tcPr>
                <w:p>
                  <w:pPr>
                    <w:kinsoku w:val="0"/>
                    <w:overflowPunct w:val="0"/>
                    <w:adjustRightInd w:val="0"/>
                    <w:snapToGrid w:val="0"/>
                    <w:jc w:val="center"/>
                    <w:textAlignment w:val="center"/>
                    <w:rPr>
                      <w:color w:val="auto"/>
                      <w:kern w:val="0"/>
                      <w:szCs w:val="21"/>
                      <w:lang w:bidi="ar"/>
                    </w:rPr>
                  </w:pPr>
                  <w:r>
                    <w:rPr>
                      <w:color w:val="auto"/>
                      <w:kern w:val="0"/>
                      <w:szCs w:val="21"/>
                      <w:lang w:bidi="ar"/>
                    </w:rPr>
                    <w:t>20-50天</w:t>
                  </w:r>
                </w:p>
              </w:tc>
              <w:tc>
                <w:tcPr>
                  <w:tcW w:w="744" w:type="dxa"/>
                  <w:tcBorders>
                    <w:tl2br w:val="nil"/>
                    <w:tr2bl w:val="nil"/>
                  </w:tcBorders>
                  <w:vAlign w:val="center"/>
                </w:tcPr>
                <w:p>
                  <w:pPr>
                    <w:kinsoku w:val="0"/>
                    <w:overflowPunct w:val="0"/>
                    <w:adjustRightInd w:val="0"/>
                    <w:snapToGrid w:val="0"/>
                    <w:jc w:val="center"/>
                    <w:textAlignment w:val="center"/>
                    <w:rPr>
                      <w:color w:val="auto"/>
                      <w:kern w:val="0"/>
                      <w:szCs w:val="21"/>
                      <w:lang w:bidi="ar"/>
                    </w:rPr>
                  </w:pPr>
                  <w:r>
                    <w:rPr>
                      <w:color w:val="auto"/>
                      <w:kern w:val="0"/>
                      <w:szCs w:val="21"/>
                      <w:lang w:bidi="ar"/>
                    </w:rPr>
                    <w:t>6.</w:t>
                  </w:r>
                  <w:r>
                    <w:rPr>
                      <w:rFonts w:hint="eastAsia"/>
                      <w:color w:val="auto"/>
                      <w:kern w:val="0"/>
                      <w:szCs w:val="21"/>
                      <w:lang w:bidi="ar"/>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98" w:type="dxa"/>
                  <w:vMerge w:val="continue"/>
                  <w:tcBorders>
                    <w:tl2br w:val="nil"/>
                    <w:tr2bl w:val="nil"/>
                  </w:tcBorders>
                  <w:noWrap/>
                  <w:vAlign w:val="center"/>
                </w:tcPr>
                <w:p>
                  <w:pPr>
                    <w:kinsoku w:val="0"/>
                    <w:overflowPunct w:val="0"/>
                    <w:adjustRightInd w:val="0"/>
                    <w:snapToGrid w:val="0"/>
                    <w:jc w:val="center"/>
                    <w:rPr>
                      <w:color w:val="auto"/>
                      <w:szCs w:val="21"/>
                    </w:rPr>
                  </w:pPr>
                </w:p>
              </w:tc>
              <w:tc>
                <w:tcPr>
                  <w:tcW w:w="425"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kern w:val="0"/>
                      <w:szCs w:val="21"/>
                      <w:lang w:bidi="ar"/>
                    </w:rPr>
                    <w:t>3</w:t>
                  </w:r>
                </w:p>
              </w:tc>
              <w:tc>
                <w:tcPr>
                  <w:tcW w:w="1134" w:type="dxa"/>
                  <w:tcBorders>
                    <w:tl2br w:val="nil"/>
                    <w:tr2bl w:val="nil"/>
                  </w:tcBorders>
                  <w:noWrap/>
                  <w:vAlign w:val="center"/>
                </w:tcPr>
                <w:p>
                  <w:pPr>
                    <w:kinsoku w:val="0"/>
                    <w:overflowPunct w:val="0"/>
                    <w:adjustRightInd w:val="0"/>
                    <w:snapToGrid w:val="0"/>
                    <w:jc w:val="center"/>
                    <w:textAlignment w:val="center"/>
                    <w:rPr>
                      <w:color w:val="auto"/>
                      <w:szCs w:val="21"/>
                    </w:rPr>
                  </w:pPr>
                  <w:ins w:id="483" w:author="Sunny" w:date="2022-12-28T10:55:00Z">
                    <w:r>
                      <w:rPr>
                        <w:color w:val="auto"/>
                        <w:szCs w:val="21"/>
                      </w:rPr>
                      <w:t>脱脂</w:t>
                    </w:r>
                  </w:ins>
                  <w:r>
                    <w:rPr>
                      <w:color w:val="auto"/>
                      <w:szCs w:val="21"/>
                    </w:rPr>
                    <w:t>水洗Ⅰ</w:t>
                  </w:r>
                </w:p>
              </w:tc>
              <w:tc>
                <w:tcPr>
                  <w:tcW w:w="850"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1</w:t>
                  </w:r>
                </w:p>
              </w:tc>
              <w:tc>
                <w:tcPr>
                  <w:tcW w:w="993"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1.44</w:t>
                  </w:r>
                </w:p>
              </w:tc>
              <w:tc>
                <w:tcPr>
                  <w:tcW w:w="1004"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szCs w:val="21"/>
                    </w:rPr>
                    <w:t>回用水</w:t>
                  </w:r>
                  <w:r>
                    <w:rPr>
                      <w:color w:val="auto"/>
                      <w:kern w:val="0"/>
                      <w:szCs w:val="21"/>
                      <w:lang w:bidi="ar"/>
                    </w:rPr>
                    <w:t>1.2</w:t>
                  </w:r>
                  <w:r>
                    <w:rPr>
                      <w:rStyle w:val="145"/>
                      <w:rFonts w:hint="default" w:ascii="Times New Roman" w:hAnsi="Times New Roman" w:cs="Times New Roman"/>
                      <w:color w:val="auto"/>
                      <w:sz w:val="21"/>
                      <w:szCs w:val="21"/>
                      <w:lang w:bidi="ar"/>
                    </w:rPr>
                    <w:t xml:space="preserve"> L/min</w:t>
                  </w:r>
                </w:p>
              </w:tc>
              <w:tc>
                <w:tcPr>
                  <w:tcW w:w="1526"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进废水处理站</w:t>
                  </w:r>
                </w:p>
              </w:tc>
              <w:tc>
                <w:tcPr>
                  <w:tcW w:w="895"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szCs w:val="21"/>
                    </w:rPr>
                    <w:t>/</w:t>
                  </w:r>
                </w:p>
              </w:tc>
              <w:tc>
                <w:tcPr>
                  <w:tcW w:w="822"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880"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0.96</w:t>
                  </w:r>
                </w:p>
              </w:tc>
              <w:tc>
                <w:tcPr>
                  <w:tcW w:w="876"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414.7</w:t>
                  </w:r>
                </w:p>
              </w:tc>
              <w:tc>
                <w:tcPr>
                  <w:tcW w:w="915" w:type="dxa"/>
                  <w:tcBorders>
                    <w:tl2br w:val="nil"/>
                    <w:tr2bl w:val="nil"/>
                  </w:tcBorders>
                  <w:vAlign w:val="center"/>
                </w:tcPr>
                <w:p>
                  <w:pPr>
                    <w:widowControl/>
                    <w:jc w:val="center"/>
                    <w:textAlignment w:val="center"/>
                    <w:rPr>
                      <w:color w:val="auto"/>
                      <w:szCs w:val="21"/>
                    </w:rPr>
                  </w:pPr>
                  <w:r>
                    <w:rPr>
                      <w:color w:val="auto"/>
                      <w:szCs w:val="21"/>
                    </w:rPr>
                    <w:t>/</w:t>
                  </w:r>
                </w:p>
              </w:tc>
              <w:tc>
                <w:tcPr>
                  <w:tcW w:w="835" w:type="dxa"/>
                  <w:tcBorders>
                    <w:tl2br w:val="nil"/>
                    <w:tr2bl w:val="nil"/>
                  </w:tcBorders>
                  <w:vAlign w:val="center"/>
                </w:tcPr>
                <w:p>
                  <w:pPr>
                    <w:widowControl/>
                    <w:jc w:val="center"/>
                    <w:textAlignment w:val="center"/>
                    <w:rPr>
                      <w:color w:val="auto"/>
                      <w:szCs w:val="21"/>
                    </w:rPr>
                  </w:pPr>
                  <w:r>
                    <w:rPr>
                      <w:color w:val="auto"/>
                      <w:szCs w:val="21"/>
                    </w:rPr>
                    <w:t>/</w:t>
                  </w:r>
                </w:p>
              </w:tc>
              <w:tc>
                <w:tcPr>
                  <w:tcW w:w="880"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744"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98" w:type="dxa"/>
                  <w:vMerge w:val="continue"/>
                  <w:tcBorders>
                    <w:tl2br w:val="nil"/>
                    <w:tr2bl w:val="nil"/>
                  </w:tcBorders>
                  <w:noWrap/>
                  <w:vAlign w:val="center"/>
                </w:tcPr>
                <w:p>
                  <w:pPr>
                    <w:kinsoku w:val="0"/>
                    <w:overflowPunct w:val="0"/>
                    <w:adjustRightInd w:val="0"/>
                    <w:snapToGrid w:val="0"/>
                    <w:jc w:val="center"/>
                    <w:rPr>
                      <w:color w:val="auto"/>
                      <w:szCs w:val="21"/>
                    </w:rPr>
                  </w:pPr>
                </w:p>
              </w:tc>
              <w:tc>
                <w:tcPr>
                  <w:tcW w:w="425"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kern w:val="0"/>
                      <w:szCs w:val="21"/>
                      <w:lang w:bidi="ar"/>
                    </w:rPr>
                    <w:t>4</w:t>
                  </w:r>
                </w:p>
              </w:tc>
              <w:tc>
                <w:tcPr>
                  <w:tcW w:w="1134" w:type="dxa"/>
                  <w:tcBorders>
                    <w:tl2br w:val="nil"/>
                    <w:tr2bl w:val="nil"/>
                  </w:tcBorders>
                  <w:noWrap/>
                  <w:vAlign w:val="center"/>
                </w:tcPr>
                <w:p>
                  <w:pPr>
                    <w:kinsoku w:val="0"/>
                    <w:overflowPunct w:val="0"/>
                    <w:adjustRightInd w:val="0"/>
                    <w:snapToGrid w:val="0"/>
                    <w:jc w:val="center"/>
                    <w:textAlignment w:val="center"/>
                    <w:rPr>
                      <w:color w:val="auto"/>
                      <w:szCs w:val="21"/>
                    </w:rPr>
                  </w:pPr>
                  <w:ins w:id="484" w:author="Sunny" w:date="2022-12-28T10:55:00Z">
                    <w:r>
                      <w:rPr>
                        <w:color w:val="auto"/>
                        <w:szCs w:val="21"/>
                      </w:rPr>
                      <w:t>脱脂</w:t>
                    </w:r>
                  </w:ins>
                  <w:r>
                    <w:rPr>
                      <w:color w:val="auto"/>
                      <w:szCs w:val="21"/>
                    </w:rPr>
                    <w:t>水洗Ⅱ</w:t>
                  </w:r>
                </w:p>
              </w:tc>
              <w:tc>
                <w:tcPr>
                  <w:tcW w:w="850"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1</w:t>
                  </w:r>
                </w:p>
              </w:tc>
              <w:tc>
                <w:tcPr>
                  <w:tcW w:w="993"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1.44</w:t>
                  </w:r>
                </w:p>
              </w:tc>
              <w:tc>
                <w:tcPr>
                  <w:tcW w:w="1004"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szCs w:val="21"/>
                    </w:rPr>
                    <w:t>回用水</w:t>
                  </w:r>
                  <w:r>
                    <w:rPr>
                      <w:color w:val="auto"/>
                      <w:kern w:val="0"/>
                      <w:szCs w:val="21"/>
                      <w:lang w:bidi="ar"/>
                    </w:rPr>
                    <w:t>1.2</w:t>
                  </w:r>
                  <w:r>
                    <w:rPr>
                      <w:rStyle w:val="145"/>
                      <w:rFonts w:hint="default" w:ascii="Times New Roman" w:hAnsi="Times New Roman" w:cs="Times New Roman"/>
                      <w:color w:val="auto"/>
                      <w:sz w:val="21"/>
                      <w:szCs w:val="21"/>
                      <w:lang w:bidi="ar"/>
                    </w:rPr>
                    <w:t xml:space="preserve"> L/min</w:t>
                  </w:r>
                </w:p>
              </w:tc>
              <w:tc>
                <w:tcPr>
                  <w:tcW w:w="1526"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szCs w:val="21"/>
                    </w:rPr>
                    <w:t>逆流至</w:t>
                  </w:r>
                  <w:ins w:id="485" w:author="Sunny" w:date="2022-12-28T10:55:00Z">
                    <w:r>
                      <w:rPr>
                        <w:color w:val="auto"/>
                        <w:szCs w:val="21"/>
                      </w:rPr>
                      <w:t>脱脂</w:t>
                    </w:r>
                  </w:ins>
                  <w:r>
                    <w:rPr>
                      <w:color w:val="auto"/>
                      <w:szCs w:val="21"/>
                    </w:rPr>
                    <w:t>水洗Ⅰ</w:t>
                  </w:r>
                </w:p>
              </w:tc>
              <w:tc>
                <w:tcPr>
                  <w:tcW w:w="895" w:type="dxa"/>
                  <w:tcBorders>
                    <w:tl2br w:val="nil"/>
                    <w:tr2bl w:val="nil"/>
                  </w:tcBorders>
                  <w:vAlign w:val="center"/>
                </w:tcPr>
                <w:p>
                  <w:pPr>
                    <w:widowControl/>
                    <w:jc w:val="center"/>
                    <w:textAlignment w:val="center"/>
                    <w:rPr>
                      <w:color w:val="auto"/>
                      <w:szCs w:val="21"/>
                    </w:rPr>
                  </w:pPr>
                  <w:r>
                    <w:rPr>
                      <w:color w:val="auto"/>
                      <w:kern w:val="0"/>
                      <w:szCs w:val="21"/>
                      <w:lang w:bidi="ar"/>
                    </w:rPr>
                    <w:t>/</w:t>
                  </w:r>
                </w:p>
              </w:tc>
              <w:tc>
                <w:tcPr>
                  <w:tcW w:w="822" w:type="dxa"/>
                  <w:tcBorders>
                    <w:tl2br w:val="nil"/>
                    <w:tr2bl w:val="nil"/>
                  </w:tcBorders>
                  <w:vAlign w:val="center"/>
                </w:tcPr>
                <w:p>
                  <w:pPr>
                    <w:widowControl/>
                    <w:jc w:val="center"/>
                    <w:textAlignment w:val="center"/>
                    <w:rPr>
                      <w:color w:val="auto"/>
                      <w:szCs w:val="21"/>
                    </w:rPr>
                  </w:pPr>
                  <w:r>
                    <w:rPr>
                      <w:color w:val="auto"/>
                      <w:kern w:val="0"/>
                      <w:szCs w:val="21"/>
                      <w:lang w:bidi="ar"/>
                    </w:rPr>
                    <w:t>/</w:t>
                  </w:r>
                </w:p>
              </w:tc>
              <w:tc>
                <w:tcPr>
                  <w:tcW w:w="880" w:type="dxa"/>
                  <w:tcBorders>
                    <w:tl2br w:val="nil"/>
                    <w:tr2bl w:val="nil"/>
                  </w:tcBorders>
                  <w:vAlign w:val="center"/>
                </w:tcPr>
                <w:p>
                  <w:pPr>
                    <w:widowControl/>
                    <w:jc w:val="center"/>
                    <w:textAlignment w:val="center"/>
                    <w:rPr>
                      <w:color w:val="auto"/>
                      <w:szCs w:val="21"/>
                    </w:rPr>
                  </w:pPr>
                  <w:r>
                    <w:rPr>
                      <w:color w:val="auto"/>
                      <w:szCs w:val="21"/>
                    </w:rPr>
                    <w:t>/</w:t>
                  </w:r>
                </w:p>
              </w:tc>
              <w:tc>
                <w:tcPr>
                  <w:tcW w:w="876" w:type="dxa"/>
                  <w:tcBorders>
                    <w:tl2br w:val="nil"/>
                    <w:tr2bl w:val="nil"/>
                  </w:tcBorders>
                  <w:vAlign w:val="center"/>
                </w:tcPr>
                <w:p>
                  <w:pPr>
                    <w:widowControl/>
                    <w:jc w:val="center"/>
                    <w:textAlignment w:val="center"/>
                    <w:rPr>
                      <w:color w:val="auto"/>
                      <w:szCs w:val="21"/>
                    </w:rPr>
                  </w:pPr>
                  <w:r>
                    <w:rPr>
                      <w:color w:val="auto"/>
                      <w:szCs w:val="21"/>
                    </w:rPr>
                    <w:t>/</w:t>
                  </w:r>
                </w:p>
              </w:tc>
              <w:tc>
                <w:tcPr>
                  <w:tcW w:w="915"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835"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880"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744"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98" w:type="dxa"/>
                  <w:vMerge w:val="continue"/>
                  <w:tcBorders>
                    <w:tl2br w:val="nil"/>
                    <w:tr2bl w:val="nil"/>
                  </w:tcBorders>
                  <w:noWrap/>
                  <w:vAlign w:val="center"/>
                </w:tcPr>
                <w:p>
                  <w:pPr>
                    <w:kinsoku w:val="0"/>
                    <w:overflowPunct w:val="0"/>
                    <w:adjustRightInd w:val="0"/>
                    <w:snapToGrid w:val="0"/>
                    <w:jc w:val="center"/>
                    <w:rPr>
                      <w:color w:val="auto"/>
                      <w:szCs w:val="21"/>
                    </w:rPr>
                  </w:pPr>
                </w:p>
              </w:tc>
              <w:tc>
                <w:tcPr>
                  <w:tcW w:w="425"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kern w:val="0"/>
                      <w:szCs w:val="21"/>
                      <w:lang w:bidi="ar"/>
                    </w:rPr>
                    <w:t>5</w:t>
                  </w:r>
                </w:p>
              </w:tc>
              <w:tc>
                <w:tcPr>
                  <w:tcW w:w="1134"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陶化</w:t>
                  </w:r>
                </w:p>
              </w:tc>
              <w:tc>
                <w:tcPr>
                  <w:tcW w:w="850"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1</w:t>
                  </w:r>
                </w:p>
              </w:tc>
              <w:tc>
                <w:tcPr>
                  <w:tcW w:w="993"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8.4</w:t>
                  </w:r>
                </w:p>
              </w:tc>
              <w:tc>
                <w:tcPr>
                  <w:tcW w:w="1004"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szCs w:val="21"/>
                    </w:rPr>
                    <w:t>回用水</w:t>
                  </w:r>
                </w:p>
              </w:tc>
              <w:tc>
                <w:tcPr>
                  <w:tcW w:w="1526"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整槽更换</w:t>
                  </w:r>
                </w:p>
              </w:tc>
              <w:tc>
                <w:tcPr>
                  <w:tcW w:w="895"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822"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880"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876"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915"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20-50天</w:t>
                  </w:r>
                </w:p>
              </w:tc>
              <w:tc>
                <w:tcPr>
                  <w:tcW w:w="835" w:type="dxa"/>
                  <w:tcBorders>
                    <w:tl2br w:val="nil"/>
                    <w:tr2bl w:val="nil"/>
                  </w:tcBorders>
                  <w:vAlign w:val="center"/>
                </w:tcPr>
                <w:p>
                  <w:pPr>
                    <w:kinsoku w:val="0"/>
                    <w:overflowPunct w:val="0"/>
                    <w:adjustRightInd w:val="0"/>
                    <w:snapToGrid w:val="0"/>
                    <w:jc w:val="center"/>
                    <w:textAlignment w:val="center"/>
                    <w:rPr>
                      <w:rFonts w:hint="default" w:eastAsia="宋体"/>
                      <w:color w:val="auto"/>
                      <w:szCs w:val="21"/>
                      <w:lang w:val="en-US" w:eastAsia="zh-CN"/>
                    </w:rPr>
                  </w:pPr>
                  <w:r>
                    <w:rPr>
                      <w:color w:val="auto"/>
                      <w:kern w:val="0"/>
                      <w:szCs w:val="21"/>
                      <w:lang w:bidi="ar"/>
                    </w:rPr>
                    <w:t>12</w:t>
                  </w:r>
                  <w:r>
                    <w:rPr>
                      <w:rFonts w:hint="eastAsia"/>
                      <w:color w:val="auto"/>
                      <w:kern w:val="0"/>
                      <w:szCs w:val="21"/>
                      <w:lang w:val="en-US" w:eastAsia="zh-CN" w:bidi="ar"/>
                    </w:rPr>
                    <w:t>3</w:t>
                  </w:r>
                </w:p>
              </w:tc>
              <w:tc>
                <w:tcPr>
                  <w:tcW w:w="880"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kern w:val="0"/>
                      <w:szCs w:val="21"/>
                      <w:lang w:bidi="ar"/>
                    </w:rPr>
                    <w:t>20-50天</w:t>
                  </w:r>
                </w:p>
              </w:tc>
              <w:tc>
                <w:tcPr>
                  <w:tcW w:w="744"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kern w:val="0"/>
                      <w:szCs w:val="21"/>
                      <w:lang w:bidi="ar"/>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98" w:type="dxa"/>
                  <w:vMerge w:val="continue"/>
                  <w:tcBorders>
                    <w:tl2br w:val="nil"/>
                    <w:tr2bl w:val="nil"/>
                  </w:tcBorders>
                  <w:noWrap/>
                  <w:vAlign w:val="center"/>
                </w:tcPr>
                <w:p>
                  <w:pPr>
                    <w:kinsoku w:val="0"/>
                    <w:overflowPunct w:val="0"/>
                    <w:adjustRightInd w:val="0"/>
                    <w:snapToGrid w:val="0"/>
                    <w:jc w:val="center"/>
                    <w:rPr>
                      <w:color w:val="auto"/>
                      <w:szCs w:val="21"/>
                    </w:rPr>
                  </w:pPr>
                </w:p>
              </w:tc>
              <w:tc>
                <w:tcPr>
                  <w:tcW w:w="425"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kern w:val="0"/>
                      <w:szCs w:val="21"/>
                      <w:lang w:bidi="ar"/>
                    </w:rPr>
                    <w:t>6</w:t>
                  </w:r>
                </w:p>
              </w:tc>
              <w:tc>
                <w:tcPr>
                  <w:tcW w:w="1134" w:type="dxa"/>
                  <w:tcBorders>
                    <w:tl2br w:val="nil"/>
                    <w:tr2bl w:val="nil"/>
                  </w:tcBorders>
                  <w:noWrap/>
                  <w:vAlign w:val="center"/>
                </w:tcPr>
                <w:p>
                  <w:pPr>
                    <w:kinsoku w:val="0"/>
                    <w:overflowPunct w:val="0"/>
                    <w:adjustRightInd w:val="0"/>
                    <w:snapToGrid w:val="0"/>
                    <w:jc w:val="center"/>
                    <w:textAlignment w:val="center"/>
                    <w:rPr>
                      <w:color w:val="auto"/>
                      <w:szCs w:val="21"/>
                    </w:rPr>
                  </w:pPr>
                  <w:ins w:id="486" w:author="Sunny" w:date="2022-12-28T10:55:00Z">
                    <w:r>
                      <w:rPr>
                        <w:color w:val="auto"/>
                        <w:szCs w:val="21"/>
                      </w:rPr>
                      <w:t>陶化</w:t>
                    </w:r>
                  </w:ins>
                  <w:r>
                    <w:rPr>
                      <w:color w:val="auto"/>
                      <w:szCs w:val="21"/>
                    </w:rPr>
                    <w:t>水洗</w:t>
                  </w:r>
                  <w:ins w:id="487" w:author="Sunny" w:date="2022-12-28T10:55:00Z">
                    <w:r>
                      <w:rPr>
                        <w:color w:val="auto"/>
                        <w:szCs w:val="21"/>
                      </w:rPr>
                      <w:t>Ⅰ</w:t>
                    </w:r>
                  </w:ins>
                </w:p>
              </w:tc>
              <w:tc>
                <w:tcPr>
                  <w:tcW w:w="850"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1</w:t>
                  </w:r>
                </w:p>
              </w:tc>
              <w:tc>
                <w:tcPr>
                  <w:tcW w:w="993"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1.44</w:t>
                  </w:r>
                </w:p>
              </w:tc>
              <w:tc>
                <w:tcPr>
                  <w:tcW w:w="1004"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szCs w:val="21"/>
                    </w:rPr>
                    <w:t>回用水</w:t>
                  </w:r>
                  <w:r>
                    <w:rPr>
                      <w:color w:val="auto"/>
                      <w:kern w:val="0"/>
                      <w:szCs w:val="21"/>
                      <w:lang w:bidi="ar"/>
                    </w:rPr>
                    <w:t>1.2</w:t>
                  </w:r>
                  <w:r>
                    <w:rPr>
                      <w:rStyle w:val="145"/>
                      <w:rFonts w:hint="default" w:ascii="Times New Roman" w:hAnsi="Times New Roman" w:cs="Times New Roman"/>
                      <w:color w:val="auto"/>
                      <w:sz w:val="21"/>
                      <w:szCs w:val="21"/>
                      <w:lang w:bidi="ar"/>
                    </w:rPr>
                    <w:t xml:space="preserve"> L/min</w:t>
                  </w:r>
                </w:p>
              </w:tc>
              <w:tc>
                <w:tcPr>
                  <w:tcW w:w="1526"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szCs w:val="21"/>
                    </w:rPr>
                    <w:t>逆流至</w:t>
                  </w:r>
                  <w:ins w:id="488" w:author="Sunny" w:date="2022-12-28T10:55:00Z">
                    <w:r>
                      <w:rPr>
                        <w:color w:val="auto"/>
                        <w:szCs w:val="21"/>
                      </w:rPr>
                      <w:t>脱脂</w:t>
                    </w:r>
                  </w:ins>
                  <w:r>
                    <w:rPr>
                      <w:color w:val="auto"/>
                      <w:szCs w:val="21"/>
                    </w:rPr>
                    <w:t>水洗Ⅱ</w:t>
                  </w:r>
                </w:p>
              </w:tc>
              <w:tc>
                <w:tcPr>
                  <w:tcW w:w="895"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szCs w:val="21"/>
                    </w:rPr>
                    <w:t>/</w:t>
                  </w:r>
                </w:p>
              </w:tc>
              <w:tc>
                <w:tcPr>
                  <w:tcW w:w="822"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880"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876"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915"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835"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880" w:type="dxa"/>
                  <w:tcBorders>
                    <w:tl2br w:val="nil"/>
                    <w:tr2bl w:val="nil"/>
                  </w:tcBorders>
                  <w:vAlign w:val="center"/>
                </w:tcPr>
                <w:p>
                  <w:pPr>
                    <w:widowControl/>
                    <w:jc w:val="center"/>
                    <w:textAlignment w:val="center"/>
                    <w:rPr>
                      <w:color w:val="auto"/>
                      <w:szCs w:val="21"/>
                    </w:rPr>
                  </w:pPr>
                  <w:r>
                    <w:rPr>
                      <w:color w:val="auto"/>
                      <w:kern w:val="0"/>
                      <w:szCs w:val="21"/>
                      <w:lang w:bidi="ar"/>
                    </w:rPr>
                    <w:t>/</w:t>
                  </w:r>
                </w:p>
              </w:tc>
              <w:tc>
                <w:tcPr>
                  <w:tcW w:w="744" w:type="dxa"/>
                  <w:tcBorders>
                    <w:tl2br w:val="nil"/>
                    <w:tr2bl w:val="nil"/>
                  </w:tcBorders>
                  <w:vAlign w:val="center"/>
                </w:tcPr>
                <w:p>
                  <w:pPr>
                    <w:widowControl/>
                    <w:jc w:val="center"/>
                    <w:textAlignment w:val="center"/>
                    <w:rPr>
                      <w:color w:val="auto"/>
                      <w:szCs w:val="21"/>
                    </w:rPr>
                  </w:pPr>
                  <w:r>
                    <w:rPr>
                      <w:color w:val="auto"/>
                      <w:kern w:val="0"/>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98" w:type="dxa"/>
                  <w:vMerge w:val="continue"/>
                  <w:tcBorders>
                    <w:tl2br w:val="nil"/>
                    <w:tr2bl w:val="nil"/>
                  </w:tcBorders>
                  <w:noWrap/>
                  <w:vAlign w:val="center"/>
                </w:tcPr>
                <w:p>
                  <w:pPr>
                    <w:kinsoku w:val="0"/>
                    <w:overflowPunct w:val="0"/>
                    <w:adjustRightInd w:val="0"/>
                    <w:snapToGrid w:val="0"/>
                    <w:jc w:val="center"/>
                    <w:rPr>
                      <w:color w:val="auto"/>
                      <w:szCs w:val="21"/>
                    </w:rPr>
                  </w:pPr>
                </w:p>
              </w:tc>
              <w:tc>
                <w:tcPr>
                  <w:tcW w:w="425"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kern w:val="0"/>
                      <w:szCs w:val="21"/>
                      <w:lang w:bidi="ar"/>
                    </w:rPr>
                    <w:t>7</w:t>
                  </w:r>
                </w:p>
              </w:tc>
              <w:tc>
                <w:tcPr>
                  <w:tcW w:w="1134" w:type="dxa"/>
                  <w:tcBorders>
                    <w:tl2br w:val="nil"/>
                    <w:tr2bl w:val="nil"/>
                  </w:tcBorders>
                  <w:noWrap/>
                  <w:vAlign w:val="center"/>
                </w:tcPr>
                <w:p>
                  <w:pPr>
                    <w:kinsoku w:val="0"/>
                    <w:overflowPunct w:val="0"/>
                    <w:adjustRightInd w:val="0"/>
                    <w:snapToGrid w:val="0"/>
                    <w:jc w:val="center"/>
                    <w:textAlignment w:val="center"/>
                    <w:rPr>
                      <w:color w:val="auto"/>
                      <w:szCs w:val="21"/>
                    </w:rPr>
                  </w:pPr>
                  <w:ins w:id="489" w:author="Sunny" w:date="2022-12-28T10:55:00Z">
                    <w:r>
                      <w:rPr>
                        <w:color w:val="auto"/>
                        <w:szCs w:val="21"/>
                      </w:rPr>
                      <w:t>陶化</w:t>
                    </w:r>
                  </w:ins>
                  <w:r>
                    <w:rPr>
                      <w:color w:val="auto"/>
                      <w:szCs w:val="21"/>
                    </w:rPr>
                    <w:t>水洗</w:t>
                  </w:r>
                  <w:ins w:id="490" w:author="Sunny" w:date="2022-12-28T10:55:00Z">
                    <w:r>
                      <w:rPr>
                        <w:color w:val="auto"/>
                        <w:szCs w:val="21"/>
                      </w:rPr>
                      <w:t>Ⅱ</w:t>
                    </w:r>
                  </w:ins>
                </w:p>
              </w:tc>
              <w:tc>
                <w:tcPr>
                  <w:tcW w:w="850"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1</w:t>
                  </w:r>
                </w:p>
              </w:tc>
              <w:tc>
                <w:tcPr>
                  <w:tcW w:w="993"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1.44</w:t>
                  </w:r>
                </w:p>
              </w:tc>
              <w:tc>
                <w:tcPr>
                  <w:tcW w:w="1004"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szCs w:val="21"/>
                    </w:rPr>
                    <w:t>回用水</w:t>
                  </w:r>
                </w:p>
              </w:tc>
              <w:tc>
                <w:tcPr>
                  <w:tcW w:w="1526"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szCs w:val="21"/>
                    </w:rPr>
                    <w:t>逆流至</w:t>
                  </w:r>
                  <w:ins w:id="491" w:author="Sunny" w:date="2022-12-28T10:55:00Z">
                    <w:r>
                      <w:rPr>
                        <w:color w:val="auto"/>
                        <w:szCs w:val="21"/>
                      </w:rPr>
                      <w:t>陶化</w:t>
                    </w:r>
                  </w:ins>
                  <w:r>
                    <w:rPr>
                      <w:color w:val="auto"/>
                      <w:szCs w:val="21"/>
                    </w:rPr>
                    <w:t>水洗</w:t>
                  </w:r>
                  <w:ins w:id="492" w:author="Sunny" w:date="2022-12-28T10:55:00Z">
                    <w:r>
                      <w:rPr>
                        <w:color w:val="auto"/>
                        <w:szCs w:val="21"/>
                      </w:rPr>
                      <w:t>Ⅰ</w:t>
                    </w:r>
                  </w:ins>
                </w:p>
              </w:tc>
              <w:tc>
                <w:tcPr>
                  <w:tcW w:w="895"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1.2</w:t>
                  </w:r>
                </w:p>
              </w:tc>
              <w:tc>
                <w:tcPr>
                  <w:tcW w:w="822"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518.4</w:t>
                  </w:r>
                </w:p>
              </w:tc>
              <w:tc>
                <w:tcPr>
                  <w:tcW w:w="880"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876"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915"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835"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880" w:type="dxa"/>
                  <w:tcBorders>
                    <w:tl2br w:val="nil"/>
                    <w:tr2bl w:val="nil"/>
                  </w:tcBorders>
                  <w:vAlign w:val="center"/>
                </w:tcPr>
                <w:p>
                  <w:pPr>
                    <w:widowControl/>
                    <w:jc w:val="center"/>
                    <w:textAlignment w:val="center"/>
                    <w:rPr>
                      <w:color w:val="auto"/>
                      <w:szCs w:val="21"/>
                    </w:rPr>
                  </w:pPr>
                  <w:r>
                    <w:rPr>
                      <w:color w:val="auto"/>
                      <w:kern w:val="0"/>
                      <w:szCs w:val="21"/>
                      <w:lang w:bidi="ar"/>
                    </w:rPr>
                    <w:t>/</w:t>
                  </w:r>
                </w:p>
              </w:tc>
              <w:tc>
                <w:tcPr>
                  <w:tcW w:w="744" w:type="dxa"/>
                  <w:tcBorders>
                    <w:tl2br w:val="nil"/>
                    <w:tr2bl w:val="nil"/>
                  </w:tcBorders>
                  <w:vAlign w:val="center"/>
                </w:tcPr>
                <w:p>
                  <w:pPr>
                    <w:widowControl/>
                    <w:jc w:val="center"/>
                    <w:textAlignment w:val="center"/>
                    <w:rPr>
                      <w:color w:val="auto"/>
                      <w:szCs w:val="21"/>
                    </w:rPr>
                  </w:pPr>
                  <w:r>
                    <w:rPr>
                      <w:color w:val="auto"/>
                      <w:kern w:val="0"/>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98" w:type="dxa"/>
                  <w:vMerge w:val="continue"/>
                  <w:tcBorders>
                    <w:tl2br w:val="nil"/>
                    <w:tr2bl w:val="nil"/>
                  </w:tcBorders>
                  <w:noWrap/>
                  <w:vAlign w:val="center"/>
                </w:tcPr>
                <w:p>
                  <w:pPr>
                    <w:kinsoku w:val="0"/>
                    <w:overflowPunct w:val="0"/>
                    <w:adjustRightInd w:val="0"/>
                    <w:snapToGrid w:val="0"/>
                    <w:jc w:val="center"/>
                    <w:rPr>
                      <w:color w:val="auto"/>
                      <w:szCs w:val="21"/>
                    </w:rPr>
                  </w:pPr>
                </w:p>
              </w:tc>
              <w:tc>
                <w:tcPr>
                  <w:tcW w:w="425"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8</w:t>
                  </w:r>
                </w:p>
              </w:tc>
              <w:tc>
                <w:tcPr>
                  <w:tcW w:w="1134"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纯水洗</w:t>
                  </w:r>
                </w:p>
              </w:tc>
              <w:tc>
                <w:tcPr>
                  <w:tcW w:w="850"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1</w:t>
                  </w:r>
                </w:p>
              </w:tc>
              <w:tc>
                <w:tcPr>
                  <w:tcW w:w="993"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1.44</w:t>
                  </w:r>
                </w:p>
              </w:tc>
              <w:tc>
                <w:tcPr>
                  <w:tcW w:w="1004"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纯水</w:t>
                  </w:r>
                </w:p>
              </w:tc>
              <w:tc>
                <w:tcPr>
                  <w:tcW w:w="1526"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整槽更换</w:t>
                  </w:r>
                </w:p>
              </w:tc>
              <w:tc>
                <w:tcPr>
                  <w:tcW w:w="895" w:type="dxa"/>
                  <w:tcBorders>
                    <w:tl2br w:val="nil"/>
                    <w:tr2bl w:val="nil"/>
                  </w:tcBorders>
                  <w:vAlign w:val="center"/>
                </w:tcPr>
                <w:p>
                  <w:pPr>
                    <w:widowControl/>
                    <w:jc w:val="center"/>
                    <w:textAlignment w:val="center"/>
                    <w:rPr>
                      <w:color w:val="auto"/>
                      <w:szCs w:val="21"/>
                    </w:rPr>
                  </w:pPr>
                  <w:r>
                    <w:rPr>
                      <w:color w:val="auto"/>
                      <w:kern w:val="0"/>
                      <w:szCs w:val="21"/>
                      <w:lang w:bidi="ar"/>
                    </w:rPr>
                    <w:t>/</w:t>
                  </w:r>
                </w:p>
              </w:tc>
              <w:tc>
                <w:tcPr>
                  <w:tcW w:w="822" w:type="dxa"/>
                  <w:tcBorders>
                    <w:tl2br w:val="nil"/>
                    <w:tr2bl w:val="nil"/>
                  </w:tcBorders>
                  <w:vAlign w:val="center"/>
                </w:tcPr>
                <w:p>
                  <w:pPr>
                    <w:widowControl/>
                    <w:jc w:val="center"/>
                    <w:textAlignment w:val="center"/>
                    <w:rPr>
                      <w:color w:val="auto"/>
                      <w:szCs w:val="21"/>
                    </w:rPr>
                  </w:pPr>
                  <w:r>
                    <w:rPr>
                      <w:color w:val="auto"/>
                      <w:kern w:val="0"/>
                      <w:szCs w:val="21"/>
                      <w:lang w:bidi="ar"/>
                    </w:rPr>
                    <w:t>/</w:t>
                  </w:r>
                </w:p>
              </w:tc>
              <w:tc>
                <w:tcPr>
                  <w:tcW w:w="880" w:type="dxa"/>
                  <w:tcBorders>
                    <w:tl2br w:val="nil"/>
                    <w:tr2bl w:val="nil"/>
                  </w:tcBorders>
                  <w:vAlign w:val="center"/>
                </w:tcPr>
                <w:p>
                  <w:pPr>
                    <w:widowControl/>
                    <w:jc w:val="center"/>
                    <w:textAlignment w:val="center"/>
                    <w:rPr>
                      <w:color w:val="auto"/>
                      <w:szCs w:val="21"/>
                    </w:rPr>
                  </w:pPr>
                  <w:r>
                    <w:rPr>
                      <w:color w:val="auto"/>
                      <w:kern w:val="0"/>
                      <w:szCs w:val="21"/>
                      <w:lang w:bidi="ar"/>
                    </w:rPr>
                    <w:t>/</w:t>
                  </w:r>
                </w:p>
              </w:tc>
              <w:tc>
                <w:tcPr>
                  <w:tcW w:w="876" w:type="dxa"/>
                  <w:tcBorders>
                    <w:tl2br w:val="nil"/>
                    <w:tr2bl w:val="nil"/>
                  </w:tcBorders>
                  <w:vAlign w:val="center"/>
                </w:tcPr>
                <w:p>
                  <w:pPr>
                    <w:widowControl/>
                    <w:jc w:val="center"/>
                    <w:textAlignment w:val="center"/>
                    <w:rPr>
                      <w:color w:val="auto"/>
                      <w:szCs w:val="21"/>
                    </w:rPr>
                  </w:pPr>
                  <w:r>
                    <w:rPr>
                      <w:color w:val="auto"/>
                      <w:kern w:val="0"/>
                      <w:szCs w:val="21"/>
                      <w:lang w:bidi="ar"/>
                    </w:rPr>
                    <w:t>/</w:t>
                  </w:r>
                </w:p>
              </w:tc>
              <w:tc>
                <w:tcPr>
                  <w:tcW w:w="915"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20-50天</w:t>
                  </w:r>
                </w:p>
              </w:tc>
              <w:tc>
                <w:tcPr>
                  <w:tcW w:w="835"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20.7</w:t>
                  </w:r>
                </w:p>
              </w:tc>
              <w:tc>
                <w:tcPr>
                  <w:tcW w:w="880"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c>
                <w:tcPr>
                  <w:tcW w:w="744" w:type="dxa"/>
                  <w:tcBorders>
                    <w:tl2br w:val="nil"/>
                    <w:tr2bl w:val="nil"/>
                  </w:tcBorders>
                  <w:vAlign w:val="center"/>
                </w:tcPr>
                <w:p>
                  <w:pPr>
                    <w:kinsoku w:val="0"/>
                    <w:overflowPunct w:val="0"/>
                    <w:adjustRightInd w:val="0"/>
                    <w:snapToGrid w:val="0"/>
                    <w:jc w:val="center"/>
                    <w:textAlignment w:val="center"/>
                    <w:rPr>
                      <w:color w:val="auto"/>
                      <w:szCs w:val="21"/>
                    </w:rPr>
                  </w:pPr>
                  <w:r>
                    <w:rPr>
                      <w:color w:val="auto"/>
                      <w:kern w:val="0"/>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98" w:type="dxa"/>
                  <w:vMerge w:val="continue"/>
                  <w:tcBorders>
                    <w:tl2br w:val="nil"/>
                    <w:tr2bl w:val="nil"/>
                  </w:tcBorders>
                  <w:noWrap/>
                  <w:vAlign w:val="center"/>
                </w:tcPr>
                <w:p>
                  <w:pPr>
                    <w:kinsoku w:val="0"/>
                    <w:overflowPunct w:val="0"/>
                    <w:adjustRightInd w:val="0"/>
                    <w:snapToGrid w:val="0"/>
                    <w:jc w:val="center"/>
                    <w:rPr>
                      <w:color w:val="auto"/>
                      <w:szCs w:val="21"/>
                    </w:rPr>
                  </w:pPr>
                </w:p>
              </w:tc>
              <w:tc>
                <w:tcPr>
                  <w:tcW w:w="425"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9</w:t>
                  </w:r>
                </w:p>
              </w:tc>
              <w:tc>
                <w:tcPr>
                  <w:tcW w:w="1134"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纯水直喷</w:t>
                  </w:r>
                </w:p>
              </w:tc>
              <w:tc>
                <w:tcPr>
                  <w:tcW w:w="850"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1</w:t>
                  </w:r>
                </w:p>
              </w:tc>
              <w:tc>
                <w:tcPr>
                  <w:tcW w:w="993" w:type="dxa"/>
                  <w:tcBorders>
                    <w:tl2br w:val="nil"/>
                    <w:tr2bl w:val="nil"/>
                  </w:tcBorders>
                  <w:noWrap/>
                  <w:vAlign w:val="center"/>
                </w:tcPr>
                <w:p>
                  <w:pPr>
                    <w:kinsoku w:val="0"/>
                    <w:overflowPunct w:val="0"/>
                    <w:adjustRightInd w:val="0"/>
                    <w:snapToGrid w:val="0"/>
                    <w:jc w:val="center"/>
                    <w:textAlignment w:val="center"/>
                    <w:rPr>
                      <w:color w:val="auto"/>
                      <w:szCs w:val="21"/>
                    </w:rPr>
                  </w:pPr>
                  <w:r>
                    <w:rPr>
                      <w:color w:val="auto"/>
                      <w:szCs w:val="21"/>
                    </w:rPr>
                    <w:t>/</w:t>
                  </w:r>
                </w:p>
              </w:tc>
              <w:tc>
                <w:tcPr>
                  <w:tcW w:w="1004" w:type="dxa"/>
                  <w:tcBorders>
                    <w:tl2br w:val="nil"/>
                    <w:tr2bl w:val="nil"/>
                  </w:tcBorders>
                  <w:vAlign w:val="center"/>
                </w:tcPr>
                <w:p>
                  <w:pPr>
                    <w:kinsoku w:val="0"/>
                    <w:overflowPunct w:val="0"/>
                    <w:adjustRightInd w:val="0"/>
                    <w:snapToGrid w:val="0"/>
                    <w:jc w:val="center"/>
                    <w:textAlignment w:val="center"/>
                    <w:rPr>
                      <w:color w:val="auto"/>
                      <w:kern w:val="0"/>
                      <w:szCs w:val="21"/>
                      <w:lang w:bidi="ar"/>
                    </w:rPr>
                  </w:pPr>
                  <w:r>
                    <w:rPr>
                      <w:color w:val="auto"/>
                      <w:kern w:val="0"/>
                      <w:szCs w:val="21"/>
                      <w:lang w:bidi="ar"/>
                    </w:rPr>
                    <w:t>纯水</w:t>
                  </w:r>
                </w:p>
              </w:tc>
              <w:tc>
                <w:tcPr>
                  <w:tcW w:w="1526" w:type="dxa"/>
                  <w:tcBorders>
                    <w:tl2br w:val="nil"/>
                    <w:tr2bl w:val="nil"/>
                  </w:tcBorders>
                  <w:vAlign w:val="center"/>
                </w:tcPr>
                <w:p>
                  <w:pPr>
                    <w:kinsoku w:val="0"/>
                    <w:overflowPunct w:val="0"/>
                    <w:adjustRightInd w:val="0"/>
                    <w:snapToGrid w:val="0"/>
                    <w:jc w:val="center"/>
                    <w:textAlignment w:val="center"/>
                    <w:rPr>
                      <w:color w:val="auto"/>
                      <w:kern w:val="0"/>
                      <w:szCs w:val="21"/>
                      <w:lang w:bidi="ar"/>
                    </w:rPr>
                  </w:pPr>
                  <w:r>
                    <w:rPr>
                      <w:color w:val="auto"/>
                      <w:kern w:val="0"/>
                      <w:szCs w:val="21"/>
                      <w:lang w:bidi="ar"/>
                    </w:rPr>
                    <w:t>进废水处理站</w:t>
                  </w:r>
                </w:p>
              </w:tc>
              <w:tc>
                <w:tcPr>
                  <w:tcW w:w="895" w:type="dxa"/>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1.2</w:t>
                  </w:r>
                </w:p>
              </w:tc>
              <w:tc>
                <w:tcPr>
                  <w:tcW w:w="822" w:type="dxa"/>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518.4</w:t>
                  </w:r>
                </w:p>
              </w:tc>
              <w:tc>
                <w:tcPr>
                  <w:tcW w:w="880" w:type="dxa"/>
                  <w:tcBorders>
                    <w:tl2br w:val="nil"/>
                    <w:tr2bl w:val="nil"/>
                  </w:tcBorders>
                  <w:vAlign w:val="center"/>
                </w:tcPr>
                <w:p>
                  <w:pPr>
                    <w:widowControl/>
                    <w:jc w:val="center"/>
                    <w:textAlignment w:val="center"/>
                    <w:rPr>
                      <w:color w:val="auto"/>
                      <w:szCs w:val="21"/>
                    </w:rPr>
                  </w:pPr>
                  <w:r>
                    <w:rPr>
                      <w:color w:val="auto"/>
                      <w:kern w:val="0"/>
                      <w:szCs w:val="21"/>
                      <w:lang w:bidi="ar"/>
                    </w:rPr>
                    <w:t>1.08</w:t>
                  </w:r>
                </w:p>
              </w:tc>
              <w:tc>
                <w:tcPr>
                  <w:tcW w:w="876" w:type="dxa"/>
                  <w:tcBorders>
                    <w:tl2br w:val="nil"/>
                    <w:tr2bl w:val="nil"/>
                  </w:tcBorders>
                  <w:vAlign w:val="center"/>
                </w:tcPr>
                <w:p>
                  <w:pPr>
                    <w:widowControl/>
                    <w:jc w:val="center"/>
                    <w:textAlignment w:val="center"/>
                    <w:rPr>
                      <w:color w:val="auto"/>
                      <w:szCs w:val="21"/>
                    </w:rPr>
                  </w:pPr>
                  <w:r>
                    <w:rPr>
                      <w:color w:val="auto"/>
                      <w:kern w:val="0"/>
                      <w:szCs w:val="21"/>
                      <w:lang w:bidi="ar"/>
                    </w:rPr>
                    <w:t>414.7</w:t>
                  </w:r>
                </w:p>
              </w:tc>
              <w:tc>
                <w:tcPr>
                  <w:tcW w:w="915" w:type="dxa"/>
                  <w:tcBorders>
                    <w:tl2br w:val="nil"/>
                    <w:tr2bl w:val="nil"/>
                  </w:tcBorders>
                  <w:vAlign w:val="center"/>
                </w:tcPr>
                <w:p>
                  <w:pPr>
                    <w:kinsoku w:val="0"/>
                    <w:overflowPunct w:val="0"/>
                    <w:adjustRightInd w:val="0"/>
                    <w:snapToGrid w:val="0"/>
                    <w:jc w:val="center"/>
                    <w:textAlignment w:val="center"/>
                    <w:rPr>
                      <w:color w:val="auto"/>
                      <w:kern w:val="0"/>
                      <w:szCs w:val="21"/>
                      <w:lang w:bidi="ar"/>
                    </w:rPr>
                  </w:pPr>
                  <w:r>
                    <w:rPr>
                      <w:color w:val="auto"/>
                      <w:kern w:val="0"/>
                      <w:szCs w:val="21"/>
                      <w:lang w:bidi="ar"/>
                    </w:rPr>
                    <w:t>/</w:t>
                  </w:r>
                </w:p>
              </w:tc>
              <w:tc>
                <w:tcPr>
                  <w:tcW w:w="835" w:type="dxa"/>
                  <w:tcBorders>
                    <w:tl2br w:val="nil"/>
                    <w:tr2bl w:val="nil"/>
                  </w:tcBorders>
                  <w:vAlign w:val="center"/>
                </w:tcPr>
                <w:p>
                  <w:pPr>
                    <w:kinsoku w:val="0"/>
                    <w:overflowPunct w:val="0"/>
                    <w:adjustRightInd w:val="0"/>
                    <w:snapToGrid w:val="0"/>
                    <w:jc w:val="center"/>
                    <w:textAlignment w:val="center"/>
                    <w:rPr>
                      <w:color w:val="auto"/>
                      <w:kern w:val="0"/>
                      <w:szCs w:val="21"/>
                      <w:lang w:bidi="ar"/>
                    </w:rPr>
                  </w:pPr>
                  <w:r>
                    <w:rPr>
                      <w:color w:val="auto"/>
                      <w:kern w:val="0"/>
                      <w:szCs w:val="21"/>
                      <w:lang w:bidi="ar"/>
                    </w:rPr>
                    <w:t>/</w:t>
                  </w:r>
                </w:p>
              </w:tc>
              <w:tc>
                <w:tcPr>
                  <w:tcW w:w="880" w:type="dxa"/>
                  <w:tcBorders>
                    <w:tl2br w:val="nil"/>
                    <w:tr2bl w:val="nil"/>
                  </w:tcBorders>
                  <w:vAlign w:val="center"/>
                </w:tcPr>
                <w:p>
                  <w:pPr>
                    <w:kinsoku w:val="0"/>
                    <w:overflowPunct w:val="0"/>
                    <w:adjustRightInd w:val="0"/>
                    <w:snapToGrid w:val="0"/>
                    <w:jc w:val="center"/>
                    <w:textAlignment w:val="center"/>
                    <w:rPr>
                      <w:color w:val="auto"/>
                      <w:kern w:val="0"/>
                      <w:szCs w:val="21"/>
                      <w:lang w:bidi="ar"/>
                    </w:rPr>
                  </w:pPr>
                  <w:r>
                    <w:rPr>
                      <w:color w:val="auto"/>
                      <w:kern w:val="0"/>
                      <w:szCs w:val="21"/>
                      <w:lang w:bidi="ar"/>
                    </w:rPr>
                    <w:t>/</w:t>
                  </w:r>
                </w:p>
              </w:tc>
              <w:tc>
                <w:tcPr>
                  <w:tcW w:w="744" w:type="dxa"/>
                  <w:tcBorders>
                    <w:tl2br w:val="nil"/>
                    <w:tr2bl w:val="nil"/>
                  </w:tcBorders>
                  <w:vAlign w:val="center"/>
                </w:tcPr>
                <w:p>
                  <w:pPr>
                    <w:kinsoku w:val="0"/>
                    <w:overflowPunct w:val="0"/>
                    <w:adjustRightInd w:val="0"/>
                    <w:snapToGrid w:val="0"/>
                    <w:jc w:val="center"/>
                    <w:textAlignment w:val="center"/>
                    <w:rPr>
                      <w:color w:val="auto"/>
                      <w:kern w:val="0"/>
                      <w:szCs w:val="21"/>
                      <w:lang w:bidi="ar"/>
                    </w:rPr>
                  </w:pPr>
                  <w:r>
                    <w:rPr>
                      <w:color w:val="auto"/>
                      <w:kern w:val="0"/>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6330" w:type="dxa"/>
                  <w:gridSpan w:val="7"/>
                  <w:tcBorders>
                    <w:tl2br w:val="nil"/>
                    <w:tr2bl w:val="nil"/>
                  </w:tcBorders>
                  <w:noWrap/>
                  <w:vAlign w:val="center"/>
                </w:tcPr>
                <w:p>
                  <w:pPr>
                    <w:kinsoku w:val="0"/>
                    <w:overflowPunct w:val="0"/>
                    <w:adjustRightInd w:val="0"/>
                    <w:snapToGrid w:val="0"/>
                    <w:jc w:val="center"/>
                    <w:textAlignment w:val="center"/>
                    <w:rPr>
                      <w:color w:val="auto"/>
                      <w:kern w:val="0"/>
                      <w:szCs w:val="21"/>
                      <w:lang w:bidi="ar"/>
                    </w:rPr>
                  </w:pPr>
                  <w:r>
                    <w:rPr>
                      <w:color w:val="auto"/>
                      <w:kern w:val="0"/>
                      <w:szCs w:val="21"/>
                      <w:lang w:bidi="ar"/>
                    </w:rPr>
                    <w:t>合计</w:t>
                  </w:r>
                </w:p>
              </w:tc>
              <w:tc>
                <w:tcPr>
                  <w:tcW w:w="895" w:type="dxa"/>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w:t>
                  </w:r>
                </w:p>
              </w:tc>
              <w:tc>
                <w:tcPr>
                  <w:tcW w:w="822" w:type="dxa"/>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1036.8</w:t>
                  </w:r>
                </w:p>
              </w:tc>
              <w:tc>
                <w:tcPr>
                  <w:tcW w:w="880" w:type="dxa"/>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w:t>
                  </w:r>
                </w:p>
              </w:tc>
              <w:tc>
                <w:tcPr>
                  <w:tcW w:w="876" w:type="dxa"/>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829.4</w:t>
                  </w:r>
                </w:p>
              </w:tc>
              <w:tc>
                <w:tcPr>
                  <w:tcW w:w="915" w:type="dxa"/>
                  <w:tcBorders>
                    <w:tl2br w:val="nil"/>
                    <w:tr2bl w:val="nil"/>
                  </w:tcBorders>
                  <w:vAlign w:val="center"/>
                </w:tcPr>
                <w:p>
                  <w:pPr>
                    <w:kinsoku w:val="0"/>
                    <w:overflowPunct w:val="0"/>
                    <w:adjustRightInd w:val="0"/>
                    <w:snapToGrid w:val="0"/>
                    <w:jc w:val="center"/>
                    <w:textAlignment w:val="center"/>
                    <w:rPr>
                      <w:color w:val="auto"/>
                      <w:kern w:val="0"/>
                      <w:szCs w:val="21"/>
                      <w:lang w:bidi="ar"/>
                    </w:rPr>
                  </w:pPr>
                  <w:r>
                    <w:rPr>
                      <w:color w:val="auto"/>
                      <w:kern w:val="0"/>
                      <w:szCs w:val="21"/>
                      <w:lang w:bidi="ar"/>
                    </w:rPr>
                    <w:t>/</w:t>
                  </w:r>
                </w:p>
              </w:tc>
              <w:tc>
                <w:tcPr>
                  <w:tcW w:w="835" w:type="dxa"/>
                  <w:tcBorders>
                    <w:tl2br w:val="nil"/>
                    <w:tr2bl w:val="nil"/>
                  </w:tcBorders>
                  <w:vAlign w:val="center"/>
                </w:tcPr>
                <w:p>
                  <w:pPr>
                    <w:kinsoku w:val="0"/>
                    <w:overflowPunct w:val="0"/>
                    <w:adjustRightInd w:val="0"/>
                    <w:snapToGrid w:val="0"/>
                    <w:jc w:val="center"/>
                    <w:textAlignment w:val="center"/>
                    <w:rPr>
                      <w:rFonts w:hint="default" w:eastAsia="宋体"/>
                      <w:color w:val="auto"/>
                      <w:kern w:val="0"/>
                      <w:szCs w:val="21"/>
                      <w:lang w:val="en-US" w:eastAsia="zh-CN" w:bidi="ar"/>
                    </w:rPr>
                  </w:pPr>
                  <w:r>
                    <w:rPr>
                      <w:color w:val="auto"/>
                      <w:kern w:val="0"/>
                      <w:szCs w:val="21"/>
                      <w:lang w:bidi="ar"/>
                    </w:rPr>
                    <w:t>3</w:t>
                  </w:r>
                  <w:r>
                    <w:rPr>
                      <w:rFonts w:hint="eastAsia"/>
                      <w:color w:val="auto"/>
                      <w:kern w:val="0"/>
                      <w:szCs w:val="21"/>
                      <w:lang w:val="en-US" w:eastAsia="zh-CN" w:bidi="ar"/>
                    </w:rPr>
                    <w:t>00</w:t>
                  </w:r>
                </w:p>
              </w:tc>
              <w:tc>
                <w:tcPr>
                  <w:tcW w:w="880" w:type="dxa"/>
                  <w:tcBorders>
                    <w:tl2br w:val="nil"/>
                    <w:tr2bl w:val="nil"/>
                  </w:tcBorders>
                  <w:vAlign w:val="center"/>
                </w:tcPr>
                <w:p>
                  <w:pPr>
                    <w:kinsoku w:val="0"/>
                    <w:overflowPunct w:val="0"/>
                    <w:adjustRightInd w:val="0"/>
                    <w:snapToGrid w:val="0"/>
                    <w:jc w:val="center"/>
                    <w:textAlignment w:val="center"/>
                    <w:rPr>
                      <w:color w:val="auto"/>
                      <w:kern w:val="0"/>
                      <w:szCs w:val="21"/>
                      <w:lang w:bidi="ar"/>
                    </w:rPr>
                  </w:pPr>
                  <w:r>
                    <w:rPr>
                      <w:color w:val="auto"/>
                      <w:kern w:val="0"/>
                      <w:szCs w:val="21"/>
                      <w:lang w:bidi="ar"/>
                    </w:rPr>
                    <w:t>/</w:t>
                  </w:r>
                </w:p>
              </w:tc>
              <w:tc>
                <w:tcPr>
                  <w:tcW w:w="744" w:type="dxa"/>
                  <w:tcBorders>
                    <w:tl2br w:val="nil"/>
                    <w:tr2bl w:val="nil"/>
                  </w:tcBorders>
                  <w:vAlign w:val="center"/>
                </w:tcPr>
                <w:p>
                  <w:pPr>
                    <w:kinsoku w:val="0"/>
                    <w:overflowPunct w:val="0"/>
                    <w:adjustRightInd w:val="0"/>
                    <w:snapToGrid w:val="0"/>
                    <w:jc w:val="center"/>
                    <w:textAlignment w:val="center"/>
                    <w:rPr>
                      <w:color w:val="auto"/>
                      <w:kern w:val="0"/>
                      <w:szCs w:val="21"/>
                      <w:lang w:bidi="ar"/>
                    </w:rPr>
                  </w:pPr>
                  <w:r>
                    <w:rPr>
                      <w:color w:val="auto"/>
                      <w:kern w:val="0"/>
                      <w:szCs w:val="21"/>
                      <w:lang w:bidi="ar"/>
                    </w:rPr>
                    <w:t>14.</w:t>
                  </w:r>
                  <w:r>
                    <w:rPr>
                      <w:rFonts w:hint="eastAsia"/>
                      <w:color w:val="auto"/>
                      <w:kern w:val="0"/>
                      <w:szCs w:val="21"/>
                      <w:lang w:bidi="ar"/>
                    </w:rPr>
                    <w:t>9</w:t>
                  </w:r>
                </w:p>
              </w:tc>
            </w:tr>
          </w:tbl>
          <w:p>
            <w:pPr>
              <w:widowControl/>
              <w:jc w:val="left"/>
              <w:rPr>
                <w:rFonts w:ascii="Calibri" w:hAnsi="Calibri" w:cs="Calibri"/>
                <w:color w:val="auto"/>
              </w:rPr>
            </w:pPr>
          </w:p>
        </w:tc>
      </w:tr>
    </w:tbl>
    <w:p>
      <w:pPr>
        <w:widowControl/>
        <w:jc w:val="left"/>
        <w:rPr>
          <w:color w:val="auto"/>
        </w:rPr>
      </w:pPr>
      <w:r>
        <w:rPr>
          <w:color w:val="auto"/>
        </w:rPr>
        <w:br w:type="page"/>
      </w:r>
    </w:p>
    <w:p>
      <w:pPr>
        <w:widowControl/>
        <w:jc w:val="left"/>
        <w:rPr>
          <w:color w:val="auto"/>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type="linesAndChars" w:linePitch="312" w:charSpace="0"/>
        </w:sectPr>
      </w:pPr>
    </w:p>
    <w:tbl>
      <w:tblPr>
        <w:tblStyle w:val="2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66" w:type="pct"/>
            <w:vAlign w:val="center"/>
          </w:tcPr>
          <w:p>
            <w:pPr>
              <w:pStyle w:val="23"/>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Cs w:val="24"/>
              </w:rPr>
              <w:t>建设内容</w:t>
            </w:r>
          </w:p>
        </w:tc>
        <w:tc>
          <w:tcPr>
            <w:tcW w:w="4734" w:type="pct"/>
          </w:tcPr>
          <w:p>
            <w:pPr>
              <w:spacing w:line="360" w:lineRule="auto"/>
              <w:ind w:firstLine="480" w:firstLineChars="200"/>
              <w:rPr>
                <w:color w:val="auto"/>
                <w:sz w:val="24"/>
              </w:rPr>
            </w:pPr>
            <w:r>
              <w:rPr>
                <w:color w:val="auto"/>
                <w:sz w:val="24"/>
              </w:rPr>
              <w:t>生产时，将</w:t>
            </w:r>
            <w:r>
              <w:rPr>
                <w:rFonts w:hint="eastAsia"/>
                <w:color w:val="auto"/>
                <w:sz w:val="24"/>
              </w:rPr>
              <w:t>喷粉前处理</w:t>
            </w:r>
            <w:r>
              <w:rPr>
                <w:color w:val="auto"/>
                <w:sz w:val="24"/>
              </w:rPr>
              <w:t>产生</w:t>
            </w:r>
            <w:ins w:id="493" w:author="Sunny" w:date="2022-12-30T08:48:00Z">
              <w:r>
                <w:rPr>
                  <w:rFonts w:hint="eastAsia"/>
                  <w:color w:val="auto"/>
                  <w:sz w:val="24"/>
                </w:rPr>
                <w:t>清槽废水</w:t>
              </w:r>
            </w:ins>
            <w:r>
              <w:rPr>
                <w:color w:val="auto"/>
                <w:sz w:val="24"/>
              </w:rPr>
              <w:t>、水洗水等排放到闲置水槽，经废水处理设施处理后回用于配槽、</w:t>
            </w:r>
            <w:r>
              <w:rPr>
                <w:rFonts w:hint="eastAsia"/>
                <w:color w:val="auto"/>
                <w:sz w:val="24"/>
              </w:rPr>
              <w:t>逆流</w:t>
            </w:r>
            <w:r>
              <w:rPr>
                <w:color w:val="auto"/>
                <w:sz w:val="24"/>
              </w:rPr>
              <w:t>水洗等工序</w:t>
            </w:r>
            <w:ins w:id="494" w:author="Sunny" w:date="2022-12-30T08:49:00Z">
              <w:r>
                <w:rPr>
                  <w:rFonts w:hint="eastAsia"/>
                  <w:color w:val="auto"/>
                  <w:sz w:val="24"/>
                </w:rPr>
                <w:t>；清槽废渣（液）做危废处置</w:t>
              </w:r>
            </w:ins>
            <w:r>
              <w:rPr>
                <w:color w:val="auto"/>
                <w:sz w:val="24"/>
              </w:rPr>
              <w:t>。最终，通过控制水洗槽和纯水洗槽溢流量，保持闲置水槽蓄水总量，闲置水槽水供水洗槽每日更换和溢流用水。</w:t>
            </w:r>
          </w:p>
          <w:p>
            <w:pPr>
              <w:adjustRightInd w:val="0"/>
              <w:snapToGrid w:val="0"/>
              <w:spacing w:line="360" w:lineRule="auto"/>
              <w:ind w:firstLine="480" w:firstLineChars="200"/>
              <w:jc w:val="left"/>
              <w:rPr>
                <w:color w:val="auto"/>
                <w:kern w:val="0"/>
                <w:sz w:val="24"/>
              </w:rPr>
            </w:pPr>
            <w:r>
              <w:rPr>
                <w:color w:val="auto"/>
                <w:kern w:val="0"/>
                <w:sz w:val="24"/>
              </w:rPr>
              <w:t>综上所述，</w:t>
            </w:r>
            <w:r>
              <w:rPr>
                <w:rFonts w:hint="eastAsia"/>
                <w:color w:val="auto"/>
                <w:kern w:val="0"/>
                <w:sz w:val="24"/>
              </w:rPr>
              <w:t>待正常生产后，厂内生活用水量2100t/a，制备纯水用自来水量1090.6t/a（包括纯水制备反冲洗水2t/a，纯水制备浓水544.3t/a，纯水544.3t/a）。</w:t>
            </w:r>
          </w:p>
          <w:p>
            <w:pPr>
              <w:adjustRightInd w:val="0"/>
              <w:snapToGrid w:val="0"/>
              <w:spacing w:line="360" w:lineRule="auto"/>
              <w:ind w:firstLine="480" w:firstLineChars="200"/>
              <w:rPr>
                <w:color w:val="auto"/>
                <w:sz w:val="24"/>
              </w:rPr>
            </w:pPr>
            <w:r>
              <w:rPr>
                <w:color w:val="auto"/>
                <w:sz w:val="24"/>
              </w:rPr>
              <w:t>水平衡图见图2-</w:t>
            </w:r>
            <w:ins w:id="495" w:author="Sunny" w:date="2022-12-29T17:00:00Z">
              <w:r>
                <w:rPr>
                  <w:rFonts w:hint="eastAsia"/>
                  <w:color w:val="auto"/>
                  <w:sz w:val="24"/>
                </w:rPr>
                <w:t>2</w:t>
              </w:r>
            </w:ins>
            <w:r>
              <w:rPr>
                <w:color w:val="auto"/>
                <w:sz w:val="24"/>
              </w:rPr>
              <w:t>。</w:t>
            </w:r>
          </w:p>
          <w:p>
            <w:pPr>
              <w:pStyle w:val="2"/>
              <w:rPr>
                <w:color w:val="auto"/>
                <w:sz w:val="24"/>
                <w:szCs w:val="24"/>
              </w:rPr>
            </w:pPr>
            <w:r>
              <w:rPr>
                <w:color w:val="auto"/>
              </w:rPr>
              <w:drawing>
                <wp:inline distT="0" distB="0" distL="114300" distR="114300">
                  <wp:extent cx="4980305" cy="2748280"/>
                  <wp:effectExtent l="0" t="0" r="10795" b="139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1"/>
                          <a:stretch>
                            <a:fillRect/>
                          </a:stretch>
                        </pic:blipFill>
                        <pic:spPr>
                          <a:xfrm>
                            <a:off x="0" y="0"/>
                            <a:ext cx="4980305" cy="2748280"/>
                          </a:xfrm>
                          <a:prstGeom prst="rect">
                            <a:avLst/>
                          </a:prstGeom>
                          <a:noFill/>
                          <a:ln>
                            <a:noFill/>
                          </a:ln>
                        </pic:spPr>
                      </pic:pic>
                    </a:graphicData>
                  </a:graphic>
                </wp:inline>
              </w:drawing>
            </w:r>
          </w:p>
          <w:p>
            <w:pPr>
              <w:adjustRightInd w:val="0"/>
              <w:snapToGrid w:val="0"/>
              <w:jc w:val="center"/>
              <w:rPr>
                <w:b/>
                <w:bCs/>
                <w:color w:val="auto"/>
                <w:sz w:val="24"/>
              </w:rPr>
            </w:pPr>
            <w:r>
              <w:rPr>
                <w:rFonts w:hint="eastAsia"/>
                <w:b/>
                <w:bCs/>
                <w:color w:val="auto"/>
                <w:sz w:val="24"/>
              </w:rPr>
              <w:t>图2-</w:t>
            </w:r>
            <w:r>
              <w:rPr>
                <w:rFonts w:hint="eastAsia"/>
                <w:b/>
                <w:bCs/>
                <w:color w:val="auto"/>
                <w:sz w:val="24"/>
                <w:lang w:val="en-US" w:eastAsia="zh-CN"/>
              </w:rPr>
              <w:t>2</w:t>
            </w:r>
            <w:r>
              <w:rPr>
                <w:rFonts w:hint="eastAsia"/>
                <w:b/>
                <w:bCs/>
                <w:color w:val="auto"/>
                <w:sz w:val="24"/>
              </w:rPr>
              <w:t xml:space="preserve"> </w:t>
            </w:r>
            <w:r>
              <w:rPr>
                <w:b/>
                <w:bCs/>
                <w:color w:val="auto"/>
                <w:sz w:val="24"/>
              </w:rPr>
              <w:t>水量平衡图（单位：t/a）</w:t>
            </w:r>
          </w:p>
          <w:p>
            <w:pPr>
              <w:pStyle w:val="15"/>
              <w:tabs>
                <w:tab w:val="left" w:pos="3400"/>
              </w:tabs>
              <w:adjustRightInd w:val="0"/>
              <w:snapToGrid w:val="0"/>
              <w:spacing w:before="156" w:beforeLines="50"/>
              <w:ind w:firstLine="0" w:firstLineChars="0"/>
              <w:rPr>
                <w:b/>
                <w:bCs/>
                <w:color w:val="auto"/>
              </w:rPr>
            </w:pPr>
            <w:r>
              <w:rPr>
                <w:b/>
                <w:bCs/>
                <w:color w:val="auto"/>
              </w:rPr>
              <w:t>8、劳动定员及工作制度</w:t>
            </w:r>
          </w:p>
          <w:p>
            <w:pPr>
              <w:adjustRightInd w:val="0"/>
              <w:snapToGrid w:val="0"/>
              <w:spacing w:line="360" w:lineRule="auto"/>
              <w:ind w:firstLine="480" w:firstLineChars="200"/>
              <w:rPr>
                <w:color w:val="auto"/>
                <w:sz w:val="24"/>
              </w:rPr>
            </w:pPr>
            <w:r>
              <w:rPr>
                <w:color w:val="auto"/>
                <w:sz w:val="24"/>
              </w:rPr>
              <w:t>劳动定员：项目职工为</w:t>
            </w:r>
            <w:r>
              <w:rPr>
                <w:rFonts w:hint="eastAsia"/>
                <w:color w:val="auto"/>
                <w:sz w:val="24"/>
              </w:rPr>
              <w:t>140</w:t>
            </w:r>
            <w:r>
              <w:rPr>
                <w:color w:val="auto"/>
                <w:sz w:val="24"/>
              </w:rPr>
              <w:t>人。</w:t>
            </w:r>
          </w:p>
          <w:p>
            <w:pPr>
              <w:adjustRightInd w:val="0"/>
              <w:snapToGrid w:val="0"/>
              <w:spacing w:line="360" w:lineRule="auto"/>
              <w:ind w:firstLine="480" w:firstLineChars="200"/>
              <w:rPr>
                <w:color w:val="auto"/>
                <w:sz w:val="24"/>
              </w:rPr>
            </w:pPr>
            <w:r>
              <w:rPr>
                <w:color w:val="auto"/>
                <w:sz w:val="24"/>
              </w:rPr>
              <w:t>工作制度：</w:t>
            </w:r>
            <w:r>
              <w:rPr>
                <w:rFonts w:hint="eastAsia"/>
                <w:color w:val="auto"/>
                <w:sz w:val="24"/>
              </w:rPr>
              <w:t>年工作300天，三班运行制（每班8小时），年工作时间7200小时。</w:t>
            </w:r>
          </w:p>
          <w:p>
            <w:pPr>
              <w:adjustRightInd w:val="0"/>
              <w:snapToGrid w:val="0"/>
              <w:spacing w:line="360" w:lineRule="auto"/>
              <w:ind w:firstLine="480" w:firstLineChars="200"/>
              <w:rPr>
                <w:color w:val="auto"/>
                <w:sz w:val="24"/>
              </w:rPr>
            </w:pPr>
            <w:r>
              <w:rPr>
                <w:color w:val="auto"/>
                <w:sz w:val="24"/>
              </w:rPr>
              <w:t>生活配套设施：厂区</w:t>
            </w:r>
            <w:r>
              <w:rPr>
                <w:rFonts w:hint="eastAsia"/>
                <w:color w:val="auto"/>
                <w:sz w:val="24"/>
              </w:rPr>
              <w:t>不设</w:t>
            </w:r>
            <w:r>
              <w:rPr>
                <w:color w:val="auto"/>
                <w:sz w:val="24"/>
              </w:rPr>
              <w:t>食堂，统一订餐，厂区无浴室、宿舍等生活设施。</w:t>
            </w:r>
          </w:p>
          <w:p>
            <w:pPr>
              <w:widowControl/>
              <w:adjustRightInd w:val="0"/>
              <w:snapToGrid w:val="0"/>
              <w:spacing w:line="360" w:lineRule="auto"/>
              <w:jc w:val="left"/>
              <w:rPr>
                <w:b/>
                <w:bCs/>
                <w:color w:val="auto"/>
                <w:sz w:val="24"/>
              </w:rPr>
            </w:pPr>
            <w:r>
              <w:rPr>
                <w:b/>
                <w:bCs/>
                <w:color w:val="auto"/>
                <w:sz w:val="24"/>
              </w:rPr>
              <w:t>9、项目地理位置、周围环境及平面布置</w:t>
            </w:r>
          </w:p>
          <w:p>
            <w:pPr>
              <w:adjustRightInd w:val="0"/>
              <w:snapToGrid w:val="0"/>
              <w:spacing w:line="360" w:lineRule="auto"/>
              <w:ind w:firstLine="480" w:firstLineChars="200"/>
              <w:rPr>
                <w:color w:val="auto"/>
                <w:sz w:val="24"/>
              </w:rPr>
            </w:pPr>
            <w:r>
              <w:rPr>
                <w:color w:val="auto"/>
                <w:sz w:val="24"/>
              </w:rPr>
              <w:t>本项目位于无锡市新吴区梅村新风路69号，</w:t>
            </w:r>
            <w:r>
              <w:rPr>
                <w:rFonts w:hint="eastAsia"/>
                <w:color w:val="auto"/>
                <w:sz w:val="24"/>
              </w:rPr>
              <w:t>东侧为无锡展播环保科技有限公司，南侧为三兄弟建材仓库，</w:t>
            </w:r>
            <w:r>
              <w:rPr>
                <w:color w:val="auto"/>
                <w:sz w:val="24"/>
              </w:rPr>
              <w:t>西侧为空地，</w:t>
            </w:r>
            <w:r>
              <w:rPr>
                <w:rFonts w:hint="eastAsia"/>
                <w:color w:val="auto"/>
                <w:sz w:val="24"/>
              </w:rPr>
              <w:t>北侧紧邻无锡乐善金属材料有限公司</w:t>
            </w:r>
            <w:r>
              <w:rPr>
                <w:color w:val="auto"/>
                <w:sz w:val="24"/>
              </w:rPr>
              <w:t>。项目周围500米内主要环境敏感点为距离本项目</w:t>
            </w:r>
            <w:r>
              <w:rPr>
                <w:rFonts w:hint="eastAsia"/>
                <w:color w:val="auto"/>
                <w:sz w:val="24"/>
              </w:rPr>
              <w:t>厂界东南</w:t>
            </w:r>
            <w:r>
              <w:rPr>
                <w:color w:val="auto"/>
                <w:sz w:val="24"/>
              </w:rPr>
              <w:t>方向</w:t>
            </w:r>
            <w:r>
              <w:rPr>
                <w:rFonts w:hint="eastAsia"/>
                <w:color w:val="auto"/>
                <w:sz w:val="24"/>
              </w:rPr>
              <w:t>43</w:t>
            </w:r>
            <w:r>
              <w:rPr>
                <w:color w:val="auto"/>
                <w:sz w:val="24"/>
              </w:rPr>
              <w:t>m的</w:t>
            </w:r>
            <w:r>
              <w:rPr>
                <w:rFonts w:hint="eastAsia"/>
                <w:color w:val="auto"/>
                <w:sz w:val="24"/>
              </w:rPr>
              <w:t>新风公寓</w:t>
            </w:r>
            <w:r>
              <w:rPr>
                <w:color w:val="auto"/>
                <w:sz w:val="24"/>
              </w:rPr>
              <w:t>，本项目地理位置见</w:t>
            </w:r>
            <w:r>
              <w:rPr>
                <w:rFonts w:hint="eastAsia"/>
                <w:color w:val="auto"/>
                <w:sz w:val="24"/>
                <w:lang w:val="en-US" w:eastAsia="zh-CN"/>
              </w:rPr>
              <w:t>附</w:t>
            </w:r>
            <w:r>
              <w:rPr>
                <w:rFonts w:hint="eastAsia"/>
                <w:color w:val="auto"/>
                <w:sz w:val="24"/>
              </w:rPr>
              <w:t>图1-</w:t>
            </w:r>
            <w:r>
              <w:rPr>
                <w:rFonts w:hint="eastAsia"/>
                <w:color w:val="auto"/>
                <w:sz w:val="24"/>
                <w:lang w:val="en-US" w:eastAsia="zh-CN"/>
              </w:rPr>
              <w:t>1</w:t>
            </w:r>
            <w:r>
              <w:rPr>
                <w:color w:val="auto"/>
                <w:sz w:val="24"/>
              </w:rPr>
              <w:t>，周围环境状况见</w:t>
            </w:r>
            <w:r>
              <w:rPr>
                <w:rFonts w:hint="eastAsia"/>
                <w:color w:val="auto"/>
                <w:sz w:val="24"/>
                <w:lang w:val="en-US" w:eastAsia="zh-CN"/>
              </w:rPr>
              <w:t>附</w:t>
            </w:r>
            <w:r>
              <w:rPr>
                <w:color w:val="auto"/>
                <w:sz w:val="24"/>
              </w:rPr>
              <w:t>图</w:t>
            </w:r>
            <w:r>
              <w:rPr>
                <w:rFonts w:hint="eastAsia"/>
                <w:color w:val="auto"/>
                <w:sz w:val="24"/>
              </w:rPr>
              <w:t>3</w:t>
            </w:r>
            <w:r>
              <w:rPr>
                <w:color w:val="auto"/>
                <w:sz w:val="24"/>
              </w:rPr>
              <w:t xml:space="preserve">。 </w:t>
            </w:r>
          </w:p>
          <w:p>
            <w:pPr>
              <w:adjustRightInd w:val="0"/>
              <w:snapToGrid w:val="0"/>
              <w:spacing w:line="360" w:lineRule="auto"/>
              <w:ind w:firstLine="480" w:firstLineChars="200"/>
              <w:rPr>
                <w:color w:val="auto"/>
                <w:sz w:val="24"/>
              </w:rPr>
            </w:pPr>
            <w:r>
              <w:rPr>
                <w:rFonts w:hint="eastAsia"/>
                <w:color w:val="auto"/>
                <w:sz w:val="24"/>
              </w:rPr>
              <w:t>建设项目</w:t>
            </w:r>
            <w:r>
              <w:rPr>
                <w:color w:val="auto"/>
                <w:sz w:val="24"/>
              </w:rPr>
              <w:t>全厂布置简单清晰，能够满足生产运输要求，便于生产，符合生产和环保要求。项目在现有车间内完成，工艺流程顺畅、流水线路短捷、物流通畅、方便生产及管理。因此本项目厂区布局合理。项目</w:t>
            </w:r>
            <w:r>
              <w:rPr>
                <w:rFonts w:hint="eastAsia"/>
                <w:color w:val="auto"/>
                <w:sz w:val="24"/>
              </w:rPr>
              <w:t>厂区车间平面布置图及</w:t>
            </w:r>
            <w:r>
              <w:rPr>
                <w:color w:val="auto"/>
                <w:sz w:val="24"/>
              </w:rPr>
              <w:t>雨污管网见</w:t>
            </w:r>
            <w:r>
              <w:rPr>
                <w:rFonts w:hint="eastAsia"/>
                <w:color w:val="auto"/>
                <w:sz w:val="24"/>
              </w:rPr>
              <w:t>附图4</w:t>
            </w:r>
            <w:r>
              <w:rPr>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vAlign w:val="center"/>
          </w:tcPr>
          <w:p>
            <w:pPr>
              <w:pStyle w:val="23"/>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Cs w:val="24"/>
              </w:rPr>
              <w:t>工艺流程和产排污环节</w:t>
            </w:r>
          </w:p>
        </w:tc>
        <w:tc>
          <w:tcPr>
            <w:tcW w:w="4734" w:type="pct"/>
          </w:tcPr>
          <w:p>
            <w:pPr>
              <w:numPr>
                <w:ilvl w:val="0"/>
                <w:numId w:val="7"/>
              </w:numPr>
              <w:adjustRightInd w:val="0"/>
              <w:snapToGrid w:val="0"/>
              <w:spacing w:line="360" w:lineRule="auto"/>
              <w:rPr>
                <w:b/>
                <w:color w:val="auto"/>
                <w:sz w:val="24"/>
              </w:rPr>
            </w:pPr>
            <w:r>
              <w:rPr>
                <w:b/>
                <w:color w:val="auto"/>
                <w:sz w:val="24"/>
              </w:rPr>
              <w:t>工艺流程</w:t>
            </w:r>
          </w:p>
          <w:p>
            <w:pPr>
              <w:widowControl/>
              <w:spacing w:line="360" w:lineRule="auto"/>
              <w:ind w:firstLine="480" w:firstLineChars="200"/>
              <w:jc w:val="left"/>
              <w:rPr>
                <w:color w:val="auto"/>
                <w:sz w:val="24"/>
              </w:rPr>
            </w:pPr>
            <w:r>
              <w:rPr>
                <w:color w:val="auto"/>
                <w:sz w:val="24"/>
              </w:rPr>
              <w:t>本项目为</w:t>
            </w:r>
            <w:r>
              <w:rPr>
                <w:color w:val="auto"/>
                <w:kern w:val="0"/>
                <w:sz w:val="24"/>
                <w:lang w:bidi="ar"/>
              </w:rPr>
              <w:t>年产洗衣机冲压件200万件、热水器冲压件300万件、模具40副</w:t>
            </w:r>
            <w:r>
              <w:rPr>
                <w:rFonts w:hint="eastAsia"/>
                <w:color w:val="auto"/>
                <w:kern w:val="0"/>
                <w:sz w:val="24"/>
                <w:lang w:bidi="ar"/>
              </w:rPr>
              <w:t>建设</w:t>
            </w:r>
            <w:r>
              <w:rPr>
                <w:color w:val="auto"/>
                <w:kern w:val="0"/>
                <w:sz w:val="24"/>
                <w:lang w:bidi="ar"/>
              </w:rPr>
              <w:t>项目，</w:t>
            </w:r>
            <w:r>
              <w:rPr>
                <w:color w:val="auto"/>
                <w:sz w:val="24"/>
              </w:rPr>
              <w:t>生产工艺包括为</w:t>
            </w:r>
            <w:r>
              <w:rPr>
                <w:color w:val="auto"/>
                <w:kern w:val="0"/>
                <w:sz w:val="24"/>
                <w:lang w:bidi="ar"/>
              </w:rPr>
              <w:t>冲压件生产工艺（部分冲压件需经</w:t>
            </w:r>
            <w:r>
              <w:rPr>
                <w:rFonts w:hint="eastAsia"/>
                <w:color w:val="auto"/>
                <w:kern w:val="0"/>
                <w:sz w:val="24"/>
                <w:lang w:bidi="ar"/>
              </w:rPr>
              <w:t>喷粉</w:t>
            </w:r>
            <w:r>
              <w:rPr>
                <w:color w:val="auto"/>
                <w:kern w:val="0"/>
                <w:sz w:val="24"/>
                <w:lang w:bidi="ar"/>
              </w:rPr>
              <w:t>后出货）、模具工艺。</w:t>
            </w:r>
          </w:p>
          <w:p>
            <w:pPr>
              <w:spacing w:line="360" w:lineRule="auto"/>
              <w:ind w:firstLine="480" w:firstLineChars="200"/>
              <w:rPr>
                <w:color w:val="auto"/>
                <w:sz w:val="24"/>
              </w:rPr>
            </w:pPr>
            <w:r>
              <w:rPr>
                <w:color w:val="auto"/>
                <w:sz w:val="24"/>
              </w:rPr>
              <w:t>具体工艺流程如下：</w:t>
            </w:r>
          </w:p>
          <w:p>
            <w:pPr>
              <w:pStyle w:val="2"/>
              <w:ind w:firstLine="482" w:firstLineChars="200"/>
              <w:rPr>
                <w:color w:val="auto"/>
              </w:rPr>
            </w:pPr>
            <w:r>
              <w:rPr>
                <w:b/>
                <w:color w:val="auto"/>
                <w:sz w:val="24"/>
                <w:szCs w:val="21"/>
              </w:rPr>
              <w:t>（1）</w:t>
            </w:r>
            <w:r>
              <w:rPr>
                <w:rFonts w:hint="eastAsia"/>
                <w:b/>
                <w:color w:val="auto"/>
                <w:sz w:val="24"/>
                <w:szCs w:val="21"/>
              </w:rPr>
              <w:t>冲压件</w:t>
            </w:r>
            <w:r>
              <w:rPr>
                <w:b/>
                <w:color w:val="auto"/>
                <w:sz w:val="24"/>
                <w:szCs w:val="21"/>
              </w:rPr>
              <w:t>生产工艺</w:t>
            </w:r>
          </w:p>
          <w:p>
            <w:pPr>
              <w:adjustRightInd w:val="0"/>
              <w:snapToGrid w:val="0"/>
              <w:jc w:val="center"/>
              <w:rPr>
                <w:b/>
                <w:color w:val="auto"/>
                <w:sz w:val="24"/>
                <w:szCs w:val="21"/>
              </w:rPr>
            </w:pPr>
            <w:r>
              <w:rPr>
                <w:color w:val="auto"/>
              </w:rPr>
              <w:drawing>
                <wp:inline distT="0" distB="0" distL="114300" distR="114300">
                  <wp:extent cx="4153535" cy="5006975"/>
                  <wp:effectExtent l="0" t="0" r="18415" b="317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tretch>
                            <a:fillRect/>
                          </a:stretch>
                        </pic:blipFill>
                        <pic:spPr>
                          <a:xfrm>
                            <a:off x="0" y="0"/>
                            <a:ext cx="4153535" cy="5006975"/>
                          </a:xfrm>
                          <a:prstGeom prst="rect">
                            <a:avLst/>
                          </a:prstGeom>
                          <a:noFill/>
                          <a:ln>
                            <a:noFill/>
                          </a:ln>
                        </pic:spPr>
                      </pic:pic>
                    </a:graphicData>
                  </a:graphic>
                </wp:inline>
              </w:drawing>
            </w:r>
          </w:p>
          <w:p>
            <w:pPr>
              <w:numPr>
                <w:ilvl w:val="255"/>
                <w:numId w:val="0"/>
              </w:numPr>
              <w:adjustRightInd w:val="0"/>
              <w:snapToGrid w:val="0"/>
              <w:jc w:val="center"/>
              <w:rPr>
                <w:bCs/>
                <w:color w:val="auto"/>
                <w:szCs w:val="21"/>
              </w:rPr>
            </w:pPr>
            <w:ins w:id="496" w:author="Sunny" w:date="2022-12-29T17:02:00Z">
              <w:r>
                <w:rPr>
                  <w:rFonts w:hint="eastAsia"/>
                  <w:b/>
                  <w:color w:val="auto"/>
                  <w:sz w:val="24"/>
                  <w:szCs w:val="21"/>
                </w:rPr>
                <w:t xml:space="preserve">图2-3 </w:t>
              </w:r>
            </w:ins>
            <w:r>
              <w:rPr>
                <w:rFonts w:hint="eastAsia"/>
                <w:b/>
                <w:color w:val="auto"/>
                <w:sz w:val="24"/>
                <w:szCs w:val="21"/>
              </w:rPr>
              <w:t>冲压件</w:t>
            </w:r>
            <w:r>
              <w:rPr>
                <w:b/>
                <w:color w:val="auto"/>
                <w:sz w:val="24"/>
                <w:szCs w:val="21"/>
              </w:rPr>
              <w:t>生产工艺流程图</w:t>
            </w:r>
          </w:p>
        </w:tc>
      </w:tr>
    </w:tbl>
    <w:p>
      <w:pPr>
        <w:pStyle w:val="23"/>
        <w:adjustRightInd w:val="0"/>
        <w:snapToGrid w:val="0"/>
        <w:spacing w:before="0" w:beforeAutospacing="0" w:after="0" w:afterAutospacing="0"/>
        <w:jc w:val="center"/>
        <w:rPr>
          <w:rFonts w:ascii="Times New Roman" w:hAnsi="Times New Roman"/>
          <w:bCs/>
          <w:color w:val="auto"/>
          <w:kern w:val="2"/>
          <w:szCs w:val="24"/>
        </w:rPr>
        <w:sectPr>
          <w:pgSz w:w="11906" w:h="16838"/>
          <w:pgMar w:top="1440" w:right="1797" w:bottom="1440" w:left="1797" w:header="851" w:footer="992" w:gutter="0"/>
          <w:pgBorders>
            <w:top w:val="none" w:sz="0" w:space="0"/>
            <w:left w:val="none" w:sz="0" w:space="0"/>
            <w:bottom w:val="none" w:sz="0" w:space="0"/>
            <w:right w:val="none" w:sz="0" w:space="0"/>
          </w:pgBorders>
          <w:cols w:space="425"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8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 w:type="dxa"/>
            <w:vAlign w:val="center"/>
          </w:tcPr>
          <w:p>
            <w:pPr>
              <w:jc w:val="center"/>
              <w:rPr>
                <w:rFonts w:ascii="Calibri" w:hAnsi="Calibri" w:eastAsia="黑体" w:cs="Calibri"/>
                <w:snapToGrid w:val="0"/>
                <w:color w:val="auto"/>
                <w:sz w:val="30"/>
                <w:szCs w:val="30"/>
              </w:rPr>
            </w:pPr>
            <w:r>
              <w:rPr>
                <w:rFonts w:ascii="Calibri" w:hAnsi="Calibri" w:cs="Calibri"/>
                <w:color w:val="auto"/>
                <w:sz w:val="24"/>
              </w:rPr>
              <w:t>工艺流程和产排污环节</w:t>
            </w:r>
          </w:p>
        </w:tc>
        <w:tc>
          <w:tcPr>
            <w:tcW w:w="8083" w:type="dxa"/>
          </w:tcPr>
          <w:p>
            <w:pPr>
              <w:pStyle w:val="58"/>
              <w:widowControl/>
              <w:adjustRightInd w:val="0"/>
              <w:snapToGrid w:val="0"/>
              <w:spacing w:line="360" w:lineRule="auto"/>
              <w:ind w:left="0" w:leftChars="0" w:firstLine="0" w:firstLineChars="0"/>
              <w:rPr>
                <w:rFonts w:ascii="Calibri" w:hAnsi="Calibri" w:cs="Calibri"/>
                <w:b/>
                <w:color w:val="auto"/>
                <w:kern w:val="0"/>
                <w:sz w:val="24"/>
              </w:rPr>
            </w:pPr>
            <w:r>
              <w:rPr>
                <w:b/>
                <w:bCs/>
                <w:color w:val="auto"/>
                <w:sz w:val="24"/>
              </w:rPr>
              <w:t>工艺流程简述：</w:t>
            </w:r>
          </w:p>
          <w:p>
            <w:pPr>
              <w:pStyle w:val="58"/>
              <w:widowControl/>
              <w:adjustRightInd w:val="0"/>
              <w:snapToGrid w:val="0"/>
              <w:spacing w:line="360" w:lineRule="auto"/>
              <w:ind w:firstLine="482"/>
              <w:rPr>
                <w:rFonts w:ascii="Calibri" w:hAnsi="Calibri" w:cs="Calibri"/>
                <w:bCs/>
                <w:color w:val="auto"/>
                <w:sz w:val="24"/>
              </w:rPr>
            </w:pPr>
            <w:r>
              <w:rPr>
                <w:rFonts w:ascii="Calibri" w:hAnsi="Calibri" w:cs="Calibri"/>
                <w:b/>
                <w:color w:val="auto"/>
                <w:kern w:val="0"/>
                <w:sz w:val="24"/>
              </w:rPr>
              <w:t>压制成型</w:t>
            </w:r>
            <w:r>
              <w:rPr>
                <w:rFonts w:ascii="Calibri" w:hAnsi="Calibri" w:cs="Calibri"/>
                <w:bCs/>
                <w:color w:val="auto"/>
                <w:kern w:val="0"/>
                <w:sz w:val="24"/>
              </w:rPr>
              <w:t>：金属板材</w:t>
            </w:r>
            <w:r>
              <w:rPr>
                <w:rFonts w:hint="eastAsia" w:ascii="Calibri" w:hAnsi="Calibri" w:cs="Calibri"/>
                <w:bCs/>
                <w:color w:val="auto"/>
                <w:kern w:val="0"/>
                <w:sz w:val="24"/>
              </w:rPr>
              <w:t>（电镀锌板、冷压板、酸洗板、预涂板）</w:t>
            </w:r>
            <w:r>
              <w:rPr>
                <w:rFonts w:ascii="Calibri" w:hAnsi="Calibri" w:cs="Calibri"/>
                <w:bCs/>
                <w:color w:val="auto"/>
                <w:kern w:val="0"/>
                <w:sz w:val="24"/>
              </w:rPr>
              <w:t>进厂后，先由闭式双点压力机压制成型。该工序产生金属废料（S</w:t>
            </w:r>
            <w:r>
              <w:rPr>
                <w:rFonts w:ascii="Calibri" w:hAnsi="Calibri" w:cs="Calibri"/>
                <w:bCs/>
                <w:color w:val="auto"/>
                <w:kern w:val="0"/>
                <w:sz w:val="24"/>
                <w:vertAlign w:val="subscript"/>
              </w:rPr>
              <w:t>1-1</w:t>
            </w:r>
            <w:r>
              <w:rPr>
                <w:rFonts w:ascii="Calibri" w:hAnsi="Calibri" w:cs="Calibri"/>
                <w:bCs/>
                <w:color w:val="auto"/>
                <w:kern w:val="0"/>
                <w:sz w:val="24"/>
              </w:rPr>
              <w:t>）、噪声（N</w:t>
            </w:r>
            <w:r>
              <w:rPr>
                <w:rFonts w:ascii="Calibri" w:hAnsi="Calibri" w:cs="Calibri"/>
                <w:bCs/>
                <w:color w:val="auto"/>
                <w:kern w:val="0"/>
                <w:sz w:val="24"/>
                <w:vertAlign w:val="subscript"/>
              </w:rPr>
              <w:t>1-1</w:t>
            </w:r>
            <w:r>
              <w:rPr>
                <w:rFonts w:ascii="Calibri" w:hAnsi="Calibri" w:cs="Calibri"/>
                <w:bCs/>
                <w:color w:val="auto"/>
                <w:kern w:val="0"/>
                <w:sz w:val="24"/>
              </w:rPr>
              <w:t>）、</w:t>
            </w:r>
            <w:r>
              <w:rPr>
                <w:rFonts w:hint="eastAsia" w:ascii="Calibri" w:hAnsi="Calibri" w:cs="Calibri"/>
                <w:bCs/>
                <w:color w:val="auto"/>
                <w:kern w:val="0"/>
                <w:sz w:val="24"/>
              </w:rPr>
              <w:t>振动（Z</w:t>
            </w:r>
            <w:r>
              <w:rPr>
                <w:rFonts w:hint="eastAsia" w:ascii="Calibri" w:hAnsi="Calibri" w:cs="Calibri"/>
                <w:bCs/>
                <w:color w:val="auto"/>
                <w:kern w:val="0"/>
                <w:sz w:val="24"/>
                <w:vertAlign w:val="subscript"/>
              </w:rPr>
              <w:t>1-1</w:t>
            </w:r>
            <w:r>
              <w:rPr>
                <w:rFonts w:hint="eastAsia" w:ascii="Calibri" w:hAnsi="Calibri" w:cs="Calibri"/>
                <w:bCs/>
                <w:color w:val="auto"/>
                <w:kern w:val="0"/>
                <w:sz w:val="24"/>
              </w:rPr>
              <w:t>）</w:t>
            </w:r>
            <w:r>
              <w:rPr>
                <w:rFonts w:ascii="Calibri" w:hAnsi="Calibri" w:cs="Calibri"/>
                <w:bCs/>
                <w:color w:val="auto"/>
                <w:kern w:val="0"/>
                <w:sz w:val="24"/>
              </w:rPr>
              <w:t>。</w:t>
            </w:r>
          </w:p>
          <w:p>
            <w:pPr>
              <w:pStyle w:val="58"/>
              <w:widowControl/>
              <w:adjustRightInd w:val="0"/>
              <w:snapToGrid w:val="0"/>
              <w:spacing w:line="360" w:lineRule="auto"/>
              <w:ind w:firstLine="482"/>
              <w:rPr>
                <w:rFonts w:ascii="Calibri" w:hAnsi="Calibri" w:cs="Calibri"/>
                <w:color w:val="auto"/>
                <w:sz w:val="24"/>
              </w:rPr>
            </w:pPr>
            <w:r>
              <w:rPr>
                <w:rFonts w:ascii="Calibri" w:hAnsi="Calibri" w:cs="Calibri"/>
                <w:b/>
                <w:bCs/>
                <w:color w:val="auto"/>
                <w:sz w:val="24"/>
              </w:rPr>
              <w:t>冲孔、切边、折边、打弯、折角：</w:t>
            </w:r>
            <w:r>
              <w:rPr>
                <w:rFonts w:ascii="Calibri" w:hAnsi="Calibri" w:cs="Calibri"/>
                <w:color w:val="auto"/>
                <w:sz w:val="24"/>
              </w:rPr>
              <w:t>根据客户对部件的不同要求，产品成型后由闭式双点压力机对其进行冲孔、切边、折边、打弯、折角。</w:t>
            </w:r>
          </w:p>
          <w:p>
            <w:pPr>
              <w:pStyle w:val="58"/>
              <w:widowControl/>
              <w:adjustRightInd w:val="0"/>
              <w:snapToGrid w:val="0"/>
              <w:spacing w:line="360" w:lineRule="auto"/>
              <w:ind w:firstLine="480"/>
              <w:jc w:val="left"/>
              <w:rPr>
                <w:rFonts w:ascii="Calibri" w:hAnsi="Calibri" w:cs="Calibri"/>
                <w:color w:val="auto"/>
                <w:sz w:val="24"/>
              </w:rPr>
            </w:pPr>
            <w:r>
              <w:rPr>
                <w:rFonts w:ascii="Calibri" w:hAnsi="Calibri" w:cs="Calibri"/>
                <w:color w:val="auto"/>
                <w:sz w:val="24"/>
              </w:rPr>
              <w:t>此</w:t>
            </w:r>
            <w:r>
              <w:rPr>
                <w:rFonts w:hint="eastAsia" w:ascii="Calibri" w:hAnsi="Calibri" w:cs="Calibri"/>
                <w:color w:val="auto"/>
                <w:sz w:val="24"/>
              </w:rPr>
              <w:t>冲孔</w:t>
            </w:r>
            <w:r>
              <w:rPr>
                <w:rFonts w:ascii="Calibri" w:hAnsi="Calibri" w:cs="Calibri"/>
                <w:color w:val="auto"/>
                <w:sz w:val="24"/>
              </w:rPr>
              <w:t>工序产生废边角料（S</w:t>
            </w:r>
            <w:r>
              <w:rPr>
                <w:rFonts w:ascii="Calibri" w:hAnsi="Calibri" w:cs="Calibri"/>
                <w:color w:val="auto"/>
                <w:sz w:val="24"/>
                <w:vertAlign w:val="subscript"/>
              </w:rPr>
              <w:t>1-2</w:t>
            </w:r>
            <w:r>
              <w:rPr>
                <w:rFonts w:ascii="Calibri" w:hAnsi="Calibri" w:cs="Calibri"/>
                <w:color w:val="auto"/>
                <w:sz w:val="24"/>
              </w:rPr>
              <w:t>）、噪声</w:t>
            </w:r>
            <w:r>
              <w:rPr>
                <w:rFonts w:hint="eastAsia" w:ascii="Calibri" w:hAnsi="Calibri" w:cs="Calibri"/>
                <w:color w:val="auto"/>
                <w:sz w:val="24"/>
              </w:rPr>
              <w:t>（</w:t>
            </w:r>
            <w:r>
              <w:rPr>
                <w:rFonts w:ascii="Calibri" w:hAnsi="Calibri" w:cs="Calibri"/>
                <w:color w:val="auto"/>
                <w:sz w:val="24"/>
              </w:rPr>
              <w:t>N</w:t>
            </w:r>
            <w:r>
              <w:rPr>
                <w:rFonts w:ascii="Calibri" w:hAnsi="Calibri" w:cs="Calibri"/>
                <w:color w:val="auto"/>
                <w:sz w:val="24"/>
                <w:vertAlign w:val="subscript"/>
              </w:rPr>
              <w:t>1-2</w:t>
            </w:r>
            <w:r>
              <w:rPr>
                <w:rFonts w:hint="eastAsia" w:ascii="Calibri" w:hAnsi="Calibri" w:cs="Calibri"/>
                <w:color w:val="auto"/>
                <w:sz w:val="24"/>
              </w:rPr>
              <w:t>）</w:t>
            </w:r>
            <w:r>
              <w:rPr>
                <w:rFonts w:ascii="Calibri" w:hAnsi="Calibri" w:cs="Calibri"/>
                <w:color w:val="auto"/>
                <w:sz w:val="24"/>
              </w:rPr>
              <w:t>、</w:t>
            </w:r>
            <w:r>
              <w:rPr>
                <w:rFonts w:hint="eastAsia" w:ascii="Calibri" w:hAnsi="Calibri" w:cs="Calibri"/>
                <w:color w:val="auto"/>
                <w:sz w:val="24"/>
              </w:rPr>
              <w:t>振</w:t>
            </w:r>
            <w:r>
              <w:rPr>
                <w:rFonts w:ascii="Calibri" w:hAnsi="Calibri" w:cs="Calibri"/>
                <w:color w:val="auto"/>
                <w:sz w:val="24"/>
              </w:rPr>
              <w:t>动</w:t>
            </w:r>
            <w:r>
              <w:rPr>
                <w:rFonts w:hint="eastAsia" w:ascii="Calibri" w:hAnsi="Calibri" w:cs="Calibri"/>
                <w:color w:val="auto"/>
                <w:sz w:val="24"/>
              </w:rPr>
              <w:t>（</w:t>
            </w:r>
            <w:r>
              <w:rPr>
                <w:rFonts w:ascii="Calibri" w:hAnsi="Calibri" w:cs="Calibri"/>
                <w:color w:val="auto"/>
                <w:sz w:val="24"/>
              </w:rPr>
              <w:t>Z</w:t>
            </w:r>
            <w:r>
              <w:rPr>
                <w:rFonts w:ascii="Calibri" w:hAnsi="Calibri" w:cs="Calibri"/>
                <w:color w:val="auto"/>
                <w:sz w:val="24"/>
                <w:vertAlign w:val="subscript"/>
              </w:rPr>
              <w:t>1-</w:t>
            </w:r>
            <w:r>
              <w:rPr>
                <w:rFonts w:hint="eastAsia" w:ascii="Calibri" w:hAnsi="Calibri" w:cs="Calibri"/>
                <w:color w:val="auto"/>
                <w:sz w:val="24"/>
                <w:vertAlign w:val="subscript"/>
              </w:rPr>
              <w:t>2</w:t>
            </w:r>
            <w:r>
              <w:rPr>
                <w:rFonts w:hint="eastAsia" w:ascii="Calibri" w:hAnsi="Calibri" w:cs="Calibri"/>
                <w:color w:val="auto"/>
                <w:sz w:val="24"/>
              </w:rPr>
              <w:t>）</w:t>
            </w:r>
            <w:r>
              <w:rPr>
                <w:rFonts w:ascii="Calibri" w:hAnsi="Calibri" w:cs="Calibri"/>
                <w:color w:val="auto"/>
                <w:sz w:val="24"/>
              </w:rPr>
              <w:t>，</w:t>
            </w:r>
            <w:r>
              <w:rPr>
                <w:rFonts w:hint="eastAsia" w:ascii="Calibri" w:hAnsi="Calibri" w:cs="Calibri"/>
                <w:color w:val="auto"/>
                <w:sz w:val="24"/>
              </w:rPr>
              <w:t>切边工序产生</w:t>
            </w:r>
            <w:r>
              <w:rPr>
                <w:rFonts w:ascii="Calibri" w:hAnsi="Calibri" w:cs="Calibri"/>
                <w:color w:val="auto"/>
                <w:sz w:val="24"/>
              </w:rPr>
              <w:t>废边角料</w:t>
            </w:r>
            <w:r>
              <w:rPr>
                <w:rFonts w:hint="eastAsia" w:ascii="Calibri" w:hAnsi="Calibri" w:cs="Calibri"/>
                <w:color w:val="auto"/>
                <w:sz w:val="24"/>
              </w:rPr>
              <w:t>（</w:t>
            </w:r>
            <w:r>
              <w:rPr>
                <w:rFonts w:ascii="Calibri" w:hAnsi="Calibri" w:cs="Calibri"/>
                <w:color w:val="auto"/>
                <w:sz w:val="24"/>
              </w:rPr>
              <w:t>S</w:t>
            </w:r>
            <w:r>
              <w:rPr>
                <w:rFonts w:ascii="Calibri" w:hAnsi="Calibri" w:cs="Calibri"/>
                <w:color w:val="auto"/>
                <w:sz w:val="24"/>
                <w:vertAlign w:val="subscript"/>
              </w:rPr>
              <w:t>1-3</w:t>
            </w:r>
            <w:r>
              <w:rPr>
                <w:rFonts w:hint="eastAsia" w:ascii="Calibri" w:hAnsi="Calibri" w:cs="Calibri"/>
                <w:color w:val="auto"/>
                <w:sz w:val="24"/>
              </w:rPr>
              <w:t>）</w:t>
            </w:r>
            <w:r>
              <w:rPr>
                <w:rFonts w:ascii="Calibri" w:hAnsi="Calibri" w:cs="Calibri"/>
                <w:color w:val="auto"/>
                <w:sz w:val="24"/>
              </w:rPr>
              <w:t>、噪声</w:t>
            </w:r>
            <w:r>
              <w:rPr>
                <w:rFonts w:hint="eastAsia" w:ascii="Calibri" w:hAnsi="Calibri" w:cs="Calibri"/>
                <w:color w:val="auto"/>
                <w:sz w:val="24"/>
              </w:rPr>
              <w:t>（</w:t>
            </w:r>
            <w:r>
              <w:rPr>
                <w:rFonts w:ascii="Calibri" w:hAnsi="Calibri" w:cs="Calibri"/>
                <w:color w:val="auto"/>
                <w:sz w:val="24"/>
              </w:rPr>
              <w:t>N</w:t>
            </w:r>
            <w:r>
              <w:rPr>
                <w:rFonts w:ascii="Calibri" w:hAnsi="Calibri" w:cs="Calibri"/>
                <w:color w:val="auto"/>
                <w:sz w:val="24"/>
                <w:vertAlign w:val="subscript"/>
              </w:rPr>
              <w:t>1-3</w:t>
            </w:r>
            <w:r>
              <w:rPr>
                <w:rFonts w:hint="eastAsia" w:ascii="Calibri" w:hAnsi="Calibri" w:cs="Calibri"/>
                <w:color w:val="auto"/>
                <w:sz w:val="24"/>
              </w:rPr>
              <w:t>）</w:t>
            </w:r>
            <w:r>
              <w:rPr>
                <w:rFonts w:ascii="Calibri" w:hAnsi="Calibri" w:cs="Calibri"/>
                <w:color w:val="auto"/>
                <w:sz w:val="24"/>
              </w:rPr>
              <w:t>，</w:t>
            </w:r>
            <w:r>
              <w:rPr>
                <w:rFonts w:hint="eastAsia" w:ascii="Calibri" w:hAnsi="Calibri" w:cs="Calibri"/>
                <w:color w:val="auto"/>
                <w:sz w:val="24"/>
              </w:rPr>
              <w:t>折边、打弯、折角工序产生</w:t>
            </w:r>
            <w:r>
              <w:rPr>
                <w:rFonts w:ascii="Calibri" w:hAnsi="Calibri" w:cs="Calibri"/>
                <w:color w:val="auto"/>
                <w:sz w:val="24"/>
              </w:rPr>
              <w:t>噪声</w:t>
            </w:r>
            <w:r>
              <w:rPr>
                <w:rFonts w:hint="eastAsia" w:ascii="Calibri" w:hAnsi="Calibri" w:cs="Calibri"/>
                <w:color w:val="auto"/>
                <w:sz w:val="24"/>
              </w:rPr>
              <w:t>（</w:t>
            </w:r>
            <w:r>
              <w:rPr>
                <w:rFonts w:ascii="Calibri" w:hAnsi="Calibri" w:cs="Calibri"/>
                <w:color w:val="auto"/>
                <w:sz w:val="24"/>
              </w:rPr>
              <w:t>N</w:t>
            </w:r>
            <w:r>
              <w:rPr>
                <w:rFonts w:ascii="Calibri" w:hAnsi="Calibri" w:cs="Calibri"/>
                <w:color w:val="auto"/>
                <w:sz w:val="24"/>
                <w:vertAlign w:val="subscript"/>
              </w:rPr>
              <w:t>1-4</w:t>
            </w:r>
            <w:r>
              <w:rPr>
                <w:rFonts w:hint="eastAsia" w:ascii="Calibri" w:hAnsi="Calibri" w:cs="Calibri"/>
                <w:color w:val="auto"/>
                <w:sz w:val="24"/>
              </w:rPr>
              <w:t>）</w:t>
            </w:r>
            <w:r>
              <w:rPr>
                <w:rFonts w:ascii="Calibri" w:hAnsi="Calibri" w:cs="Calibri"/>
                <w:color w:val="auto"/>
                <w:sz w:val="24"/>
              </w:rPr>
              <w:t>。</w:t>
            </w:r>
          </w:p>
          <w:p>
            <w:pPr>
              <w:pStyle w:val="58"/>
              <w:spacing w:line="360" w:lineRule="auto"/>
              <w:ind w:firstLine="482"/>
              <w:contextualSpacing/>
              <w:rPr>
                <w:rFonts w:ascii="Calibri" w:hAnsi="Calibri" w:cs="Calibri"/>
                <w:color w:val="auto"/>
                <w:sz w:val="24"/>
              </w:rPr>
            </w:pPr>
            <w:r>
              <w:rPr>
                <w:rFonts w:ascii="Calibri" w:hAnsi="Calibri" w:cs="Calibri"/>
                <w:b/>
                <w:bCs/>
                <w:color w:val="auto"/>
                <w:sz w:val="24"/>
              </w:rPr>
              <w:t>冲孔：</w:t>
            </w:r>
            <w:r>
              <w:rPr>
                <w:rFonts w:ascii="Calibri" w:hAnsi="Calibri" w:cs="Calibri"/>
                <w:color w:val="auto"/>
                <w:sz w:val="24"/>
              </w:rPr>
              <w:t>为应焊接要求由闭式双点压力机对其进行冲孔。</w:t>
            </w:r>
          </w:p>
          <w:p>
            <w:pPr>
              <w:pStyle w:val="58"/>
              <w:widowControl/>
              <w:snapToGrid w:val="0"/>
              <w:spacing w:line="360" w:lineRule="auto"/>
              <w:ind w:firstLine="480"/>
              <w:contextualSpacing/>
              <w:jc w:val="left"/>
              <w:rPr>
                <w:rFonts w:ascii="Calibri" w:hAnsi="Calibri" w:cs="Calibri"/>
                <w:color w:val="auto"/>
                <w:sz w:val="24"/>
              </w:rPr>
            </w:pPr>
            <w:r>
              <w:rPr>
                <w:rFonts w:ascii="Calibri" w:hAnsi="Calibri" w:cs="Calibri"/>
                <w:color w:val="auto"/>
                <w:sz w:val="24"/>
              </w:rPr>
              <w:t>此工序产生废边角料（S</w:t>
            </w:r>
            <w:r>
              <w:rPr>
                <w:rFonts w:ascii="Calibri" w:hAnsi="Calibri" w:cs="Calibri"/>
                <w:color w:val="auto"/>
                <w:sz w:val="24"/>
                <w:vertAlign w:val="subscript"/>
              </w:rPr>
              <w:t>1-4</w:t>
            </w:r>
            <w:r>
              <w:rPr>
                <w:rFonts w:ascii="Calibri" w:hAnsi="Calibri" w:cs="Calibri"/>
                <w:color w:val="auto"/>
                <w:sz w:val="24"/>
              </w:rPr>
              <w:t>）、噪声（N</w:t>
            </w:r>
            <w:r>
              <w:rPr>
                <w:rFonts w:ascii="Calibri" w:hAnsi="Calibri" w:cs="Calibri"/>
                <w:color w:val="auto"/>
                <w:sz w:val="24"/>
                <w:vertAlign w:val="subscript"/>
              </w:rPr>
              <w:t>1-5</w:t>
            </w:r>
            <w:r>
              <w:rPr>
                <w:rFonts w:ascii="Calibri" w:hAnsi="Calibri" w:cs="Calibri"/>
                <w:color w:val="auto"/>
                <w:sz w:val="24"/>
              </w:rPr>
              <w:t>）、</w:t>
            </w:r>
            <w:r>
              <w:rPr>
                <w:rFonts w:hint="eastAsia" w:ascii="Calibri" w:hAnsi="Calibri" w:cs="Calibri"/>
                <w:color w:val="auto"/>
                <w:sz w:val="24"/>
              </w:rPr>
              <w:t>振</w:t>
            </w:r>
            <w:r>
              <w:rPr>
                <w:rFonts w:ascii="Calibri" w:hAnsi="Calibri" w:cs="Calibri"/>
                <w:color w:val="auto"/>
                <w:sz w:val="24"/>
              </w:rPr>
              <w:t>动（Z</w:t>
            </w:r>
            <w:r>
              <w:rPr>
                <w:rFonts w:ascii="Calibri" w:hAnsi="Calibri" w:cs="Calibri"/>
                <w:color w:val="auto"/>
                <w:sz w:val="24"/>
                <w:vertAlign w:val="subscript"/>
              </w:rPr>
              <w:t>1</w:t>
            </w:r>
            <w:r>
              <w:rPr>
                <w:rFonts w:hint="eastAsia" w:ascii="Calibri" w:hAnsi="Calibri" w:cs="Calibri"/>
                <w:color w:val="auto"/>
                <w:sz w:val="24"/>
                <w:vertAlign w:val="subscript"/>
              </w:rPr>
              <w:t>-3</w:t>
            </w:r>
            <w:r>
              <w:rPr>
                <w:rFonts w:ascii="Calibri" w:hAnsi="Calibri" w:cs="Calibri"/>
                <w:color w:val="auto"/>
                <w:sz w:val="24"/>
              </w:rPr>
              <w:t>）。</w:t>
            </w:r>
          </w:p>
          <w:p>
            <w:pPr>
              <w:pStyle w:val="58"/>
              <w:spacing w:line="360" w:lineRule="auto"/>
              <w:ind w:firstLine="482"/>
              <w:contextualSpacing/>
              <w:rPr>
                <w:rFonts w:ascii="Calibri" w:hAnsi="Calibri" w:cs="Calibri"/>
                <w:color w:val="auto"/>
                <w:sz w:val="24"/>
              </w:rPr>
            </w:pPr>
            <w:r>
              <w:rPr>
                <w:rFonts w:ascii="Calibri" w:hAnsi="Calibri" w:cs="Calibri"/>
                <w:b/>
                <w:bCs/>
                <w:color w:val="auto"/>
                <w:sz w:val="24"/>
              </w:rPr>
              <w:t>焊接：</w:t>
            </w:r>
            <w:r>
              <w:rPr>
                <w:rFonts w:ascii="Calibri" w:hAnsi="Calibri" w:cs="Calibri"/>
                <w:color w:val="auto"/>
                <w:sz w:val="24"/>
              </w:rPr>
              <w:t>用自动化焊接设备进行点焊，先加压使工件紧密接触，随后接通电流，在电阻热的作用，下工件接触处熔化，冷却后形成焊点，不使用焊料，此过程产生噪声（N</w:t>
            </w:r>
            <w:r>
              <w:rPr>
                <w:rFonts w:ascii="Calibri" w:hAnsi="Calibri" w:cs="Calibri"/>
                <w:color w:val="auto"/>
                <w:sz w:val="24"/>
                <w:vertAlign w:val="subscript"/>
              </w:rPr>
              <w:t>1-</w:t>
            </w:r>
            <w:r>
              <w:rPr>
                <w:rFonts w:hint="eastAsia" w:ascii="Calibri" w:hAnsi="Calibri" w:cs="Calibri"/>
                <w:color w:val="auto"/>
                <w:sz w:val="24"/>
                <w:vertAlign w:val="subscript"/>
              </w:rPr>
              <w:t>6</w:t>
            </w:r>
            <w:r>
              <w:rPr>
                <w:rFonts w:ascii="Calibri" w:hAnsi="Calibri" w:cs="Calibri"/>
                <w:color w:val="auto"/>
                <w:sz w:val="24"/>
              </w:rPr>
              <w:t>）。</w:t>
            </w:r>
          </w:p>
          <w:p>
            <w:pPr>
              <w:pStyle w:val="58"/>
              <w:spacing w:line="360" w:lineRule="auto"/>
              <w:ind w:firstLine="482"/>
              <w:rPr>
                <w:rFonts w:ascii="Calibri" w:hAnsi="Calibri" w:cs="Calibri"/>
                <w:color w:val="auto"/>
                <w:sz w:val="24"/>
              </w:rPr>
            </w:pPr>
            <w:r>
              <w:rPr>
                <w:rFonts w:ascii="Calibri" w:hAnsi="Calibri" w:cs="Calibri"/>
                <w:b/>
                <w:bCs/>
                <w:color w:val="auto"/>
                <w:sz w:val="24"/>
              </w:rPr>
              <w:t>装配：</w:t>
            </w:r>
            <w:r>
              <w:rPr>
                <w:rFonts w:ascii="Calibri" w:hAnsi="Calibri" w:cs="Calibri"/>
                <w:color w:val="auto"/>
                <w:sz w:val="24"/>
              </w:rPr>
              <w:t>人工将其装配成套。</w:t>
            </w:r>
          </w:p>
          <w:p>
            <w:pPr>
              <w:pStyle w:val="58"/>
              <w:spacing w:line="360" w:lineRule="auto"/>
              <w:ind w:firstLine="482"/>
              <w:rPr>
                <w:ins w:id="497" w:author="Sunny" w:date="2022-12-28T11:19:00Z"/>
                <w:rFonts w:ascii="Calibri" w:hAnsi="Calibri" w:cs="Calibri"/>
                <w:color w:val="auto"/>
                <w:sz w:val="24"/>
              </w:rPr>
            </w:pPr>
            <w:r>
              <w:rPr>
                <w:rFonts w:ascii="Calibri" w:hAnsi="Calibri" w:cs="Calibri"/>
                <w:b/>
                <w:bCs/>
                <w:color w:val="auto"/>
                <w:sz w:val="24"/>
              </w:rPr>
              <w:t>检验：装配后，由人工进行入库前检验，</w:t>
            </w:r>
            <w:r>
              <w:rPr>
                <w:rFonts w:ascii="Calibri" w:hAnsi="Calibri" w:cs="Calibri"/>
                <w:color w:val="auto"/>
                <w:sz w:val="24"/>
              </w:rPr>
              <w:t>该工序产生不合格品（S</w:t>
            </w:r>
            <w:r>
              <w:rPr>
                <w:rFonts w:ascii="Calibri" w:hAnsi="Calibri" w:cs="Calibri"/>
                <w:color w:val="auto"/>
                <w:sz w:val="24"/>
                <w:vertAlign w:val="subscript"/>
              </w:rPr>
              <w:t>1-5</w:t>
            </w:r>
            <w:r>
              <w:rPr>
                <w:rFonts w:ascii="Calibri" w:hAnsi="Calibri" w:cs="Calibri"/>
                <w:color w:val="auto"/>
                <w:sz w:val="24"/>
              </w:rPr>
              <w:t>），以及在检验过程中发现有毛刺类的缺点时需人工</w:t>
            </w:r>
            <w:r>
              <w:rPr>
                <w:rFonts w:hint="eastAsia" w:ascii="Calibri" w:hAnsi="Calibri" w:cs="Calibri"/>
                <w:color w:val="auto"/>
                <w:sz w:val="24"/>
              </w:rPr>
              <w:t>使用抛光盘</w:t>
            </w:r>
            <w:r>
              <w:rPr>
                <w:rFonts w:ascii="Calibri" w:hAnsi="Calibri" w:cs="Calibri"/>
                <w:color w:val="auto"/>
                <w:sz w:val="24"/>
              </w:rPr>
              <w:t>进行打磨。此工序产生粉尘（G</w:t>
            </w:r>
            <w:r>
              <w:rPr>
                <w:rFonts w:ascii="Calibri" w:hAnsi="Calibri" w:cs="Calibri"/>
                <w:color w:val="auto"/>
                <w:sz w:val="24"/>
                <w:vertAlign w:val="subscript"/>
              </w:rPr>
              <w:t>1-1</w:t>
            </w:r>
            <w:r>
              <w:rPr>
                <w:rFonts w:ascii="Calibri" w:hAnsi="Calibri" w:cs="Calibri"/>
                <w:color w:val="auto"/>
                <w:sz w:val="24"/>
              </w:rPr>
              <w:t>）</w:t>
            </w:r>
            <w:r>
              <w:rPr>
                <w:rFonts w:hint="eastAsia" w:ascii="Calibri" w:hAnsi="Calibri" w:cs="Calibri"/>
                <w:color w:val="auto"/>
                <w:sz w:val="24"/>
              </w:rPr>
              <w:t>以及打磨毛刺（</w:t>
            </w:r>
            <w:r>
              <w:rPr>
                <w:rFonts w:ascii="Calibri" w:hAnsi="Calibri" w:cs="Calibri"/>
                <w:color w:val="auto"/>
                <w:sz w:val="24"/>
              </w:rPr>
              <w:t>S</w:t>
            </w:r>
            <w:r>
              <w:rPr>
                <w:rFonts w:ascii="Calibri" w:hAnsi="Calibri" w:cs="Calibri"/>
                <w:color w:val="auto"/>
                <w:sz w:val="24"/>
                <w:vertAlign w:val="subscript"/>
              </w:rPr>
              <w:t>1-</w:t>
            </w:r>
            <w:r>
              <w:rPr>
                <w:rFonts w:hint="eastAsia" w:ascii="Calibri" w:hAnsi="Calibri" w:cs="Calibri"/>
                <w:color w:val="auto"/>
                <w:sz w:val="24"/>
                <w:vertAlign w:val="subscript"/>
              </w:rPr>
              <w:t>6</w:t>
            </w:r>
            <w:r>
              <w:rPr>
                <w:rFonts w:hint="eastAsia" w:ascii="Calibri" w:hAnsi="Calibri" w:cs="Calibri"/>
                <w:color w:val="auto"/>
                <w:sz w:val="24"/>
              </w:rPr>
              <w:t>）</w:t>
            </w:r>
            <w:r>
              <w:rPr>
                <w:rFonts w:ascii="Calibri" w:hAnsi="Calibri" w:cs="Calibri"/>
                <w:color w:val="auto"/>
                <w:sz w:val="24"/>
              </w:rPr>
              <w:t>。</w:t>
            </w:r>
          </w:p>
          <w:p>
            <w:pPr>
              <w:pStyle w:val="58"/>
              <w:spacing w:line="360" w:lineRule="auto"/>
              <w:ind w:firstLine="480"/>
              <w:rPr>
                <w:ins w:id="498" w:author="Sunny" w:date="2022-12-28T11:20:00Z"/>
                <w:rFonts w:ascii="Calibri" w:hAnsi="Calibri" w:cs="Calibri"/>
                <w:color w:val="auto"/>
                <w:sz w:val="24"/>
              </w:rPr>
            </w:pPr>
            <w:ins w:id="499" w:author="Sunny" w:date="2022-12-28T11:20:00Z">
              <w:r>
                <w:rPr>
                  <w:rFonts w:hint="eastAsia" w:ascii="Calibri" w:hAnsi="Calibri" w:cs="Calibri"/>
                  <w:color w:val="auto"/>
                  <w:sz w:val="24"/>
                </w:rPr>
                <w:t>检验后依据客户要求选择入库或进行喷粉</w:t>
              </w:r>
            </w:ins>
            <w:ins w:id="500" w:author="Sunny" w:date="2022-12-28T11:22:00Z">
              <w:r>
                <w:rPr>
                  <w:rFonts w:hint="eastAsia" w:ascii="Calibri" w:hAnsi="Calibri" w:cs="Calibri"/>
                  <w:color w:val="auto"/>
                  <w:sz w:val="24"/>
                </w:rPr>
                <w:t>生产</w:t>
              </w:r>
            </w:ins>
            <w:ins w:id="501" w:author="Sunny" w:date="2022-12-28T11:20:00Z">
              <w:r>
                <w:rPr>
                  <w:rFonts w:hint="eastAsia" w:ascii="Calibri" w:hAnsi="Calibri" w:cs="Calibri"/>
                  <w:color w:val="auto"/>
                  <w:sz w:val="24"/>
                </w:rPr>
                <w:t>，喷粉具体</w:t>
              </w:r>
            </w:ins>
            <w:ins w:id="502" w:author="Sunny" w:date="2022-12-28T11:22:00Z">
              <w:r>
                <w:rPr>
                  <w:rFonts w:hint="eastAsia" w:ascii="Calibri" w:hAnsi="Calibri" w:cs="Calibri"/>
                  <w:color w:val="auto"/>
                  <w:sz w:val="24"/>
                </w:rPr>
                <w:t>情况</w:t>
              </w:r>
            </w:ins>
            <w:ins w:id="503" w:author="Sunny" w:date="2022-12-28T11:21:00Z">
              <w:r>
                <w:rPr>
                  <w:rFonts w:hint="eastAsia" w:ascii="Calibri" w:hAnsi="Calibri" w:cs="Calibri"/>
                  <w:color w:val="auto"/>
                  <w:sz w:val="24"/>
                </w:rPr>
                <w:t>见</w:t>
              </w:r>
            </w:ins>
            <w:ins w:id="504" w:author="Sunny" w:date="2022-12-28T11:22:00Z">
              <w:r>
                <w:rPr>
                  <w:rFonts w:hint="eastAsia" w:ascii="Calibri" w:hAnsi="Calibri" w:cs="Calibri"/>
                  <w:color w:val="auto"/>
                  <w:sz w:val="24"/>
                </w:rPr>
                <w:t>如下</w:t>
              </w:r>
            </w:ins>
            <w:ins w:id="505" w:author="Sunny" w:date="2022-12-28T11:21:00Z">
              <w:r>
                <w:rPr>
                  <w:rFonts w:hint="eastAsia" w:ascii="Calibri" w:hAnsi="Calibri" w:cs="Calibri"/>
                  <w:color w:val="auto"/>
                  <w:sz w:val="24"/>
                </w:rPr>
                <w:t>喷粉生产工艺流程与描述。</w:t>
              </w:r>
            </w:ins>
          </w:p>
          <w:p>
            <w:pPr>
              <w:pStyle w:val="58"/>
              <w:spacing w:line="360" w:lineRule="auto"/>
              <w:ind w:firstLine="480"/>
              <w:rPr>
                <w:rFonts w:ascii="Calibri" w:hAnsi="Calibri" w:cs="Calibri"/>
                <w:color w:val="auto"/>
                <w:sz w:val="24"/>
              </w:rPr>
            </w:pPr>
            <w:r>
              <w:rPr>
                <w:rFonts w:ascii="Calibri" w:hAnsi="Calibri" w:cs="Calibri"/>
                <w:color w:val="auto"/>
                <w:sz w:val="24"/>
              </w:rPr>
              <w:t>注：本项目液压设备，液压油循环使用，定期更换。更换后废油做工件防锈处理，处理后部分作为危废处理。</w:t>
            </w:r>
          </w:p>
          <w:p>
            <w:pPr>
              <w:pStyle w:val="58"/>
              <w:spacing w:line="360" w:lineRule="auto"/>
              <w:ind w:firstLine="482"/>
              <w:rPr>
                <w:rFonts w:ascii="Calibri" w:hAnsi="Calibri" w:cs="Calibri"/>
                <w:b/>
                <w:bCs/>
                <w:color w:val="auto"/>
                <w:sz w:val="24"/>
              </w:rPr>
            </w:pPr>
            <w:r>
              <w:rPr>
                <w:rFonts w:hint="eastAsia" w:ascii="Calibri" w:hAnsi="Calibri" w:cs="Calibri"/>
                <w:b/>
                <w:bCs/>
                <w:color w:val="auto"/>
                <w:sz w:val="24"/>
              </w:rPr>
              <w:t>（2）喷粉生产工艺</w:t>
            </w:r>
          </w:p>
          <w:p>
            <w:pPr>
              <w:adjustRightInd w:val="0"/>
              <w:snapToGrid w:val="0"/>
              <w:jc w:val="center"/>
              <w:rPr>
                <w:rFonts w:ascii="Calibri" w:hAnsi="Calibri" w:cs="Calibri"/>
                <w:b/>
                <w:bCs/>
                <w:color w:val="auto"/>
                <w:sz w:val="24"/>
              </w:rPr>
            </w:pPr>
            <w:r>
              <w:rPr>
                <w:rFonts w:ascii="Calibri" w:hAnsi="Calibri" w:cs="Calibri"/>
                <w:color w:val="auto"/>
              </w:rPr>
              <w:drawing>
                <wp:inline distT="0" distB="0" distL="114300" distR="114300">
                  <wp:extent cx="4991100" cy="8580755"/>
                  <wp:effectExtent l="0" t="0" r="0" b="1079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3"/>
                          <a:srcRect b="2700"/>
                          <a:stretch>
                            <a:fillRect/>
                          </a:stretch>
                        </pic:blipFill>
                        <pic:spPr>
                          <a:xfrm>
                            <a:off x="0" y="0"/>
                            <a:ext cx="4991100" cy="8580755"/>
                          </a:xfrm>
                          <a:prstGeom prst="rect">
                            <a:avLst/>
                          </a:prstGeom>
                          <a:noFill/>
                          <a:ln>
                            <a:noFill/>
                          </a:ln>
                        </pic:spPr>
                      </pic:pic>
                    </a:graphicData>
                  </a:graphic>
                </wp:inline>
              </w:drawing>
            </w:r>
          </w:p>
          <w:p>
            <w:pPr>
              <w:numPr>
                <w:ilvl w:val="255"/>
                <w:numId w:val="0"/>
              </w:numPr>
              <w:adjustRightInd w:val="0"/>
              <w:snapToGrid w:val="0"/>
              <w:jc w:val="center"/>
              <w:rPr>
                <w:rFonts w:ascii="Calibri" w:hAnsi="Calibri" w:cs="Calibri"/>
                <w:b/>
                <w:bCs/>
                <w:color w:val="auto"/>
                <w:sz w:val="24"/>
              </w:rPr>
            </w:pPr>
            <w:ins w:id="506" w:author="Sunny" w:date="2022-12-29T17:03:00Z">
              <w:r>
                <w:rPr>
                  <w:rFonts w:hint="eastAsia" w:ascii="Calibri" w:hAnsi="Calibri" w:cs="Calibri"/>
                  <w:b/>
                  <w:bCs/>
                  <w:color w:val="auto"/>
                  <w:sz w:val="24"/>
                </w:rPr>
                <w:t xml:space="preserve">图2-4 </w:t>
              </w:r>
            </w:ins>
            <w:r>
              <w:rPr>
                <w:rFonts w:hint="eastAsia" w:ascii="Calibri" w:hAnsi="Calibri" w:cs="Calibri"/>
                <w:b/>
                <w:bCs/>
                <w:color w:val="auto"/>
                <w:sz w:val="24"/>
              </w:rPr>
              <w:t>喷粉</w:t>
            </w:r>
            <w:r>
              <w:rPr>
                <w:rFonts w:ascii="Calibri" w:hAnsi="Calibri" w:cs="Calibri"/>
                <w:b/>
                <w:bCs/>
                <w:color w:val="auto"/>
                <w:sz w:val="24"/>
              </w:rPr>
              <w:t>生产工艺流程图</w:t>
            </w:r>
          </w:p>
          <w:p>
            <w:pPr>
              <w:pStyle w:val="58"/>
              <w:spacing w:line="360" w:lineRule="auto"/>
              <w:ind w:firstLine="480"/>
              <w:rPr>
                <w:rFonts w:ascii="Calibri" w:hAnsi="Calibri" w:cs="Calibri"/>
                <w:color w:val="auto"/>
                <w:sz w:val="24"/>
              </w:rPr>
            </w:pPr>
            <w:r>
              <w:rPr>
                <w:rFonts w:hint="eastAsia" w:ascii="Calibri" w:hAnsi="Calibri" w:cs="Calibri"/>
                <w:color w:val="auto"/>
                <w:sz w:val="24"/>
              </w:rPr>
              <w:t>工艺流程简述：</w:t>
            </w:r>
          </w:p>
          <w:p>
            <w:pPr>
              <w:widowControl/>
              <w:spacing w:line="360" w:lineRule="auto"/>
              <w:ind w:firstLine="480" w:firstLineChars="200"/>
              <w:jc w:val="left"/>
              <w:rPr>
                <w:rFonts w:ascii="Calibri" w:hAnsi="Calibri" w:cs="Calibri"/>
                <w:color w:val="auto"/>
              </w:rPr>
            </w:pPr>
            <w:r>
              <w:rPr>
                <w:rFonts w:ascii="Calibri" w:hAnsi="Calibri" w:cs="Calibri"/>
                <w:color w:val="auto"/>
                <w:sz w:val="24"/>
              </w:rPr>
              <w:t>冲压件在喷粉前需经过预脱脂、脱脂、水洗、陶化、水洗、纯水洗等前处理工序，而后经100-120℃联合烘干炉烘干&gt;10min后进入喷粉室，喷粉完成后进入170-210℃粉末固化炉固化&gt;20min，自然冷却后，人工下件。</w:t>
            </w:r>
          </w:p>
          <w:p>
            <w:pPr>
              <w:pStyle w:val="63"/>
              <w:spacing w:line="360" w:lineRule="auto"/>
              <w:ind w:firstLine="480"/>
              <w:rPr>
                <w:rFonts w:ascii="Calibri" w:hAnsi="Calibri" w:eastAsia="宋体" w:cs="Times New Roman"/>
                <w:color w:val="auto"/>
                <w:sz w:val="24"/>
                <w:szCs w:val="24"/>
              </w:rPr>
            </w:pPr>
            <w:r>
              <w:rPr>
                <w:rFonts w:ascii="Calibri" w:hAnsi="Calibri" w:eastAsia="宋体" w:cs="Times New Roman"/>
                <w:color w:val="auto"/>
                <w:sz w:val="24"/>
                <w:szCs w:val="24"/>
              </w:rPr>
              <w:t>上件：通过人工或机器人将产品放至生产线上。</w:t>
            </w:r>
          </w:p>
          <w:p>
            <w:pPr>
              <w:spacing w:line="360" w:lineRule="auto"/>
              <w:ind w:firstLine="480" w:firstLineChars="200"/>
              <w:rPr>
                <w:rFonts w:ascii="Calibri" w:hAnsi="Calibri" w:cs="Calibri"/>
                <w:color w:val="auto"/>
                <w:sz w:val="24"/>
              </w:rPr>
            </w:pPr>
            <w:r>
              <w:rPr>
                <w:rFonts w:ascii="Calibri" w:hAnsi="Calibri" w:cs="Calibri"/>
                <w:color w:val="auto"/>
                <w:sz w:val="24"/>
              </w:rPr>
              <w:t>预脱脂：由于很多产品表面有油脂，若不将油脂清除干净，会影响喷粉，通过预脱脂可以将60%左右的油脂去除，处理温度在50-60℃，处理时间1.5min（采用天然气加热器间接加热）。预脱脂槽有效容积4.2m3，</w:t>
            </w:r>
            <w:ins w:id="507" w:author="Sunny" w:date="2022-12-29T09:51:00Z">
              <w:r>
                <w:rPr>
                  <w:rFonts w:ascii="Calibri" w:hAnsi="Calibri" w:cs="Calibri"/>
                  <w:color w:val="auto"/>
                  <w:sz w:val="24"/>
                </w:rPr>
                <w:t>预脱脂液为脱脂剂</w:t>
              </w:r>
            </w:ins>
            <w:r>
              <w:rPr>
                <w:rFonts w:ascii="Calibri" w:hAnsi="Calibri" w:cs="Calibri"/>
                <w:color w:val="auto"/>
                <w:sz w:val="24"/>
              </w:rPr>
              <w:t>和脱脂助剂</w:t>
            </w:r>
            <w:ins w:id="508" w:author="Sunny" w:date="2022-12-29T09:51:00Z">
              <w:r>
                <w:rPr>
                  <w:rFonts w:ascii="Calibri" w:hAnsi="Calibri" w:cs="Calibri"/>
                  <w:color w:val="auto"/>
                  <w:sz w:val="24"/>
                </w:rPr>
                <w:t>与</w:t>
              </w:r>
            </w:ins>
            <w:r>
              <w:rPr>
                <w:rFonts w:ascii="Calibri" w:hAnsi="Calibri" w:cs="Calibri"/>
                <w:color w:val="auto"/>
                <w:sz w:val="24"/>
              </w:rPr>
              <w:t>回用水</w:t>
            </w:r>
            <w:ins w:id="509" w:author="Sunny" w:date="2022-12-29T09:51:00Z">
              <w:r>
                <w:rPr>
                  <w:rFonts w:ascii="Calibri" w:hAnsi="Calibri" w:cs="Calibri"/>
                  <w:color w:val="auto"/>
                  <w:sz w:val="24"/>
                </w:rPr>
                <w:t>按照</w:t>
              </w:r>
            </w:ins>
            <w:r>
              <w:rPr>
                <w:rFonts w:ascii="Calibri" w:hAnsi="Calibri" w:cs="Calibri"/>
                <w:color w:val="auto"/>
                <w:sz w:val="24"/>
              </w:rPr>
              <w:t>1：0.125：27</w:t>
            </w:r>
            <w:ins w:id="510" w:author="Sunny" w:date="2022-12-29T09:51:00Z">
              <w:r>
                <w:rPr>
                  <w:rFonts w:ascii="Calibri" w:hAnsi="Calibri" w:cs="Calibri"/>
                  <w:color w:val="auto"/>
                  <w:sz w:val="24"/>
                </w:rPr>
                <w:t>进行配制，</w:t>
              </w:r>
            </w:ins>
            <w:ins w:id="511" w:author="Sunny" w:date="2022-12-28T14:48:00Z">
              <w:r>
                <w:rPr>
                  <w:rFonts w:ascii="Calibri" w:hAnsi="Calibri" w:cs="Calibri"/>
                  <w:color w:val="auto"/>
                  <w:sz w:val="24"/>
                </w:rPr>
                <w:t>预脱脂槽液</w:t>
              </w:r>
            </w:ins>
            <w:ins w:id="512" w:author="Sunny" w:date="2022-12-28T14:49:00Z">
              <w:r>
                <w:rPr>
                  <w:rFonts w:ascii="Calibri" w:hAnsi="Calibri" w:cs="Calibri"/>
                  <w:color w:val="auto"/>
                  <w:sz w:val="24"/>
                </w:rPr>
                <w:t>定期更换，</w:t>
              </w:r>
            </w:ins>
            <w:r>
              <w:rPr>
                <w:rFonts w:ascii="Calibri" w:hAnsi="Calibri" w:cs="Calibri"/>
                <w:color w:val="auto"/>
                <w:sz w:val="24"/>
              </w:rPr>
              <w:t>约20-50天清槽一次，损耗约50%，</w:t>
            </w:r>
            <w:ins w:id="513" w:author="Sunny" w:date="2022-12-29T09:57:00Z">
              <w:r>
                <w:rPr>
                  <w:rFonts w:ascii="Calibri" w:hAnsi="Calibri" w:cs="Calibri"/>
                  <w:color w:val="auto"/>
                  <w:sz w:val="24"/>
                </w:rPr>
                <w:t>清</w:t>
              </w:r>
            </w:ins>
            <w:r>
              <w:rPr>
                <w:rFonts w:ascii="Calibri" w:hAnsi="Calibri" w:cs="Calibri"/>
                <w:color w:val="auto"/>
                <w:sz w:val="24"/>
              </w:rPr>
              <w:t>渣</w:t>
            </w:r>
            <w:ins w:id="514" w:author="Sunny" w:date="2022-12-29T09:57:00Z">
              <w:r>
                <w:rPr>
                  <w:rFonts w:ascii="Calibri" w:hAnsi="Calibri" w:cs="Calibri"/>
                  <w:color w:val="auto"/>
                  <w:sz w:val="24"/>
                </w:rPr>
                <w:t>过程约槽液</w:t>
              </w:r>
            </w:ins>
            <w:r>
              <w:rPr>
                <w:rFonts w:ascii="Calibri" w:hAnsi="Calibri" w:cs="Calibri"/>
                <w:color w:val="auto"/>
                <w:sz w:val="24"/>
              </w:rPr>
              <w:t>5</w:t>
            </w:r>
            <w:ins w:id="515" w:author="Sunny" w:date="2022-12-29T09:57:00Z">
              <w:r>
                <w:rPr>
                  <w:rFonts w:ascii="Calibri" w:hAnsi="Calibri" w:cs="Calibri"/>
                  <w:color w:val="auto"/>
                  <w:sz w:val="24"/>
                </w:rPr>
                <w:t>%进入脱脂渣废（液）</w:t>
              </w:r>
            </w:ins>
            <w:r>
              <w:rPr>
                <w:rFonts w:ascii="Calibri" w:hAnsi="Calibri" w:cs="Calibri"/>
                <w:color w:val="auto"/>
                <w:sz w:val="24"/>
              </w:rPr>
              <w:t>作为危废处置，其余槽液进入污水处理系统，为清槽废水。</w:t>
            </w:r>
          </w:p>
          <w:p>
            <w:pPr>
              <w:spacing w:line="360" w:lineRule="auto"/>
              <w:ind w:firstLine="480" w:firstLineChars="200"/>
              <w:rPr>
                <w:rFonts w:ascii="Calibri" w:hAnsi="Calibri" w:cs="Calibri"/>
                <w:color w:val="auto"/>
                <w:sz w:val="24"/>
              </w:rPr>
            </w:pPr>
            <w:r>
              <w:rPr>
                <w:rFonts w:ascii="Calibri" w:hAnsi="Calibri" w:cs="Calibri"/>
                <w:color w:val="auto"/>
                <w:sz w:val="24"/>
              </w:rPr>
              <w:t>此工序产生</w:t>
            </w:r>
            <w:ins w:id="516" w:author="Sunny" w:date="2022-12-29T11:12:00Z">
              <w:r>
                <w:rPr>
                  <w:rFonts w:ascii="Calibri" w:hAnsi="Calibri" w:cs="Calibri"/>
                  <w:color w:val="auto"/>
                  <w:sz w:val="24"/>
                </w:rPr>
                <w:t>清槽</w:t>
              </w:r>
            </w:ins>
            <w:r>
              <w:rPr>
                <w:rFonts w:ascii="Calibri" w:hAnsi="Calibri" w:cs="Calibri"/>
                <w:color w:val="auto"/>
                <w:sz w:val="24"/>
              </w:rPr>
              <w:t>废水（W</w:t>
            </w:r>
            <w:r>
              <w:rPr>
                <w:rFonts w:ascii="Calibri" w:hAnsi="Calibri" w:cs="Calibri"/>
                <w:color w:val="auto"/>
                <w:sz w:val="24"/>
                <w:vertAlign w:val="subscript"/>
              </w:rPr>
              <w:t>2-1</w:t>
            </w:r>
            <w:r>
              <w:rPr>
                <w:rFonts w:ascii="Calibri" w:hAnsi="Calibri" w:cs="Calibri"/>
                <w:color w:val="auto"/>
                <w:sz w:val="24"/>
              </w:rPr>
              <w:t>）、天然气燃烧废气（G</w:t>
            </w:r>
            <w:r>
              <w:rPr>
                <w:rFonts w:ascii="Calibri" w:hAnsi="Calibri" w:cs="Calibri"/>
                <w:color w:val="auto"/>
                <w:sz w:val="24"/>
                <w:vertAlign w:val="subscript"/>
              </w:rPr>
              <w:t>2-1</w:t>
            </w:r>
            <w:r>
              <w:rPr>
                <w:rFonts w:ascii="Calibri" w:hAnsi="Calibri" w:cs="Calibri"/>
                <w:color w:val="auto"/>
                <w:sz w:val="24"/>
              </w:rPr>
              <w:t>）、脱脂</w:t>
            </w:r>
            <w:ins w:id="517" w:author="Sunny" w:date="2022-12-28T16:27:00Z">
              <w:r>
                <w:rPr>
                  <w:rFonts w:ascii="Calibri" w:hAnsi="Calibri" w:cs="Calibri"/>
                  <w:color w:val="auto"/>
                  <w:sz w:val="24"/>
                </w:rPr>
                <w:t>废</w:t>
              </w:r>
            </w:ins>
            <w:ins w:id="518" w:author="Sunny" w:date="2022-12-29T11:11:00Z">
              <w:r>
                <w:rPr>
                  <w:rFonts w:ascii="Calibri" w:hAnsi="Calibri" w:cs="Calibri"/>
                  <w:color w:val="auto"/>
                  <w:sz w:val="24"/>
                </w:rPr>
                <w:t>渣（液）</w:t>
              </w:r>
            </w:ins>
            <w:r>
              <w:rPr>
                <w:rFonts w:ascii="Calibri" w:hAnsi="Calibri" w:cs="Calibri"/>
                <w:color w:val="auto"/>
                <w:sz w:val="24"/>
              </w:rPr>
              <w:t>（S</w:t>
            </w:r>
            <w:r>
              <w:rPr>
                <w:rFonts w:ascii="Calibri" w:hAnsi="Calibri" w:cs="Calibri"/>
                <w:color w:val="auto"/>
                <w:sz w:val="24"/>
                <w:vertAlign w:val="subscript"/>
              </w:rPr>
              <w:t>2-</w:t>
            </w:r>
            <w:r>
              <w:rPr>
                <w:rFonts w:hint="eastAsia" w:ascii="Calibri" w:hAnsi="Calibri" w:cs="Calibri"/>
                <w:color w:val="auto"/>
                <w:sz w:val="24"/>
                <w:vertAlign w:val="subscript"/>
                <w:lang w:val="en-US" w:eastAsia="zh-CN"/>
              </w:rPr>
              <w:t>1</w:t>
            </w:r>
            <w:r>
              <w:rPr>
                <w:rFonts w:ascii="Calibri" w:hAnsi="Calibri" w:cs="Calibri"/>
                <w:color w:val="auto"/>
                <w:sz w:val="24"/>
              </w:rPr>
              <w:t>）。</w:t>
            </w:r>
          </w:p>
          <w:p>
            <w:pPr>
              <w:spacing w:line="360" w:lineRule="auto"/>
              <w:ind w:firstLine="480" w:firstLineChars="200"/>
              <w:rPr>
                <w:rFonts w:ascii="Calibri" w:hAnsi="Calibri" w:cs="Calibri"/>
                <w:color w:val="auto"/>
                <w:sz w:val="24"/>
              </w:rPr>
            </w:pPr>
            <w:r>
              <w:rPr>
                <w:rFonts w:ascii="Calibri" w:hAnsi="Calibri" w:cs="Calibri"/>
                <w:color w:val="auto"/>
                <w:sz w:val="24"/>
              </w:rPr>
              <w:t>脱脂：脱脂主要目的也是为了将产品表面的油脂去除，通过预脱脂和脱脂，油脂去除率高达90%，处理温度在50-60℃，处理时间2.5min（采用天然气加热器间接加热）。前处理脱脂槽有效容积8.4m3，</w:t>
            </w:r>
            <w:ins w:id="519" w:author="Sunny" w:date="2022-12-29T10:01:00Z">
              <w:r>
                <w:rPr>
                  <w:rFonts w:ascii="Calibri" w:hAnsi="Calibri" w:cs="Calibri"/>
                  <w:color w:val="auto"/>
                  <w:sz w:val="24"/>
                </w:rPr>
                <w:t>脱脂液为脱脂剂</w:t>
              </w:r>
            </w:ins>
            <w:r>
              <w:rPr>
                <w:rFonts w:ascii="Calibri" w:hAnsi="Calibri" w:cs="Calibri"/>
                <w:color w:val="auto"/>
                <w:sz w:val="24"/>
              </w:rPr>
              <w:t>和脱脂助剂</w:t>
            </w:r>
            <w:ins w:id="520" w:author="Sunny" w:date="2022-12-29T10:01:00Z">
              <w:r>
                <w:rPr>
                  <w:rFonts w:ascii="Calibri" w:hAnsi="Calibri" w:cs="Calibri"/>
                  <w:color w:val="auto"/>
                  <w:sz w:val="24"/>
                </w:rPr>
                <w:t>与</w:t>
              </w:r>
            </w:ins>
            <w:r>
              <w:rPr>
                <w:rFonts w:ascii="Calibri" w:hAnsi="Calibri" w:cs="Calibri"/>
                <w:color w:val="auto"/>
                <w:sz w:val="24"/>
              </w:rPr>
              <w:t>回用水</w:t>
            </w:r>
            <w:ins w:id="521" w:author="Sunny" w:date="2022-12-29T10:01:00Z">
              <w:r>
                <w:rPr>
                  <w:rFonts w:ascii="Calibri" w:hAnsi="Calibri" w:cs="Calibri"/>
                  <w:color w:val="auto"/>
                  <w:sz w:val="24"/>
                </w:rPr>
                <w:t>按照</w:t>
              </w:r>
            </w:ins>
            <w:r>
              <w:rPr>
                <w:rFonts w:ascii="Calibri" w:hAnsi="Calibri" w:cs="Calibri"/>
                <w:color w:val="auto"/>
                <w:sz w:val="24"/>
              </w:rPr>
              <w:t>1：0.125：27</w:t>
            </w:r>
            <w:ins w:id="522" w:author="Sunny" w:date="2022-12-29T10:01:00Z">
              <w:r>
                <w:rPr>
                  <w:rFonts w:ascii="Calibri" w:hAnsi="Calibri" w:cs="Calibri"/>
                  <w:color w:val="auto"/>
                  <w:sz w:val="24"/>
                </w:rPr>
                <w:t>进行配制</w:t>
              </w:r>
            </w:ins>
            <w:ins w:id="523" w:author="Sunny" w:date="2022-12-28T14:51:00Z">
              <w:r>
                <w:rPr>
                  <w:rFonts w:ascii="Calibri" w:hAnsi="Calibri" w:cs="Calibri"/>
                  <w:color w:val="auto"/>
                  <w:sz w:val="24"/>
                </w:rPr>
                <w:t>，</w:t>
              </w:r>
            </w:ins>
            <w:ins w:id="524" w:author="Sunny" w:date="2022-12-28T14:52:00Z">
              <w:r>
                <w:rPr>
                  <w:rFonts w:ascii="Calibri" w:hAnsi="Calibri" w:cs="Calibri"/>
                  <w:color w:val="auto"/>
                  <w:sz w:val="24"/>
                </w:rPr>
                <w:t>脱脂槽液定期更换，约</w:t>
              </w:r>
            </w:ins>
            <w:r>
              <w:rPr>
                <w:rFonts w:hint="eastAsia" w:ascii="Calibri" w:hAnsi="Calibri" w:cs="Calibri"/>
                <w:color w:val="auto"/>
                <w:sz w:val="24"/>
              </w:rPr>
              <w:t>20-50天</w:t>
            </w:r>
            <w:ins w:id="525" w:author="Sunny" w:date="2022-12-28T14:52:00Z">
              <w:r>
                <w:rPr>
                  <w:rFonts w:ascii="Calibri" w:hAnsi="Calibri" w:cs="Calibri"/>
                  <w:color w:val="auto"/>
                  <w:sz w:val="24"/>
                </w:rPr>
                <w:t>清槽一次，</w:t>
              </w:r>
            </w:ins>
            <w:r>
              <w:rPr>
                <w:rFonts w:ascii="Calibri" w:hAnsi="Calibri" w:cs="Calibri"/>
                <w:color w:val="auto"/>
                <w:sz w:val="24"/>
              </w:rPr>
              <w:t>损耗约50%，</w:t>
            </w:r>
            <w:ins w:id="526" w:author="Sunny" w:date="2022-12-29T09:57:00Z">
              <w:r>
                <w:rPr>
                  <w:rFonts w:ascii="Calibri" w:hAnsi="Calibri" w:cs="Calibri"/>
                  <w:color w:val="auto"/>
                  <w:sz w:val="24"/>
                </w:rPr>
                <w:t>清渣过程约槽液</w:t>
              </w:r>
            </w:ins>
            <w:r>
              <w:rPr>
                <w:rFonts w:ascii="Calibri" w:hAnsi="Calibri" w:cs="Calibri"/>
                <w:color w:val="auto"/>
                <w:sz w:val="24"/>
              </w:rPr>
              <w:t>3</w:t>
            </w:r>
            <w:ins w:id="527" w:author="Sunny" w:date="2022-12-29T09:57:00Z">
              <w:r>
                <w:rPr>
                  <w:rFonts w:ascii="Calibri" w:hAnsi="Calibri" w:cs="Calibri"/>
                  <w:color w:val="auto"/>
                  <w:sz w:val="24"/>
                </w:rPr>
                <w:t>%进入脱脂废渣（液），</w:t>
              </w:r>
            </w:ins>
            <w:r>
              <w:rPr>
                <w:rFonts w:ascii="Calibri" w:hAnsi="Calibri" w:cs="Calibri"/>
                <w:color w:val="auto"/>
                <w:sz w:val="24"/>
              </w:rPr>
              <w:t>作为危废处置</w:t>
            </w:r>
            <w:ins w:id="528" w:author="Sunny" w:date="2022-12-29T09:57:00Z">
              <w:r>
                <w:rPr>
                  <w:rFonts w:ascii="Calibri" w:hAnsi="Calibri" w:cs="Calibri"/>
                  <w:color w:val="auto"/>
                  <w:sz w:val="24"/>
                </w:rPr>
                <w:t>，</w:t>
              </w:r>
            </w:ins>
            <w:r>
              <w:rPr>
                <w:rFonts w:ascii="Calibri" w:hAnsi="Calibri" w:cs="Calibri"/>
                <w:color w:val="auto"/>
                <w:sz w:val="24"/>
              </w:rPr>
              <w:t>其余槽液进入污水处理系统，为清槽废水。</w:t>
            </w:r>
          </w:p>
          <w:p>
            <w:pPr>
              <w:spacing w:line="360" w:lineRule="auto"/>
              <w:ind w:firstLine="480" w:firstLineChars="200"/>
              <w:rPr>
                <w:rFonts w:ascii="Calibri" w:hAnsi="Calibri" w:cs="Calibri"/>
                <w:color w:val="auto"/>
                <w:sz w:val="24"/>
              </w:rPr>
            </w:pPr>
            <w:r>
              <w:rPr>
                <w:rFonts w:ascii="Calibri" w:hAnsi="Calibri" w:cs="Calibri"/>
                <w:color w:val="auto"/>
                <w:sz w:val="24"/>
              </w:rPr>
              <w:t>此工序产生</w:t>
            </w:r>
            <w:ins w:id="529" w:author="Sunny" w:date="2022-12-29T11:12:00Z">
              <w:r>
                <w:rPr>
                  <w:rFonts w:ascii="Calibri" w:hAnsi="Calibri" w:cs="Calibri"/>
                  <w:color w:val="auto"/>
                  <w:sz w:val="24"/>
                </w:rPr>
                <w:t>清槽</w:t>
              </w:r>
            </w:ins>
            <w:r>
              <w:rPr>
                <w:rFonts w:ascii="Calibri" w:hAnsi="Calibri" w:cs="Calibri"/>
                <w:color w:val="auto"/>
                <w:sz w:val="24"/>
              </w:rPr>
              <w:t>废水（W</w:t>
            </w:r>
            <w:r>
              <w:rPr>
                <w:rFonts w:ascii="Calibri" w:hAnsi="Calibri" w:cs="Calibri"/>
                <w:color w:val="auto"/>
                <w:sz w:val="24"/>
                <w:vertAlign w:val="subscript"/>
              </w:rPr>
              <w:t>2-2</w:t>
            </w:r>
            <w:r>
              <w:rPr>
                <w:rFonts w:ascii="Calibri" w:hAnsi="Calibri" w:cs="Calibri"/>
                <w:color w:val="auto"/>
                <w:sz w:val="24"/>
              </w:rPr>
              <w:t>）、天然气燃烧废气（G</w:t>
            </w:r>
            <w:r>
              <w:rPr>
                <w:rFonts w:ascii="Calibri" w:hAnsi="Calibri" w:cs="Calibri"/>
                <w:color w:val="auto"/>
                <w:sz w:val="24"/>
                <w:vertAlign w:val="subscript"/>
              </w:rPr>
              <w:t>2-2</w:t>
            </w:r>
            <w:r>
              <w:rPr>
                <w:rFonts w:ascii="Calibri" w:hAnsi="Calibri" w:cs="Calibri"/>
                <w:color w:val="auto"/>
                <w:sz w:val="24"/>
              </w:rPr>
              <w:t>）、脱脂</w:t>
            </w:r>
            <w:ins w:id="530" w:author="Sunny" w:date="2022-12-28T16:31:00Z">
              <w:r>
                <w:rPr>
                  <w:rFonts w:ascii="Calibri" w:hAnsi="Calibri" w:cs="Calibri"/>
                  <w:color w:val="auto"/>
                  <w:sz w:val="24"/>
                </w:rPr>
                <w:t>废</w:t>
              </w:r>
            </w:ins>
            <w:ins w:id="531" w:author="Sunny" w:date="2022-12-29T11:12:00Z">
              <w:r>
                <w:rPr>
                  <w:rFonts w:ascii="Calibri" w:hAnsi="Calibri" w:cs="Calibri"/>
                  <w:color w:val="auto"/>
                  <w:sz w:val="24"/>
                </w:rPr>
                <w:t>渣（液）</w:t>
              </w:r>
            </w:ins>
            <w:r>
              <w:rPr>
                <w:rFonts w:ascii="Calibri" w:hAnsi="Calibri" w:cs="Calibri"/>
                <w:color w:val="auto"/>
                <w:sz w:val="24"/>
              </w:rPr>
              <w:t>（S</w:t>
            </w:r>
            <w:r>
              <w:rPr>
                <w:rFonts w:ascii="Calibri" w:hAnsi="Calibri" w:cs="Calibri"/>
                <w:color w:val="auto"/>
                <w:sz w:val="24"/>
                <w:vertAlign w:val="subscript"/>
              </w:rPr>
              <w:t>2-</w:t>
            </w:r>
            <w:ins w:id="532" w:author="Sunny" w:date="2022-12-28T16:31:00Z">
              <w:r>
                <w:rPr>
                  <w:rFonts w:ascii="Calibri" w:hAnsi="Calibri" w:cs="Calibri"/>
                  <w:color w:val="auto"/>
                  <w:sz w:val="24"/>
                  <w:vertAlign w:val="subscript"/>
                </w:rPr>
                <w:t>2</w:t>
              </w:r>
            </w:ins>
            <w:r>
              <w:rPr>
                <w:rFonts w:ascii="Calibri" w:hAnsi="Calibri" w:cs="Calibri"/>
                <w:color w:val="auto"/>
                <w:sz w:val="24"/>
              </w:rPr>
              <w:t>）。</w:t>
            </w:r>
          </w:p>
          <w:p>
            <w:pPr>
              <w:pStyle w:val="63"/>
              <w:spacing w:line="360" w:lineRule="auto"/>
              <w:ind w:firstLine="480"/>
              <w:rPr>
                <w:rFonts w:ascii="Calibri" w:hAnsi="Calibri" w:eastAsia="宋体" w:cs="Times New Roman"/>
                <w:color w:val="auto"/>
                <w:sz w:val="24"/>
                <w:szCs w:val="24"/>
              </w:rPr>
            </w:pPr>
            <w:ins w:id="533" w:author="Sunny" w:date="2022-12-28T16:31:00Z">
              <w:r>
                <w:rPr>
                  <w:rFonts w:hint="eastAsia" w:ascii="Calibri" w:hAnsi="Calibri" w:eastAsia="宋体" w:cs="Times New Roman"/>
                  <w:color w:val="auto"/>
                  <w:sz w:val="24"/>
                  <w:szCs w:val="24"/>
                </w:rPr>
                <w:t>脱脂</w:t>
              </w:r>
            </w:ins>
            <w:r>
              <w:rPr>
                <w:rFonts w:ascii="Calibri" w:hAnsi="Calibri" w:eastAsia="宋体" w:cs="Times New Roman"/>
                <w:color w:val="auto"/>
                <w:sz w:val="24"/>
                <w:szCs w:val="24"/>
              </w:rPr>
              <w:t>水洗Ⅰ、Ⅱ：通过水洗，可以将产品表面的脱脂剂去除。</w:t>
            </w:r>
            <w:ins w:id="534" w:author="Sunny" w:date="2022-12-28T16:31:00Z">
              <w:r>
                <w:rPr>
                  <w:rFonts w:hint="eastAsia" w:ascii="Calibri" w:hAnsi="Calibri" w:eastAsia="宋体" w:cs="Times New Roman"/>
                  <w:color w:val="auto"/>
                  <w:sz w:val="24"/>
                  <w:szCs w:val="24"/>
                </w:rPr>
                <w:t>陶化</w:t>
              </w:r>
            </w:ins>
            <w:r>
              <w:rPr>
                <w:rFonts w:ascii="Calibri" w:hAnsi="Calibri" w:eastAsia="宋体" w:cs="Times New Roman"/>
                <w:color w:val="auto"/>
                <w:sz w:val="24"/>
                <w:szCs w:val="24"/>
              </w:rPr>
              <w:t>水洗Ⅰ、Ⅱ：清洗磷化膜外面的残留的药剂。</w:t>
            </w:r>
            <w:r>
              <w:rPr>
                <w:rFonts w:hint="eastAsia" w:ascii="Calibri" w:hAnsi="Calibri" w:eastAsia="宋体" w:cs="Times New Roman"/>
                <w:color w:val="auto"/>
                <w:sz w:val="24"/>
                <w:szCs w:val="24"/>
              </w:rPr>
              <w:t>水洗采用逆流水洗方式，用水为污水处理系统处理后回用水，由</w:t>
            </w:r>
            <w:ins w:id="535" w:author="Sunny" w:date="2022-12-28T16:32:00Z">
              <w:r>
                <w:rPr>
                  <w:rFonts w:hint="eastAsia" w:ascii="Calibri" w:hAnsi="Calibri" w:eastAsia="宋体" w:cs="Times New Roman"/>
                  <w:color w:val="auto"/>
                  <w:sz w:val="24"/>
                  <w:szCs w:val="24"/>
                </w:rPr>
                <w:t>陶化</w:t>
              </w:r>
            </w:ins>
            <w:r>
              <w:rPr>
                <w:rFonts w:ascii="Calibri" w:hAnsi="Calibri" w:eastAsia="宋体" w:cs="Times New Roman"/>
                <w:color w:val="auto"/>
                <w:sz w:val="24"/>
                <w:szCs w:val="24"/>
              </w:rPr>
              <w:t>水洗Ⅱ</w:t>
            </w:r>
            <w:r>
              <w:rPr>
                <w:rFonts w:hint="eastAsia" w:ascii="Calibri" w:hAnsi="Calibri" w:eastAsia="宋体" w:cs="Times New Roman"/>
                <w:color w:val="auto"/>
                <w:sz w:val="24"/>
                <w:szCs w:val="24"/>
              </w:rPr>
              <w:t>进水，</w:t>
            </w:r>
            <w:ins w:id="536" w:author="Sunny" w:date="2022-12-28T16:32:00Z">
              <w:r>
                <w:rPr>
                  <w:rFonts w:hint="eastAsia" w:ascii="Calibri" w:hAnsi="Calibri" w:eastAsia="宋体" w:cs="Times New Roman"/>
                  <w:color w:val="auto"/>
                  <w:sz w:val="24"/>
                  <w:szCs w:val="24"/>
                </w:rPr>
                <w:t>脱脂</w:t>
              </w:r>
            </w:ins>
            <w:r>
              <w:rPr>
                <w:rFonts w:hint="eastAsia" w:ascii="Calibri" w:hAnsi="Calibri" w:eastAsia="宋体" w:cs="Times New Roman"/>
                <w:color w:val="auto"/>
                <w:sz w:val="24"/>
                <w:szCs w:val="24"/>
              </w:rPr>
              <w:t>水洗</w:t>
            </w:r>
            <w:r>
              <w:rPr>
                <w:rFonts w:ascii="Calibri" w:hAnsi="Calibri" w:eastAsia="宋体" w:cs="Times New Roman"/>
                <w:color w:val="auto"/>
                <w:sz w:val="24"/>
                <w:szCs w:val="24"/>
              </w:rPr>
              <w:t>Ⅰ</w:t>
            </w:r>
            <w:r>
              <w:rPr>
                <w:rFonts w:hint="eastAsia" w:ascii="Calibri" w:hAnsi="Calibri" w:eastAsia="宋体" w:cs="Times New Roman"/>
                <w:color w:val="auto"/>
                <w:sz w:val="24"/>
                <w:szCs w:val="24"/>
              </w:rPr>
              <w:t>排水。排水进入污水处理系统处理。</w:t>
            </w:r>
          </w:p>
          <w:p>
            <w:pPr>
              <w:pStyle w:val="63"/>
              <w:spacing w:line="360" w:lineRule="auto"/>
              <w:ind w:firstLine="480"/>
              <w:rPr>
                <w:rFonts w:ascii="Calibri" w:hAnsi="Calibri" w:eastAsia="宋体" w:cs="Times New Roman"/>
                <w:color w:val="auto"/>
                <w:sz w:val="24"/>
                <w:szCs w:val="24"/>
              </w:rPr>
            </w:pPr>
            <w:r>
              <w:rPr>
                <w:rFonts w:hint="eastAsia" w:ascii="Calibri" w:hAnsi="Calibri" w:eastAsia="宋体" w:cs="Times New Roman"/>
                <w:color w:val="auto"/>
                <w:sz w:val="24"/>
                <w:szCs w:val="24"/>
              </w:rPr>
              <w:t>水洗工序</w:t>
            </w:r>
            <w:r>
              <w:rPr>
                <w:rFonts w:ascii="Calibri" w:hAnsi="Calibri" w:eastAsia="宋体" w:cs="Times New Roman"/>
                <w:color w:val="auto"/>
                <w:sz w:val="24"/>
                <w:szCs w:val="24"/>
              </w:rPr>
              <w:t>产生废水（W</w:t>
            </w:r>
            <w:r>
              <w:rPr>
                <w:rFonts w:ascii="Calibri" w:hAnsi="Calibri" w:eastAsia="宋体" w:cs="Times New Roman"/>
                <w:color w:val="auto"/>
                <w:sz w:val="24"/>
                <w:szCs w:val="24"/>
                <w:vertAlign w:val="subscript"/>
              </w:rPr>
              <w:t>2-3</w:t>
            </w:r>
            <w:r>
              <w:rPr>
                <w:rFonts w:ascii="Calibri" w:hAnsi="Calibri" w:eastAsia="宋体" w:cs="Times New Roman"/>
                <w:color w:val="auto"/>
                <w:sz w:val="24"/>
                <w:szCs w:val="24"/>
              </w:rPr>
              <w:t>）</w:t>
            </w:r>
            <w:r>
              <w:rPr>
                <w:rFonts w:hint="eastAsia" w:ascii="Calibri" w:hAnsi="Calibri" w:eastAsia="宋体" w:cs="Times New Roman"/>
                <w:color w:val="auto"/>
                <w:sz w:val="24"/>
                <w:szCs w:val="24"/>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陶化：在产品表面形成一层硅烷化膜，处理温度在35-50℃，处理时间2.5min，该硅烷化膜的好处是提高后期喷粉的附着力。（采用天然气间接加热）。前处理陶化段槽体有效容积8.4m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ins w:id="537" w:author="Sunny" w:date="2022-12-28T14:59:00Z">
              <w:r>
                <w:rPr>
                  <w:rFonts w:hint="default" w:ascii="Times New Roman" w:hAnsi="Times New Roman" w:cs="Times New Roman"/>
                  <w:color w:val="auto"/>
                  <w:sz w:val="24"/>
                </w:rPr>
                <w:t>陶化</w:t>
              </w:r>
            </w:ins>
            <w:ins w:id="538" w:author="Sunny" w:date="2022-12-29T10:05:00Z">
              <w:r>
                <w:rPr>
                  <w:rFonts w:hint="default" w:ascii="Times New Roman" w:hAnsi="Times New Roman" w:cs="Times New Roman"/>
                  <w:color w:val="auto"/>
                  <w:sz w:val="24"/>
                </w:rPr>
                <w:t>为无磷转化液</w:t>
              </w:r>
            </w:ins>
            <w:r>
              <w:rPr>
                <w:rFonts w:hint="default" w:ascii="Times New Roman" w:hAnsi="Times New Roman" w:cs="Times New Roman"/>
                <w:color w:val="auto"/>
                <w:sz w:val="24"/>
              </w:rPr>
              <w:t>、</w:t>
            </w:r>
            <w:ins w:id="539" w:author="Sunny" w:date="2022-12-28T15:32:00Z">
              <w:r>
                <w:rPr>
                  <w:rFonts w:hint="default" w:ascii="Times New Roman" w:hAnsi="Times New Roman" w:cs="Times New Roman"/>
                  <w:color w:val="auto"/>
                  <w:sz w:val="24"/>
                </w:rPr>
                <w:t>硅烷处理剂</w:t>
              </w:r>
            </w:ins>
            <w:ins w:id="540" w:author="Sunny" w:date="2022-12-29T10:05:00Z">
              <w:r>
                <w:rPr>
                  <w:rFonts w:hint="default" w:ascii="Times New Roman" w:hAnsi="Times New Roman" w:cs="Times New Roman"/>
                  <w:color w:val="auto"/>
                  <w:sz w:val="24"/>
                </w:rPr>
                <w:t>与</w:t>
              </w:r>
            </w:ins>
            <w:r>
              <w:rPr>
                <w:rFonts w:hint="default" w:ascii="Times New Roman" w:hAnsi="Times New Roman" w:cs="Times New Roman"/>
                <w:color w:val="auto"/>
                <w:sz w:val="24"/>
              </w:rPr>
              <w:t>回用水</w:t>
            </w:r>
            <w:ins w:id="541" w:author="Sunny" w:date="2022-12-29T10:05:00Z">
              <w:r>
                <w:rPr>
                  <w:rFonts w:hint="default" w:ascii="Times New Roman" w:hAnsi="Times New Roman" w:cs="Times New Roman"/>
                  <w:color w:val="auto"/>
                  <w:sz w:val="24"/>
                </w:rPr>
                <w:t>按照</w:t>
              </w:r>
            </w:ins>
            <w:r>
              <w:rPr>
                <w:rFonts w:hint="default" w:ascii="Times New Roman" w:hAnsi="Times New Roman" w:cs="Times New Roman"/>
                <w:color w:val="auto"/>
                <w:sz w:val="24"/>
              </w:rPr>
              <w:t>1：0.11：26.7</w:t>
            </w:r>
            <w:ins w:id="542" w:author="Sunny" w:date="2022-12-29T10:05:00Z">
              <w:r>
                <w:rPr>
                  <w:rFonts w:hint="default" w:ascii="Times New Roman" w:hAnsi="Times New Roman" w:cs="Times New Roman"/>
                  <w:color w:val="auto"/>
                  <w:sz w:val="24"/>
                </w:rPr>
                <w:t>进行配比，</w:t>
              </w:r>
            </w:ins>
            <w:r>
              <w:rPr>
                <w:rFonts w:hint="default" w:ascii="Times New Roman" w:hAnsi="Times New Roman" w:cs="Times New Roman"/>
                <w:color w:val="auto"/>
                <w:sz w:val="24"/>
              </w:rPr>
              <w:t>使用</w:t>
            </w:r>
            <w:ins w:id="543" w:author="Sunny" w:date="2022-12-28T15:32:00Z">
              <w:r>
                <w:rPr>
                  <w:rFonts w:hint="default" w:ascii="Times New Roman" w:hAnsi="Times New Roman" w:cs="Times New Roman"/>
                  <w:color w:val="auto"/>
                  <w:sz w:val="24"/>
                </w:rPr>
                <w:t>酸碱度调整剂</w:t>
              </w:r>
            </w:ins>
            <w:r>
              <w:rPr>
                <w:rFonts w:hint="default" w:ascii="Times New Roman" w:hAnsi="Times New Roman" w:cs="Times New Roman"/>
                <w:color w:val="auto"/>
                <w:sz w:val="24"/>
              </w:rPr>
              <w:t>调整陶化酸碱度</w:t>
            </w:r>
            <w:ins w:id="544" w:author="Sunny" w:date="2022-12-28T15:32:00Z">
              <w:r>
                <w:rPr>
                  <w:rFonts w:hint="default" w:ascii="Times New Roman" w:hAnsi="Times New Roman" w:cs="Times New Roman"/>
                  <w:color w:val="auto"/>
                  <w:sz w:val="24"/>
                </w:rPr>
                <w:t>，</w:t>
              </w:r>
            </w:ins>
            <w:r>
              <w:rPr>
                <w:rFonts w:hint="default" w:ascii="Times New Roman" w:hAnsi="Times New Roman" w:cs="Times New Roman"/>
                <w:color w:val="auto"/>
                <w:sz w:val="24"/>
                <w:lang w:val="en-US" w:eastAsia="zh-CN"/>
              </w:rPr>
              <w:t>使其保持于pH3.</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lang w:val="en-US" w:eastAsia="zh-CN"/>
              </w:rPr>
              <w:t>，</w:t>
            </w:r>
            <w:ins w:id="545" w:author="Sunny" w:date="2022-12-28T15:01:00Z">
              <w:r>
                <w:rPr>
                  <w:rFonts w:hint="default" w:ascii="Times New Roman" w:hAnsi="Times New Roman" w:cs="Times New Roman"/>
                  <w:color w:val="auto"/>
                  <w:sz w:val="24"/>
                </w:rPr>
                <w:t>陶化槽定期更换，约</w:t>
              </w:r>
            </w:ins>
            <w:r>
              <w:rPr>
                <w:rFonts w:hint="default" w:ascii="Times New Roman" w:hAnsi="Times New Roman" w:cs="Times New Roman"/>
                <w:color w:val="auto"/>
                <w:sz w:val="24"/>
              </w:rPr>
              <w:t>20-50天</w:t>
            </w:r>
            <w:ins w:id="546" w:author="Sunny" w:date="2022-12-28T15:01:00Z">
              <w:r>
                <w:rPr>
                  <w:rFonts w:hint="default" w:ascii="Times New Roman" w:hAnsi="Times New Roman" w:cs="Times New Roman"/>
                  <w:color w:val="auto"/>
                  <w:sz w:val="24"/>
                </w:rPr>
                <w:t>清槽一次，</w:t>
              </w:r>
            </w:ins>
            <w:r>
              <w:rPr>
                <w:rFonts w:hint="default" w:ascii="Times New Roman" w:hAnsi="Times New Roman" w:cs="Times New Roman"/>
                <w:color w:val="auto"/>
                <w:sz w:val="24"/>
              </w:rPr>
              <w:t>损耗约50%，</w:t>
            </w:r>
            <w:ins w:id="547" w:author="Sunny" w:date="2022-12-29T09:57:00Z">
              <w:r>
                <w:rPr>
                  <w:rFonts w:hint="default" w:ascii="Times New Roman" w:hAnsi="Times New Roman" w:cs="Times New Roman"/>
                  <w:color w:val="auto"/>
                  <w:sz w:val="24"/>
                </w:rPr>
                <w:t>清渣过程约槽液</w:t>
              </w:r>
            </w:ins>
            <w:r>
              <w:rPr>
                <w:rFonts w:hint="default" w:ascii="Times New Roman" w:hAnsi="Times New Roman" w:cs="Times New Roman"/>
                <w:color w:val="auto"/>
                <w:sz w:val="24"/>
              </w:rPr>
              <w:t>1</w:t>
            </w:r>
            <w:ins w:id="548" w:author="Sunny" w:date="2022-12-29T09:57:00Z">
              <w:r>
                <w:rPr>
                  <w:rFonts w:hint="default" w:ascii="Times New Roman" w:hAnsi="Times New Roman" w:cs="Times New Roman"/>
                  <w:color w:val="auto"/>
                  <w:sz w:val="24"/>
                </w:rPr>
                <w:t>%进入</w:t>
              </w:r>
            </w:ins>
            <w:r>
              <w:rPr>
                <w:rFonts w:hint="default" w:ascii="Times New Roman" w:hAnsi="Times New Roman" w:cs="Times New Roman"/>
                <w:color w:val="auto"/>
                <w:sz w:val="24"/>
              </w:rPr>
              <w:t>陶化</w:t>
            </w:r>
            <w:ins w:id="549" w:author="Sunny" w:date="2022-12-29T09:57:00Z">
              <w:r>
                <w:rPr>
                  <w:rFonts w:hint="default" w:ascii="Times New Roman" w:hAnsi="Times New Roman" w:cs="Times New Roman"/>
                  <w:color w:val="auto"/>
                  <w:sz w:val="24"/>
                </w:rPr>
                <w:t>废渣（液），</w:t>
              </w:r>
            </w:ins>
            <w:r>
              <w:rPr>
                <w:rFonts w:hint="default" w:ascii="Times New Roman" w:hAnsi="Times New Roman" w:cs="Times New Roman"/>
                <w:color w:val="auto"/>
                <w:sz w:val="24"/>
              </w:rPr>
              <w:t>作为危废处置</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其余槽液进入污水处理系统，为清槽废水。</w:t>
            </w:r>
          </w:p>
          <w:p>
            <w:pPr>
              <w:pStyle w:val="63"/>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此工序产生</w:t>
            </w:r>
            <w:ins w:id="550" w:author="Sunny" w:date="2022-12-29T11:15:00Z">
              <w:r>
                <w:rPr>
                  <w:rFonts w:hint="default" w:ascii="Times New Roman" w:hAnsi="Times New Roman" w:eastAsia="宋体" w:cs="Times New Roman"/>
                  <w:color w:val="auto"/>
                  <w:sz w:val="24"/>
                  <w:szCs w:val="24"/>
                </w:rPr>
                <w:t>清槽</w:t>
              </w:r>
            </w:ins>
            <w:r>
              <w:rPr>
                <w:rFonts w:hint="default" w:ascii="Times New Roman" w:hAnsi="Times New Roman" w:eastAsia="宋体" w:cs="Times New Roman"/>
                <w:color w:val="auto"/>
                <w:sz w:val="24"/>
                <w:szCs w:val="24"/>
              </w:rPr>
              <w:t>废水（W</w:t>
            </w:r>
            <w:r>
              <w:rPr>
                <w:rFonts w:hint="default" w:ascii="Times New Roman" w:hAnsi="Times New Roman" w:eastAsia="宋体" w:cs="Times New Roman"/>
                <w:color w:val="auto"/>
                <w:sz w:val="24"/>
                <w:szCs w:val="24"/>
                <w:vertAlign w:val="subscript"/>
              </w:rPr>
              <w:t>2-4</w:t>
            </w:r>
            <w:r>
              <w:rPr>
                <w:rFonts w:hint="default" w:ascii="Times New Roman" w:hAnsi="Times New Roman" w:eastAsia="宋体" w:cs="Times New Roman"/>
                <w:color w:val="auto"/>
                <w:sz w:val="24"/>
                <w:szCs w:val="24"/>
              </w:rPr>
              <w:t>）、天然气燃烧废气（G</w:t>
            </w:r>
            <w:r>
              <w:rPr>
                <w:rFonts w:hint="default" w:ascii="Times New Roman" w:hAnsi="Times New Roman" w:eastAsia="宋体" w:cs="Times New Roman"/>
                <w:color w:val="auto"/>
                <w:sz w:val="24"/>
                <w:szCs w:val="24"/>
                <w:vertAlign w:val="subscript"/>
              </w:rPr>
              <w:t>2-3</w:t>
            </w:r>
            <w:r>
              <w:rPr>
                <w:rFonts w:hint="default" w:ascii="Times New Roman" w:hAnsi="Times New Roman" w:eastAsia="宋体" w:cs="Times New Roman"/>
                <w:color w:val="auto"/>
                <w:sz w:val="24"/>
                <w:szCs w:val="24"/>
              </w:rPr>
              <w:t>）、陶化废渣（液）（S</w:t>
            </w:r>
            <w:r>
              <w:rPr>
                <w:rFonts w:hint="default" w:ascii="Times New Roman" w:hAnsi="Times New Roman" w:eastAsia="宋体" w:cs="Times New Roman"/>
                <w:color w:val="auto"/>
                <w:sz w:val="24"/>
                <w:szCs w:val="24"/>
                <w:vertAlign w:val="subscript"/>
              </w:rPr>
              <w:t>2-3</w:t>
            </w:r>
            <w:r>
              <w:rPr>
                <w:rFonts w:hint="default" w:ascii="Times New Roman" w:hAnsi="Times New Roman" w:eastAsia="宋体" w:cs="Times New Roman"/>
                <w:color w:val="auto"/>
                <w:sz w:val="24"/>
                <w:szCs w:val="24"/>
              </w:rPr>
              <w:t>）。</w:t>
            </w:r>
          </w:p>
          <w:p>
            <w:pPr>
              <w:pStyle w:val="63"/>
              <w:spacing w:line="360" w:lineRule="auto"/>
              <w:ind w:firstLine="480"/>
              <w:rPr>
                <w:rFonts w:ascii="Calibri" w:hAnsi="Calibri" w:eastAsia="宋体" w:cs="Times New Roman"/>
                <w:color w:val="auto"/>
                <w:sz w:val="24"/>
                <w:szCs w:val="24"/>
              </w:rPr>
            </w:pPr>
            <w:r>
              <w:rPr>
                <w:rFonts w:ascii="Calibri" w:hAnsi="Calibri" w:eastAsia="宋体" w:cs="Times New Roman"/>
                <w:color w:val="auto"/>
                <w:sz w:val="24"/>
                <w:szCs w:val="24"/>
              </w:rPr>
              <w:t>纯水洗</w:t>
            </w:r>
            <w:r>
              <w:rPr>
                <w:rFonts w:hint="eastAsia" w:ascii="Calibri" w:hAnsi="Calibri" w:eastAsia="宋体" w:cs="Times New Roman"/>
                <w:color w:val="auto"/>
                <w:sz w:val="24"/>
                <w:szCs w:val="24"/>
              </w:rPr>
              <w:t>、</w:t>
            </w:r>
            <w:r>
              <w:rPr>
                <w:rFonts w:ascii="Calibri" w:hAnsi="Calibri" w:eastAsia="宋体" w:cs="Times New Roman"/>
                <w:color w:val="auto"/>
                <w:sz w:val="24"/>
                <w:szCs w:val="24"/>
              </w:rPr>
              <w:t>纯水直喷：清洗</w:t>
            </w:r>
            <w:r>
              <w:rPr>
                <w:rFonts w:hint="eastAsia" w:ascii="Calibri" w:hAnsi="Calibri" w:eastAsia="宋体" w:cs="Times New Roman"/>
                <w:color w:val="auto"/>
                <w:sz w:val="24"/>
                <w:szCs w:val="24"/>
              </w:rPr>
              <w:t>硅烷化</w:t>
            </w:r>
            <w:r>
              <w:rPr>
                <w:rFonts w:ascii="Calibri" w:hAnsi="Calibri" w:eastAsia="宋体" w:cs="Times New Roman"/>
                <w:color w:val="auto"/>
                <w:sz w:val="24"/>
                <w:szCs w:val="24"/>
              </w:rPr>
              <w:t>膜外面的残留的药剂。本工序使用2t/h纯水制备装置，制备纯水。</w:t>
            </w:r>
          </w:p>
          <w:p>
            <w:pPr>
              <w:pStyle w:val="63"/>
              <w:spacing w:line="360" w:lineRule="auto"/>
              <w:ind w:firstLine="480"/>
              <w:rPr>
                <w:rFonts w:hint="eastAsia" w:ascii="Calibri" w:hAnsi="Calibri" w:eastAsia="宋体" w:cs="Times New Roman"/>
                <w:color w:val="auto"/>
                <w:sz w:val="24"/>
                <w:szCs w:val="24"/>
              </w:rPr>
            </w:pPr>
            <w:r>
              <w:rPr>
                <w:rFonts w:hint="eastAsia" w:ascii="Calibri" w:hAnsi="Calibri" w:eastAsia="宋体" w:cs="Times New Roman"/>
                <w:color w:val="auto"/>
                <w:sz w:val="24"/>
                <w:szCs w:val="24"/>
              </w:rPr>
              <w:t>纯水洗</w:t>
            </w:r>
            <w:r>
              <w:rPr>
                <w:rFonts w:ascii="Calibri" w:hAnsi="Calibri" w:eastAsia="宋体" w:cs="Times New Roman"/>
                <w:color w:val="auto"/>
                <w:sz w:val="24"/>
                <w:szCs w:val="24"/>
              </w:rPr>
              <w:t>工序产生废水（W</w:t>
            </w:r>
            <w:r>
              <w:rPr>
                <w:rFonts w:ascii="Calibri" w:hAnsi="Calibri" w:eastAsia="宋体" w:cs="Times New Roman"/>
                <w:color w:val="auto"/>
                <w:sz w:val="24"/>
                <w:szCs w:val="24"/>
                <w:vertAlign w:val="subscript"/>
              </w:rPr>
              <w:t>2-</w:t>
            </w:r>
            <w:r>
              <w:rPr>
                <w:rFonts w:hint="eastAsia" w:ascii="Calibri" w:hAnsi="Calibri" w:eastAsia="宋体" w:cs="Times New Roman"/>
                <w:color w:val="auto"/>
                <w:sz w:val="24"/>
                <w:szCs w:val="24"/>
                <w:vertAlign w:val="subscript"/>
              </w:rPr>
              <w:t>5</w:t>
            </w:r>
            <w:r>
              <w:rPr>
                <w:rFonts w:ascii="Calibri" w:hAnsi="Calibri" w:eastAsia="宋体" w:cs="Times New Roman"/>
                <w:color w:val="auto"/>
                <w:sz w:val="24"/>
                <w:szCs w:val="24"/>
              </w:rPr>
              <w:t>）</w:t>
            </w:r>
            <w:r>
              <w:rPr>
                <w:rFonts w:hint="eastAsia" w:ascii="Calibri" w:hAnsi="Calibri" w:eastAsia="宋体" w:cs="Times New Roman"/>
                <w:color w:val="auto"/>
                <w:sz w:val="24"/>
                <w:szCs w:val="24"/>
              </w:rPr>
              <w:t>、</w:t>
            </w:r>
            <w:r>
              <w:rPr>
                <w:rFonts w:ascii="Calibri" w:hAnsi="Calibri" w:eastAsia="宋体" w:cs="Times New Roman"/>
                <w:color w:val="auto"/>
                <w:sz w:val="24"/>
                <w:szCs w:val="24"/>
              </w:rPr>
              <w:t>纯水直喷工序产生废水（W</w:t>
            </w:r>
            <w:r>
              <w:rPr>
                <w:rFonts w:ascii="Calibri" w:hAnsi="Calibri" w:eastAsia="宋体" w:cs="Times New Roman"/>
                <w:color w:val="auto"/>
                <w:sz w:val="24"/>
                <w:szCs w:val="24"/>
                <w:vertAlign w:val="subscript"/>
              </w:rPr>
              <w:t>2-</w:t>
            </w:r>
            <w:r>
              <w:rPr>
                <w:rFonts w:hint="eastAsia" w:ascii="Calibri" w:hAnsi="Calibri" w:eastAsia="宋体" w:cs="Times New Roman"/>
                <w:color w:val="auto"/>
                <w:sz w:val="24"/>
                <w:szCs w:val="24"/>
                <w:vertAlign w:val="subscript"/>
              </w:rPr>
              <w:t>6</w:t>
            </w:r>
            <w:r>
              <w:rPr>
                <w:rFonts w:ascii="Calibri" w:hAnsi="Calibri" w:eastAsia="宋体" w:cs="Times New Roman"/>
                <w:color w:val="auto"/>
                <w:sz w:val="24"/>
                <w:szCs w:val="24"/>
              </w:rPr>
              <w:t>）</w:t>
            </w:r>
            <w:r>
              <w:rPr>
                <w:rFonts w:hint="eastAsia" w:ascii="Calibri" w:hAnsi="Calibri" w:eastAsia="宋体" w:cs="Times New Roman"/>
                <w:color w:val="auto"/>
                <w:sz w:val="24"/>
                <w:szCs w:val="24"/>
              </w:rPr>
              <w:t>。</w:t>
            </w:r>
          </w:p>
          <w:p>
            <w:pPr>
              <w:pStyle w:val="63"/>
              <w:spacing w:line="360" w:lineRule="auto"/>
              <w:ind w:firstLine="480"/>
              <w:rPr>
                <w:rFonts w:hint="default"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此外喷粉前处理工序生产中产生噪声（N）。</w:t>
            </w:r>
          </w:p>
          <w:p>
            <w:pPr>
              <w:pStyle w:val="63"/>
              <w:spacing w:line="360" w:lineRule="auto"/>
              <w:ind w:firstLine="480"/>
              <w:rPr>
                <w:rFonts w:ascii="Calibri" w:hAnsi="Calibri" w:eastAsia="宋体" w:cs="Times New Roman"/>
                <w:color w:val="auto"/>
                <w:sz w:val="24"/>
                <w:szCs w:val="24"/>
              </w:rPr>
            </w:pPr>
            <w:r>
              <w:rPr>
                <w:rFonts w:ascii="Calibri" w:hAnsi="Calibri" w:eastAsia="宋体" w:cs="Times New Roman"/>
                <w:color w:val="auto"/>
                <w:sz w:val="24"/>
                <w:szCs w:val="24"/>
              </w:rPr>
              <w:t>吹水：由于经过前道工序，产品表面上积水较多，通过使用压缩空气吹水以减少产品表面残留</w:t>
            </w:r>
            <w:r>
              <w:rPr>
                <w:rFonts w:hint="eastAsia" w:ascii="Calibri" w:hAnsi="Calibri" w:eastAsia="宋体" w:cs="Times New Roman"/>
                <w:color w:val="auto"/>
                <w:sz w:val="24"/>
                <w:szCs w:val="24"/>
              </w:rPr>
              <w:t>，水份直接蒸发。</w:t>
            </w:r>
          </w:p>
          <w:p>
            <w:pPr>
              <w:pStyle w:val="63"/>
              <w:spacing w:line="360" w:lineRule="auto"/>
              <w:ind w:firstLine="480"/>
              <w:rPr>
                <w:rFonts w:ascii="Calibri" w:hAnsi="Calibri" w:eastAsia="宋体" w:cs="Times New Roman"/>
                <w:color w:val="auto"/>
                <w:sz w:val="24"/>
                <w:szCs w:val="24"/>
              </w:rPr>
            </w:pPr>
            <w:r>
              <w:rPr>
                <w:rFonts w:ascii="Calibri" w:hAnsi="Calibri" w:eastAsia="宋体" w:cs="Times New Roman"/>
                <w:color w:val="auto"/>
                <w:sz w:val="24"/>
                <w:szCs w:val="24"/>
              </w:rPr>
              <w:t>水份烘干：通过水份烘干炉，利用天然气加热热风循环方式，温度在100-120℃，烘干时间&gt;10min，将产品表面的水份烘干，以方便后面的喷粉需求。</w:t>
            </w:r>
          </w:p>
          <w:p>
            <w:pPr>
              <w:pStyle w:val="63"/>
              <w:spacing w:line="360" w:lineRule="auto"/>
              <w:ind w:firstLine="480"/>
              <w:rPr>
                <w:rFonts w:ascii="Calibri" w:hAnsi="Calibri" w:eastAsia="宋体" w:cs="Times New Roman"/>
                <w:color w:val="auto"/>
                <w:sz w:val="24"/>
                <w:szCs w:val="24"/>
              </w:rPr>
            </w:pPr>
            <w:r>
              <w:rPr>
                <w:rFonts w:ascii="Calibri" w:hAnsi="Calibri" w:eastAsia="宋体" w:cs="Times New Roman"/>
                <w:color w:val="auto"/>
                <w:sz w:val="24"/>
                <w:szCs w:val="24"/>
              </w:rPr>
              <w:t>此工序产生噪声（N</w:t>
            </w:r>
            <w:r>
              <w:rPr>
                <w:rFonts w:ascii="Calibri" w:hAnsi="Calibri" w:eastAsia="宋体" w:cs="Times New Roman"/>
                <w:color w:val="auto"/>
                <w:sz w:val="24"/>
                <w:szCs w:val="24"/>
                <w:vertAlign w:val="subscript"/>
              </w:rPr>
              <w:t>2-1</w:t>
            </w:r>
            <w:r>
              <w:rPr>
                <w:rFonts w:ascii="Calibri" w:hAnsi="Calibri" w:eastAsia="宋体" w:cs="Times New Roman"/>
                <w:color w:val="auto"/>
                <w:sz w:val="24"/>
                <w:szCs w:val="24"/>
              </w:rPr>
              <w:t>）、水蒸气、天然气燃烧废气（G</w:t>
            </w:r>
            <w:r>
              <w:rPr>
                <w:rFonts w:ascii="Calibri" w:hAnsi="Calibri" w:eastAsia="宋体" w:cs="Times New Roman"/>
                <w:color w:val="auto"/>
                <w:sz w:val="24"/>
                <w:szCs w:val="24"/>
                <w:vertAlign w:val="subscript"/>
              </w:rPr>
              <w:t>2-4</w:t>
            </w:r>
            <w:r>
              <w:rPr>
                <w:rFonts w:ascii="Calibri" w:hAnsi="Calibri" w:eastAsia="宋体" w:cs="Times New Roman"/>
                <w:color w:val="auto"/>
                <w:sz w:val="24"/>
                <w:szCs w:val="24"/>
              </w:rPr>
              <w:t>），水蒸气不列入废气统计。</w:t>
            </w:r>
          </w:p>
          <w:p>
            <w:pPr>
              <w:pStyle w:val="63"/>
              <w:spacing w:line="360" w:lineRule="auto"/>
              <w:ind w:firstLine="480"/>
              <w:rPr>
                <w:rFonts w:ascii="Calibri" w:hAnsi="Calibri" w:eastAsia="宋体" w:cs="Times New Roman"/>
                <w:color w:val="auto"/>
                <w:sz w:val="24"/>
                <w:szCs w:val="24"/>
              </w:rPr>
            </w:pPr>
            <w:r>
              <w:rPr>
                <w:rFonts w:ascii="Calibri" w:hAnsi="Calibri" w:eastAsia="宋体" w:cs="Times New Roman"/>
                <w:color w:val="auto"/>
                <w:sz w:val="24"/>
                <w:szCs w:val="24"/>
              </w:rPr>
              <w:t>冷却：由于离开水份烘干炉时，产品表面温度约140度左右，所以需要喷粉前冷却。</w:t>
            </w:r>
          </w:p>
          <w:p>
            <w:pPr>
              <w:pStyle w:val="63"/>
              <w:spacing w:line="360" w:lineRule="auto"/>
              <w:ind w:firstLine="480"/>
              <w:rPr>
                <w:rFonts w:ascii="Calibri" w:hAnsi="Calibri" w:eastAsia="宋体" w:cs="Times New Roman"/>
                <w:color w:val="auto"/>
                <w:sz w:val="24"/>
                <w:szCs w:val="24"/>
              </w:rPr>
            </w:pPr>
            <w:r>
              <w:rPr>
                <w:rFonts w:ascii="Calibri" w:hAnsi="Calibri" w:eastAsia="宋体" w:cs="Times New Roman"/>
                <w:color w:val="auto"/>
                <w:sz w:val="24"/>
                <w:szCs w:val="24"/>
              </w:rPr>
              <w:t>此工序产生水蒸气，水蒸气不列入废气统计。</w:t>
            </w:r>
          </w:p>
          <w:p>
            <w:pPr>
              <w:pStyle w:val="63"/>
              <w:spacing w:line="360" w:lineRule="auto"/>
              <w:ind w:firstLine="480"/>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静电喷粉：喷粉是利用电晕放电现象使塑粉吸附在工件上的，喷粉后的工件在烘干房内烘干，使粉末熔融、平流、固化，即在工件表面形成坚硬的涂膜，从而来保证产品的防腐性能。喷粉约90%附着于工件上，其余约</w:t>
            </w:r>
            <w:r>
              <w:rPr>
                <w:rFonts w:hint="eastAsia" w:ascii="Times New Roman" w:hAnsi="Times New Roman" w:cs="Times New Roman" w:eastAsiaTheme="majorEastAsia"/>
                <w:color w:val="auto"/>
                <w:sz w:val="24"/>
                <w:szCs w:val="24"/>
                <w:lang w:val="en-US" w:eastAsia="zh-CN"/>
              </w:rPr>
              <w:t>4</w:t>
            </w:r>
            <w:r>
              <w:rPr>
                <w:rFonts w:hint="default" w:ascii="Times New Roman" w:hAnsi="Times New Roman" w:cs="Times New Roman" w:eastAsiaTheme="majorEastAsia"/>
                <w:color w:val="auto"/>
                <w:sz w:val="24"/>
                <w:szCs w:val="24"/>
              </w:rPr>
              <w:t>%的塑粉由于粘于设备内壁或掉落地面定期清理进入固废，其余约</w:t>
            </w:r>
            <w:r>
              <w:rPr>
                <w:rFonts w:hint="eastAsia" w:ascii="Times New Roman" w:hAnsi="Times New Roman" w:cs="Times New Roman" w:eastAsiaTheme="majorEastAsia"/>
                <w:color w:val="auto"/>
                <w:sz w:val="24"/>
                <w:szCs w:val="24"/>
                <w:lang w:val="en-US" w:eastAsia="zh-CN"/>
              </w:rPr>
              <w:t>6</w:t>
            </w:r>
            <w:r>
              <w:rPr>
                <w:rFonts w:hint="default" w:ascii="Times New Roman" w:hAnsi="Times New Roman" w:cs="Times New Roman" w:eastAsiaTheme="majorEastAsia"/>
                <w:color w:val="auto"/>
                <w:sz w:val="24"/>
                <w:szCs w:val="24"/>
              </w:rPr>
              <w:t>%的塑粉成为粉尘。</w:t>
            </w:r>
          </w:p>
          <w:p>
            <w:pPr>
              <w:pStyle w:val="63"/>
              <w:spacing w:line="360" w:lineRule="auto"/>
              <w:ind w:firstLine="480"/>
              <w:rPr>
                <w:rFonts w:ascii="Calibri" w:hAnsi="Calibri" w:eastAsia="宋体" w:cs="Times New Roman"/>
                <w:color w:val="auto"/>
                <w:sz w:val="24"/>
                <w:szCs w:val="24"/>
              </w:rPr>
            </w:pPr>
            <w:r>
              <w:rPr>
                <w:rFonts w:hint="eastAsia" w:ascii="Calibri" w:hAnsi="Calibri" w:eastAsia="宋体" w:cs="Times New Roman"/>
                <w:color w:val="auto"/>
                <w:sz w:val="24"/>
                <w:szCs w:val="24"/>
              </w:rPr>
              <w:t>喷粉</w:t>
            </w:r>
            <w:r>
              <w:rPr>
                <w:rFonts w:ascii="Calibri" w:hAnsi="Calibri" w:eastAsia="宋体" w:cs="Times New Roman"/>
                <w:color w:val="auto"/>
                <w:sz w:val="24"/>
                <w:szCs w:val="24"/>
              </w:rPr>
              <w:t>过程产生颗粒物</w:t>
            </w:r>
            <w:r>
              <w:rPr>
                <w:rFonts w:hint="eastAsia" w:ascii="Calibri" w:hAnsi="Calibri" w:eastAsia="宋体" w:cs="Times New Roman"/>
                <w:color w:val="auto"/>
                <w:sz w:val="24"/>
                <w:szCs w:val="24"/>
              </w:rPr>
              <w:t>（</w:t>
            </w:r>
            <w:r>
              <w:rPr>
                <w:rFonts w:ascii="Calibri" w:hAnsi="Calibri" w:eastAsia="宋体" w:cs="Times New Roman"/>
                <w:color w:val="auto"/>
                <w:sz w:val="24"/>
                <w:szCs w:val="24"/>
              </w:rPr>
              <w:t>G</w:t>
            </w:r>
            <w:r>
              <w:rPr>
                <w:rFonts w:ascii="Calibri" w:hAnsi="Calibri" w:eastAsia="宋体" w:cs="Times New Roman"/>
                <w:color w:val="auto"/>
                <w:sz w:val="24"/>
                <w:szCs w:val="24"/>
                <w:vertAlign w:val="subscript"/>
              </w:rPr>
              <w:t>2-</w:t>
            </w:r>
            <w:r>
              <w:rPr>
                <w:rFonts w:hint="eastAsia" w:ascii="Calibri" w:hAnsi="Calibri" w:eastAsia="宋体" w:cs="Times New Roman"/>
                <w:color w:val="auto"/>
                <w:sz w:val="24"/>
                <w:szCs w:val="24"/>
                <w:vertAlign w:val="subscript"/>
              </w:rPr>
              <w:t>5</w:t>
            </w:r>
            <w:r>
              <w:rPr>
                <w:rFonts w:hint="eastAsia" w:ascii="Calibri" w:hAnsi="Calibri" w:eastAsia="宋体" w:cs="Times New Roman"/>
                <w:color w:val="auto"/>
                <w:sz w:val="24"/>
                <w:szCs w:val="24"/>
              </w:rPr>
              <w:t>）</w:t>
            </w:r>
            <w:r>
              <w:rPr>
                <w:rFonts w:ascii="Calibri" w:hAnsi="Calibri" w:eastAsia="宋体" w:cs="Times New Roman"/>
                <w:color w:val="auto"/>
                <w:sz w:val="24"/>
                <w:szCs w:val="24"/>
              </w:rPr>
              <w:t>、噪声</w:t>
            </w:r>
            <w:r>
              <w:rPr>
                <w:rFonts w:hint="eastAsia" w:ascii="Calibri" w:hAnsi="Calibri" w:eastAsia="宋体" w:cs="Times New Roman"/>
                <w:color w:val="auto"/>
                <w:sz w:val="24"/>
                <w:szCs w:val="24"/>
              </w:rPr>
              <w:t>（</w:t>
            </w:r>
            <w:r>
              <w:rPr>
                <w:rFonts w:ascii="Calibri" w:hAnsi="Calibri" w:eastAsia="宋体" w:cs="Times New Roman"/>
                <w:color w:val="auto"/>
                <w:sz w:val="24"/>
                <w:szCs w:val="24"/>
              </w:rPr>
              <w:t>N</w:t>
            </w:r>
            <w:r>
              <w:rPr>
                <w:rFonts w:ascii="Calibri" w:hAnsi="Calibri" w:eastAsia="宋体" w:cs="Times New Roman"/>
                <w:color w:val="auto"/>
                <w:sz w:val="24"/>
                <w:szCs w:val="24"/>
                <w:vertAlign w:val="subscript"/>
              </w:rPr>
              <w:t>2-2</w:t>
            </w:r>
            <w:r>
              <w:rPr>
                <w:rFonts w:hint="eastAsia" w:ascii="Calibri" w:hAnsi="Calibri" w:eastAsia="宋体" w:cs="Times New Roman"/>
                <w:color w:val="auto"/>
                <w:sz w:val="24"/>
                <w:szCs w:val="24"/>
              </w:rPr>
              <w:t>）</w:t>
            </w:r>
            <w:r>
              <w:rPr>
                <w:rFonts w:ascii="Calibri" w:hAnsi="Calibri" w:eastAsia="宋体" w:cs="Times New Roman"/>
                <w:color w:val="auto"/>
                <w:sz w:val="24"/>
                <w:szCs w:val="24"/>
              </w:rPr>
              <w:t>、废塑粉（S</w:t>
            </w:r>
            <w:r>
              <w:rPr>
                <w:rFonts w:hint="eastAsia" w:ascii="Calibri" w:hAnsi="Calibri" w:eastAsia="宋体" w:cs="Times New Roman"/>
                <w:color w:val="auto"/>
                <w:sz w:val="24"/>
                <w:szCs w:val="24"/>
                <w:vertAlign w:val="subscript"/>
                <w:lang w:val="en-US" w:eastAsia="zh-CN"/>
              </w:rPr>
              <w:t>2-4</w:t>
            </w:r>
            <w:r>
              <w:rPr>
                <w:rFonts w:ascii="Calibri" w:hAnsi="Calibri" w:eastAsia="宋体" w:cs="Times New Roman"/>
                <w:color w:val="auto"/>
                <w:sz w:val="24"/>
                <w:szCs w:val="24"/>
              </w:rPr>
              <w:t>）。</w:t>
            </w:r>
          </w:p>
          <w:p>
            <w:pPr>
              <w:pStyle w:val="63"/>
              <w:spacing w:line="360" w:lineRule="auto"/>
              <w:ind w:firstLine="480"/>
              <w:rPr>
                <w:rFonts w:ascii="Calibri" w:hAnsi="Calibri" w:eastAsia="宋体" w:cs="Times New Roman"/>
                <w:color w:val="auto"/>
                <w:sz w:val="24"/>
                <w:szCs w:val="24"/>
              </w:rPr>
            </w:pPr>
            <w:r>
              <w:rPr>
                <w:rFonts w:ascii="Calibri" w:hAnsi="Calibri" w:eastAsia="宋体" w:cs="Times New Roman"/>
                <w:color w:val="auto"/>
                <w:sz w:val="24"/>
                <w:szCs w:val="24"/>
              </w:rPr>
              <w:t>粉末固化：</w:t>
            </w:r>
            <w:r>
              <w:rPr>
                <w:rFonts w:hint="eastAsia" w:ascii="Calibri" w:hAnsi="Calibri" w:eastAsia="宋体" w:cs="Times New Roman"/>
                <w:color w:val="auto"/>
                <w:sz w:val="24"/>
                <w:szCs w:val="24"/>
              </w:rPr>
              <w:t>粉末固化过程采用天然气加热，</w:t>
            </w:r>
            <w:r>
              <w:rPr>
                <w:rFonts w:ascii="Calibri" w:hAnsi="Calibri" w:eastAsia="宋体" w:cs="Times New Roman"/>
                <w:color w:val="auto"/>
                <w:sz w:val="24"/>
                <w:szCs w:val="24"/>
              </w:rPr>
              <w:t>利用热风循环方式，固化温度170-210℃，固化时间&gt;20min，将产品表面的粉末进行熔融，使粉末形成一层膜，从而提高外观、耐盐雾测试性能等。</w:t>
            </w:r>
            <w:r>
              <w:rPr>
                <w:rFonts w:hint="eastAsia" w:ascii="Calibri" w:hAnsi="Calibri" w:eastAsia="宋体" w:cs="Times New Roman"/>
                <w:color w:val="auto"/>
                <w:sz w:val="24"/>
                <w:szCs w:val="24"/>
              </w:rPr>
              <w:t>附着于工件上90%的塑粉经高温加热后产生有机废气。</w:t>
            </w:r>
          </w:p>
          <w:p>
            <w:pPr>
              <w:pStyle w:val="63"/>
              <w:spacing w:line="360" w:lineRule="auto"/>
              <w:ind w:firstLine="480"/>
              <w:rPr>
                <w:rFonts w:ascii="Calibri" w:hAnsi="Calibri" w:eastAsia="宋体" w:cs="Times New Roman"/>
                <w:color w:val="auto"/>
                <w:sz w:val="24"/>
                <w:szCs w:val="24"/>
              </w:rPr>
            </w:pPr>
            <w:r>
              <w:rPr>
                <w:rFonts w:ascii="Calibri" w:hAnsi="Calibri" w:eastAsia="宋体" w:cs="Times New Roman"/>
                <w:color w:val="auto"/>
                <w:sz w:val="24"/>
                <w:szCs w:val="24"/>
              </w:rPr>
              <w:t>此工序产生有机废气（G</w:t>
            </w:r>
            <w:r>
              <w:rPr>
                <w:rFonts w:ascii="Calibri" w:hAnsi="Calibri" w:eastAsia="宋体" w:cs="Times New Roman"/>
                <w:color w:val="auto"/>
                <w:sz w:val="24"/>
                <w:szCs w:val="24"/>
                <w:vertAlign w:val="subscript"/>
              </w:rPr>
              <w:t>2-</w:t>
            </w:r>
            <w:r>
              <w:rPr>
                <w:rFonts w:hint="eastAsia" w:ascii="Calibri" w:hAnsi="Calibri" w:eastAsia="宋体" w:cs="Times New Roman"/>
                <w:color w:val="auto"/>
                <w:sz w:val="24"/>
                <w:szCs w:val="24"/>
                <w:vertAlign w:val="subscript"/>
              </w:rPr>
              <w:t>6</w:t>
            </w:r>
            <w:r>
              <w:rPr>
                <w:rFonts w:ascii="Calibri" w:hAnsi="Calibri" w:eastAsia="宋体" w:cs="Times New Roman"/>
                <w:color w:val="auto"/>
                <w:sz w:val="24"/>
                <w:szCs w:val="24"/>
              </w:rPr>
              <w:t>）和天然气燃烧废气（G</w:t>
            </w:r>
            <w:r>
              <w:rPr>
                <w:rFonts w:ascii="Calibri" w:hAnsi="Calibri" w:eastAsia="宋体" w:cs="Times New Roman"/>
                <w:color w:val="auto"/>
                <w:sz w:val="24"/>
                <w:szCs w:val="24"/>
                <w:vertAlign w:val="subscript"/>
              </w:rPr>
              <w:t>2-</w:t>
            </w:r>
            <w:r>
              <w:rPr>
                <w:rFonts w:hint="eastAsia" w:ascii="Calibri" w:hAnsi="Calibri" w:eastAsia="宋体" w:cs="Times New Roman"/>
                <w:color w:val="auto"/>
                <w:sz w:val="24"/>
                <w:szCs w:val="24"/>
                <w:vertAlign w:val="subscript"/>
              </w:rPr>
              <w:t>7</w:t>
            </w:r>
            <w:r>
              <w:rPr>
                <w:rFonts w:ascii="Calibri" w:hAnsi="Calibri" w:eastAsia="宋体" w:cs="Times New Roman"/>
                <w:color w:val="auto"/>
                <w:sz w:val="24"/>
                <w:szCs w:val="24"/>
              </w:rPr>
              <w:t>）。</w:t>
            </w:r>
          </w:p>
          <w:p>
            <w:pPr>
              <w:pStyle w:val="63"/>
              <w:spacing w:line="360" w:lineRule="auto"/>
              <w:ind w:firstLine="480"/>
              <w:rPr>
                <w:rFonts w:ascii="Calibri" w:hAnsi="Calibri" w:eastAsia="宋体" w:cs="Times New Roman"/>
                <w:color w:val="auto"/>
                <w:sz w:val="24"/>
                <w:szCs w:val="24"/>
              </w:rPr>
            </w:pPr>
            <w:r>
              <w:rPr>
                <w:rFonts w:ascii="Calibri" w:hAnsi="Calibri" w:eastAsia="宋体" w:cs="Times New Roman"/>
                <w:color w:val="auto"/>
                <w:sz w:val="24"/>
                <w:szCs w:val="24"/>
              </w:rPr>
              <w:t>冷却：由于离开粉末固化炉时，产品表面温度近200℃，通过自然冷却，使其表面温度降到室温，这样方便</w:t>
            </w:r>
            <w:r>
              <w:rPr>
                <w:rFonts w:hint="eastAsia" w:ascii="Calibri" w:hAnsi="Calibri" w:eastAsia="宋体" w:cs="Times New Roman"/>
                <w:color w:val="auto"/>
                <w:sz w:val="24"/>
                <w:szCs w:val="24"/>
              </w:rPr>
              <w:t>作业人员</w:t>
            </w:r>
            <w:r>
              <w:rPr>
                <w:rFonts w:ascii="Calibri" w:hAnsi="Calibri" w:eastAsia="宋体" w:cs="Times New Roman"/>
                <w:color w:val="auto"/>
                <w:sz w:val="24"/>
                <w:szCs w:val="24"/>
              </w:rPr>
              <w:t>下件。</w:t>
            </w:r>
          </w:p>
          <w:p>
            <w:pPr>
              <w:pStyle w:val="63"/>
              <w:spacing w:line="360" w:lineRule="auto"/>
              <w:ind w:firstLine="480"/>
              <w:rPr>
                <w:rFonts w:ascii="Calibri" w:hAnsi="Calibri" w:eastAsia="宋体" w:cs="Times New Roman"/>
                <w:color w:val="auto"/>
                <w:sz w:val="24"/>
                <w:szCs w:val="24"/>
              </w:rPr>
            </w:pPr>
            <w:r>
              <w:rPr>
                <w:rFonts w:ascii="Calibri" w:hAnsi="Calibri" w:eastAsia="宋体" w:cs="Times New Roman"/>
                <w:color w:val="auto"/>
                <w:sz w:val="24"/>
                <w:szCs w:val="24"/>
              </w:rPr>
              <w:t>检查：由人工检查是否符合客户要求的铸件产品。</w:t>
            </w:r>
          </w:p>
          <w:p>
            <w:pPr>
              <w:pStyle w:val="63"/>
              <w:spacing w:line="360" w:lineRule="auto"/>
              <w:ind w:firstLine="480"/>
              <w:rPr>
                <w:rFonts w:ascii="Calibri" w:hAnsi="Calibri" w:eastAsia="宋体" w:cs="Times New Roman"/>
                <w:color w:val="auto"/>
                <w:sz w:val="24"/>
                <w:szCs w:val="24"/>
              </w:rPr>
            </w:pPr>
            <w:r>
              <w:rPr>
                <w:rFonts w:ascii="Calibri" w:hAnsi="Calibri" w:eastAsia="宋体" w:cs="Times New Roman"/>
                <w:color w:val="auto"/>
                <w:sz w:val="24"/>
                <w:szCs w:val="24"/>
              </w:rPr>
              <w:t>此工序产生不合格品（S</w:t>
            </w:r>
            <w:r>
              <w:rPr>
                <w:rFonts w:ascii="Calibri" w:hAnsi="Calibri" w:eastAsia="宋体" w:cs="Times New Roman"/>
                <w:color w:val="auto"/>
                <w:sz w:val="24"/>
                <w:szCs w:val="24"/>
                <w:vertAlign w:val="subscript"/>
              </w:rPr>
              <w:t>2-</w:t>
            </w:r>
            <w:r>
              <w:rPr>
                <w:rFonts w:hint="eastAsia" w:ascii="Calibri" w:hAnsi="Calibri" w:eastAsia="宋体" w:cs="Times New Roman"/>
                <w:color w:val="auto"/>
                <w:sz w:val="24"/>
                <w:szCs w:val="24"/>
                <w:vertAlign w:val="subscript"/>
              </w:rPr>
              <w:t>5</w:t>
            </w:r>
            <w:r>
              <w:rPr>
                <w:rFonts w:ascii="Calibri" w:hAnsi="Calibri" w:eastAsia="宋体" w:cs="Times New Roman"/>
                <w:color w:val="auto"/>
                <w:sz w:val="24"/>
                <w:szCs w:val="24"/>
              </w:rPr>
              <w:t>）。</w:t>
            </w:r>
          </w:p>
          <w:p>
            <w:pPr>
              <w:widowControl/>
              <w:numPr>
                <w:ilvl w:val="0"/>
                <w:numId w:val="4"/>
              </w:numPr>
              <w:jc w:val="center"/>
              <w:rPr>
                <w:rFonts w:ascii="Calibri" w:hAnsi="Calibri" w:cs="Calibri"/>
                <w:b/>
                <w:bCs/>
                <w:color w:val="auto"/>
                <w:sz w:val="24"/>
              </w:rPr>
            </w:pPr>
            <w:r>
              <w:rPr>
                <w:rFonts w:hint="eastAsia" w:ascii="Calibri" w:hAnsi="Calibri" w:cs="Calibri"/>
                <w:b/>
                <w:bCs/>
                <w:color w:val="auto"/>
                <w:sz w:val="24"/>
              </w:rPr>
              <w:t>工艺参数表</w:t>
            </w:r>
          </w:p>
          <w:tbl>
            <w:tblPr>
              <w:tblStyle w:val="27"/>
              <w:tblW w:w="73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546"/>
              <w:gridCol w:w="1931"/>
              <w:gridCol w:w="1055"/>
              <w:gridCol w:w="995"/>
              <w:gridCol w:w="1055"/>
              <w:gridCol w:w="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66" w:type="dxa"/>
                  <w:vMerge w:val="restart"/>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546" w:type="dxa"/>
                  <w:vMerge w:val="restart"/>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工序名称</w:t>
                  </w:r>
                </w:p>
              </w:tc>
              <w:tc>
                <w:tcPr>
                  <w:tcW w:w="1931" w:type="dxa"/>
                  <w:vMerge w:val="restart"/>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工作方法</w:t>
                  </w:r>
                </w:p>
              </w:tc>
              <w:tc>
                <w:tcPr>
                  <w:tcW w:w="3140" w:type="dxa"/>
                  <w:gridSpan w:val="4"/>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650" w:hRule="atLeast"/>
                <w:jc w:val="center"/>
              </w:trPr>
              <w:tc>
                <w:tcPr>
                  <w:tcW w:w="766" w:type="dxa"/>
                  <w:vMerge w:val="continue"/>
                  <w:vAlign w:val="center"/>
                </w:tcPr>
                <w:p>
                  <w:pPr>
                    <w:bidi w:val="0"/>
                    <w:jc w:val="center"/>
                    <w:rPr>
                      <w:rFonts w:hint="default" w:ascii="Times New Roman" w:hAnsi="Times New Roman" w:eastAsia="宋体" w:cs="Times New Roman"/>
                      <w:color w:val="auto"/>
                      <w:sz w:val="21"/>
                      <w:szCs w:val="21"/>
                    </w:rPr>
                  </w:pPr>
                </w:p>
              </w:tc>
              <w:tc>
                <w:tcPr>
                  <w:tcW w:w="1546" w:type="dxa"/>
                  <w:vMerge w:val="continue"/>
                  <w:vAlign w:val="center"/>
                </w:tcPr>
                <w:p>
                  <w:pPr>
                    <w:bidi w:val="0"/>
                    <w:jc w:val="center"/>
                    <w:rPr>
                      <w:rFonts w:hint="default" w:ascii="Times New Roman" w:hAnsi="Times New Roman" w:eastAsia="宋体" w:cs="Times New Roman"/>
                      <w:color w:val="auto"/>
                      <w:sz w:val="21"/>
                      <w:szCs w:val="21"/>
                    </w:rPr>
                  </w:pPr>
                </w:p>
              </w:tc>
              <w:tc>
                <w:tcPr>
                  <w:tcW w:w="1931" w:type="dxa"/>
                  <w:vMerge w:val="continue"/>
                  <w:vAlign w:val="center"/>
                </w:tcPr>
                <w:p>
                  <w:pPr>
                    <w:bidi w:val="0"/>
                    <w:jc w:val="center"/>
                    <w:rPr>
                      <w:rFonts w:hint="default" w:ascii="Times New Roman" w:hAnsi="Times New Roman" w:eastAsia="宋体" w:cs="Times New Roman"/>
                      <w:color w:val="auto"/>
                      <w:sz w:val="21"/>
                      <w:szCs w:val="21"/>
                    </w:rPr>
                  </w:pP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温度℃</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停留时间min</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喷淋压力MPa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09" w:hRule="atLeast"/>
                <w:jc w:val="center"/>
              </w:trPr>
              <w:tc>
                <w:tcPr>
                  <w:tcW w:w="76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上件</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人工</w:t>
                  </w:r>
                </w:p>
              </w:tc>
              <w:tc>
                <w:tcPr>
                  <w:tcW w:w="1055" w:type="dxa"/>
                  <w:vAlign w:val="center"/>
                </w:tcPr>
                <w:p>
                  <w:pPr>
                    <w:bidi w:val="0"/>
                    <w:jc w:val="center"/>
                    <w:rPr>
                      <w:rFonts w:hint="default" w:ascii="Times New Roman" w:hAnsi="Times New Roman" w:eastAsia="宋体" w:cs="Times New Roman"/>
                      <w:color w:val="auto"/>
                      <w:sz w:val="21"/>
                      <w:szCs w:val="21"/>
                    </w:rPr>
                  </w:pPr>
                </w:p>
              </w:tc>
              <w:tc>
                <w:tcPr>
                  <w:tcW w:w="995" w:type="dxa"/>
                  <w:vAlign w:val="center"/>
                </w:tcPr>
                <w:p>
                  <w:pPr>
                    <w:bidi w:val="0"/>
                    <w:jc w:val="center"/>
                    <w:rPr>
                      <w:rFonts w:hint="default" w:ascii="Times New Roman" w:hAnsi="Times New Roman" w:eastAsia="宋体" w:cs="Times New Roman"/>
                      <w:color w:val="auto"/>
                      <w:sz w:val="21"/>
                      <w:szCs w:val="21"/>
                    </w:rPr>
                  </w:pPr>
                </w:p>
              </w:tc>
              <w:tc>
                <w:tcPr>
                  <w:tcW w:w="1055" w:type="dxa"/>
                  <w:vAlign w:val="center"/>
                </w:tcPr>
                <w:p>
                  <w:pPr>
                    <w:bidi w:val="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25" w:hRule="atLeast"/>
                <w:jc w:val="center"/>
              </w:trPr>
              <w:tc>
                <w:tcPr>
                  <w:tcW w:w="76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预脱脂</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喷淋</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50-65</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25" w:hRule="atLeast"/>
                <w:jc w:val="center"/>
              </w:trPr>
              <w:tc>
                <w:tcPr>
                  <w:tcW w:w="76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脱脂</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喷淋</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50-65</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09" w:hRule="atLeast"/>
                <w:jc w:val="center"/>
              </w:trPr>
              <w:tc>
                <w:tcPr>
                  <w:tcW w:w="76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脱脂水洗Ⅰ</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喷淋</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RT</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25" w:hRule="atLeast"/>
                <w:jc w:val="center"/>
              </w:trPr>
              <w:tc>
                <w:tcPr>
                  <w:tcW w:w="76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脱脂水洗Ⅱ</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喷淋</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RT</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25" w:hRule="atLeast"/>
                <w:jc w:val="center"/>
              </w:trPr>
              <w:tc>
                <w:tcPr>
                  <w:tcW w:w="76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陶化</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喷淋</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25-40</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09" w:hRule="atLeast"/>
                <w:jc w:val="center"/>
              </w:trPr>
              <w:tc>
                <w:tcPr>
                  <w:tcW w:w="76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陶化</w:t>
                  </w:r>
                  <w:r>
                    <w:rPr>
                      <w:rFonts w:hint="default" w:ascii="Times New Roman" w:hAnsi="Times New Roman" w:eastAsia="宋体" w:cs="Times New Roman"/>
                      <w:color w:val="auto"/>
                      <w:sz w:val="21"/>
                      <w:szCs w:val="21"/>
                    </w:rPr>
                    <w:t>水洗Ⅰ</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喷淋</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RT</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25" w:hRule="atLeast"/>
                <w:jc w:val="center"/>
              </w:trPr>
              <w:tc>
                <w:tcPr>
                  <w:tcW w:w="76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陶化</w:t>
                  </w:r>
                  <w:r>
                    <w:rPr>
                      <w:rFonts w:hint="default" w:ascii="Times New Roman" w:hAnsi="Times New Roman" w:eastAsia="宋体" w:cs="Times New Roman"/>
                      <w:color w:val="auto"/>
                      <w:sz w:val="21"/>
                      <w:szCs w:val="21"/>
                    </w:rPr>
                    <w:t>水洗Ⅱ</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喷淋</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RT</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64" w:hRule="atLeast"/>
                <w:jc w:val="center"/>
              </w:trPr>
              <w:tc>
                <w:tcPr>
                  <w:tcW w:w="766" w:type="dxa"/>
                  <w:vMerge w:val="restart"/>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纯水洗</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喷淋</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RT</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277" w:hRule="atLeast"/>
                <w:jc w:val="center"/>
              </w:trPr>
              <w:tc>
                <w:tcPr>
                  <w:tcW w:w="766" w:type="dxa"/>
                  <w:vMerge w:val="continue"/>
                  <w:vAlign w:val="center"/>
                </w:tcPr>
                <w:p>
                  <w:pPr>
                    <w:bidi w:val="0"/>
                    <w:jc w:val="center"/>
                    <w:rPr>
                      <w:rFonts w:hint="default" w:ascii="Times New Roman" w:hAnsi="Times New Roman" w:eastAsia="宋体" w:cs="Times New Roman"/>
                      <w:color w:val="auto"/>
                      <w:sz w:val="21"/>
                      <w:szCs w:val="21"/>
                    </w:rPr>
                  </w:pP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纯水直喷</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喷淋</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RT</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635" w:hRule="atLeast"/>
                <w:jc w:val="center"/>
              </w:trPr>
              <w:tc>
                <w:tcPr>
                  <w:tcW w:w="76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吹水</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人工</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RT</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压缩空气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25" w:hRule="atLeast"/>
                <w:jc w:val="center"/>
              </w:trPr>
              <w:tc>
                <w:tcPr>
                  <w:tcW w:w="76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水份烘干</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热风循环</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100-120</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10-12</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25" w:hRule="atLeast"/>
                <w:jc w:val="center"/>
              </w:trPr>
              <w:tc>
                <w:tcPr>
                  <w:tcW w:w="76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冷却</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自然冷却</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RT</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09" w:hRule="atLeast"/>
                <w:jc w:val="center"/>
              </w:trPr>
              <w:tc>
                <w:tcPr>
                  <w:tcW w:w="76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静电喷粉</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自动、手动补漆</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25" w:hRule="atLeast"/>
                <w:jc w:val="center"/>
              </w:trPr>
              <w:tc>
                <w:tcPr>
                  <w:tcW w:w="76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粉末固化</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热风循环</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170-210</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20-25</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25" w:hRule="atLeast"/>
                <w:jc w:val="center"/>
              </w:trPr>
              <w:tc>
                <w:tcPr>
                  <w:tcW w:w="76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冷却</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自然冷却</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RT</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09" w:hRule="atLeast"/>
                <w:jc w:val="center"/>
              </w:trPr>
              <w:tc>
                <w:tcPr>
                  <w:tcW w:w="76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检查</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人工</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5" w:type="dxa"/>
                <w:trHeight w:val="325" w:hRule="atLeast"/>
                <w:jc w:val="center"/>
              </w:trPr>
              <w:tc>
                <w:tcPr>
                  <w:tcW w:w="76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546"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下件</w:t>
                  </w:r>
                </w:p>
              </w:tc>
              <w:tc>
                <w:tcPr>
                  <w:tcW w:w="1931"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人工</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9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55" w:type="dxa"/>
                  <w:vAlign w:val="center"/>
                </w:tcPr>
                <w:p>
                  <w:pPr>
                    <w:bidi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pStyle w:val="58"/>
              <w:spacing w:line="360" w:lineRule="auto"/>
              <w:ind w:firstLine="480"/>
              <w:rPr>
                <w:rFonts w:ascii="Calibri" w:hAnsi="Calibri" w:cs="Calibri"/>
                <w:color w:val="auto"/>
                <w:sz w:val="24"/>
              </w:rPr>
            </w:pPr>
            <w:r>
              <w:rPr>
                <w:rFonts w:hint="eastAsia" w:ascii="Calibri" w:hAnsi="Calibri" w:cs="Calibri"/>
                <w:color w:val="auto"/>
                <w:sz w:val="24"/>
              </w:rPr>
              <w:t>喷粉</w:t>
            </w:r>
            <w:r>
              <w:rPr>
                <w:rFonts w:ascii="Calibri" w:hAnsi="Calibri" w:cs="Calibri"/>
                <w:color w:val="auto"/>
                <w:sz w:val="24"/>
              </w:rPr>
              <w:t>生产工艺由前处理陶化清洗以及</w:t>
            </w:r>
            <w:r>
              <w:rPr>
                <w:rFonts w:ascii="Calibri" w:hAnsi="Calibri" w:cs="Calibri"/>
                <w:color w:val="auto"/>
                <w:kern w:val="0"/>
                <w:sz w:val="24"/>
                <w:lang w:bidi="ar"/>
              </w:rPr>
              <w:t>联合烘干段组成。</w:t>
            </w:r>
          </w:p>
          <w:p>
            <w:pPr>
              <w:widowControl/>
              <w:spacing w:line="360" w:lineRule="auto"/>
              <w:ind w:firstLine="480" w:firstLineChars="200"/>
              <w:jc w:val="left"/>
              <w:rPr>
                <w:rFonts w:ascii="Calibri" w:hAnsi="Calibri" w:cs="Calibri"/>
                <w:color w:val="auto"/>
                <w:sz w:val="24"/>
              </w:rPr>
            </w:pPr>
            <w:r>
              <w:rPr>
                <w:rFonts w:ascii="Calibri" w:hAnsi="Calibri" w:cs="Calibri"/>
                <w:color w:val="auto"/>
                <w:sz w:val="24"/>
              </w:rPr>
              <w:t>前处理陶化清洗部分由预脱脂、脱脂、</w:t>
            </w:r>
            <w:ins w:id="551" w:author="Sunny" w:date="2022-12-28T16:37:00Z">
              <w:r>
                <w:rPr>
                  <w:rFonts w:ascii="Calibri" w:hAnsi="Calibri" w:cs="Calibri"/>
                  <w:color w:val="auto"/>
                  <w:sz w:val="24"/>
                </w:rPr>
                <w:t>脱脂</w:t>
              </w:r>
            </w:ins>
            <w:r>
              <w:rPr>
                <w:rFonts w:ascii="Calibri" w:hAnsi="Calibri" w:cs="Calibri"/>
                <w:color w:val="auto"/>
                <w:sz w:val="24"/>
              </w:rPr>
              <w:t>水洗Ⅰ、</w:t>
            </w:r>
            <w:ins w:id="552" w:author="Sunny" w:date="2022-12-28T16:37:00Z">
              <w:r>
                <w:rPr>
                  <w:rFonts w:ascii="Calibri" w:hAnsi="Calibri" w:cs="Calibri"/>
                  <w:color w:val="auto"/>
                  <w:sz w:val="24"/>
                </w:rPr>
                <w:t>脱脂</w:t>
              </w:r>
            </w:ins>
            <w:r>
              <w:rPr>
                <w:rFonts w:ascii="Calibri" w:hAnsi="Calibri" w:cs="Calibri"/>
                <w:color w:val="auto"/>
                <w:sz w:val="24"/>
              </w:rPr>
              <w:t>水洗Ⅱ、表调、陶化、</w:t>
            </w:r>
            <w:ins w:id="553" w:author="Sunny" w:date="2022-12-28T16:37:00Z">
              <w:r>
                <w:rPr>
                  <w:rFonts w:ascii="Calibri" w:hAnsi="Calibri" w:cs="Calibri"/>
                  <w:color w:val="auto"/>
                  <w:sz w:val="24"/>
                </w:rPr>
                <w:t>陶化</w:t>
              </w:r>
            </w:ins>
            <w:r>
              <w:rPr>
                <w:rFonts w:ascii="Calibri" w:hAnsi="Calibri" w:cs="Calibri"/>
                <w:color w:val="auto"/>
                <w:sz w:val="24"/>
              </w:rPr>
              <w:t>水洗</w:t>
            </w:r>
            <w:ins w:id="554" w:author="Sunny" w:date="2022-12-28T16:37:00Z">
              <w:r>
                <w:rPr>
                  <w:rFonts w:ascii="Calibri" w:hAnsi="Calibri" w:cs="Calibri"/>
                  <w:color w:val="auto"/>
                  <w:sz w:val="24"/>
                </w:rPr>
                <w:t>Ⅰ</w:t>
              </w:r>
            </w:ins>
            <w:r>
              <w:rPr>
                <w:rFonts w:ascii="Calibri" w:hAnsi="Calibri" w:cs="Calibri"/>
                <w:color w:val="auto"/>
                <w:sz w:val="24"/>
              </w:rPr>
              <w:t>、</w:t>
            </w:r>
            <w:ins w:id="555" w:author="Sunny" w:date="2022-12-28T16:38:00Z">
              <w:r>
                <w:rPr>
                  <w:rFonts w:ascii="Calibri" w:hAnsi="Calibri" w:cs="Calibri"/>
                  <w:color w:val="auto"/>
                  <w:sz w:val="24"/>
                </w:rPr>
                <w:t>陶化</w:t>
              </w:r>
            </w:ins>
            <w:r>
              <w:rPr>
                <w:rFonts w:ascii="Calibri" w:hAnsi="Calibri" w:cs="Calibri"/>
                <w:color w:val="auto"/>
                <w:sz w:val="24"/>
              </w:rPr>
              <w:t>水洗</w:t>
            </w:r>
            <w:ins w:id="556" w:author="Sunny" w:date="2022-12-28T16:38:00Z">
              <w:r>
                <w:rPr>
                  <w:rFonts w:ascii="Calibri" w:hAnsi="Calibri" w:cs="Calibri"/>
                  <w:color w:val="auto"/>
                  <w:sz w:val="24"/>
                </w:rPr>
                <w:t>Ⅱ</w:t>
              </w:r>
            </w:ins>
            <w:r>
              <w:rPr>
                <w:rFonts w:ascii="Calibri" w:hAnsi="Calibri" w:cs="Calibri"/>
                <w:color w:val="auto"/>
                <w:sz w:val="24"/>
              </w:rPr>
              <w:t>、纯水洗(纯水直喷)</w:t>
            </w:r>
            <w:ins w:id="557" w:author="Sunny" w:date="2022-12-28T09:24:00Z">
              <w:r>
                <w:rPr>
                  <w:rFonts w:ascii="Calibri" w:hAnsi="Calibri" w:cs="Calibri"/>
                  <w:color w:val="auto"/>
                  <w:sz w:val="24"/>
                </w:rPr>
                <w:t>组成</w:t>
              </w:r>
            </w:ins>
            <w:r>
              <w:rPr>
                <w:rFonts w:ascii="Calibri" w:hAnsi="Calibri" w:cs="Calibri"/>
                <w:color w:val="auto"/>
                <w:sz w:val="24"/>
              </w:rPr>
              <w:t>。</w:t>
            </w:r>
            <w:r>
              <w:rPr>
                <w:rFonts w:ascii="Calibri" w:hAnsi="Calibri" w:cs="Calibri"/>
                <w:color w:val="auto"/>
                <w:kern w:val="0"/>
                <w:sz w:val="24"/>
                <w:lang w:bidi="ar"/>
              </w:rPr>
              <w:t xml:space="preserve">采用连续通过式喷淋清洗。前处理所有加热槽正常生产起始升温时间≤2h。分别在脱脂、陶化设排风风机。 </w:t>
            </w:r>
          </w:p>
          <w:p>
            <w:pPr>
              <w:widowControl/>
              <w:spacing w:line="360" w:lineRule="auto"/>
              <w:ind w:firstLine="480" w:firstLineChars="200"/>
              <w:jc w:val="left"/>
              <w:rPr>
                <w:rFonts w:ascii="Calibri" w:hAnsi="Calibri" w:cs="Calibri"/>
                <w:color w:val="auto"/>
                <w:sz w:val="24"/>
              </w:rPr>
            </w:pPr>
            <w:r>
              <w:rPr>
                <w:rFonts w:ascii="Calibri" w:hAnsi="Calibri" w:cs="Calibri"/>
                <w:color w:val="auto"/>
                <w:kern w:val="0"/>
                <w:sz w:val="24"/>
                <w:lang w:bidi="ar"/>
              </w:rPr>
              <w:t>为防止热水气外溢和有效隔离水雾飞溅到悬链上去，在清洗机悬链吊具开口处设有挡水毛刷及横向风幕两道保护措施。槽液加热为然气加热器间接加热。</w:t>
            </w:r>
          </w:p>
          <w:p>
            <w:pPr>
              <w:widowControl/>
              <w:spacing w:line="360" w:lineRule="auto"/>
              <w:ind w:firstLine="480" w:firstLineChars="200"/>
              <w:jc w:val="left"/>
              <w:rPr>
                <w:rFonts w:ascii="Calibri" w:hAnsi="Calibri" w:cs="Calibri"/>
                <w:color w:val="auto"/>
              </w:rPr>
            </w:pPr>
            <w:r>
              <w:rPr>
                <w:rFonts w:ascii="Calibri" w:hAnsi="Calibri" w:cs="Calibri"/>
                <w:color w:val="auto"/>
                <w:kern w:val="0"/>
                <w:sz w:val="24"/>
                <w:lang w:bidi="ar"/>
              </w:rPr>
              <w:t>联合烘干</w:t>
            </w:r>
            <w:r>
              <w:rPr>
                <w:rFonts w:hint="eastAsia" w:ascii="Calibri" w:hAnsi="Calibri" w:cs="Calibri"/>
                <w:color w:val="auto"/>
                <w:kern w:val="0"/>
                <w:sz w:val="24"/>
                <w:lang w:bidi="ar"/>
              </w:rPr>
              <w:t>炉</w:t>
            </w:r>
            <w:r>
              <w:rPr>
                <w:rFonts w:ascii="Calibri" w:hAnsi="Calibri" w:cs="Calibri"/>
                <w:color w:val="auto"/>
                <w:kern w:val="0"/>
                <w:sz w:val="24"/>
                <w:lang w:bidi="ar"/>
              </w:rPr>
              <w:t>：联合烘干炉由室体、钢结构支架、热风循环系统、加热装置等组成。采用桥式结构，以防止热量的散失。烘干室底高度以能将加热循环系统的设备放置在底部而定，室内热空气由布置合理的风道提供最佳的气流分配，可以将温度梯度造成的热损失减少到最小程度，从而获得最大的热效率。烘干室内加热时的升温时间&lt;1h。烘干方式为热风循环。</w:t>
            </w:r>
          </w:p>
          <w:p>
            <w:pPr>
              <w:pStyle w:val="17"/>
              <w:numPr>
                <w:ilvl w:val="0"/>
                <w:numId w:val="8"/>
              </w:numPr>
              <w:spacing w:before="0" w:after="0" w:line="360" w:lineRule="auto"/>
              <w:ind w:firstLineChars="200"/>
              <w:jc w:val="left"/>
              <w:rPr>
                <w:rFonts w:ascii="Calibri" w:hAnsi="Calibri" w:cs="Calibri"/>
                <w:color w:val="auto"/>
                <w:sz w:val="24"/>
              </w:rPr>
            </w:pPr>
            <w:r>
              <w:rPr>
                <w:rFonts w:ascii="Calibri" w:hAnsi="Calibri" w:cs="Calibri"/>
                <w:color w:val="auto"/>
              </w:rPr>
              <mc:AlternateContent>
                <mc:Choice Requires="wps">
                  <w:drawing>
                    <wp:anchor distT="0" distB="0" distL="114300" distR="114300" simplePos="0" relativeHeight="251665408" behindDoc="0" locked="0" layoutInCell="1" allowOverlap="1">
                      <wp:simplePos x="0" y="0"/>
                      <wp:positionH relativeFrom="column">
                        <wp:posOffset>2883535</wp:posOffset>
                      </wp:positionH>
                      <wp:positionV relativeFrom="paragraph">
                        <wp:posOffset>1356360</wp:posOffset>
                      </wp:positionV>
                      <wp:extent cx="624205" cy="296545"/>
                      <wp:effectExtent l="0" t="0" r="4445" b="8255"/>
                      <wp:wrapNone/>
                      <wp:docPr id="33" name="文本框 33"/>
                      <wp:cNvGraphicFramePr/>
                      <a:graphic xmlns:a="http://schemas.openxmlformats.org/drawingml/2006/main">
                        <a:graphicData uri="http://schemas.microsoft.com/office/word/2010/wordprocessingShape">
                          <wps:wsp>
                            <wps:cNvSpPr txBox="1"/>
                            <wps:spPr>
                              <a:xfrm>
                                <a:off x="4283075" y="2580005"/>
                                <a:ext cx="624205" cy="296545"/>
                              </a:xfrm>
                              <a:prstGeom prst="rect">
                                <a:avLst/>
                              </a:prstGeom>
                              <a:solidFill>
                                <a:srgbClr val="FFFFFF"/>
                              </a:solid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sz w:val="18"/>
                                      <w:szCs w:val="18"/>
                                    </w:rPr>
                                    <w:t>外包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05pt;margin-top:106.8pt;height:23.35pt;width:49.15pt;z-index:251665408;mso-width-relative:page;mso-height-relative:page;" fillcolor="#FFFFFF" filled="t" stroked="f" coordsize="21600,21600" o:gfxdata="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rcs&#10;ldYAAAALAQAADwAAAAAAAAABACAAAAAiAAAAZHJzL2Rvd25yZXYueG1sUEsBAhQAFAAAAAgAh07i&#10;QKwc0/NdAgAAnAQAAA4AAAAAAAAAAQAgAAAAJQEAAGRycy9lMm9Eb2MueG1sUEsFBgAAAAAGAAYA&#10;WQEAAPQFAAAAAA==&#10;">
                      <v:fill on="t" focussize="0,0"/>
                      <v:stroke on="f" weight="0.5pt"/>
                      <v:imagedata o:title=""/>
                      <o:lock v:ext="edit" aspectratio="f"/>
                      <v:textbox>
                        <w:txbxContent>
                          <w:p>
                            <w:pPr>
                              <w:rPr>
                                <w:sz w:val="18"/>
                                <w:szCs w:val="18"/>
                              </w:rPr>
                            </w:pPr>
                            <w:r>
                              <w:rPr>
                                <w:sz w:val="18"/>
                                <w:szCs w:val="18"/>
                              </w:rPr>
                              <w:t>外包</w:t>
                            </w:r>
                          </w:p>
                        </w:txbxContent>
                      </v:textbox>
                    </v:shape>
                  </w:pict>
                </mc:Fallback>
              </mc:AlternateContent>
            </w:r>
            <w:r>
              <w:rPr>
                <w:rFonts w:ascii="Calibri" w:hAnsi="Calibri" w:cs="Calibri"/>
                <w:color w:val="auto"/>
              </w:rPr>
              <mc:AlternateContent>
                <mc:Choice Requires="wps">
                  <w:drawing>
                    <wp:anchor distT="0" distB="0" distL="114300" distR="114300" simplePos="0" relativeHeight="251664384" behindDoc="0" locked="0" layoutInCell="1" allowOverlap="1">
                      <wp:simplePos x="0" y="0"/>
                      <wp:positionH relativeFrom="column">
                        <wp:posOffset>2576195</wp:posOffset>
                      </wp:positionH>
                      <wp:positionV relativeFrom="paragraph">
                        <wp:posOffset>1516380</wp:posOffset>
                      </wp:positionV>
                      <wp:extent cx="304800" cy="9525"/>
                      <wp:effectExtent l="0" t="42545" r="0" b="62230"/>
                      <wp:wrapNone/>
                      <wp:docPr id="28" name="直接箭头连接符 28"/>
                      <wp:cNvGraphicFramePr/>
                      <a:graphic xmlns:a="http://schemas.openxmlformats.org/drawingml/2006/main">
                        <a:graphicData uri="http://schemas.microsoft.com/office/word/2010/wordprocessingShape">
                          <wps:wsp>
                            <wps:cNvCnPr/>
                            <wps:spPr>
                              <a:xfrm>
                                <a:off x="4055110" y="2792095"/>
                                <a:ext cx="30480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2.85pt;margin-top:119.4pt;height:0.75pt;width:24pt;z-index:251664384;mso-width-relative:page;mso-height-relative:page;" filled="f" stroked="t" coordsize="21600,21600" o:gfxdata="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o51x9kA&#10;AAALAQAADwAAAAAAAAABACAAAAAiAAAAZHJzL2Rvd25yZXYueG1sUEsBAhQAFAAAAAgAh07iQExY&#10;oxoeAgAAAAQAAA4AAAAAAAAAAQAgAAAAKAEAAGRycy9lMm9Eb2MueG1sUEsFBgAAAAAGAAYAWQEA&#10;ALgFAAAAAA==&#10;">
                      <v:fill on="f" focussize="0,0"/>
                      <v:stroke weight="0.5pt" color="#000000 [3200]" miterlimit="8" joinstyle="miter" endarrow="open"/>
                      <v:imagedata o:title=""/>
                      <o:lock v:ext="edit" aspectratio="f"/>
                    </v:shape>
                  </w:pict>
                </mc:Fallback>
              </mc:AlternateContent>
            </w:r>
            <w:r>
              <w:rPr>
                <w:rFonts w:ascii="Calibri" w:hAnsi="Calibri" w:cs="Calibri"/>
                <w:color w:val="auto"/>
              </w:rPr>
              <mc:AlternateContent>
                <mc:Choice Requires="wps">
                  <w:drawing>
                    <wp:anchor distT="0" distB="0" distL="114300" distR="114300" simplePos="0" relativeHeight="251663360" behindDoc="0" locked="0" layoutInCell="1" allowOverlap="1">
                      <wp:simplePos x="0" y="0"/>
                      <wp:positionH relativeFrom="column">
                        <wp:posOffset>812800</wp:posOffset>
                      </wp:positionH>
                      <wp:positionV relativeFrom="paragraph">
                        <wp:posOffset>780415</wp:posOffset>
                      </wp:positionV>
                      <wp:extent cx="1767840" cy="1352550"/>
                      <wp:effectExtent l="6350" t="6350" r="16510" b="12700"/>
                      <wp:wrapNone/>
                      <wp:docPr id="26" name="矩形 26"/>
                      <wp:cNvGraphicFramePr/>
                      <a:graphic xmlns:a="http://schemas.openxmlformats.org/drawingml/2006/main">
                        <a:graphicData uri="http://schemas.microsoft.com/office/word/2010/wordprocessingShape">
                          <wps:wsp>
                            <wps:cNvSpPr/>
                            <wps:spPr>
                              <a:xfrm>
                                <a:off x="2282825" y="2040255"/>
                                <a:ext cx="1767840" cy="13525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pt;margin-top:61.45pt;height:106.5pt;width:139.2pt;z-index:251663360;v-text-anchor:middle;mso-width-relative:page;mso-height-relative:page;" filled="f" stroked="t" coordsize="21600,21600" o:gfxdata="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OdoFw9sAAAALAQAADwAAAAAAAAABACAAAAAiAAAA&#10;ZHJzL2Rvd25yZXYueG1sUEsBAhQAFAAAAAgAh07iQMMPneh2AgAA2gQAAA4AAAAAAAAAAQAgAAAA&#10;KgEAAGRycy9lMm9Eb2MueG1sUEsFBgAAAAAGAAYAWQEAABIGAAAAAA==&#10;">
                      <v:fill on="f" focussize="0,0"/>
                      <v:stroke weight="1pt" color="#FFC000 [3204]" miterlimit="8" joinstyle="miter"/>
                      <v:imagedata o:title=""/>
                      <o:lock v:ext="edit" aspectratio="f"/>
                    </v:rect>
                  </w:pict>
                </mc:Fallback>
              </mc:AlternateContent>
            </w:r>
            <w:r>
              <w:rPr>
                <w:rFonts w:hint="eastAsia" w:ascii="Calibri" w:hAnsi="Calibri" w:cs="Calibri"/>
                <w:b/>
                <w:bCs/>
                <w:color w:val="auto"/>
                <w:sz w:val="24"/>
                <w:szCs w:val="24"/>
              </w:rPr>
              <w:t>模具</w:t>
            </w:r>
            <w:r>
              <w:rPr>
                <w:rFonts w:ascii="Calibri" w:hAnsi="Calibri" w:cs="Calibri"/>
                <w:b/>
                <w:bCs/>
                <w:color w:val="auto"/>
                <w:sz w:val="24"/>
                <w:szCs w:val="24"/>
              </w:rPr>
              <w:t>生产工艺</w:t>
            </w:r>
            <w:r>
              <w:rPr>
                <w:rFonts w:hint="eastAsia" w:ascii="Calibri" w:hAnsi="Calibri" w:cs="Calibri"/>
                <w:b/>
                <w:bCs/>
                <w:color w:val="auto"/>
                <w:sz w:val="24"/>
                <w:szCs w:val="24"/>
                <w:lang w:val="en-US" w:eastAsia="zh-CN"/>
              </w:rPr>
              <w:t xml:space="preserve">         </w:t>
            </w:r>
            <w:r>
              <w:rPr>
                <w:rFonts w:ascii="Calibri" w:hAnsi="Calibri" w:cs="Calibri"/>
                <w:color w:val="auto"/>
              </w:rPr>
              <w:drawing>
                <wp:inline distT="0" distB="0" distL="114300" distR="114300">
                  <wp:extent cx="4676775" cy="3743325"/>
                  <wp:effectExtent l="0" t="0" r="9525" b="952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4"/>
                          <a:stretch>
                            <a:fillRect/>
                          </a:stretch>
                        </pic:blipFill>
                        <pic:spPr>
                          <a:xfrm>
                            <a:off x="0" y="0"/>
                            <a:ext cx="4676775" cy="3743325"/>
                          </a:xfrm>
                          <a:prstGeom prst="rect">
                            <a:avLst/>
                          </a:prstGeom>
                          <a:noFill/>
                          <a:ln>
                            <a:noFill/>
                          </a:ln>
                        </pic:spPr>
                      </pic:pic>
                    </a:graphicData>
                  </a:graphic>
                </wp:inline>
              </w:drawing>
            </w:r>
          </w:p>
          <w:p>
            <w:pPr>
              <w:numPr>
                <w:ilvl w:val="255"/>
                <w:numId w:val="0"/>
              </w:numPr>
              <w:adjustRightInd w:val="0"/>
              <w:snapToGrid w:val="0"/>
              <w:spacing w:line="360" w:lineRule="auto"/>
              <w:jc w:val="center"/>
              <w:rPr>
                <w:rFonts w:ascii="Calibri" w:hAnsi="Calibri" w:cs="Calibri"/>
                <w:b/>
                <w:bCs/>
                <w:color w:val="auto"/>
                <w:sz w:val="24"/>
              </w:rPr>
            </w:pPr>
            <w:ins w:id="558" w:author="Sunny" w:date="2022-12-29T17:03:00Z">
              <w:r>
                <w:rPr>
                  <w:rFonts w:ascii="Calibri" w:hAnsi="Calibri" w:cs="Calibri"/>
                  <w:b/>
                  <w:bCs/>
                  <w:color w:val="auto"/>
                  <w:sz w:val="24"/>
                </w:rPr>
                <w:t xml:space="preserve">图2-5 </w:t>
              </w:r>
            </w:ins>
            <w:r>
              <w:rPr>
                <w:rFonts w:ascii="Calibri" w:hAnsi="Calibri" w:cs="Calibri"/>
                <w:b/>
                <w:bCs/>
                <w:color w:val="auto"/>
                <w:sz w:val="24"/>
              </w:rPr>
              <w:t>模具生产工艺流程图</w:t>
            </w:r>
          </w:p>
          <w:p>
            <w:pPr>
              <w:pStyle w:val="17"/>
              <w:spacing w:before="0" w:after="0" w:line="360" w:lineRule="auto"/>
              <w:ind w:firstLine="480" w:firstLineChars="200"/>
              <w:rPr>
                <w:rFonts w:hint="default" w:ascii="Calibri" w:hAnsi="Calibri" w:cs="Calibri"/>
                <w:color w:val="auto"/>
                <w:sz w:val="24"/>
                <w:lang w:val="en-US"/>
              </w:rPr>
            </w:pPr>
            <w:r>
              <w:rPr>
                <w:rFonts w:hint="eastAsia" w:ascii="Calibri" w:hAnsi="Calibri" w:cs="Calibri"/>
                <w:color w:val="auto"/>
                <w:sz w:val="24"/>
              </w:rPr>
              <w:t>工艺流程简述：金属锻件外包给其他产商制作金加工和线切割后使用摇臂钻床等对其进行钻孔，此工序产生</w:t>
            </w:r>
            <w:ins w:id="559" w:author="Sunny" w:date="2022-12-28T10:00:00Z">
              <w:r>
                <w:rPr>
                  <w:rFonts w:hint="eastAsia" w:ascii="Calibri" w:hAnsi="Calibri" w:cs="Calibri"/>
                  <w:color w:val="auto"/>
                  <w:sz w:val="24"/>
                </w:rPr>
                <w:t>钢屑</w:t>
              </w:r>
            </w:ins>
            <w:r>
              <w:rPr>
                <w:rFonts w:hint="eastAsia" w:ascii="Calibri" w:hAnsi="Calibri" w:cs="Calibri"/>
                <w:color w:val="auto"/>
                <w:sz w:val="24"/>
              </w:rPr>
              <w:t>（S</w:t>
            </w:r>
            <w:r>
              <w:rPr>
                <w:rFonts w:hint="eastAsia" w:ascii="Calibri" w:hAnsi="Calibri" w:cs="Calibri"/>
                <w:color w:val="auto"/>
                <w:sz w:val="24"/>
                <w:vertAlign w:val="subscript"/>
              </w:rPr>
              <w:t>3-1</w:t>
            </w:r>
            <w:r>
              <w:rPr>
                <w:rFonts w:hint="eastAsia" w:ascii="Calibri" w:hAnsi="Calibri" w:cs="Calibri"/>
                <w:color w:val="auto"/>
                <w:sz w:val="24"/>
              </w:rPr>
              <w:t>）、噪声（N</w:t>
            </w:r>
            <w:r>
              <w:rPr>
                <w:rFonts w:hint="eastAsia" w:ascii="Calibri" w:hAnsi="Calibri" w:cs="Calibri"/>
                <w:color w:val="auto"/>
                <w:sz w:val="24"/>
                <w:vertAlign w:val="subscript"/>
              </w:rPr>
              <w:t>3-1</w:t>
            </w:r>
            <w:r>
              <w:rPr>
                <w:rFonts w:hint="eastAsia" w:ascii="Calibri" w:hAnsi="Calibri" w:cs="Calibri"/>
                <w:color w:val="auto"/>
                <w:sz w:val="24"/>
              </w:rPr>
              <w:t>），其后按照客户要求进行装配，此工序产生不合格品（S</w:t>
            </w:r>
            <w:r>
              <w:rPr>
                <w:rFonts w:hint="eastAsia" w:ascii="Calibri" w:hAnsi="Calibri" w:cs="Calibri"/>
                <w:color w:val="auto"/>
                <w:sz w:val="24"/>
                <w:vertAlign w:val="subscript"/>
              </w:rPr>
              <w:t>3-2</w:t>
            </w:r>
            <w:r>
              <w:rPr>
                <w:rFonts w:hint="eastAsia" w:ascii="Calibri" w:hAnsi="Calibri" w:cs="Calibri"/>
                <w:color w:val="auto"/>
                <w:sz w:val="24"/>
              </w:rPr>
              <w:t>），最终成品自用。不合格品直接报废处理。</w:t>
            </w:r>
            <w:r>
              <w:rPr>
                <w:rFonts w:hint="eastAsia" w:ascii="Calibri" w:hAnsi="Calibri" w:cs="Calibri"/>
                <w:color w:val="auto"/>
                <w:sz w:val="24"/>
                <w:lang w:val="en-US" w:eastAsia="zh-CN"/>
              </w:rPr>
              <w:t>偶尔使用工具磨、摇臂万能铣床、平面磨床辅助模具维修。</w:t>
            </w:r>
          </w:p>
          <w:p>
            <w:pPr>
              <w:pStyle w:val="58"/>
              <w:spacing w:line="360" w:lineRule="auto"/>
              <w:ind w:firstLine="480"/>
              <w:rPr>
                <w:rFonts w:ascii="Calibri" w:hAnsi="Calibri" w:cs="Calibri"/>
                <w:color w:val="auto"/>
                <w:sz w:val="24"/>
              </w:rPr>
            </w:pPr>
          </w:p>
          <w:p>
            <w:pPr>
              <w:pStyle w:val="58"/>
              <w:spacing w:line="360" w:lineRule="auto"/>
              <w:ind w:firstLine="480"/>
              <w:rPr>
                <w:rFonts w:ascii="Calibri" w:hAnsi="Calibri" w:cs="Calibri"/>
                <w:color w:val="auto"/>
                <w:sz w:val="24"/>
              </w:rPr>
            </w:pPr>
          </w:p>
          <w:p>
            <w:pPr>
              <w:pStyle w:val="58"/>
              <w:spacing w:line="360" w:lineRule="auto"/>
              <w:ind w:firstLine="480"/>
              <w:rPr>
                <w:rFonts w:ascii="Calibri" w:hAnsi="Calibri" w:cs="Calibri"/>
                <w:color w:val="auto"/>
                <w:sz w:val="24"/>
              </w:rPr>
            </w:pPr>
          </w:p>
          <w:p>
            <w:pPr>
              <w:pStyle w:val="58"/>
              <w:spacing w:line="360" w:lineRule="auto"/>
              <w:ind w:left="0" w:leftChars="0" w:firstLine="0" w:firstLineChars="0"/>
              <w:rPr>
                <w:rFonts w:ascii="Calibri" w:hAnsi="Calibri" w:cs="Calibri"/>
                <w:color w:val="auto"/>
                <w:sz w:val="24"/>
              </w:rPr>
            </w:pPr>
          </w:p>
        </w:tc>
      </w:tr>
    </w:tbl>
    <w:p>
      <w:pPr>
        <w:rPr>
          <w:rFonts w:eastAsia="黑体"/>
          <w:snapToGrid w:val="0"/>
          <w:color w:val="auto"/>
          <w:sz w:val="30"/>
          <w:szCs w:val="30"/>
        </w:rPr>
        <w:sectPr>
          <w:pgSz w:w="11906" w:h="16838"/>
          <w:pgMar w:top="1440" w:right="1797" w:bottom="1440" w:left="1797" w:header="851" w:footer="992" w:gutter="0"/>
          <w:pgBorders>
            <w:top w:val="none" w:sz="0" w:space="0"/>
            <w:left w:val="none" w:sz="0" w:space="0"/>
            <w:bottom w:val="none" w:sz="0" w:space="0"/>
            <w:right w:val="none" w:sz="0" w:space="0"/>
          </w:pgBorders>
          <w:cols w:space="0" w:num="1"/>
          <w:docGrid w:type="lines" w:linePitch="319"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
        <w:gridCol w:w="8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3" w:hRule="atLeast"/>
        </w:trPr>
        <w:tc>
          <w:tcPr>
            <w:tcW w:w="283" w:type="dxa"/>
          </w:tcPr>
          <w:p>
            <w:pPr>
              <w:pStyle w:val="2"/>
              <w:rPr>
                <w:rFonts w:ascii="Calibri" w:hAnsi="Calibri" w:cs="Calibri"/>
                <w:color w:val="auto"/>
              </w:rPr>
            </w:pPr>
          </w:p>
        </w:tc>
        <w:tc>
          <w:tcPr>
            <w:tcW w:w="8233" w:type="dxa"/>
          </w:tcPr>
          <w:p>
            <w:pPr>
              <w:pStyle w:val="16"/>
              <w:ind w:left="0" w:leftChars="0" w:firstLine="0" w:firstLineChars="0"/>
              <w:rPr>
                <w:rFonts w:ascii="Calibri" w:hAnsi="Calibri" w:cs="Calibri"/>
                <w:b/>
                <w:bCs/>
                <w:color w:val="auto"/>
                <w:sz w:val="24"/>
                <w:szCs w:val="24"/>
              </w:rPr>
            </w:pPr>
            <w:r>
              <w:rPr>
                <w:rFonts w:ascii="Calibri" w:hAnsi="Calibri" w:cs="Calibri"/>
                <w:b/>
                <w:bCs/>
                <w:color w:val="auto"/>
                <w:sz w:val="24"/>
                <w:szCs w:val="24"/>
              </w:rPr>
              <w:t>其他产污环节：</w:t>
            </w:r>
          </w:p>
          <w:p>
            <w:pPr>
              <w:keepNext w:val="0"/>
              <w:keepLines w:val="0"/>
              <w:pageBreakBefore w:val="0"/>
              <w:numPr>
                <w:ilvl w:val="0"/>
                <w:numId w:val="9"/>
              </w:numPr>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纯水制备过程中产生的废滤芯、废RO膜等废过滤介质、纯水制备浓水、纯水设备反冲洗废、废活性炭；</w:t>
            </w:r>
          </w:p>
          <w:p>
            <w:pPr>
              <w:keepNext w:val="0"/>
              <w:keepLines w:val="0"/>
              <w:pageBreakBefore w:val="0"/>
              <w:numPr>
                <w:ilvl w:val="0"/>
                <w:numId w:val="9"/>
              </w:numPr>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废气处理过程中产生的废活性炭、废滤筒、除尘器收集打磨毛刺。</w:t>
            </w:r>
          </w:p>
          <w:p>
            <w:pPr>
              <w:keepNext w:val="0"/>
              <w:keepLines w:val="0"/>
              <w:pageBreakBefore w:val="0"/>
              <w:numPr>
                <w:ilvl w:val="0"/>
                <w:numId w:val="9"/>
              </w:numPr>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生产废水处理过程产生压滤污泥、废滤芯、浓缩液、废包装桶，生活污水沉淀捞渣。</w:t>
            </w:r>
          </w:p>
          <w:p>
            <w:pPr>
              <w:keepNext w:val="0"/>
              <w:keepLines w:val="0"/>
              <w:pageBreakBefore w:val="0"/>
              <w:numPr>
                <w:ilvl w:val="0"/>
                <w:numId w:val="9"/>
              </w:numPr>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本项目原料使用及产品包装过程中会产生废包装物、废包装桶。</w:t>
            </w:r>
          </w:p>
          <w:p>
            <w:pPr>
              <w:keepNext w:val="0"/>
              <w:keepLines w:val="0"/>
              <w:pageBreakBefore w:val="0"/>
              <w:numPr>
                <w:ilvl w:val="0"/>
                <w:numId w:val="9"/>
              </w:numPr>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在设备保养维护过程中产生的含油抹布、手套等；</w:t>
            </w:r>
          </w:p>
          <w:p>
            <w:pPr>
              <w:keepNext w:val="0"/>
              <w:keepLines w:val="0"/>
              <w:pageBreakBefore w:val="0"/>
              <w:numPr>
                <w:ilvl w:val="0"/>
                <w:numId w:val="9"/>
              </w:numPr>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设备检修、保养过程中定期更换的废液压油、废润滑油。</w:t>
            </w:r>
          </w:p>
          <w:p>
            <w:pPr>
              <w:keepNext w:val="0"/>
              <w:keepLines w:val="0"/>
              <w:pageBreakBefore w:val="0"/>
              <w:numPr>
                <w:ilvl w:val="0"/>
                <w:numId w:val="9"/>
              </w:numPr>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喷粉工段配套废气处理设施定期</w:t>
            </w:r>
            <w:r>
              <w:rPr>
                <w:rFonts w:hint="default" w:ascii="Times New Roman" w:hAnsi="Times New Roman" w:eastAsia="宋体" w:cs="Times New Roman"/>
                <w:color w:val="auto"/>
                <w:sz w:val="24"/>
                <w:szCs w:val="24"/>
              </w:rPr>
              <w:t>清理的塑粉粉尘回用于喷塑工段，根据《固体废物鉴别标准 通则》（GB34330-2017）中“6.1以下物质不作为固体废物管理）任何不需要修复和加工即可用于其原始用途的物质，或者在产生点经过修复和加工后满足国家、地方制定或行业通行的产品质量标准并且用于其原始用途的物质”，因此喷粉工段配套废气处理设施清理产生的塑粉粉尘不作为危废管理。</w:t>
            </w:r>
          </w:p>
          <w:p>
            <w:pPr>
              <w:pStyle w:val="2"/>
              <w:keepNext w:val="0"/>
              <w:keepLines w:val="0"/>
              <w:pageBreakBefore w:val="0"/>
              <w:numPr>
                <w:ilvl w:val="0"/>
                <w:numId w:val="9"/>
              </w:numPr>
              <w:kinsoku/>
              <w:wordWrap/>
              <w:overflowPunct/>
              <w:topLinePunct w:val="0"/>
              <w:autoSpaceDE/>
              <w:autoSpaceDN/>
              <w:bidi w:val="0"/>
              <w:adjustRightInd/>
              <w:snapToGrid/>
              <w:spacing w:before="0" w:after="0" w:line="360" w:lineRule="auto"/>
              <w:ind w:right="0" w:firstLine="480" w:firstLineChars="200"/>
              <w:contextualSpacing/>
              <w:textAlignment w:val="auto"/>
              <w:rPr>
                <w:rFonts w:cs="Calibri" w:asciiTheme="minorEastAsia" w:hAnsiTheme="minorEastAsia" w:eastAsiaTheme="minorEastAsia"/>
                <w:color w:val="auto"/>
                <w:sz w:val="24"/>
                <w:szCs w:val="24"/>
              </w:rPr>
            </w:pPr>
            <w:r>
              <w:rPr>
                <w:rFonts w:hint="eastAsia" w:cs="Calibri" w:asciiTheme="minorEastAsia" w:hAnsiTheme="minorEastAsia" w:eastAsiaTheme="minorEastAsia"/>
                <w:color w:val="auto"/>
                <w:sz w:val="24"/>
                <w:szCs w:val="24"/>
              </w:rPr>
              <w:t>办公</w:t>
            </w:r>
            <w:r>
              <w:rPr>
                <w:rFonts w:cs="Calibri" w:asciiTheme="minorEastAsia" w:hAnsiTheme="minorEastAsia" w:eastAsiaTheme="minorEastAsia"/>
                <w:color w:val="auto"/>
                <w:sz w:val="24"/>
                <w:szCs w:val="24"/>
              </w:rPr>
              <w:t>、</w:t>
            </w:r>
            <w:r>
              <w:rPr>
                <w:rFonts w:hint="eastAsia" w:cs="Calibri" w:asciiTheme="minorEastAsia" w:hAnsiTheme="minorEastAsia" w:eastAsiaTheme="minorEastAsia"/>
                <w:color w:val="auto"/>
                <w:sz w:val="24"/>
                <w:szCs w:val="24"/>
              </w:rPr>
              <w:t>生活中产生生活垃圾。</w:t>
            </w:r>
          </w:p>
          <w:p>
            <w:pPr>
              <w:pStyle w:val="9"/>
              <w:adjustRightInd w:val="0"/>
              <w:jc w:val="left"/>
              <w:rPr>
                <w:rFonts w:ascii="Times New Roman" w:hAnsi="Times New Roman" w:eastAsia="宋体" w:cs="Times New Roman"/>
                <w:b/>
                <w:color w:val="auto"/>
                <w:kern w:val="0"/>
                <w:sz w:val="24"/>
              </w:rPr>
            </w:pPr>
            <w:r>
              <w:rPr>
                <w:rFonts w:ascii="Times New Roman" w:hAnsi="Times New Roman" w:eastAsia="宋体" w:cs="Times New Roman"/>
                <w:b/>
                <w:color w:val="auto"/>
                <w:sz w:val="24"/>
              </w:rPr>
              <w:t>2、污染物产生及排放情况</w:t>
            </w:r>
          </w:p>
          <w:p>
            <w:pPr>
              <w:widowControl/>
              <w:numPr>
                <w:ilvl w:val="0"/>
                <w:numId w:val="4"/>
              </w:numPr>
              <w:jc w:val="center"/>
              <w:rPr>
                <w:rFonts w:ascii="Calibri" w:hAnsi="Calibri" w:cs="Calibri"/>
                <w:b/>
                <w:bCs/>
                <w:color w:val="auto"/>
                <w:sz w:val="24"/>
              </w:rPr>
            </w:pPr>
            <w:r>
              <w:rPr>
                <w:rFonts w:hint="eastAsia" w:ascii="Calibri" w:hAnsi="Calibri" w:cs="Calibri"/>
                <w:b/>
                <w:bCs/>
                <w:color w:val="auto"/>
                <w:sz w:val="24"/>
              </w:rPr>
              <w:t>主要产污环节和排污特征</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465"/>
              <w:gridCol w:w="624"/>
              <w:gridCol w:w="2387"/>
              <w:gridCol w:w="1445"/>
              <w:gridCol w:w="669"/>
              <w:gridCol w:w="242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Align w:val="center"/>
                </w:tcPr>
                <w:p>
                  <w:pPr>
                    <w:widowControl/>
                    <w:jc w:val="center"/>
                    <w:rPr>
                      <w:b/>
                      <w:bCs/>
                      <w:color w:val="auto"/>
                      <w:szCs w:val="21"/>
                    </w:rPr>
                  </w:pPr>
                  <w:r>
                    <w:rPr>
                      <w:b/>
                      <w:bCs/>
                      <w:color w:val="auto"/>
                      <w:szCs w:val="21"/>
                    </w:rPr>
                    <w:t>类别</w:t>
                  </w:r>
                </w:p>
              </w:tc>
              <w:tc>
                <w:tcPr>
                  <w:tcW w:w="389" w:type="pct"/>
                  <w:vAlign w:val="center"/>
                </w:tcPr>
                <w:p>
                  <w:pPr>
                    <w:widowControl/>
                    <w:jc w:val="center"/>
                    <w:rPr>
                      <w:b/>
                      <w:bCs/>
                      <w:color w:val="auto"/>
                      <w:szCs w:val="21"/>
                    </w:rPr>
                  </w:pPr>
                  <w:r>
                    <w:rPr>
                      <w:b/>
                      <w:bCs/>
                      <w:color w:val="auto"/>
                      <w:szCs w:val="21"/>
                    </w:rPr>
                    <w:t>代码</w:t>
                  </w:r>
                </w:p>
              </w:tc>
              <w:tc>
                <w:tcPr>
                  <w:tcW w:w="1488" w:type="pct"/>
                  <w:vAlign w:val="center"/>
                </w:tcPr>
                <w:p>
                  <w:pPr>
                    <w:widowControl/>
                    <w:jc w:val="center"/>
                    <w:rPr>
                      <w:b/>
                      <w:bCs/>
                      <w:color w:val="auto"/>
                      <w:szCs w:val="21"/>
                    </w:rPr>
                  </w:pPr>
                  <w:r>
                    <w:rPr>
                      <w:b/>
                      <w:bCs/>
                      <w:color w:val="auto"/>
                      <w:szCs w:val="21"/>
                    </w:rPr>
                    <w:t>产生点</w:t>
                  </w:r>
                </w:p>
              </w:tc>
              <w:tc>
                <w:tcPr>
                  <w:tcW w:w="901" w:type="pct"/>
                  <w:vAlign w:val="center"/>
                </w:tcPr>
                <w:p>
                  <w:pPr>
                    <w:widowControl/>
                    <w:jc w:val="center"/>
                    <w:rPr>
                      <w:b/>
                      <w:bCs/>
                      <w:color w:val="auto"/>
                      <w:szCs w:val="21"/>
                    </w:rPr>
                  </w:pPr>
                  <w:r>
                    <w:rPr>
                      <w:b/>
                      <w:bCs/>
                      <w:color w:val="auto"/>
                      <w:szCs w:val="21"/>
                    </w:rPr>
                    <w:t>污染物</w:t>
                  </w:r>
                </w:p>
              </w:tc>
              <w:tc>
                <w:tcPr>
                  <w:tcW w:w="417" w:type="pct"/>
                  <w:vAlign w:val="center"/>
                </w:tcPr>
                <w:p>
                  <w:pPr>
                    <w:widowControl/>
                    <w:jc w:val="center"/>
                    <w:rPr>
                      <w:b/>
                      <w:bCs/>
                      <w:color w:val="auto"/>
                      <w:szCs w:val="21"/>
                    </w:rPr>
                  </w:pPr>
                  <w:r>
                    <w:rPr>
                      <w:b/>
                      <w:bCs/>
                      <w:color w:val="auto"/>
                      <w:szCs w:val="21"/>
                    </w:rPr>
                    <w:t>特征</w:t>
                  </w:r>
                </w:p>
              </w:tc>
              <w:tc>
                <w:tcPr>
                  <w:tcW w:w="1513" w:type="pct"/>
                  <w:vAlign w:val="center"/>
                </w:tcPr>
                <w:p>
                  <w:pPr>
                    <w:widowControl/>
                    <w:jc w:val="center"/>
                    <w:rPr>
                      <w:b/>
                      <w:bCs/>
                      <w:color w:val="auto"/>
                      <w:szCs w:val="21"/>
                    </w:rPr>
                  </w:pPr>
                  <w:r>
                    <w:rPr>
                      <w:b/>
                      <w:bCs/>
                      <w:color w:val="auto"/>
                      <w:szCs w:val="21"/>
                    </w:rPr>
                    <w:t>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restart"/>
                  <w:vAlign w:val="center"/>
                </w:tcPr>
                <w:p>
                  <w:pPr>
                    <w:jc w:val="center"/>
                    <w:rPr>
                      <w:bCs/>
                      <w:color w:val="auto"/>
                      <w:szCs w:val="21"/>
                    </w:rPr>
                  </w:pPr>
                  <w:r>
                    <w:rPr>
                      <w:bCs/>
                      <w:color w:val="auto"/>
                      <w:szCs w:val="21"/>
                    </w:rPr>
                    <w:t>废气</w:t>
                  </w:r>
                </w:p>
              </w:tc>
              <w:tc>
                <w:tcPr>
                  <w:tcW w:w="389" w:type="pct"/>
                  <w:vAlign w:val="center"/>
                </w:tcPr>
                <w:p>
                  <w:pPr>
                    <w:adjustRightInd w:val="0"/>
                    <w:snapToGrid w:val="0"/>
                    <w:spacing w:line="240" w:lineRule="exact"/>
                    <w:jc w:val="center"/>
                    <w:rPr>
                      <w:bCs/>
                      <w:color w:val="auto"/>
                      <w:szCs w:val="21"/>
                    </w:rPr>
                  </w:pPr>
                  <w:r>
                    <w:rPr>
                      <w:color w:val="auto"/>
                    </w:rPr>
                    <w:t>G</w:t>
                  </w:r>
                  <w:r>
                    <w:rPr>
                      <w:color w:val="auto"/>
                      <w:vertAlign w:val="subscript"/>
                    </w:rPr>
                    <w:t>1-1</w:t>
                  </w:r>
                </w:p>
              </w:tc>
              <w:tc>
                <w:tcPr>
                  <w:tcW w:w="1488" w:type="pct"/>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冲压件检验打磨毛刺工序</w:t>
                  </w:r>
                </w:p>
              </w:tc>
              <w:tc>
                <w:tcPr>
                  <w:tcW w:w="901" w:type="pct"/>
                  <w:vAlign w:val="center"/>
                </w:tcPr>
                <w:p>
                  <w:pPr>
                    <w:pStyle w:val="73"/>
                    <w:adjustRightInd w:val="0"/>
                    <w:snapToGrid w:val="0"/>
                    <w:spacing w:line="240" w:lineRule="exact"/>
                    <w:rPr>
                      <w:rFonts w:ascii="Times New Roman" w:hAnsi="Times New Roman" w:eastAsia="宋体"/>
                      <w:bCs/>
                      <w:color w:val="auto"/>
                      <w:sz w:val="21"/>
                      <w:szCs w:val="21"/>
                    </w:rPr>
                  </w:pPr>
                  <w:r>
                    <w:rPr>
                      <w:rFonts w:hint="eastAsia" w:ascii="Times New Roman" w:hAnsi="Times New Roman" w:eastAsia="宋体"/>
                      <w:color w:val="auto"/>
                      <w:sz w:val="21"/>
                      <w:szCs w:val="21"/>
                    </w:rPr>
                    <w:t>颗粒物</w:t>
                  </w:r>
                </w:p>
              </w:tc>
              <w:tc>
                <w:tcPr>
                  <w:tcW w:w="417" w:type="pct"/>
                  <w:vAlign w:val="center"/>
                </w:tcPr>
                <w:p>
                  <w:pPr>
                    <w:adjustRightInd w:val="0"/>
                    <w:snapToGrid w:val="0"/>
                    <w:spacing w:line="240" w:lineRule="exact"/>
                    <w:jc w:val="center"/>
                    <w:rPr>
                      <w:bCs/>
                      <w:color w:val="auto"/>
                      <w:szCs w:val="21"/>
                    </w:rPr>
                  </w:pPr>
                  <w:r>
                    <w:rPr>
                      <w:bCs/>
                      <w:color w:val="auto"/>
                      <w:szCs w:val="21"/>
                    </w:rPr>
                    <w:t>间歇</w:t>
                  </w:r>
                </w:p>
              </w:tc>
              <w:tc>
                <w:tcPr>
                  <w:tcW w:w="1513" w:type="pct"/>
                  <w:vAlign w:val="center"/>
                </w:tcPr>
                <w:p>
                  <w:pPr>
                    <w:pStyle w:val="48"/>
                    <w:rPr>
                      <w:rFonts w:ascii="Times New Roman" w:hAnsi="Times New Roman" w:eastAsia="宋体"/>
                      <w:color w:val="auto"/>
                      <w:sz w:val="21"/>
                      <w:szCs w:val="21"/>
                    </w:rPr>
                  </w:pPr>
                  <w:r>
                    <w:rPr>
                      <w:rFonts w:hint="eastAsia" w:ascii="Times New Roman" w:hAnsi="Times New Roman" w:eastAsia="宋体"/>
                      <w:color w:val="auto"/>
                      <w:sz w:val="21"/>
                      <w:szCs w:val="21"/>
                    </w:rPr>
                    <w:t>集气罩+袋式除尘器，其余空间内无组织排放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G</w:t>
                  </w:r>
                  <w:r>
                    <w:rPr>
                      <w:rFonts w:hint="eastAsia" w:ascii="Times New Roman" w:hAnsi="Times New Roman" w:eastAsia="宋体"/>
                      <w:color w:val="auto"/>
                      <w:sz w:val="21"/>
                      <w:szCs w:val="21"/>
                      <w:vertAlign w:val="subscript"/>
                    </w:rPr>
                    <w:t>2-1</w:t>
                  </w:r>
                </w:p>
              </w:tc>
              <w:tc>
                <w:tcPr>
                  <w:tcW w:w="1488" w:type="pct"/>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预脱脂槽天然气加热废气</w:t>
                  </w:r>
                </w:p>
              </w:tc>
              <w:tc>
                <w:tcPr>
                  <w:tcW w:w="901" w:type="pct"/>
                  <w:vMerge w:val="restar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颗粒物、二氧化硫、氮氧化物</w:t>
                  </w:r>
                </w:p>
              </w:tc>
              <w:tc>
                <w:tcPr>
                  <w:tcW w:w="417" w:type="pct"/>
                  <w:vMerge w:val="restart"/>
                  <w:vAlign w:val="center"/>
                </w:tcPr>
                <w:p>
                  <w:pPr>
                    <w:adjustRightInd w:val="0"/>
                    <w:snapToGrid w:val="0"/>
                    <w:spacing w:line="240" w:lineRule="exact"/>
                    <w:jc w:val="center"/>
                    <w:rPr>
                      <w:color w:val="auto"/>
                    </w:rPr>
                  </w:pPr>
                  <w:r>
                    <w:rPr>
                      <w:bCs/>
                      <w:color w:val="auto"/>
                      <w:szCs w:val="21"/>
                    </w:rPr>
                    <w:t>连续</w:t>
                  </w:r>
                </w:p>
              </w:tc>
              <w:tc>
                <w:tcPr>
                  <w:tcW w:w="1513" w:type="pct"/>
                  <w:vMerge w:val="restart"/>
                  <w:vAlign w:val="center"/>
                </w:tcPr>
                <w:p>
                  <w:pPr>
                    <w:pStyle w:val="48"/>
                    <w:rPr>
                      <w:rFonts w:ascii="Times New Roman" w:hAnsi="Times New Roman" w:eastAsia="宋体"/>
                      <w:color w:val="auto"/>
                      <w:sz w:val="21"/>
                      <w:szCs w:val="21"/>
                    </w:rPr>
                  </w:pPr>
                  <w:r>
                    <w:rPr>
                      <w:rFonts w:hint="eastAsia" w:ascii="Times New Roman" w:hAnsi="Times New Roman" w:eastAsia="宋体"/>
                      <w:color w:val="auto"/>
                      <w:sz w:val="21"/>
                      <w:szCs w:val="21"/>
                    </w:rPr>
                    <w:t>经</w:t>
                  </w:r>
                  <w:r>
                    <w:rPr>
                      <w:rFonts w:ascii="Times New Roman" w:hAnsi="Times New Roman" w:eastAsia="宋体"/>
                      <w:color w:val="auto"/>
                      <w:sz w:val="21"/>
                      <w:szCs w:val="21"/>
                    </w:rPr>
                    <w:t>15m高排气筒（DA0</w:t>
                  </w:r>
                  <w:r>
                    <w:rPr>
                      <w:rFonts w:hint="eastAsia" w:ascii="Times New Roman" w:hAnsi="Times New Roman" w:eastAsia="宋体"/>
                      <w:color w:val="auto"/>
                      <w:sz w:val="21"/>
                      <w:szCs w:val="21"/>
                    </w:rPr>
                    <w:t>01</w:t>
                  </w:r>
                  <w:r>
                    <w:rPr>
                      <w:rFonts w:ascii="Times New Roman" w:hAnsi="Times New Roman" w:eastAsia="宋体"/>
                      <w:color w:val="auto"/>
                      <w:sz w:val="21"/>
                      <w:szCs w:val="21"/>
                    </w:rPr>
                    <w:t>）排</w:t>
                  </w:r>
                  <w:r>
                    <w:rPr>
                      <w:rFonts w:hint="eastAsia" w:ascii="Times New Roman" w:hAnsi="Times New Roman" w:eastAsia="宋体"/>
                      <w:color w:val="auto"/>
                      <w:sz w:val="21"/>
                      <w:szCs w:val="21"/>
                    </w:rPr>
                    <w:t>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G</w:t>
                  </w:r>
                  <w:r>
                    <w:rPr>
                      <w:rFonts w:hint="eastAsia" w:ascii="Times New Roman" w:hAnsi="Times New Roman" w:eastAsia="宋体"/>
                      <w:color w:val="auto"/>
                      <w:sz w:val="21"/>
                      <w:szCs w:val="21"/>
                      <w:vertAlign w:val="subscript"/>
                    </w:rPr>
                    <w:t>2-2</w:t>
                  </w:r>
                </w:p>
              </w:tc>
              <w:tc>
                <w:tcPr>
                  <w:tcW w:w="1488" w:type="pct"/>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脱脂槽天然气加热废气</w:t>
                  </w:r>
                </w:p>
              </w:tc>
              <w:tc>
                <w:tcPr>
                  <w:tcW w:w="901" w:type="pct"/>
                  <w:vMerge w:val="continue"/>
                  <w:vAlign w:val="center"/>
                </w:tcPr>
                <w:p>
                  <w:pPr>
                    <w:pStyle w:val="73"/>
                    <w:adjustRightInd w:val="0"/>
                    <w:snapToGrid w:val="0"/>
                    <w:spacing w:line="240" w:lineRule="exact"/>
                    <w:rPr>
                      <w:rFonts w:ascii="Times New Roman" w:hAnsi="Times New Roman" w:eastAsia="宋体"/>
                      <w:color w:val="auto"/>
                      <w:sz w:val="21"/>
                      <w:szCs w:val="21"/>
                    </w:rPr>
                  </w:pPr>
                </w:p>
              </w:tc>
              <w:tc>
                <w:tcPr>
                  <w:tcW w:w="417" w:type="pct"/>
                  <w:vMerge w:val="continue"/>
                  <w:vAlign w:val="center"/>
                </w:tcPr>
                <w:p>
                  <w:pPr>
                    <w:adjustRightInd w:val="0"/>
                    <w:snapToGrid w:val="0"/>
                    <w:spacing w:line="240" w:lineRule="exact"/>
                    <w:jc w:val="center"/>
                    <w:rPr>
                      <w:bCs/>
                      <w:color w:val="auto"/>
                      <w:szCs w:val="21"/>
                    </w:rPr>
                  </w:pPr>
                </w:p>
              </w:tc>
              <w:tc>
                <w:tcPr>
                  <w:tcW w:w="1513" w:type="pct"/>
                  <w:vMerge w:val="continue"/>
                  <w:vAlign w:val="center"/>
                </w:tcPr>
                <w:p>
                  <w:pPr>
                    <w:pStyle w:val="48"/>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G</w:t>
                  </w:r>
                  <w:r>
                    <w:rPr>
                      <w:rFonts w:hint="eastAsia" w:ascii="Times New Roman" w:hAnsi="Times New Roman" w:eastAsia="宋体"/>
                      <w:color w:val="auto"/>
                      <w:sz w:val="21"/>
                      <w:szCs w:val="21"/>
                      <w:vertAlign w:val="subscript"/>
                    </w:rPr>
                    <w:t>2-3</w:t>
                  </w:r>
                </w:p>
              </w:tc>
              <w:tc>
                <w:tcPr>
                  <w:tcW w:w="1488" w:type="pct"/>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陶化段天然气加热废气</w:t>
                  </w:r>
                </w:p>
              </w:tc>
              <w:tc>
                <w:tcPr>
                  <w:tcW w:w="901" w:type="pct"/>
                  <w:vMerge w:val="continue"/>
                  <w:vAlign w:val="center"/>
                </w:tcPr>
                <w:p>
                  <w:pPr>
                    <w:pStyle w:val="73"/>
                    <w:adjustRightInd w:val="0"/>
                    <w:snapToGrid w:val="0"/>
                    <w:spacing w:line="240" w:lineRule="exact"/>
                    <w:rPr>
                      <w:rFonts w:ascii="Times New Roman" w:hAnsi="Times New Roman" w:eastAsia="宋体"/>
                      <w:color w:val="auto"/>
                      <w:sz w:val="21"/>
                      <w:szCs w:val="21"/>
                    </w:rPr>
                  </w:pPr>
                </w:p>
              </w:tc>
              <w:tc>
                <w:tcPr>
                  <w:tcW w:w="417" w:type="pct"/>
                  <w:vMerge w:val="continue"/>
                  <w:vAlign w:val="center"/>
                </w:tcPr>
                <w:p>
                  <w:pPr>
                    <w:adjustRightInd w:val="0"/>
                    <w:snapToGrid w:val="0"/>
                    <w:spacing w:line="240" w:lineRule="exact"/>
                    <w:jc w:val="center"/>
                    <w:rPr>
                      <w:bCs/>
                      <w:color w:val="auto"/>
                      <w:szCs w:val="21"/>
                    </w:rPr>
                  </w:pPr>
                </w:p>
              </w:tc>
              <w:tc>
                <w:tcPr>
                  <w:tcW w:w="1513" w:type="pct"/>
                  <w:vMerge w:val="continue"/>
                  <w:vAlign w:val="center"/>
                </w:tcPr>
                <w:p>
                  <w:pPr>
                    <w:pStyle w:val="48"/>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G</w:t>
                  </w:r>
                  <w:r>
                    <w:rPr>
                      <w:rFonts w:hint="eastAsia" w:ascii="Times New Roman" w:hAnsi="Times New Roman" w:eastAsia="宋体"/>
                      <w:color w:val="auto"/>
                      <w:sz w:val="21"/>
                      <w:szCs w:val="21"/>
                      <w:vertAlign w:val="subscript"/>
                    </w:rPr>
                    <w:t>2-4</w:t>
                  </w:r>
                </w:p>
              </w:tc>
              <w:tc>
                <w:tcPr>
                  <w:tcW w:w="1488" w:type="pct"/>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喷粉工艺水份烘干天然气燃烧废气</w:t>
                  </w:r>
                </w:p>
              </w:tc>
              <w:tc>
                <w:tcPr>
                  <w:tcW w:w="901" w:type="pct"/>
                  <w:vMerge w:val="continue"/>
                  <w:vAlign w:val="center"/>
                </w:tcPr>
                <w:p>
                  <w:pPr>
                    <w:pStyle w:val="73"/>
                    <w:adjustRightInd w:val="0"/>
                    <w:snapToGrid w:val="0"/>
                    <w:spacing w:line="240" w:lineRule="exact"/>
                    <w:rPr>
                      <w:rFonts w:ascii="Times New Roman" w:hAnsi="Times New Roman" w:eastAsia="宋体"/>
                      <w:color w:val="auto"/>
                      <w:sz w:val="21"/>
                      <w:szCs w:val="21"/>
                    </w:rPr>
                  </w:pPr>
                </w:p>
              </w:tc>
              <w:tc>
                <w:tcPr>
                  <w:tcW w:w="417" w:type="pct"/>
                  <w:vMerge w:val="continue"/>
                  <w:vAlign w:val="center"/>
                </w:tcPr>
                <w:p>
                  <w:pPr>
                    <w:adjustRightInd w:val="0"/>
                    <w:snapToGrid w:val="0"/>
                    <w:spacing w:line="240" w:lineRule="exact"/>
                    <w:jc w:val="center"/>
                    <w:rPr>
                      <w:bCs/>
                      <w:color w:val="auto"/>
                      <w:szCs w:val="21"/>
                    </w:rPr>
                  </w:pPr>
                </w:p>
              </w:tc>
              <w:tc>
                <w:tcPr>
                  <w:tcW w:w="1513" w:type="pct"/>
                  <w:vMerge w:val="continue"/>
                  <w:vAlign w:val="center"/>
                </w:tcPr>
                <w:p>
                  <w:pPr>
                    <w:pStyle w:val="48"/>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G</w:t>
                  </w:r>
                  <w:r>
                    <w:rPr>
                      <w:rFonts w:hint="eastAsia" w:ascii="Times New Roman" w:hAnsi="Times New Roman" w:eastAsia="宋体"/>
                      <w:color w:val="auto"/>
                      <w:sz w:val="21"/>
                      <w:szCs w:val="21"/>
                      <w:vertAlign w:val="subscript"/>
                    </w:rPr>
                    <w:t>2-7</w:t>
                  </w:r>
                </w:p>
              </w:tc>
              <w:tc>
                <w:tcPr>
                  <w:tcW w:w="1488" w:type="pct"/>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粉末固化段天然气燃烧废气</w:t>
                  </w:r>
                </w:p>
              </w:tc>
              <w:tc>
                <w:tcPr>
                  <w:tcW w:w="901" w:type="pct"/>
                  <w:vMerge w:val="continue"/>
                  <w:vAlign w:val="center"/>
                </w:tcPr>
                <w:p>
                  <w:pPr>
                    <w:pStyle w:val="73"/>
                    <w:adjustRightInd w:val="0"/>
                    <w:snapToGrid w:val="0"/>
                    <w:spacing w:line="240" w:lineRule="exact"/>
                    <w:rPr>
                      <w:rFonts w:ascii="Times New Roman" w:hAnsi="Times New Roman" w:eastAsia="宋体"/>
                      <w:color w:val="auto"/>
                      <w:sz w:val="21"/>
                      <w:szCs w:val="21"/>
                    </w:rPr>
                  </w:pPr>
                </w:p>
              </w:tc>
              <w:tc>
                <w:tcPr>
                  <w:tcW w:w="417" w:type="pct"/>
                  <w:vMerge w:val="continue"/>
                  <w:vAlign w:val="center"/>
                </w:tcPr>
                <w:p>
                  <w:pPr>
                    <w:adjustRightInd w:val="0"/>
                    <w:snapToGrid w:val="0"/>
                    <w:spacing w:line="240" w:lineRule="exact"/>
                    <w:jc w:val="center"/>
                    <w:rPr>
                      <w:bCs/>
                      <w:color w:val="auto"/>
                      <w:szCs w:val="21"/>
                    </w:rPr>
                  </w:pPr>
                </w:p>
              </w:tc>
              <w:tc>
                <w:tcPr>
                  <w:tcW w:w="1513" w:type="pct"/>
                  <w:vMerge w:val="continue"/>
                  <w:vAlign w:val="center"/>
                </w:tcPr>
                <w:p>
                  <w:pPr>
                    <w:pStyle w:val="48"/>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G</w:t>
                  </w:r>
                  <w:r>
                    <w:rPr>
                      <w:rFonts w:hint="eastAsia" w:ascii="Times New Roman" w:hAnsi="Times New Roman" w:eastAsia="宋体"/>
                      <w:color w:val="auto"/>
                      <w:sz w:val="21"/>
                      <w:szCs w:val="21"/>
                      <w:vertAlign w:val="subscript"/>
                    </w:rPr>
                    <w:t>2-5</w:t>
                  </w:r>
                </w:p>
              </w:tc>
              <w:tc>
                <w:tcPr>
                  <w:tcW w:w="1488" w:type="pct"/>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喷粉</w:t>
                  </w:r>
                </w:p>
              </w:tc>
              <w:tc>
                <w:tcPr>
                  <w:tcW w:w="901" w:type="pc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颗粒物</w:t>
                  </w:r>
                </w:p>
              </w:tc>
              <w:tc>
                <w:tcPr>
                  <w:tcW w:w="417" w:type="pct"/>
                  <w:vAlign w:val="center"/>
                </w:tcPr>
                <w:p>
                  <w:pPr>
                    <w:adjustRightInd w:val="0"/>
                    <w:snapToGrid w:val="0"/>
                    <w:spacing w:line="240" w:lineRule="exact"/>
                    <w:jc w:val="center"/>
                    <w:rPr>
                      <w:color w:val="auto"/>
                    </w:rPr>
                  </w:pPr>
                  <w:r>
                    <w:rPr>
                      <w:bCs/>
                      <w:color w:val="auto"/>
                      <w:szCs w:val="21"/>
                    </w:rPr>
                    <w:t>连续</w:t>
                  </w:r>
                </w:p>
              </w:tc>
              <w:tc>
                <w:tcPr>
                  <w:tcW w:w="1513" w:type="pct"/>
                  <w:vAlign w:val="center"/>
                </w:tcPr>
                <w:p>
                  <w:pPr>
                    <w:pStyle w:val="48"/>
                    <w:rPr>
                      <w:rFonts w:ascii="Times New Roman" w:hAnsi="Times New Roman" w:eastAsia="宋体"/>
                      <w:color w:val="auto"/>
                      <w:sz w:val="21"/>
                      <w:szCs w:val="21"/>
                    </w:rPr>
                  </w:pPr>
                  <w:r>
                    <w:rPr>
                      <w:rFonts w:hint="eastAsia" w:ascii="Times New Roman" w:hAnsi="Times New Roman" w:eastAsia="宋体"/>
                      <w:color w:val="auto"/>
                      <w:sz w:val="21"/>
                      <w:szCs w:val="21"/>
                    </w:rPr>
                    <w:t>1套旋风+滤芯回收系统处理+15m排气筒（DA002）排放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G</w:t>
                  </w:r>
                  <w:r>
                    <w:rPr>
                      <w:rFonts w:hint="eastAsia" w:ascii="Times New Roman" w:hAnsi="Times New Roman" w:eastAsia="宋体"/>
                      <w:color w:val="auto"/>
                      <w:sz w:val="21"/>
                      <w:szCs w:val="21"/>
                      <w:vertAlign w:val="subscript"/>
                    </w:rPr>
                    <w:t>2-6</w:t>
                  </w:r>
                </w:p>
              </w:tc>
              <w:tc>
                <w:tcPr>
                  <w:tcW w:w="1488" w:type="pct"/>
                  <w:vAlign w:val="center"/>
                </w:tcPr>
                <w:p>
                  <w:pPr>
                    <w:pStyle w:val="73"/>
                    <w:adjustRightInd w:val="0"/>
                    <w:snapToGrid w:val="0"/>
                    <w:spacing w:line="240" w:lineRule="exact"/>
                    <w:rPr>
                      <w:rFonts w:ascii="Times New Roman" w:hAnsi="Times New Roman"/>
                      <w:color w:val="auto"/>
                      <w:sz w:val="21"/>
                      <w:szCs w:val="21"/>
                    </w:rPr>
                  </w:pPr>
                  <w:r>
                    <w:rPr>
                      <w:rFonts w:hint="eastAsia" w:ascii="Times New Roman" w:hAnsi="Times New Roman" w:eastAsia="宋体"/>
                      <w:color w:val="auto"/>
                      <w:sz w:val="21"/>
                      <w:szCs w:val="21"/>
                    </w:rPr>
                    <w:t>粉末固化</w:t>
                  </w:r>
                </w:p>
              </w:tc>
              <w:tc>
                <w:tcPr>
                  <w:tcW w:w="901" w:type="pct"/>
                  <w:vAlign w:val="center"/>
                </w:tcPr>
                <w:p>
                  <w:pPr>
                    <w:pStyle w:val="73"/>
                    <w:adjustRightInd w:val="0"/>
                    <w:snapToGrid w:val="0"/>
                    <w:spacing w:line="240" w:lineRule="exact"/>
                    <w:rPr>
                      <w:rFonts w:ascii="Times New Roman" w:hAnsi="Times New Roman"/>
                      <w:color w:val="auto"/>
                      <w:sz w:val="21"/>
                      <w:szCs w:val="21"/>
                    </w:rPr>
                  </w:pPr>
                  <w:r>
                    <w:rPr>
                      <w:rFonts w:ascii="Times New Roman" w:hAnsi="Times New Roman" w:eastAsia="宋体"/>
                      <w:color w:val="auto"/>
                      <w:sz w:val="21"/>
                      <w:szCs w:val="21"/>
                    </w:rPr>
                    <w:t>非甲烷总烃</w:t>
                  </w:r>
                </w:p>
              </w:tc>
              <w:tc>
                <w:tcPr>
                  <w:tcW w:w="417" w:type="pct"/>
                  <w:vMerge w:val="restart"/>
                  <w:vAlign w:val="center"/>
                </w:tcPr>
                <w:p>
                  <w:pPr>
                    <w:adjustRightInd w:val="0"/>
                    <w:snapToGrid w:val="0"/>
                    <w:spacing w:line="240" w:lineRule="exact"/>
                    <w:jc w:val="center"/>
                    <w:rPr>
                      <w:bCs/>
                      <w:color w:val="auto"/>
                      <w:szCs w:val="21"/>
                    </w:rPr>
                  </w:pPr>
                  <w:r>
                    <w:rPr>
                      <w:rFonts w:hint="eastAsia"/>
                      <w:bCs/>
                      <w:color w:val="auto"/>
                      <w:szCs w:val="21"/>
                    </w:rPr>
                    <w:t>连续</w:t>
                  </w:r>
                </w:p>
              </w:tc>
              <w:tc>
                <w:tcPr>
                  <w:tcW w:w="1513" w:type="pct"/>
                  <w:vAlign w:val="center"/>
                </w:tcPr>
                <w:p>
                  <w:pPr>
                    <w:pStyle w:val="48"/>
                    <w:rPr>
                      <w:rFonts w:ascii="Times New Roman" w:hAnsi="Times New Roman" w:eastAsia="宋体"/>
                      <w:color w:val="auto"/>
                      <w:sz w:val="21"/>
                      <w:szCs w:val="21"/>
                    </w:rPr>
                  </w:pPr>
                  <w:r>
                    <w:rPr>
                      <w:rFonts w:ascii="Times New Roman" w:hAnsi="Times New Roman" w:eastAsia="宋体"/>
                      <w:color w:val="auto"/>
                      <w:sz w:val="21"/>
                      <w:szCs w:val="21"/>
                    </w:rPr>
                    <w:t>二级活性炭吸附装置处理后</w:t>
                  </w:r>
                  <w:r>
                    <w:rPr>
                      <w:rFonts w:hint="eastAsia" w:ascii="Times New Roman" w:hAnsi="Times New Roman" w:eastAsia="宋体"/>
                      <w:color w:val="auto"/>
                      <w:sz w:val="21"/>
                      <w:szCs w:val="21"/>
                      <w:lang w:val="en-US" w:eastAsia="zh-CN"/>
                    </w:rPr>
                    <w:t>由</w:t>
                  </w:r>
                  <w:r>
                    <w:rPr>
                      <w:rFonts w:ascii="Times New Roman" w:hAnsi="Times New Roman" w:eastAsia="宋体"/>
                      <w:color w:val="auto"/>
                      <w:sz w:val="21"/>
                      <w:szCs w:val="21"/>
                    </w:rPr>
                    <w:t>15m高排气筒（DA0</w:t>
                  </w:r>
                  <w:r>
                    <w:rPr>
                      <w:rFonts w:hint="eastAsia" w:ascii="Times New Roman" w:hAnsi="Times New Roman" w:eastAsia="宋体"/>
                      <w:color w:val="auto"/>
                      <w:sz w:val="21"/>
                      <w:szCs w:val="21"/>
                    </w:rPr>
                    <w:t>0</w:t>
                  </w:r>
                  <w:r>
                    <w:rPr>
                      <w:rFonts w:hint="eastAsia" w:ascii="Times New Roman" w:hAnsi="Times New Roman" w:eastAsia="宋体"/>
                      <w:color w:val="auto"/>
                      <w:sz w:val="21"/>
                      <w:szCs w:val="21"/>
                      <w:lang w:val="en-US" w:eastAsia="zh-CN"/>
                    </w:rPr>
                    <w:t>3</w:t>
                  </w:r>
                  <w:r>
                    <w:rPr>
                      <w:rFonts w:ascii="Times New Roman" w:hAnsi="Times New Roman" w:eastAsia="宋体"/>
                      <w:color w:val="auto"/>
                      <w:sz w:val="21"/>
                      <w:szCs w:val="21"/>
                    </w:rPr>
                    <w:t>）排放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85" w:hRule="atLeast"/>
                <w:jc w:val="center"/>
              </w:trPr>
              <w:tc>
                <w:tcPr>
                  <w:tcW w:w="290" w:type="pct"/>
                  <w:vMerge w:val="continue"/>
                  <w:vAlign w:val="center"/>
                </w:tcPr>
                <w:p>
                  <w:pPr>
                    <w:jc w:val="center"/>
                    <w:rPr>
                      <w:bCs/>
                      <w:color w:val="auto"/>
                      <w:szCs w:val="21"/>
                    </w:rPr>
                  </w:pPr>
                </w:p>
              </w:tc>
              <w:tc>
                <w:tcPr>
                  <w:tcW w:w="389" w:type="pct"/>
                  <w:tcBorders>
                    <w:top w:val="single" w:color="auto" w:sz="4" w:space="0"/>
                  </w:tcBorders>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w:t>
                  </w:r>
                </w:p>
              </w:tc>
              <w:tc>
                <w:tcPr>
                  <w:tcW w:w="1488" w:type="pct"/>
                  <w:tcBorders>
                    <w:top w:val="single" w:color="auto" w:sz="4" w:space="0"/>
                  </w:tcBorders>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危废仓库</w:t>
                  </w:r>
                </w:p>
              </w:tc>
              <w:tc>
                <w:tcPr>
                  <w:tcW w:w="901" w:type="pct"/>
                  <w:tcBorders>
                    <w:top w:val="single" w:color="auto" w:sz="4" w:space="0"/>
                  </w:tcBorders>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非甲烷总烃</w:t>
                  </w:r>
                </w:p>
              </w:tc>
              <w:tc>
                <w:tcPr>
                  <w:tcW w:w="417" w:type="pct"/>
                  <w:vMerge w:val="continue"/>
                  <w:vAlign w:val="center"/>
                </w:tcPr>
                <w:p>
                  <w:pPr>
                    <w:adjustRightInd w:val="0"/>
                    <w:snapToGrid w:val="0"/>
                    <w:spacing w:line="240" w:lineRule="exact"/>
                    <w:jc w:val="center"/>
                    <w:rPr>
                      <w:color w:val="auto"/>
                    </w:rPr>
                  </w:pPr>
                </w:p>
              </w:tc>
              <w:tc>
                <w:tcPr>
                  <w:tcW w:w="1513" w:type="pct"/>
                  <w:tcBorders>
                    <w:top w:val="single" w:color="auto" w:sz="4" w:space="0"/>
                  </w:tcBorders>
                  <w:vAlign w:val="center"/>
                </w:tcPr>
                <w:p>
                  <w:pPr>
                    <w:pStyle w:val="48"/>
                    <w:rPr>
                      <w:rFonts w:ascii="Times New Roman" w:hAnsi="Times New Roman" w:eastAsia="宋体"/>
                      <w:color w:val="auto"/>
                      <w:sz w:val="21"/>
                      <w:szCs w:val="21"/>
                    </w:rPr>
                  </w:pPr>
                  <w:r>
                    <w:rPr>
                      <w:rFonts w:ascii="Times New Roman" w:hAnsi="Times New Roman" w:eastAsia="宋体"/>
                      <w:color w:val="auto"/>
                      <w:sz w:val="21"/>
                      <w:szCs w:val="21"/>
                    </w:rPr>
                    <w:t>二级活性炭吸附装置处理后</w:t>
                  </w:r>
                  <w:r>
                    <w:rPr>
                      <w:rFonts w:hint="eastAsia" w:ascii="Times New Roman" w:hAnsi="Times New Roman" w:eastAsia="宋体"/>
                      <w:color w:val="auto"/>
                      <w:sz w:val="21"/>
                      <w:szCs w:val="21"/>
                    </w:rPr>
                    <w:t>无组织排放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restart"/>
                  <w:vAlign w:val="center"/>
                </w:tcPr>
                <w:p>
                  <w:pPr>
                    <w:widowControl/>
                    <w:jc w:val="center"/>
                    <w:rPr>
                      <w:bCs/>
                      <w:color w:val="auto"/>
                      <w:szCs w:val="21"/>
                    </w:rPr>
                  </w:pPr>
                  <w:r>
                    <w:rPr>
                      <w:bCs/>
                      <w:color w:val="auto"/>
                      <w:szCs w:val="21"/>
                    </w:rPr>
                    <w:t>废水</w:t>
                  </w:r>
                </w:p>
              </w:tc>
              <w:tc>
                <w:tcPr>
                  <w:tcW w:w="389" w:type="pct"/>
                  <w:vAlign w:val="center"/>
                </w:tcPr>
                <w:p>
                  <w:pPr>
                    <w:jc w:val="center"/>
                    <w:rPr>
                      <w:bCs/>
                      <w:color w:val="auto"/>
                      <w:szCs w:val="21"/>
                    </w:rPr>
                  </w:pPr>
                  <w:r>
                    <w:rPr>
                      <w:rFonts w:hint="eastAsia"/>
                      <w:bCs/>
                      <w:color w:val="auto"/>
                      <w:szCs w:val="21"/>
                    </w:rPr>
                    <w:t>/</w:t>
                  </w:r>
                </w:p>
              </w:tc>
              <w:tc>
                <w:tcPr>
                  <w:tcW w:w="1488" w:type="pct"/>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生活污水</w:t>
                  </w:r>
                </w:p>
              </w:tc>
              <w:tc>
                <w:tcPr>
                  <w:tcW w:w="901" w:type="pc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COD、SS、</w:t>
                  </w:r>
                  <w:r>
                    <w:rPr>
                      <w:rFonts w:hint="eastAsia" w:ascii="Times New Roman" w:hAnsi="Times New Roman" w:eastAsia="宋体"/>
                      <w:color w:val="auto"/>
                      <w:sz w:val="21"/>
                      <w:szCs w:val="21"/>
                    </w:rPr>
                    <w:t>氨氮</w:t>
                  </w:r>
                  <w:r>
                    <w:rPr>
                      <w:rFonts w:ascii="Times New Roman" w:hAnsi="Times New Roman" w:eastAsia="宋体"/>
                      <w:color w:val="auto"/>
                      <w:sz w:val="21"/>
                      <w:szCs w:val="21"/>
                    </w:rPr>
                    <w:t>、</w:t>
                  </w:r>
                  <w:r>
                    <w:rPr>
                      <w:rFonts w:hint="eastAsia" w:ascii="Times New Roman" w:hAnsi="Times New Roman" w:eastAsia="宋体"/>
                      <w:color w:val="auto"/>
                      <w:sz w:val="21"/>
                      <w:szCs w:val="21"/>
                    </w:rPr>
                    <w:t>总氮</w:t>
                  </w:r>
                  <w:r>
                    <w:rPr>
                      <w:rFonts w:ascii="Times New Roman" w:hAnsi="Times New Roman" w:eastAsia="宋体"/>
                      <w:color w:val="auto"/>
                      <w:sz w:val="21"/>
                      <w:szCs w:val="21"/>
                    </w:rPr>
                    <w:t>、</w:t>
                  </w:r>
                  <w:r>
                    <w:rPr>
                      <w:rFonts w:hint="eastAsia" w:ascii="Times New Roman" w:hAnsi="Times New Roman" w:eastAsia="宋体"/>
                      <w:color w:val="auto"/>
                      <w:sz w:val="21"/>
                      <w:szCs w:val="21"/>
                    </w:rPr>
                    <w:t>总磷</w:t>
                  </w:r>
                </w:p>
              </w:tc>
              <w:tc>
                <w:tcPr>
                  <w:tcW w:w="417" w:type="pc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间歇</w:t>
                  </w:r>
                </w:p>
              </w:tc>
              <w:tc>
                <w:tcPr>
                  <w:tcW w:w="1513" w:type="pct"/>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依托迪润科技化粪池处理后接管梅村水处理厂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widowControl/>
                    <w:jc w:val="center"/>
                    <w:rPr>
                      <w:bCs/>
                      <w:color w:val="auto"/>
                      <w:szCs w:val="21"/>
                    </w:rPr>
                  </w:pPr>
                </w:p>
              </w:tc>
              <w:tc>
                <w:tcPr>
                  <w:tcW w:w="389" w:type="pct"/>
                  <w:vAlign w:val="center"/>
                </w:tcPr>
                <w:p>
                  <w:pPr>
                    <w:jc w:val="center"/>
                    <w:rPr>
                      <w:bCs/>
                      <w:color w:val="auto"/>
                      <w:szCs w:val="21"/>
                    </w:rPr>
                  </w:pPr>
                  <w:r>
                    <w:rPr>
                      <w:color w:val="auto"/>
                      <w:szCs w:val="21"/>
                    </w:rPr>
                    <w:t>W</w:t>
                  </w:r>
                  <w:r>
                    <w:rPr>
                      <w:rFonts w:hint="eastAsia"/>
                      <w:color w:val="auto"/>
                      <w:szCs w:val="21"/>
                      <w:vertAlign w:val="subscript"/>
                    </w:rPr>
                    <w:t>2</w:t>
                  </w:r>
                  <w:r>
                    <w:rPr>
                      <w:color w:val="auto"/>
                      <w:szCs w:val="21"/>
                      <w:vertAlign w:val="subscript"/>
                    </w:rPr>
                    <w:t>-1</w:t>
                  </w:r>
                </w:p>
              </w:tc>
              <w:tc>
                <w:tcPr>
                  <w:tcW w:w="1488" w:type="pct"/>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预脱脂清槽废水</w:t>
                  </w:r>
                </w:p>
              </w:tc>
              <w:tc>
                <w:tcPr>
                  <w:tcW w:w="901" w:type="pct"/>
                  <w:vMerge w:val="restar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COD、SS、</w:t>
                  </w:r>
                  <w:r>
                    <w:rPr>
                      <w:rFonts w:hint="eastAsia" w:ascii="Times New Roman" w:hAnsi="Times New Roman" w:eastAsia="宋体"/>
                      <w:color w:val="auto"/>
                      <w:sz w:val="21"/>
                      <w:szCs w:val="21"/>
                    </w:rPr>
                    <w:t>石油类</w:t>
                  </w:r>
                  <w:r>
                    <w:rPr>
                      <w:rFonts w:ascii="Times New Roman" w:hAnsi="Times New Roman" w:eastAsia="宋体"/>
                      <w:color w:val="auto"/>
                      <w:sz w:val="21"/>
                      <w:szCs w:val="21"/>
                    </w:rPr>
                    <w:t>、LAS</w:t>
                  </w:r>
                </w:p>
              </w:tc>
              <w:tc>
                <w:tcPr>
                  <w:tcW w:w="417" w:type="pc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间歇</w:t>
                  </w:r>
                </w:p>
              </w:tc>
              <w:tc>
                <w:tcPr>
                  <w:tcW w:w="1513" w:type="pct"/>
                  <w:vMerge w:val="restar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接管至</w:t>
                  </w:r>
                  <w:r>
                    <w:rPr>
                      <w:rFonts w:hint="eastAsia" w:ascii="Times New Roman" w:hAnsi="Times New Roman" w:eastAsia="宋体"/>
                      <w:color w:val="auto"/>
                      <w:sz w:val="21"/>
                      <w:szCs w:val="21"/>
                    </w:rPr>
                    <w:t>厂内污水处理设施处理后回用于生产，不外排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widowControl/>
                    <w:jc w:val="center"/>
                    <w:rPr>
                      <w:bCs/>
                      <w:color w:val="auto"/>
                      <w:szCs w:val="21"/>
                    </w:rPr>
                  </w:pPr>
                </w:p>
              </w:tc>
              <w:tc>
                <w:tcPr>
                  <w:tcW w:w="389" w:type="pct"/>
                  <w:vAlign w:val="center"/>
                </w:tcPr>
                <w:p>
                  <w:pPr>
                    <w:jc w:val="center"/>
                    <w:rPr>
                      <w:color w:val="auto"/>
                      <w:szCs w:val="21"/>
                    </w:rPr>
                  </w:pPr>
                  <w:r>
                    <w:rPr>
                      <w:color w:val="auto"/>
                      <w:szCs w:val="21"/>
                    </w:rPr>
                    <w:t>W</w:t>
                  </w:r>
                  <w:r>
                    <w:rPr>
                      <w:rFonts w:hint="eastAsia"/>
                      <w:color w:val="auto"/>
                      <w:szCs w:val="21"/>
                      <w:vertAlign w:val="subscript"/>
                    </w:rPr>
                    <w:t>2</w:t>
                  </w:r>
                  <w:r>
                    <w:rPr>
                      <w:color w:val="auto"/>
                      <w:szCs w:val="21"/>
                      <w:vertAlign w:val="subscript"/>
                    </w:rPr>
                    <w:t>-</w:t>
                  </w:r>
                  <w:r>
                    <w:rPr>
                      <w:rFonts w:hint="eastAsia"/>
                      <w:color w:val="auto"/>
                      <w:szCs w:val="21"/>
                      <w:vertAlign w:val="subscript"/>
                    </w:rPr>
                    <w:t>2</w:t>
                  </w:r>
                </w:p>
              </w:tc>
              <w:tc>
                <w:tcPr>
                  <w:tcW w:w="1488" w:type="pct"/>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脱脂清槽废水</w:t>
                  </w:r>
                </w:p>
              </w:tc>
              <w:tc>
                <w:tcPr>
                  <w:tcW w:w="901" w:type="pct"/>
                  <w:vMerge w:val="continue"/>
                  <w:vAlign w:val="center"/>
                </w:tcPr>
                <w:p>
                  <w:pPr>
                    <w:adjustRightInd w:val="0"/>
                    <w:snapToGrid w:val="0"/>
                    <w:spacing w:line="240" w:lineRule="exact"/>
                    <w:jc w:val="center"/>
                    <w:rPr>
                      <w:color w:val="auto"/>
                      <w:szCs w:val="21"/>
                    </w:rPr>
                  </w:pPr>
                </w:p>
              </w:tc>
              <w:tc>
                <w:tcPr>
                  <w:tcW w:w="417" w:type="pct"/>
                  <w:vAlign w:val="center"/>
                </w:tcPr>
                <w:p>
                  <w:pPr>
                    <w:adjustRightInd w:val="0"/>
                    <w:snapToGrid w:val="0"/>
                    <w:spacing w:line="240" w:lineRule="exact"/>
                    <w:jc w:val="center"/>
                    <w:rPr>
                      <w:color w:val="auto"/>
                      <w:szCs w:val="21"/>
                    </w:rPr>
                  </w:pPr>
                  <w:r>
                    <w:rPr>
                      <w:color w:val="auto"/>
                      <w:szCs w:val="21"/>
                    </w:rPr>
                    <w:t>间歇</w:t>
                  </w:r>
                </w:p>
              </w:tc>
              <w:tc>
                <w:tcPr>
                  <w:tcW w:w="1513" w:type="pct"/>
                  <w:vMerge w:val="continue"/>
                  <w:vAlign w:val="center"/>
                </w:tcPr>
                <w:p>
                  <w:pPr>
                    <w:pStyle w:val="73"/>
                    <w:adjustRightInd w:val="0"/>
                    <w:snapToGrid w:val="0"/>
                    <w:spacing w:line="240" w:lineRule="exact"/>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widowControl/>
                    <w:jc w:val="center"/>
                    <w:rPr>
                      <w:bCs/>
                      <w:color w:val="auto"/>
                      <w:szCs w:val="21"/>
                    </w:rPr>
                  </w:pPr>
                </w:p>
              </w:tc>
              <w:tc>
                <w:tcPr>
                  <w:tcW w:w="389" w:type="pct"/>
                  <w:vAlign w:val="center"/>
                </w:tcPr>
                <w:p>
                  <w:pPr>
                    <w:jc w:val="center"/>
                    <w:rPr>
                      <w:color w:val="auto"/>
                      <w:szCs w:val="21"/>
                    </w:rPr>
                  </w:pPr>
                  <w:r>
                    <w:rPr>
                      <w:color w:val="auto"/>
                      <w:szCs w:val="21"/>
                    </w:rPr>
                    <w:t>W</w:t>
                  </w:r>
                  <w:r>
                    <w:rPr>
                      <w:color w:val="auto"/>
                      <w:szCs w:val="21"/>
                      <w:vertAlign w:val="subscript"/>
                    </w:rPr>
                    <w:t>2-3</w:t>
                  </w:r>
                </w:p>
              </w:tc>
              <w:tc>
                <w:tcPr>
                  <w:tcW w:w="1488" w:type="pct"/>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脱脂水洗</w:t>
                  </w:r>
                  <w:r>
                    <w:rPr>
                      <w:rFonts w:hint="eastAsia" w:hAnsi="宋体" w:eastAsia="宋体" w:cs="宋体"/>
                      <w:color w:val="auto"/>
                      <w:sz w:val="21"/>
                      <w:szCs w:val="21"/>
                    </w:rPr>
                    <w:t>Ⅰ、</w:t>
                  </w:r>
                  <w:r>
                    <w:rPr>
                      <w:rFonts w:hint="eastAsia" w:ascii="Times New Roman" w:hAnsi="Times New Roman" w:eastAsia="宋体"/>
                      <w:color w:val="auto"/>
                      <w:sz w:val="21"/>
                      <w:szCs w:val="21"/>
                    </w:rPr>
                    <w:t>Ⅱ、陶化水洗Ⅰ、Ⅱ</w:t>
                  </w:r>
                </w:p>
              </w:tc>
              <w:tc>
                <w:tcPr>
                  <w:tcW w:w="901" w:type="pct"/>
                  <w:vAlign w:val="center"/>
                </w:tcPr>
                <w:p>
                  <w:pPr>
                    <w:adjustRightInd w:val="0"/>
                    <w:snapToGrid w:val="0"/>
                    <w:spacing w:line="240" w:lineRule="exact"/>
                    <w:jc w:val="center"/>
                    <w:rPr>
                      <w:color w:val="auto"/>
                      <w:szCs w:val="21"/>
                    </w:rPr>
                  </w:pPr>
                  <w:r>
                    <w:rPr>
                      <w:color w:val="auto"/>
                      <w:szCs w:val="21"/>
                    </w:rPr>
                    <w:t>COD、SS、</w:t>
                  </w:r>
                  <w:r>
                    <w:rPr>
                      <w:rFonts w:hint="eastAsia"/>
                      <w:color w:val="auto"/>
                      <w:szCs w:val="21"/>
                    </w:rPr>
                    <w:t>石油类</w:t>
                  </w:r>
                  <w:r>
                    <w:rPr>
                      <w:color w:val="auto"/>
                      <w:szCs w:val="21"/>
                    </w:rPr>
                    <w:t>、LAS、</w:t>
                  </w:r>
                  <w:r>
                    <w:rPr>
                      <w:rFonts w:hint="eastAsia"/>
                      <w:color w:val="auto"/>
                      <w:kern w:val="0"/>
                      <w:szCs w:val="21"/>
                      <w:lang w:bidi="ar"/>
                    </w:rPr>
                    <w:t>氟化物</w:t>
                  </w:r>
                </w:p>
              </w:tc>
              <w:tc>
                <w:tcPr>
                  <w:tcW w:w="417" w:type="pct"/>
                  <w:vAlign w:val="center"/>
                </w:tcPr>
                <w:p>
                  <w:pPr>
                    <w:adjustRightInd w:val="0"/>
                    <w:snapToGrid w:val="0"/>
                    <w:spacing w:line="240" w:lineRule="exact"/>
                    <w:jc w:val="center"/>
                    <w:rPr>
                      <w:color w:val="auto"/>
                      <w:szCs w:val="21"/>
                    </w:rPr>
                  </w:pPr>
                  <w:r>
                    <w:rPr>
                      <w:color w:val="auto"/>
                      <w:szCs w:val="21"/>
                    </w:rPr>
                    <w:t>间歇</w:t>
                  </w:r>
                </w:p>
              </w:tc>
              <w:tc>
                <w:tcPr>
                  <w:tcW w:w="1513" w:type="pct"/>
                  <w:vMerge w:val="continue"/>
                  <w:vAlign w:val="center"/>
                </w:tcPr>
                <w:p>
                  <w:pPr>
                    <w:pStyle w:val="73"/>
                    <w:adjustRightInd w:val="0"/>
                    <w:snapToGrid w:val="0"/>
                    <w:spacing w:line="240" w:lineRule="exact"/>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widowControl/>
                    <w:jc w:val="center"/>
                    <w:rPr>
                      <w:bCs/>
                      <w:color w:val="auto"/>
                      <w:szCs w:val="21"/>
                    </w:rPr>
                  </w:pPr>
                </w:p>
              </w:tc>
              <w:tc>
                <w:tcPr>
                  <w:tcW w:w="389" w:type="pct"/>
                  <w:vAlign w:val="center"/>
                </w:tcPr>
                <w:p>
                  <w:pPr>
                    <w:jc w:val="center"/>
                    <w:rPr>
                      <w:color w:val="auto"/>
                      <w:szCs w:val="21"/>
                    </w:rPr>
                  </w:pPr>
                  <w:r>
                    <w:rPr>
                      <w:color w:val="auto"/>
                      <w:szCs w:val="21"/>
                    </w:rPr>
                    <w:t>W</w:t>
                  </w:r>
                  <w:r>
                    <w:rPr>
                      <w:color w:val="auto"/>
                      <w:szCs w:val="21"/>
                      <w:vertAlign w:val="subscript"/>
                    </w:rPr>
                    <w:t>2-</w:t>
                  </w:r>
                  <w:r>
                    <w:rPr>
                      <w:rFonts w:hint="eastAsia"/>
                      <w:color w:val="auto"/>
                      <w:szCs w:val="21"/>
                      <w:vertAlign w:val="subscript"/>
                    </w:rPr>
                    <w:t>4</w:t>
                  </w:r>
                </w:p>
              </w:tc>
              <w:tc>
                <w:tcPr>
                  <w:tcW w:w="1488" w:type="pct"/>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陶化清槽废水</w:t>
                  </w:r>
                </w:p>
              </w:tc>
              <w:tc>
                <w:tcPr>
                  <w:tcW w:w="901" w:type="pct"/>
                  <w:vAlign w:val="center"/>
                </w:tcPr>
                <w:p>
                  <w:pPr>
                    <w:adjustRightInd w:val="0"/>
                    <w:snapToGrid w:val="0"/>
                    <w:spacing w:line="240" w:lineRule="exact"/>
                    <w:jc w:val="center"/>
                    <w:rPr>
                      <w:color w:val="auto"/>
                      <w:szCs w:val="21"/>
                    </w:rPr>
                  </w:pPr>
                  <w:r>
                    <w:rPr>
                      <w:color w:val="auto"/>
                      <w:szCs w:val="21"/>
                    </w:rPr>
                    <w:t>COD、SS、</w:t>
                  </w:r>
                  <w:r>
                    <w:rPr>
                      <w:rFonts w:hint="eastAsia"/>
                      <w:color w:val="auto"/>
                      <w:szCs w:val="21"/>
                    </w:rPr>
                    <w:t>石油类</w:t>
                  </w:r>
                  <w:r>
                    <w:rPr>
                      <w:color w:val="auto"/>
                      <w:szCs w:val="21"/>
                    </w:rPr>
                    <w:t>、</w:t>
                  </w:r>
                  <w:r>
                    <w:rPr>
                      <w:rFonts w:hint="eastAsia"/>
                      <w:color w:val="auto"/>
                      <w:kern w:val="0"/>
                      <w:szCs w:val="21"/>
                      <w:lang w:bidi="ar"/>
                    </w:rPr>
                    <w:t>氟化物</w:t>
                  </w:r>
                </w:p>
              </w:tc>
              <w:tc>
                <w:tcPr>
                  <w:tcW w:w="417" w:type="pct"/>
                  <w:vAlign w:val="center"/>
                </w:tcPr>
                <w:p>
                  <w:pPr>
                    <w:adjustRightInd w:val="0"/>
                    <w:snapToGrid w:val="0"/>
                    <w:spacing w:line="240" w:lineRule="exact"/>
                    <w:jc w:val="center"/>
                    <w:rPr>
                      <w:color w:val="auto"/>
                      <w:szCs w:val="21"/>
                    </w:rPr>
                  </w:pPr>
                  <w:r>
                    <w:rPr>
                      <w:color w:val="auto"/>
                      <w:szCs w:val="21"/>
                    </w:rPr>
                    <w:t>间歇</w:t>
                  </w:r>
                </w:p>
              </w:tc>
              <w:tc>
                <w:tcPr>
                  <w:tcW w:w="1513" w:type="pct"/>
                  <w:vMerge w:val="continue"/>
                  <w:vAlign w:val="center"/>
                </w:tcPr>
                <w:p>
                  <w:pPr>
                    <w:pStyle w:val="73"/>
                    <w:adjustRightInd w:val="0"/>
                    <w:snapToGrid w:val="0"/>
                    <w:spacing w:line="240" w:lineRule="exact"/>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widowControl/>
                    <w:jc w:val="center"/>
                    <w:rPr>
                      <w:bCs/>
                      <w:color w:val="auto"/>
                      <w:szCs w:val="21"/>
                    </w:rPr>
                  </w:pPr>
                </w:p>
              </w:tc>
              <w:tc>
                <w:tcPr>
                  <w:tcW w:w="389" w:type="pct"/>
                  <w:vAlign w:val="center"/>
                </w:tcPr>
                <w:p>
                  <w:pPr>
                    <w:jc w:val="center"/>
                    <w:rPr>
                      <w:color w:val="auto"/>
                      <w:szCs w:val="21"/>
                    </w:rPr>
                  </w:pPr>
                  <w:r>
                    <w:rPr>
                      <w:color w:val="auto"/>
                      <w:szCs w:val="21"/>
                    </w:rPr>
                    <w:t>W</w:t>
                  </w:r>
                  <w:r>
                    <w:rPr>
                      <w:color w:val="auto"/>
                      <w:szCs w:val="21"/>
                      <w:vertAlign w:val="subscript"/>
                    </w:rPr>
                    <w:t>2-</w:t>
                  </w:r>
                  <w:r>
                    <w:rPr>
                      <w:rFonts w:hint="eastAsia"/>
                      <w:color w:val="auto"/>
                      <w:szCs w:val="21"/>
                      <w:vertAlign w:val="subscript"/>
                    </w:rPr>
                    <w:t>5</w:t>
                  </w:r>
                </w:p>
              </w:tc>
              <w:tc>
                <w:tcPr>
                  <w:tcW w:w="1488" w:type="pct"/>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纯水洗</w:t>
                  </w:r>
                </w:p>
              </w:tc>
              <w:tc>
                <w:tcPr>
                  <w:tcW w:w="901" w:type="pct"/>
                  <w:vMerge w:val="restart"/>
                </w:tcPr>
                <w:p>
                  <w:pPr>
                    <w:adjustRightInd w:val="0"/>
                    <w:snapToGrid w:val="0"/>
                    <w:spacing w:line="240" w:lineRule="exact"/>
                    <w:jc w:val="center"/>
                    <w:rPr>
                      <w:color w:val="auto"/>
                      <w:szCs w:val="21"/>
                    </w:rPr>
                  </w:pPr>
                  <w:r>
                    <w:rPr>
                      <w:color w:val="auto"/>
                      <w:szCs w:val="21"/>
                    </w:rPr>
                    <w:t>COD、SS、</w:t>
                  </w:r>
                  <w:r>
                    <w:rPr>
                      <w:rFonts w:hint="eastAsia"/>
                      <w:color w:val="auto"/>
                      <w:szCs w:val="21"/>
                    </w:rPr>
                    <w:t>石油类</w:t>
                  </w:r>
                  <w:r>
                    <w:rPr>
                      <w:color w:val="auto"/>
                      <w:szCs w:val="21"/>
                    </w:rPr>
                    <w:t>、LAS、</w:t>
                  </w:r>
                  <w:r>
                    <w:rPr>
                      <w:rFonts w:hint="eastAsia"/>
                      <w:color w:val="auto"/>
                      <w:kern w:val="0"/>
                      <w:szCs w:val="21"/>
                      <w:lang w:bidi="ar"/>
                    </w:rPr>
                    <w:t>氟化物</w:t>
                  </w:r>
                </w:p>
              </w:tc>
              <w:tc>
                <w:tcPr>
                  <w:tcW w:w="417" w:type="pct"/>
                  <w:vAlign w:val="center"/>
                </w:tcPr>
                <w:p>
                  <w:pPr>
                    <w:adjustRightInd w:val="0"/>
                    <w:snapToGrid w:val="0"/>
                    <w:spacing w:line="240" w:lineRule="exact"/>
                    <w:jc w:val="center"/>
                    <w:rPr>
                      <w:color w:val="auto"/>
                      <w:szCs w:val="21"/>
                    </w:rPr>
                  </w:pPr>
                  <w:r>
                    <w:rPr>
                      <w:color w:val="auto"/>
                      <w:szCs w:val="21"/>
                    </w:rPr>
                    <w:t>间歇</w:t>
                  </w:r>
                </w:p>
              </w:tc>
              <w:tc>
                <w:tcPr>
                  <w:tcW w:w="1513" w:type="pct"/>
                  <w:vMerge w:val="continue"/>
                  <w:vAlign w:val="center"/>
                </w:tcPr>
                <w:p>
                  <w:pPr>
                    <w:pStyle w:val="73"/>
                    <w:adjustRightInd w:val="0"/>
                    <w:snapToGrid w:val="0"/>
                    <w:spacing w:line="240" w:lineRule="exact"/>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widowControl/>
                    <w:jc w:val="center"/>
                    <w:rPr>
                      <w:bCs/>
                      <w:color w:val="auto"/>
                      <w:szCs w:val="21"/>
                    </w:rPr>
                  </w:pPr>
                </w:p>
              </w:tc>
              <w:tc>
                <w:tcPr>
                  <w:tcW w:w="389" w:type="pct"/>
                  <w:vAlign w:val="center"/>
                </w:tcPr>
                <w:p>
                  <w:pPr>
                    <w:jc w:val="center"/>
                    <w:rPr>
                      <w:color w:val="auto"/>
                      <w:szCs w:val="21"/>
                    </w:rPr>
                  </w:pPr>
                  <w:r>
                    <w:rPr>
                      <w:color w:val="auto"/>
                      <w:szCs w:val="21"/>
                    </w:rPr>
                    <w:t>W</w:t>
                  </w:r>
                  <w:r>
                    <w:rPr>
                      <w:color w:val="auto"/>
                      <w:szCs w:val="21"/>
                      <w:vertAlign w:val="subscript"/>
                    </w:rPr>
                    <w:t>2-</w:t>
                  </w:r>
                  <w:r>
                    <w:rPr>
                      <w:rFonts w:hint="eastAsia"/>
                      <w:color w:val="auto"/>
                      <w:szCs w:val="21"/>
                      <w:vertAlign w:val="subscript"/>
                    </w:rPr>
                    <w:t>6</w:t>
                  </w:r>
                </w:p>
              </w:tc>
              <w:tc>
                <w:tcPr>
                  <w:tcW w:w="1488" w:type="pct"/>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纯水直喷</w:t>
                  </w:r>
                </w:p>
              </w:tc>
              <w:tc>
                <w:tcPr>
                  <w:tcW w:w="901" w:type="pct"/>
                  <w:vMerge w:val="continue"/>
                </w:tcPr>
                <w:p>
                  <w:pPr>
                    <w:adjustRightInd w:val="0"/>
                    <w:snapToGrid w:val="0"/>
                    <w:spacing w:line="240" w:lineRule="exact"/>
                    <w:jc w:val="center"/>
                    <w:rPr>
                      <w:color w:val="auto"/>
                      <w:szCs w:val="21"/>
                    </w:rPr>
                  </w:pPr>
                </w:p>
              </w:tc>
              <w:tc>
                <w:tcPr>
                  <w:tcW w:w="417" w:type="pct"/>
                  <w:vAlign w:val="center"/>
                </w:tcPr>
                <w:p>
                  <w:pPr>
                    <w:pStyle w:val="73"/>
                    <w:adjustRightInd w:val="0"/>
                    <w:snapToGrid w:val="0"/>
                    <w:spacing w:line="240" w:lineRule="exact"/>
                    <w:rPr>
                      <w:rFonts w:ascii="Times New Roman" w:hAnsi="Times New Roman" w:eastAsia="宋体"/>
                      <w:color w:val="auto"/>
                      <w:sz w:val="21"/>
                      <w:szCs w:val="21"/>
                    </w:rPr>
                  </w:pPr>
                  <w:r>
                    <w:rPr>
                      <w:rFonts w:hint="eastAsia" w:ascii="Times New Roman" w:hAnsi="Times New Roman" w:eastAsia="宋体"/>
                      <w:color w:val="auto"/>
                      <w:sz w:val="21"/>
                      <w:szCs w:val="21"/>
                    </w:rPr>
                    <w:t>连续</w:t>
                  </w:r>
                </w:p>
              </w:tc>
              <w:tc>
                <w:tcPr>
                  <w:tcW w:w="1513" w:type="pct"/>
                  <w:vMerge w:val="continue"/>
                  <w:vAlign w:val="center"/>
                </w:tcPr>
                <w:p>
                  <w:pPr>
                    <w:pStyle w:val="73"/>
                    <w:adjustRightInd w:val="0"/>
                    <w:snapToGrid w:val="0"/>
                    <w:spacing w:line="240" w:lineRule="exact"/>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widowControl/>
                    <w:jc w:val="center"/>
                    <w:rPr>
                      <w:bCs/>
                      <w:color w:val="auto"/>
                      <w:szCs w:val="21"/>
                    </w:rPr>
                  </w:pPr>
                </w:p>
              </w:tc>
              <w:tc>
                <w:tcPr>
                  <w:tcW w:w="389" w:type="pct"/>
                  <w:vAlign w:val="center"/>
                </w:tcPr>
                <w:p>
                  <w:pPr>
                    <w:jc w:val="center"/>
                    <w:rPr>
                      <w:color w:val="auto"/>
                      <w:szCs w:val="21"/>
                    </w:rPr>
                  </w:pPr>
                  <w:r>
                    <w:rPr>
                      <w:rFonts w:hint="eastAsia"/>
                      <w:color w:val="auto"/>
                      <w:szCs w:val="21"/>
                    </w:rPr>
                    <w:t>/</w:t>
                  </w:r>
                </w:p>
              </w:tc>
              <w:tc>
                <w:tcPr>
                  <w:tcW w:w="1488" w:type="pc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纯水制备浓水</w:t>
                  </w:r>
                </w:p>
              </w:tc>
              <w:tc>
                <w:tcPr>
                  <w:tcW w:w="901" w:type="pc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COD、SS</w:t>
                  </w:r>
                </w:p>
              </w:tc>
              <w:tc>
                <w:tcPr>
                  <w:tcW w:w="417" w:type="pc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间歇</w:t>
                  </w:r>
                </w:p>
              </w:tc>
              <w:tc>
                <w:tcPr>
                  <w:tcW w:w="1513" w:type="pct"/>
                  <w:vMerge w:val="restar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纯水制备浓水、反冲洗废水接管至</w:t>
                  </w:r>
                  <w:r>
                    <w:rPr>
                      <w:rFonts w:hint="eastAsia" w:ascii="Times New Roman" w:hAnsi="Times New Roman" w:eastAsia="宋体"/>
                      <w:color w:val="auto"/>
                      <w:sz w:val="21"/>
                      <w:szCs w:val="21"/>
                    </w:rPr>
                    <w:t>梅村水处理厂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widowControl/>
                    <w:jc w:val="center"/>
                    <w:rPr>
                      <w:bCs/>
                      <w:color w:val="auto"/>
                      <w:szCs w:val="21"/>
                    </w:rPr>
                  </w:pPr>
                </w:p>
              </w:tc>
              <w:tc>
                <w:tcPr>
                  <w:tcW w:w="389" w:type="pct"/>
                  <w:vAlign w:val="center"/>
                </w:tcPr>
                <w:p>
                  <w:pPr>
                    <w:jc w:val="center"/>
                    <w:rPr>
                      <w:color w:val="auto"/>
                      <w:szCs w:val="21"/>
                    </w:rPr>
                  </w:pPr>
                  <w:r>
                    <w:rPr>
                      <w:color w:val="auto"/>
                      <w:szCs w:val="21"/>
                    </w:rPr>
                    <w:t>/</w:t>
                  </w:r>
                </w:p>
              </w:tc>
              <w:tc>
                <w:tcPr>
                  <w:tcW w:w="1488" w:type="pc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反冲洗废水</w:t>
                  </w:r>
                </w:p>
              </w:tc>
              <w:tc>
                <w:tcPr>
                  <w:tcW w:w="901" w:type="pc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COD、SS</w:t>
                  </w:r>
                </w:p>
              </w:tc>
              <w:tc>
                <w:tcPr>
                  <w:tcW w:w="417" w:type="pct"/>
                  <w:vAlign w:val="center"/>
                </w:tcPr>
                <w:p>
                  <w:pPr>
                    <w:pStyle w:val="73"/>
                    <w:adjustRightInd w:val="0"/>
                    <w:snapToGrid w:val="0"/>
                    <w:spacing w:line="240" w:lineRule="exact"/>
                    <w:rPr>
                      <w:rFonts w:ascii="Times New Roman" w:hAnsi="Times New Roman" w:eastAsia="宋体"/>
                      <w:color w:val="auto"/>
                      <w:sz w:val="21"/>
                      <w:szCs w:val="21"/>
                    </w:rPr>
                  </w:pPr>
                  <w:r>
                    <w:rPr>
                      <w:rFonts w:ascii="Times New Roman" w:hAnsi="Times New Roman" w:eastAsia="宋体"/>
                      <w:color w:val="auto"/>
                      <w:sz w:val="21"/>
                      <w:szCs w:val="21"/>
                    </w:rPr>
                    <w:t>间歇</w:t>
                  </w:r>
                </w:p>
              </w:tc>
              <w:tc>
                <w:tcPr>
                  <w:tcW w:w="1513" w:type="pct"/>
                  <w:vMerge w:val="continue"/>
                  <w:vAlign w:val="center"/>
                </w:tcPr>
                <w:p>
                  <w:pPr>
                    <w:pStyle w:val="73"/>
                    <w:adjustRightInd w:val="0"/>
                    <w:snapToGrid w:val="0"/>
                    <w:spacing w:line="240" w:lineRule="exact"/>
                    <w:rPr>
                      <w:rFonts w:ascii="Times New Roman" w:hAnsi="Times New Roman" w:eastAsia="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011" w:hRule="atLeast"/>
                <w:jc w:val="center"/>
              </w:trPr>
              <w:tc>
                <w:tcPr>
                  <w:tcW w:w="290" w:type="pct"/>
                  <w:vMerge w:val="restart"/>
                  <w:vAlign w:val="center"/>
                </w:tcPr>
                <w:p>
                  <w:pPr>
                    <w:widowControl/>
                    <w:jc w:val="center"/>
                    <w:rPr>
                      <w:bCs/>
                      <w:color w:val="auto"/>
                      <w:szCs w:val="21"/>
                    </w:rPr>
                  </w:pPr>
                  <w:r>
                    <w:rPr>
                      <w:bCs/>
                      <w:color w:val="auto"/>
                      <w:szCs w:val="21"/>
                    </w:rPr>
                    <w:t>噪声</w:t>
                  </w:r>
                </w:p>
              </w:tc>
              <w:tc>
                <w:tcPr>
                  <w:tcW w:w="389" w:type="pct"/>
                  <w:vMerge w:val="restart"/>
                  <w:vAlign w:val="center"/>
                </w:tcPr>
                <w:p>
                  <w:pPr>
                    <w:widowControl/>
                    <w:jc w:val="center"/>
                    <w:rPr>
                      <w:bCs/>
                      <w:color w:val="auto"/>
                      <w:szCs w:val="21"/>
                    </w:rPr>
                  </w:pPr>
                  <w:r>
                    <w:rPr>
                      <w:bCs/>
                      <w:color w:val="auto"/>
                      <w:szCs w:val="21"/>
                    </w:rPr>
                    <w:t>N</w:t>
                  </w:r>
                </w:p>
              </w:tc>
              <w:tc>
                <w:tcPr>
                  <w:tcW w:w="1488" w:type="pct"/>
                  <w:tcBorders>
                    <w:bottom w:val="single" w:color="000000" w:sz="4" w:space="0"/>
                  </w:tcBorders>
                  <w:vAlign w:val="center"/>
                </w:tcPr>
                <w:p>
                  <w:pPr>
                    <w:widowControl/>
                    <w:jc w:val="center"/>
                    <w:rPr>
                      <w:bCs/>
                      <w:color w:val="auto"/>
                      <w:szCs w:val="21"/>
                    </w:rPr>
                  </w:pPr>
                  <w:r>
                    <w:rPr>
                      <w:rFonts w:hint="eastAsia"/>
                      <w:bCs/>
                      <w:color w:val="auto"/>
                      <w:szCs w:val="21"/>
                    </w:rPr>
                    <w:t>液压机、压力机、压缩机、钻床、磨床、切割机、钻孔机、冲压设备、喷粉工艺设备</w:t>
                  </w:r>
                  <w:r>
                    <w:rPr>
                      <w:bCs/>
                      <w:color w:val="auto"/>
                      <w:szCs w:val="21"/>
                    </w:rPr>
                    <w:t>等</w:t>
                  </w:r>
                </w:p>
              </w:tc>
              <w:tc>
                <w:tcPr>
                  <w:tcW w:w="901" w:type="pct"/>
                  <w:tcBorders>
                    <w:bottom w:val="single" w:color="000000" w:sz="4" w:space="0"/>
                  </w:tcBorders>
                  <w:vAlign w:val="center"/>
                </w:tcPr>
                <w:p>
                  <w:pPr>
                    <w:widowControl/>
                    <w:jc w:val="center"/>
                    <w:rPr>
                      <w:bCs/>
                      <w:color w:val="auto"/>
                      <w:szCs w:val="21"/>
                    </w:rPr>
                  </w:pPr>
                  <w:r>
                    <w:rPr>
                      <w:bCs/>
                      <w:color w:val="auto"/>
                      <w:szCs w:val="21"/>
                    </w:rPr>
                    <w:t>噪声</w:t>
                  </w:r>
                </w:p>
              </w:tc>
              <w:tc>
                <w:tcPr>
                  <w:tcW w:w="417" w:type="pct"/>
                  <w:tcBorders>
                    <w:bottom w:val="single" w:color="000000" w:sz="4" w:space="0"/>
                  </w:tcBorders>
                  <w:vAlign w:val="center"/>
                </w:tcPr>
                <w:p>
                  <w:pPr>
                    <w:widowControl/>
                    <w:jc w:val="center"/>
                    <w:rPr>
                      <w:bCs/>
                      <w:color w:val="auto"/>
                      <w:szCs w:val="21"/>
                    </w:rPr>
                  </w:pPr>
                  <w:r>
                    <w:rPr>
                      <w:rFonts w:hint="eastAsia"/>
                      <w:bCs/>
                      <w:color w:val="auto"/>
                      <w:szCs w:val="21"/>
                    </w:rPr>
                    <w:t>间歇</w:t>
                  </w:r>
                </w:p>
              </w:tc>
              <w:tc>
                <w:tcPr>
                  <w:tcW w:w="1513" w:type="pct"/>
                  <w:vMerge w:val="restart"/>
                  <w:vAlign w:val="center"/>
                </w:tcPr>
                <w:p>
                  <w:pPr>
                    <w:pStyle w:val="48"/>
                    <w:rPr>
                      <w:rFonts w:ascii="Times New Roman" w:hAnsi="Times New Roman" w:eastAsia="宋体"/>
                      <w:color w:val="auto"/>
                      <w:sz w:val="21"/>
                      <w:szCs w:val="21"/>
                    </w:rPr>
                  </w:pPr>
                  <w:r>
                    <w:rPr>
                      <w:rFonts w:ascii="Times New Roman" w:hAnsi="Times New Roman" w:eastAsia="宋体"/>
                      <w:bCs/>
                      <w:color w:val="auto"/>
                      <w:sz w:val="21"/>
                      <w:szCs w:val="21"/>
                    </w:rPr>
                    <w:t>生产车间内，选用低噪声设备</w:t>
                  </w:r>
                  <w:r>
                    <w:rPr>
                      <w:rFonts w:hint="eastAsia" w:ascii="Times New Roman" w:hAnsi="Times New Roman" w:eastAsia="宋体"/>
                      <w:bCs/>
                      <w:color w:val="auto"/>
                      <w:sz w:val="21"/>
                      <w:szCs w:val="21"/>
                    </w:rPr>
                    <w:t>或加装隔音消音装置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99" w:hRule="atLeast"/>
                <w:jc w:val="center"/>
              </w:trPr>
              <w:tc>
                <w:tcPr>
                  <w:tcW w:w="290" w:type="pct"/>
                  <w:vMerge w:val="continue"/>
                  <w:vAlign w:val="center"/>
                </w:tcPr>
                <w:p>
                  <w:pPr>
                    <w:widowControl/>
                    <w:jc w:val="center"/>
                    <w:rPr>
                      <w:bCs/>
                      <w:color w:val="auto"/>
                      <w:szCs w:val="21"/>
                    </w:rPr>
                  </w:pPr>
                </w:p>
              </w:tc>
              <w:tc>
                <w:tcPr>
                  <w:tcW w:w="389" w:type="pct"/>
                  <w:vMerge w:val="continue"/>
                  <w:vAlign w:val="center"/>
                </w:tcPr>
                <w:p>
                  <w:pPr>
                    <w:widowControl/>
                    <w:jc w:val="center"/>
                    <w:rPr>
                      <w:bCs/>
                      <w:color w:val="auto"/>
                      <w:szCs w:val="21"/>
                    </w:rPr>
                  </w:pPr>
                </w:p>
              </w:tc>
              <w:tc>
                <w:tcPr>
                  <w:tcW w:w="1488" w:type="pct"/>
                  <w:tcBorders>
                    <w:top w:val="single" w:color="000000" w:sz="4" w:space="0"/>
                  </w:tcBorders>
                  <w:vAlign w:val="center"/>
                </w:tcPr>
                <w:p>
                  <w:pPr>
                    <w:widowControl/>
                    <w:jc w:val="center"/>
                    <w:rPr>
                      <w:bCs/>
                      <w:color w:val="auto"/>
                      <w:szCs w:val="21"/>
                    </w:rPr>
                  </w:pPr>
                  <w:r>
                    <w:rPr>
                      <w:rFonts w:hint="eastAsia"/>
                      <w:bCs/>
                      <w:color w:val="auto"/>
                      <w:szCs w:val="21"/>
                    </w:rPr>
                    <w:t>环保设备风机</w:t>
                  </w:r>
                  <w:r>
                    <w:rPr>
                      <w:bCs/>
                      <w:color w:val="auto"/>
                      <w:szCs w:val="21"/>
                    </w:rPr>
                    <w:t>等</w:t>
                  </w:r>
                </w:p>
              </w:tc>
              <w:tc>
                <w:tcPr>
                  <w:tcW w:w="901" w:type="pct"/>
                  <w:tcBorders>
                    <w:top w:val="single" w:color="000000" w:sz="4" w:space="0"/>
                  </w:tcBorders>
                  <w:vAlign w:val="center"/>
                </w:tcPr>
                <w:p>
                  <w:pPr>
                    <w:widowControl/>
                    <w:jc w:val="center"/>
                    <w:rPr>
                      <w:bCs/>
                      <w:color w:val="auto"/>
                      <w:szCs w:val="21"/>
                    </w:rPr>
                  </w:pPr>
                  <w:r>
                    <w:rPr>
                      <w:bCs/>
                      <w:color w:val="auto"/>
                      <w:szCs w:val="21"/>
                    </w:rPr>
                    <w:t>噪声</w:t>
                  </w:r>
                </w:p>
              </w:tc>
              <w:tc>
                <w:tcPr>
                  <w:tcW w:w="417" w:type="pct"/>
                  <w:tcBorders>
                    <w:top w:val="single" w:color="000000" w:sz="4" w:space="0"/>
                  </w:tcBorders>
                  <w:vAlign w:val="center"/>
                </w:tcPr>
                <w:p>
                  <w:pPr>
                    <w:widowControl/>
                    <w:jc w:val="center"/>
                    <w:rPr>
                      <w:bCs/>
                      <w:color w:val="auto"/>
                      <w:szCs w:val="21"/>
                    </w:rPr>
                  </w:pPr>
                  <w:r>
                    <w:rPr>
                      <w:bCs/>
                      <w:color w:val="auto"/>
                      <w:szCs w:val="21"/>
                    </w:rPr>
                    <w:t>连续</w:t>
                  </w:r>
                </w:p>
              </w:tc>
              <w:tc>
                <w:tcPr>
                  <w:tcW w:w="1513" w:type="pct"/>
                  <w:vMerge w:val="continue"/>
                  <w:vAlign w:val="center"/>
                </w:tcPr>
                <w:p>
                  <w:pPr>
                    <w:pStyle w:val="48"/>
                    <w:rPr>
                      <w:rFonts w:ascii="Times New Roman" w:hAnsi="Times New Roman" w:eastAsia="宋体"/>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restart"/>
                  <w:vAlign w:val="center"/>
                </w:tcPr>
                <w:p>
                  <w:pPr>
                    <w:jc w:val="center"/>
                    <w:rPr>
                      <w:bCs/>
                      <w:color w:val="auto"/>
                      <w:szCs w:val="21"/>
                    </w:rPr>
                  </w:pPr>
                  <w:r>
                    <w:rPr>
                      <w:bCs/>
                      <w:color w:val="auto"/>
                      <w:szCs w:val="21"/>
                    </w:rPr>
                    <w:t>固废</w:t>
                  </w:r>
                </w:p>
              </w:tc>
              <w:tc>
                <w:tcPr>
                  <w:tcW w:w="389" w:type="pct"/>
                  <w:vAlign w:val="center"/>
                </w:tcPr>
                <w:p>
                  <w:pPr>
                    <w:adjustRightInd w:val="0"/>
                    <w:snapToGrid w:val="0"/>
                    <w:spacing w:line="240" w:lineRule="exact"/>
                    <w:jc w:val="center"/>
                    <w:rPr>
                      <w:color w:val="auto"/>
                    </w:rPr>
                  </w:pPr>
                  <w:r>
                    <w:rPr>
                      <w:color w:val="auto"/>
                    </w:rPr>
                    <w:t>S</w:t>
                  </w:r>
                  <w:r>
                    <w:rPr>
                      <w:color w:val="auto"/>
                      <w:vertAlign w:val="subscript"/>
                    </w:rPr>
                    <w:t>1-</w:t>
                  </w:r>
                  <w:r>
                    <w:rPr>
                      <w:rFonts w:hint="eastAsia"/>
                      <w:color w:val="auto"/>
                      <w:vertAlign w:val="subscript"/>
                    </w:rPr>
                    <w:t>1</w:t>
                  </w:r>
                </w:p>
              </w:tc>
              <w:tc>
                <w:tcPr>
                  <w:tcW w:w="1488" w:type="pct"/>
                  <w:tcBorders>
                    <w:bottom w:val="single" w:color="000000" w:sz="4" w:space="0"/>
                  </w:tcBorders>
                  <w:vAlign w:val="center"/>
                </w:tcPr>
                <w:p>
                  <w:pPr>
                    <w:adjustRightInd w:val="0"/>
                    <w:snapToGrid w:val="0"/>
                    <w:spacing w:line="240" w:lineRule="exact"/>
                    <w:jc w:val="center"/>
                    <w:rPr>
                      <w:bCs/>
                      <w:color w:val="auto"/>
                      <w:szCs w:val="21"/>
                    </w:rPr>
                  </w:pPr>
                  <w:r>
                    <w:rPr>
                      <w:rFonts w:hint="eastAsia"/>
                      <w:bCs/>
                      <w:color w:val="auto"/>
                      <w:szCs w:val="21"/>
                    </w:rPr>
                    <w:t>压制成型</w:t>
                  </w:r>
                </w:p>
              </w:tc>
              <w:tc>
                <w:tcPr>
                  <w:tcW w:w="901" w:type="pct"/>
                  <w:vMerge w:val="restart"/>
                  <w:vAlign w:val="center"/>
                </w:tcPr>
                <w:p>
                  <w:pPr>
                    <w:adjustRightInd w:val="0"/>
                    <w:snapToGrid w:val="0"/>
                    <w:spacing w:line="240" w:lineRule="exact"/>
                    <w:jc w:val="center"/>
                    <w:rPr>
                      <w:color w:val="auto"/>
                    </w:rPr>
                  </w:pPr>
                  <w:r>
                    <w:rPr>
                      <w:rFonts w:hint="eastAsia"/>
                      <w:color w:val="auto"/>
                    </w:rPr>
                    <w:t>废边角料</w:t>
                  </w:r>
                </w:p>
              </w:tc>
              <w:tc>
                <w:tcPr>
                  <w:tcW w:w="417" w:type="pct"/>
                  <w:vAlign w:val="center"/>
                </w:tcPr>
                <w:p>
                  <w:pPr>
                    <w:adjustRightInd w:val="0"/>
                    <w:snapToGrid w:val="0"/>
                    <w:spacing w:line="240" w:lineRule="exact"/>
                    <w:jc w:val="center"/>
                    <w:rPr>
                      <w:color w:val="auto"/>
                    </w:rPr>
                  </w:pPr>
                  <w:r>
                    <w:rPr>
                      <w:color w:val="auto"/>
                    </w:rPr>
                    <w:t>间歇</w:t>
                  </w:r>
                </w:p>
              </w:tc>
              <w:tc>
                <w:tcPr>
                  <w:tcW w:w="1513" w:type="pct"/>
                  <w:vAlign w:val="center"/>
                </w:tcPr>
                <w:p>
                  <w:pPr>
                    <w:adjustRightInd w:val="0"/>
                    <w:snapToGrid w:val="0"/>
                    <w:spacing w:line="240" w:lineRule="exact"/>
                    <w:jc w:val="center"/>
                    <w:rPr>
                      <w:color w:val="auto"/>
                    </w:rPr>
                  </w:pPr>
                  <w:r>
                    <w:rPr>
                      <w:color w:val="auto"/>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adjustRightInd w:val="0"/>
                    <w:snapToGrid w:val="0"/>
                    <w:spacing w:line="240" w:lineRule="exact"/>
                    <w:jc w:val="center"/>
                    <w:rPr>
                      <w:color w:val="auto"/>
                    </w:rPr>
                  </w:pPr>
                  <w:r>
                    <w:rPr>
                      <w:rFonts w:hint="eastAsia"/>
                      <w:color w:val="auto"/>
                    </w:rPr>
                    <w:t>S</w:t>
                  </w:r>
                  <w:r>
                    <w:rPr>
                      <w:rFonts w:hint="eastAsia"/>
                      <w:color w:val="auto"/>
                      <w:vertAlign w:val="subscript"/>
                    </w:rPr>
                    <w:t>1-2</w:t>
                  </w:r>
                </w:p>
              </w:tc>
              <w:tc>
                <w:tcPr>
                  <w:tcW w:w="1488" w:type="pct"/>
                  <w:tcBorders>
                    <w:bottom w:val="single" w:color="000000" w:sz="4" w:space="0"/>
                  </w:tcBorders>
                  <w:vAlign w:val="center"/>
                </w:tcPr>
                <w:p>
                  <w:pPr>
                    <w:adjustRightInd w:val="0"/>
                    <w:snapToGrid w:val="0"/>
                    <w:spacing w:line="240" w:lineRule="exact"/>
                    <w:jc w:val="center"/>
                    <w:rPr>
                      <w:bCs/>
                      <w:color w:val="auto"/>
                      <w:szCs w:val="21"/>
                    </w:rPr>
                  </w:pPr>
                  <w:r>
                    <w:rPr>
                      <w:rFonts w:hint="eastAsia"/>
                      <w:bCs/>
                      <w:color w:val="auto"/>
                      <w:szCs w:val="21"/>
                    </w:rPr>
                    <w:t>冲孔</w:t>
                  </w:r>
                </w:p>
              </w:tc>
              <w:tc>
                <w:tcPr>
                  <w:tcW w:w="901" w:type="pct"/>
                  <w:vMerge w:val="continue"/>
                  <w:vAlign w:val="center"/>
                </w:tcPr>
                <w:p>
                  <w:pPr>
                    <w:adjustRightInd w:val="0"/>
                    <w:snapToGrid w:val="0"/>
                    <w:spacing w:line="240" w:lineRule="exact"/>
                    <w:jc w:val="center"/>
                    <w:rPr>
                      <w:color w:val="auto"/>
                    </w:rPr>
                  </w:pPr>
                </w:p>
              </w:tc>
              <w:tc>
                <w:tcPr>
                  <w:tcW w:w="417" w:type="pct"/>
                  <w:vAlign w:val="center"/>
                </w:tcPr>
                <w:p>
                  <w:pPr>
                    <w:adjustRightInd w:val="0"/>
                    <w:snapToGrid w:val="0"/>
                    <w:spacing w:line="240" w:lineRule="exact"/>
                    <w:jc w:val="center"/>
                    <w:rPr>
                      <w:color w:val="auto"/>
                    </w:rPr>
                  </w:pPr>
                  <w:r>
                    <w:rPr>
                      <w:color w:val="auto"/>
                    </w:rPr>
                    <w:t>间歇</w:t>
                  </w:r>
                </w:p>
              </w:tc>
              <w:tc>
                <w:tcPr>
                  <w:tcW w:w="1513" w:type="pct"/>
                  <w:vAlign w:val="center"/>
                </w:tcPr>
                <w:p>
                  <w:pPr>
                    <w:adjustRightInd w:val="0"/>
                    <w:snapToGrid w:val="0"/>
                    <w:spacing w:line="240" w:lineRule="exact"/>
                    <w:jc w:val="center"/>
                    <w:rPr>
                      <w:color w:val="auto"/>
                    </w:rPr>
                  </w:pPr>
                  <w:r>
                    <w:rPr>
                      <w:color w:val="auto"/>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adjustRightInd w:val="0"/>
                    <w:snapToGrid w:val="0"/>
                    <w:spacing w:line="240" w:lineRule="exact"/>
                    <w:jc w:val="center"/>
                    <w:rPr>
                      <w:color w:val="auto"/>
                    </w:rPr>
                  </w:pPr>
                  <w:r>
                    <w:rPr>
                      <w:rFonts w:hint="eastAsia"/>
                      <w:color w:val="auto"/>
                    </w:rPr>
                    <w:t>S</w:t>
                  </w:r>
                  <w:r>
                    <w:rPr>
                      <w:rFonts w:hint="eastAsia"/>
                      <w:color w:val="auto"/>
                      <w:vertAlign w:val="subscript"/>
                    </w:rPr>
                    <w:t>1-3</w:t>
                  </w:r>
                </w:p>
              </w:tc>
              <w:tc>
                <w:tcPr>
                  <w:tcW w:w="1488" w:type="pct"/>
                  <w:tcBorders>
                    <w:bottom w:val="single" w:color="000000" w:sz="4" w:space="0"/>
                  </w:tcBorders>
                  <w:vAlign w:val="center"/>
                </w:tcPr>
                <w:p>
                  <w:pPr>
                    <w:adjustRightInd w:val="0"/>
                    <w:snapToGrid w:val="0"/>
                    <w:spacing w:line="240" w:lineRule="exact"/>
                    <w:jc w:val="center"/>
                    <w:rPr>
                      <w:bCs/>
                      <w:color w:val="auto"/>
                      <w:szCs w:val="21"/>
                    </w:rPr>
                  </w:pPr>
                  <w:r>
                    <w:rPr>
                      <w:rFonts w:hint="eastAsia"/>
                      <w:bCs/>
                      <w:color w:val="auto"/>
                      <w:szCs w:val="21"/>
                    </w:rPr>
                    <w:t>切边</w:t>
                  </w:r>
                </w:p>
              </w:tc>
              <w:tc>
                <w:tcPr>
                  <w:tcW w:w="901" w:type="pct"/>
                  <w:vMerge w:val="continue"/>
                  <w:vAlign w:val="center"/>
                </w:tcPr>
                <w:p>
                  <w:pPr>
                    <w:adjustRightInd w:val="0"/>
                    <w:snapToGrid w:val="0"/>
                    <w:spacing w:line="240" w:lineRule="exact"/>
                    <w:jc w:val="center"/>
                    <w:rPr>
                      <w:color w:val="auto"/>
                    </w:rPr>
                  </w:pPr>
                </w:p>
              </w:tc>
              <w:tc>
                <w:tcPr>
                  <w:tcW w:w="417" w:type="pct"/>
                  <w:vAlign w:val="center"/>
                </w:tcPr>
                <w:p>
                  <w:pPr>
                    <w:adjustRightInd w:val="0"/>
                    <w:snapToGrid w:val="0"/>
                    <w:spacing w:line="240" w:lineRule="exact"/>
                    <w:jc w:val="center"/>
                    <w:rPr>
                      <w:color w:val="auto"/>
                    </w:rPr>
                  </w:pPr>
                  <w:r>
                    <w:rPr>
                      <w:color w:val="auto"/>
                    </w:rPr>
                    <w:t>间歇</w:t>
                  </w:r>
                </w:p>
              </w:tc>
              <w:tc>
                <w:tcPr>
                  <w:tcW w:w="1513" w:type="pct"/>
                  <w:vAlign w:val="center"/>
                </w:tcPr>
                <w:p>
                  <w:pPr>
                    <w:adjustRightInd w:val="0"/>
                    <w:snapToGrid w:val="0"/>
                    <w:spacing w:line="240" w:lineRule="exact"/>
                    <w:jc w:val="center"/>
                    <w:rPr>
                      <w:color w:val="auto"/>
                    </w:rPr>
                  </w:pPr>
                  <w:r>
                    <w:rPr>
                      <w:color w:val="auto"/>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adjustRightInd w:val="0"/>
                    <w:snapToGrid w:val="0"/>
                    <w:spacing w:line="240" w:lineRule="exact"/>
                    <w:jc w:val="center"/>
                    <w:rPr>
                      <w:color w:val="auto"/>
                    </w:rPr>
                  </w:pPr>
                  <w:r>
                    <w:rPr>
                      <w:rFonts w:hint="eastAsia"/>
                      <w:color w:val="auto"/>
                    </w:rPr>
                    <w:t>S</w:t>
                  </w:r>
                  <w:r>
                    <w:rPr>
                      <w:rFonts w:hint="eastAsia"/>
                      <w:color w:val="auto"/>
                      <w:vertAlign w:val="subscript"/>
                    </w:rPr>
                    <w:t>1-4</w:t>
                  </w:r>
                </w:p>
              </w:tc>
              <w:tc>
                <w:tcPr>
                  <w:tcW w:w="1488" w:type="pct"/>
                  <w:tcBorders>
                    <w:bottom w:val="single" w:color="000000" w:sz="4" w:space="0"/>
                  </w:tcBorders>
                  <w:vAlign w:val="center"/>
                </w:tcPr>
                <w:p>
                  <w:pPr>
                    <w:adjustRightInd w:val="0"/>
                    <w:snapToGrid w:val="0"/>
                    <w:spacing w:line="240" w:lineRule="exact"/>
                    <w:jc w:val="center"/>
                    <w:rPr>
                      <w:bCs/>
                      <w:color w:val="auto"/>
                      <w:szCs w:val="21"/>
                    </w:rPr>
                  </w:pPr>
                  <w:r>
                    <w:rPr>
                      <w:rFonts w:hint="eastAsia"/>
                      <w:bCs/>
                      <w:color w:val="auto"/>
                      <w:szCs w:val="21"/>
                    </w:rPr>
                    <w:t>冲孔</w:t>
                  </w:r>
                </w:p>
              </w:tc>
              <w:tc>
                <w:tcPr>
                  <w:tcW w:w="901" w:type="pct"/>
                  <w:vMerge w:val="continue"/>
                  <w:vAlign w:val="center"/>
                </w:tcPr>
                <w:p>
                  <w:pPr>
                    <w:adjustRightInd w:val="0"/>
                    <w:snapToGrid w:val="0"/>
                    <w:spacing w:line="240" w:lineRule="exact"/>
                    <w:jc w:val="center"/>
                    <w:rPr>
                      <w:color w:val="auto"/>
                    </w:rPr>
                  </w:pPr>
                </w:p>
              </w:tc>
              <w:tc>
                <w:tcPr>
                  <w:tcW w:w="417" w:type="pct"/>
                  <w:vAlign w:val="center"/>
                </w:tcPr>
                <w:p>
                  <w:pPr>
                    <w:adjustRightInd w:val="0"/>
                    <w:snapToGrid w:val="0"/>
                    <w:spacing w:line="240" w:lineRule="exact"/>
                    <w:jc w:val="center"/>
                    <w:rPr>
                      <w:color w:val="auto"/>
                    </w:rPr>
                  </w:pPr>
                  <w:r>
                    <w:rPr>
                      <w:color w:val="auto"/>
                    </w:rPr>
                    <w:t>间歇</w:t>
                  </w:r>
                </w:p>
              </w:tc>
              <w:tc>
                <w:tcPr>
                  <w:tcW w:w="1513" w:type="pct"/>
                  <w:vAlign w:val="center"/>
                </w:tcPr>
                <w:p>
                  <w:pPr>
                    <w:adjustRightInd w:val="0"/>
                    <w:snapToGrid w:val="0"/>
                    <w:spacing w:line="240" w:lineRule="exact"/>
                    <w:jc w:val="center"/>
                    <w:rPr>
                      <w:color w:val="auto"/>
                    </w:rPr>
                  </w:pPr>
                  <w:r>
                    <w:rPr>
                      <w:color w:val="auto"/>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adjustRightInd w:val="0"/>
                    <w:snapToGrid w:val="0"/>
                    <w:spacing w:line="240" w:lineRule="exact"/>
                    <w:jc w:val="center"/>
                    <w:rPr>
                      <w:color w:val="auto"/>
                    </w:rPr>
                  </w:pPr>
                  <w:r>
                    <w:rPr>
                      <w:color w:val="auto"/>
                    </w:rPr>
                    <w:t>S</w:t>
                  </w:r>
                  <w:r>
                    <w:rPr>
                      <w:color w:val="auto"/>
                      <w:vertAlign w:val="subscript"/>
                    </w:rPr>
                    <w:t>1-</w:t>
                  </w:r>
                  <w:r>
                    <w:rPr>
                      <w:rFonts w:hint="eastAsia"/>
                      <w:color w:val="auto"/>
                      <w:vertAlign w:val="subscript"/>
                    </w:rPr>
                    <w:t>5</w:t>
                  </w:r>
                </w:p>
              </w:tc>
              <w:tc>
                <w:tcPr>
                  <w:tcW w:w="1488" w:type="pct"/>
                  <w:tcBorders>
                    <w:top w:val="single" w:color="000000" w:sz="4" w:space="0"/>
                  </w:tcBorders>
                  <w:vAlign w:val="center"/>
                </w:tcPr>
                <w:p>
                  <w:pPr>
                    <w:adjustRightInd w:val="0"/>
                    <w:snapToGrid w:val="0"/>
                    <w:spacing w:line="240" w:lineRule="exact"/>
                    <w:jc w:val="center"/>
                    <w:rPr>
                      <w:bCs/>
                      <w:color w:val="auto"/>
                      <w:szCs w:val="21"/>
                    </w:rPr>
                  </w:pPr>
                  <w:r>
                    <w:rPr>
                      <w:rFonts w:hint="eastAsia"/>
                      <w:bCs/>
                      <w:color w:val="auto"/>
                      <w:szCs w:val="21"/>
                    </w:rPr>
                    <w:t>检验</w:t>
                  </w:r>
                </w:p>
              </w:tc>
              <w:tc>
                <w:tcPr>
                  <w:tcW w:w="901" w:type="pct"/>
                  <w:vAlign w:val="center"/>
                </w:tcPr>
                <w:p>
                  <w:pPr>
                    <w:adjustRightInd w:val="0"/>
                    <w:snapToGrid w:val="0"/>
                    <w:spacing w:line="240" w:lineRule="exact"/>
                    <w:jc w:val="center"/>
                    <w:rPr>
                      <w:color w:val="auto"/>
                    </w:rPr>
                  </w:pPr>
                  <w:r>
                    <w:rPr>
                      <w:rFonts w:hint="eastAsia"/>
                      <w:color w:val="auto"/>
                    </w:rPr>
                    <w:t>不合格品</w:t>
                  </w:r>
                </w:p>
              </w:tc>
              <w:tc>
                <w:tcPr>
                  <w:tcW w:w="417" w:type="pct"/>
                  <w:vAlign w:val="center"/>
                </w:tcPr>
                <w:p>
                  <w:pPr>
                    <w:adjustRightInd w:val="0"/>
                    <w:snapToGrid w:val="0"/>
                    <w:spacing w:line="240" w:lineRule="exact"/>
                    <w:jc w:val="center"/>
                    <w:rPr>
                      <w:bCs/>
                      <w:color w:val="auto"/>
                      <w:szCs w:val="21"/>
                    </w:rPr>
                  </w:pPr>
                  <w:r>
                    <w:rPr>
                      <w:color w:val="auto"/>
                    </w:rPr>
                    <w:t>间歇</w:t>
                  </w:r>
                </w:p>
              </w:tc>
              <w:tc>
                <w:tcPr>
                  <w:tcW w:w="1513" w:type="pct"/>
                  <w:vAlign w:val="center"/>
                </w:tcPr>
                <w:p>
                  <w:pPr>
                    <w:adjustRightInd w:val="0"/>
                    <w:snapToGrid w:val="0"/>
                    <w:spacing w:line="240" w:lineRule="exact"/>
                    <w:jc w:val="center"/>
                    <w:rPr>
                      <w:color w:val="auto"/>
                      <w:szCs w:val="21"/>
                    </w:rPr>
                  </w:pPr>
                  <w:r>
                    <w:rPr>
                      <w:color w:val="auto"/>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adjustRightInd w:val="0"/>
                    <w:snapToGrid w:val="0"/>
                    <w:spacing w:line="240" w:lineRule="exact"/>
                    <w:jc w:val="center"/>
                    <w:rPr>
                      <w:color w:val="auto"/>
                    </w:rPr>
                  </w:pPr>
                  <w:r>
                    <w:rPr>
                      <w:color w:val="auto"/>
                    </w:rPr>
                    <w:t>S</w:t>
                  </w:r>
                  <w:r>
                    <w:rPr>
                      <w:color w:val="auto"/>
                      <w:vertAlign w:val="subscript"/>
                    </w:rPr>
                    <w:t>1-</w:t>
                  </w:r>
                  <w:r>
                    <w:rPr>
                      <w:rFonts w:hint="eastAsia"/>
                      <w:color w:val="auto"/>
                      <w:vertAlign w:val="subscript"/>
                    </w:rPr>
                    <w:t>6</w:t>
                  </w:r>
                </w:p>
              </w:tc>
              <w:tc>
                <w:tcPr>
                  <w:tcW w:w="1488" w:type="pct"/>
                  <w:tcBorders>
                    <w:top w:val="single" w:color="000000" w:sz="4" w:space="0"/>
                  </w:tcBorders>
                  <w:vAlign w:val="center"/>
                </w:tcPr>
                <w:p>
                  <w:pPr>
                    <w:adjustRightInd w:val="0"/>
                    <w:snapToGrid w:val="0"/>
                    <w:spacing w:line="240" w:lineRule="exact"/>
                    <w:jc w:val="center"/>
                    <w:rPr>
                      <w:bCs/>
                      <w:color w:val="auto"/>
                      <w:szCs w:val="21"/>
                    </w:rPr>
                  </w:pPr>
                  <w:r>
                    <w:rPr>
                      <w:rFonts w:hint="eastAsia"/>
                      <w:bCs/>
                      <w:color w:val="auto"/>
                      <w:szCs w:val="21"/>
                    </w:rPr>
                    <w:t>检验</w:t>
                  </w:r>
                </w:p>
              </w:tc>
              <w:tc>
                <w:tcPr>
                  <w:tcW w:w="901" w:type="pct"/>
                  <w:vAlign w:val="center"/>
                </w:tcPr>
                <w:p>
                  <w:pPr>
                    <w:adjustRightInd w:val="0"/>
                    <w:snapToGrid w:val="0"/>
                    <w:spacing w:line="240" w:lineRule="exact"/>
                    <w:jc w:val="center"/>
                    <w:rPr>
                      <w:color w:val="auto"/>
                    </w:rPr>
                  </w:pPr>
                  <w:r>
                    <w:rPr>
                      <w:rFonts w:hint="eastAsia"/>
                      <w:bCs/>
                      <w:color w:val="auto"/>
                      <w:szCs w:val="21"/>
                    </w:rPr>
                    <w:t>打磨毛刺</w:t>
                  </w:r>
                </w:p>
              </w:tc>
              <w:tc>
                <w:tcPr>
                  <w:tcW w:w="417" w:type="pct"/>
                  <w:vAlign w:val="center"/>
                </w:tcPr>
                <w:p>
                  <w:pPr>
                    <w:adjustRightInd w:val="0"/>
                    <w:snapToGrid w:val="0"/>
                    <w:spacing w:line="240" w:lineRule="exact"/>
                    <w:jc w:val="center"/>
                    <w:rPr>
                      <w:bCs/>
                      <w:color w:val="auto"/>
                      <w:szCs w:val="21"/>
                    </w:rPr>
                  </w:pPr>
                  <w:r>
                    <w:rPr>
                      <w:color w:val="auto"/>
                    </w:rPr>
                    <w:t>间歇</w:t>
                  </w:r>
                </w:p>
              </w:tc>
              <w:tc>
                <w:tcPr>
                  <w:tcW w:w="1513" w:type="pct"/>
                  <w:vAlign w:val="center"/>
                </w:tcPr>
                <w:p>
                  <w:pPr>
                    <w:adjustRightInd w:val="0"/>
                    <w:snapToGrid w:val="0"/>
                    <w:spacing w:line="240" w:lineRule="exact"/>
                    <w:jc w:val="center"/>
                    <w:rPr>
                      <w:color w:val="auto"/>
                      <w:szCs w:val="21"/>
                    </w:rPr>
                  </w:pPr>
                  <w:r>
                    <w:rPr>
                      <w:color w:val="auto"/>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adjustRightInd w:val="0"/>
                    <w:snapToGrid w:val="0"/>
                    <w:spacing w:line="240" w:lineRule="exact"/>
                    <w:jc w:val="center"/>
                    <w:rPr>
                      <w:color w:val="auto"/>
                    </w:rPr>
                  </w:pPr>
                  <w:r>
                    <w:rPr>
                      <w:color w:val="auto"/>
                    </w:rPr>
                    <w:t>S</w:t>
                  </w:r>
                  <w:r>
                    <w:rPr>
                      <w:rFonts w:hint="eastAsia"/>
                      <w:color w:val="auto"/>
                      <w:vertAlign w:val="subscript"/>
                    </w:rPr>
                    <w:t>2-1</w:t>
                  </w:r>
                </w:p>
              </w:tc>
              <w:tc>
                <w:tcPr>
                  <w:tcW w:w="1488" w:type="pct"/>
                  <w:vAlign w:val="center"/>
                </w:tcPr>
                <w:p>
                  <w:pPr>
                    <w:adjustRightInd w:val="0"/>
                    <w:snapToGrid w:val="0"/>
                    <w:spacing w:line="240" w:lineRule="exact"/>
                    <w:jc w:val="center"/>
                    <w:rPr>
                      <w:bCs/>
                      <w:color w:val="auto"/>
                      <w:szCs w:val="21"/>
                    </w:rPr>
                  </w:pPr>
                  <w:r>
                    <w:rPr>
                      <w:rFonts w:hint="eastAsia"/>
                      <w:bCs/>
                      <w:color w:val="auto"/>
                      <w:szCs w:val="21"/>
                    </w:rPr>
                    <w:t>预脱脂</w:t>
                  </w:r>
                </w:p>
              </w:tc>
              <w:tc>
                <w:tcPr>
                  <w:tcW w:w="901" w:type="pct"/>
                  <w:vAlign w:val="center"/>
                </w:tcPr>
                <w:p>
                  <w:pPr>
                    <w:adjustRightInd w:val="0"/>
                    <w:snapToGrid w:val="0"/>
                    <w:spacing w:line="240" w:lineRule="exact"/>
                    <w:jc w:val="center"/>
                    <w:rPr>
                      <w:color w:val="auto"/>
                    </w:rPr>
                  </w:pPr>
                  <w:r>
                    <w:rPr>
                      <w:rFonts w:hint="eastAsia"/>
                      <w:color w:val="auto"/>
                    </w:rPr>
                    <w:t>脱脂废渣（液）</w:t>
                  </w:r>
                </w:p>
              </w:tc>
              <w:tc>
                <w:tcPr>
                  <w:tcW w:w="417" w:type="pct"/>
                  <w:vAlign w:val="center"/>
                </w:tcPr>
                <w:p>
                  <w:pPr>
                    <w:adjustRightInd w:val="0"/>
                    <w:snapToGrid w:val="0"/>
                    <w:spacing w:line="240" w:lineRule="exact"/>
                    <w:jc w:val="center"/>
                    <w:rPr>
                      <w:bCs/>
                      <w:color w:val="auto"/>
                      <w:szCs w:val="21"/>
                    </w:rPr>
                  </w:pPr>
                  <w:r>
                    <w:rPr>
                      <w:color w:val="auto"/>
                    </w:rPr>
                    <w:t>间歇</w:t>
                  </w:r>
                </w:p>
              </w:tc>
              <w:tc>
                <w:tcPr>
                  <w:tcW w:w="1513" w:type="pct"/>
                  <w:vAlign w:val="center"/>
                </w:tcPr>
                <w:p>
                  <w:pPr>
                    <w:adjustRightInd w:val="0"/>
                    <w:snapToGrid w:val="0"/>
                    <w:spacing w:line="240" w:lineRule="exact"/>
                    <w:jc w:val="center"/>
                    <w:rPr>
                      <w:color w:val="auto"/>
                      <w:szCs w:val="21"/>
                    </w:rPr>
                  </w:pPr>
                  <w:r>
                    <w:rPr>
                      <w:color w:val="auto"/>
                    </w:rPr>
                    <w:t>委托有资质单位处置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adjustRightInd w:val="0"/>
                    <w:snapToGrid w:val="0"/>
                    <w:spacing w:line="240" w:lineRule="exact"/>
                    <w:jc w:val="center"/>
                    <w:rPr>
                      <w:rFonts w:hint="eastAsia" w:eastAsia="宋体"/>
                      <w:color w:val="auto"/>
                      <w:lang w:eastAsia="zh-CN"/>
                    </w:rPr>
                  </w:pPr>
                  <w:r>
                    <w:rPr>
                      <w:color w:val="auto"/>
                    </w:rPr>
                    <w:t>S</w:t>
                  </w:r>
                  <w:r>
                    <w:rPr>
                      <w:rFonts w:hint="eastAsia"/>
                      <w:color w:val="auto"/>
                      <w:vertAlign w:val="subscript"/>
                    </w:rPr>
                    <w:t>2-</w:t>
                  </w:r>
                  <w:r>
                    <w:rPr>
                      <w:rFonts w:hint="eastAsia"/>
                      <w:color w:val="auto"/>
                      <w:vertAlign w:val="subscript"/>
                      <w:lang w:val="en-US" w:eastAsia="zh-CN"/>
                    </w:rPr>
                    <w:t>2</w:t>
                  </w:r>
                </w:p>
              </w:tc>
              <w:tc>
                <w:tcPr>
                  <w:tcW w:w="1488" w:type="pct"/>
                  <w:tcBorders>
                    <w:top w:val="single" w:color="auto" w:sz="4" w:space="0"/>
                  </w:tcBorders>
                  <w:vAlign w:val="center"/>
                </w:tcPr>
                <w:p>
                  <w:pPr>
                    <w:adjustRightInd w:val="0"/>
                    <w:snapToGrid w:val="0"/>
                    <w:spacing w:line="240" w:lineRule="exact"/>
                    <w:jc w:val="center"/>
                    <w:rPr>
                      <w:bCs/>
                      <w:color w:val="auto"/>
                      <w:szCs w:val="21"/>
                    </w:rPr>
                  </w:pPr>
                  <w:r>
                    <w:rPr>
                      <w:rFonts w:hint="eastAsia"/>
                      <w:bCs/>
                      <w:color w:val="auto"/>
                      <w:szCs w:val="21"/>
                    </w:rPr>
                    <w:t>脱脂</w:t>
                  </w:r>
                </w:p>
              </w:tc>
              <w:tc>
                <w:tcPr>
                  <w:tcW w:w="901" w:type="pct"/>
                  <w:vAlign w:val="center"/>
                </w:tcPr>
                <w:p>
                  <w:pPr>
                    <w:adjustRightInd w:val="0"/>
                    <w:snapToGrid w:val="0"/>
                    <w:spacing w:line="240" w:lineRule="exact"/>
                    <w:jc w:val="center"/>
                    <w:rPr>
                      <w:color w:val="auto"/>
                    </w:rPr>
                  </w:pPr>
                  <w:r>
                    <w:rPr>
                      <w:rFonts w:hint="eastAsia"/>
                      <w:color w:val="auto"/>
                    </w:rPr>
                    <w:t>脱脂废渣（液）</w:t>
                  </w:r>
                </w:p>
              </w:tc>
              <w:tc>
                <w:tcPr>
                  <w:tcW w:w="417" w:type="pct"/>
                  <w:vAlign w:val="center"/>
                </w:tcPr>
                <w:p>
                  <w:pPr>
                    <w:adjustRightInd w:val="0"/>
                    <w:snapToGrid w:val="0"/>
                    <w:spacing w:line="240" w:lineRule="exact"/>
                    <w:jc w:val="center"/>
                    <w:rPr>
                      <w:color w:val="auto"/>
                    </w:rPr>
                  </w:pPr>
                  <w:r>
                    <w:rPr>
                      <w:color w:val="auto"/>
                    </w:rPr>
                    <w:t>间歇</w:t>
                  </w:r>
                </w:p>
              </w:tc>
              <w:tc>
                <w:tcPr>
                  <w:tcW w:w="1513" w:type="pct"/>
                  <w:vAlign w:val="center"/>
                </w:tcPr>
                <w:p>
                  <w:pPr>
                    <w:adjustRightInd w:val="0"/>
                    <w:snapToGrid w:val="0"/>
                    <w:spacing w:line="240" w:lineRule="exact"/>
                    <w:jc w:val="center"/>
                    <w:rPr>
                      <w:color w:val="auto"/>
                    </w:rPr>
                  </w:pPr>
                  <w:r>
                    <w:rPr>
                      <w:color w:val="auto"/>
                    </w:rPr>
                    <w:t>委托有资质单位处置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adjustRightInd w:val="0"/>
                    <w:snapToGrid w:val="0"/>
                    <w:spacing w:line="240" w:lineRule="exact"/>
                    <w:jc w:val="center"/>
                    <w:rPr>
                      <w:rFonts w:hint="eastAsia" w:eastAsia="宋体"/>
                      <w:color w:val="auto"/>
                      <w:lang w:eastAsia="zh-CN"/>
                    </w:rPr>
                  </w:pPr>
                  <w:r>
                    <w:rPr>
                      <w:color w:val="auto"/>
                    </w:rPr>
                    <w:t>S</w:t>
                  </w:r>
                  <w:r>
                    <w:rPr>
                      <w:rFonts w:hint="eastAsia"/>
                      <w:color w:val="auto"/>
                      <w:vertAlign w:val="subscript"/>
                    </w:rPr>
                    <w:t>2-</w:t>
                  </w:r>
                  <w:r>
                    <w:rPr>
                      <w:rFonts w:hint="eastAsia"/>
                      <w:color w:val="auto"/>
                      <w:vertAlign w:val="subscript"/>
                      <w:lang w:val="en-US" w:eastAsia="zh-CN"/>
                    </w:rPr>
                    <w:t>3</w:t>
                  </w:r>
                </w:p>
              </w:tc>
              <w:tc>
                <w:tcPr>
                  <w:tcW w:w="1488" w:type="pct"/>
                  <w:vAlign w:val="center"/>
                </w:tcPr>
                <w:p>
                  <w:pPr>
                    <w:adjustRightInd w:val="0"/>
                    <w:snapToGrid w:val="0"/>
                    <w:spacing w:line="240" w:lineRule="exact"/>
                    <w:jc w:val="center"/>
                    <w:rPr>
                      <w:bCs/>
                      <w:color w:val="auto"/>
                      <w:szCs w:val="21"/>
                    </w:rPr>
                  </w:pPr>
                  <w:r>
                    <w:rPr>
                      <w:rFonts w:hint="eastAsia"/>
                      <w:bCs/>
                      <w:color w:val="auto"/>
                      <w:szCs w:val="21"/>
                    </w:rPr>
                    <w:t>陶化</w:t>
                  </w:r>
                </w:p>
              </w:tc>
              <w:tc>
                <w:tcPr>
                  <w:tcW w:w="901" w:type="pct"/>
                  <w:vAlign w:val="center"/>
                </w:tcPr>
                <w:p>
                  <w:pPr>
                    <w:adjustRightInd w:val="0"/>
                    <w:snapToGrid w:val="0"/>
                    <w:spacing w:line="240" w:lineRule="exact"/>
                    <w:jc w:val="center"/>
                    <w:rPr>
                      <w:color w:val="auto"/>
                    </w:rPr>
                  </w:pPr>
                  <w:r>
                    <w:rPr>
                      <w:rFonts w:hint="eastAsia"/>
                      <w:color w:val="auto"/>
                    </w:rPr>
                    <w:t>脱脂废渣（液）</w:t>
                  </w:r>
                </w:p>
              </w:tc>
              <w:tc>
                <w:tcPr>
                  <w:tcW w:w="417" w:type="pct"/>
                  <w:vAlign w:val="center"/>
                </w:tcPr>
                <w:p>
                  <w:pPr>
                    <w:adjustRightInd w:val="0"/>
                    <w:snapToGrid w:val="0"/>
                    <w:spacing w:line="240" w:lineRule="exact"/>
                    <w:jc w:val="center"/>
                    <w:rPr>
                      <w:color w:val="auto"/>
                    </w:rPr>
                  </w:pPr>
                  <w:r>
                    <w:rPr>
                      <w:color w:val="auto"/>
                    </w:rPr>
                    <w:t>间歇</w:t>
                  </w:r>
                </w:p>
              </w:tc>
              <w:tc>
                <w:tcPr>
                  <w:tcW w:w="1513" w:type="pct"/>
                  <w:vAlign w:val="center"/>
                </w:tcPr>
                <w:p>
                  <w:pPr>
                    <w:adjustRightInd w:val="0"/>
                    <w:snapToGrid w:val="0"/>
                    <w:spacing w:line="240" w:lineRule="exact"/>
                    <w:jc w:val="center"/>
                    <w:rPr>
                      <w:color w:val="auto"/>
                    </w:rPr>
                  </w:pPr>
                  <w:r>
                    <w:rPr>
                      <w:color w:val="auto"/>
                    </w:rPr>
                    <w:t>委托有资质单位处置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adjustRightInd w:val="0"/>
                    <w:snapToGrid w:val="0"/>
                    <w:spacing w:line="240" w:lineRule="exact"/>
                    <w:jc w:val="center"/>
                    <w:rPr>
                      <w:rFonts w:hint="eastAsia" w:eastAsia="宋体"/>
                      <w:color w:val="auto"/>
                      <w:lang w:eastAsia="zh-CN"/>
                    </w:rPr>
                  </w:pPr>
                  <w:r>
                    <w:rPr>
                      <w:color w:val="auto"/>
                    </w:rPr>
                    <w:t>S</w:t>
                  </w:r>
                  <w:r>
                    <w:rPr>
                      <w:rFonts w:hint="eastAsia"/>
                      <w:color w:val="auto"/>
                      <w:vertAlign w:val="subscript"/>
                    </w:rPr>
                    <w:t>2-</w:t>
                  </w:r>
                  <w:r>
                    <w:rPr>
                      <w:rFonts w:hint="eastAsia"/>
                      <w:color w:val="auto"/>
                      <w:vertAlign w:val="subscript"/>
                      <w:lang w:val="en-US" w:eastAsia="zh-CN"/>
                    </w:rPr>
                    <w:t>4</w:t>
                  </w:r>
                </w:p>
              </w:tc>
              <w:tc>
                <w:tcPr>
                  <w:tcW w:w="1488" w:type="pct"/>
                  <w:tcBorders>
                    <w:top w:val="single" w:color="000000" w:sz="4" w:space="0"/>
                  </w:tcBorders>
                  <w:vAlign w:val="center"/>
                </w:tcPr>
                <w:p>
                  <w:pPr>
                    <w:adjustRightInd w:val="0"/>
                    <w:snapToGrid w:val="0"/>
                    <w:spacing w:line="240" w:lineRule="exact"/>
                    <w:jc w:val="center"/>
                    <w:rPr>
                      <w:bCs/>
                      <w:color w:val="auto"/>
                      <w:szCs w:val="21"/>
                    </w:rPr>
                  </w:pPr>
                  <w:r>
                    <w:rPr>
                      <w:rFonts w:hint="eastAsia"/>
                      <w:bCs/>
                      <w:color w:val="auto"/>
                      <w:szCs w:val="21"/>
                    </w:rPr>
                    <w:t>喷塑</w:t>
                  </w:r>
                </w:p>
              </w:tc>
              <w:tc>
                <w:tcPr>
                  <w:tcW w:w="901" w:type="pct"/>
                  <w:vAlign w:val="center"/>
                </w:tcPr>
                <w:p>
                  <w:pPr>
                    <w:adjustRightInd w:val="0"/>
                    <w:snapToGrid w:val="0"/>
                    <w:spacing w:line="240" w:lineRule="exact"/>
                    <w:jc w:val="center"/>
                    <w:rPr>
                      <w:color w:val="auto"/>
                    </w:rPr>
                  </w:pPr>
                  <w:r>
                    <w:rPr>
                      <w:color w:val="auto"/>
                    </w:rPr>
                    <w:t>废</w:t>
                  </w:r>
                  <w:r>
                    <w:rPr>
                      <w:rFonts w:hint="eastAsia"/>
                      <w:color w:val="auto"/>
                    </w:rPr>
                    <w:t>塑粉</w:t>
                  </w:r>
                </w:p>
              </w:tc>
              <w:tc>
                <w:tcPr>
                  <w:tcW w:w="417" w:type="pct"/>
                  <w:vAlign w:val="center"/>
                </w:tcPr>
                <w:p>
                  <w:pPr>
                    <w:adjustRightInd w:val="0"/>
                    <w:snapToGrid w:val="0"/>
                    <w:spacing w:line="240" w:lineRule="exact"/>
                    <w:jc w:val="center"/>
                    <w:rPr>
                      <w:color w:val="auto"/>
                    </w:rPr>
                  </w:pPr>
                  <w:r>
                    <w:rPr>
                      <w:color w:val="auto"/>
                    </w:rPr>
                    <w:t>间歇</w:t>
                  </w:r>
                </w:p>
              </w:tc>
              <w:tc>
                <w:tcPr>
                  <w:tcW w:w="1513" w:type="pct"/>
                  <w:vAlign w:val="center"/>
                </w:tcPr>
                <w:p>
                  <w:pPr>
                    <w:adjustRightInd w:val="0"/>
                    <w:snapToGrid w:val="0"/>
                    <w:spacing w:line="240" w:lineRule="exact"/>
                    <w:jc w:val="center"/>
                    <w:rPr>
                      <w:color w:val="auto"/>
                    </w:rPr>
                  </w:pPr>
                  <w:r>
                    <w:rPr>
                      <w:color w:val="auto"/>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adjustRightInd w:val="0"/>
                    <w:snapToGrid w:val="0"/>
                    <w:spacing w:line="240" w:lineRule="exact"/>
                    <w:jc w:val="center"/>
                    <w:rPr>
                      <w:rFonts w:hint="eastAsia" w:eastAsia="宋体"/>
                      <w:color w:val="auto"/>
                      <w:lang w:eastAsia="zh-CN"/>
                    </w:rPr>
                  </w:pPr>
                  <w:r>
                    <w:rPr>
                      <w:color w:val="auto"/>
                    </w:rPr>
                    <w:t>S</w:t>
                  </w:r>
                  <w:r>
                    <w:rPr>
                      <w:rFonts w:hint="eastAsia"/>
                      <w:color w:val="auto"/>
                      <w:vertAlign w:val="subscript"/>
                    </w:rPr>
                    <w:t>2-</w:t>
                  </w:r>
                  <w:r>
                    <w:rPr>
                      <w:rFonts w:hint="eastAsia"/>
                      <w:color w:val="auto"/>
                      <w:vertAlign w:val="subscript"/>
                      <w:lang w:val="en-US" w:eastAsia="zh-CN"/>
                    </w:rPr>
                    <w:t>5</w:t>
                  </w:r>
                </w:p>
              </w:tc>
              <w:tc>
                <w:tcPr>
                  <w:tcW w:w="1488" w:type="pct"/>
                  <w:tcBorders>
                    <w:top w:val="single" w:color="000000" w:sz="4" w:space="0"/>
                    <w:bottom w:val="single" w:color="000000" w:sz="4" w:space="0"/>
                  </w:tcBorders>
                  <w:vAlign w:val="center"/>
                </w:tcPr>
                <w:p>
                  <w:pPr>
                    <w:adjustRightInd w:val="0"/>
                    <w:snapToGrid w:val="0"/>
                    <w:spacing w:line="240" w:lineRule="exact"/>
                    <w:jc w:val="center"/>
                    <w:rPr>
                      <w:bCs/>
                      <w:color w:val="auto"/>
                      <w:szCs w:val="21"/>
                    </w:rPr>
                  </w:pPr>
                  <w:r>
                    <w:rPr>
                      <w:rFonts w:hint="eastAsia"/>
                      <w:bCs/>
                      <w:color w:val="auto"/>
                      <w:szCs w:val="21"/>
                    </w:rPr>
                    <w:t>喷粉工艺检查</w:t>
                  </w:r>
                </w:p>
              </w:tc>
              <w:tc>
                <w:tcPr>
                  <w:tcW w:w="901" w:type="pct"/>
                  <w:vAlign w:val="center"/>
                </w:tcPr>
                <w:p>
                  <w:pPr>
                    <w:adjustRightInd w:val="0"/>
                    <w:snapToGrid w:val="0"/>
                    <w:spacing w:line="240" w:lineRule="exact"/>
                    <w:jc w:val="center"/>
                    <w:rPr>
                      <w:color w:val="auto"/>
                    </w:rPr>
                  </w:pPr>
                  <w:r>
                    <w:rPr>
                      <w:rFonts w:hint="eastAsia"/>
                      <w:bCs/>
                      <w:color w:val="auto"/>
                      <w:szCs w:val="21"/>
                    </w:rPr>
                    <w:t>不合格品</w:t>
                  </w:r>
                </w:p>
              </w:tc>
              <w:tc>
                <w:tcPr>
                  <w:tcW w:w="417" w:type="pct"/>
                  <w:vAlign w:val="center"/>
                </w:tcPr>
                <w:p>
                  <w:pPr>
                    <w:adjustRightInd w:val="0"/>
                    <w:snapToGrid w:val="0"/>
                    <w:spacing w:line="240" w:lineRule="exact"/>
                    <w:jc w:val="center"/>
                    <w:rPr>
                      <w:color w:val="auto"/>
                    </w:rPr>
                  </w:pPr>
                  <w:r>
                    <w:rPr>
                      <w:color w:val="auto"/>
                    </w:rPr>
                    <w:t>间歇</w:t>
                  </w:r>
                </w:p>
              </w:tc>
              <w:tc>
                <w:tcPr>
                  <w:tcW w:w="1513" w:type="pct"/>
                  <w:vAlign w:val="center"/>
                </w:tcPr>
                <w:p>
                  <w:pPr>
                    <w:adjustRightInd w:val="0"/>
                    <w:snapToGrid w:val="0"/>
                    <w:spacing w:line="240" w:lineRule="exact"/>
                    <w:jc w:val="center"/>
                    <w:rPr>
                      <w:color w:val="auto"/>
                    </w:rPr>
                  </w:pPr>
                  <w:r>
                    <w:rPr>
                      <w:color w:val="auto"/>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adjustRightInd w:val="0"/>
                    <w:snapToGrid w:val="0"/>
                    <w:spacing w:line="240" w:lineRule="exact"/>
                    <w:jc w:val="center"/>
                    <w:rPr>
                      <w:color w:val="auto"/>
                    </w:rPr>
                  </w:pPr>
                  <w:r>
                    <w:rPr>
                      <w:color w:val="auto"/>
                    </w:rPr>
                    <w:t>S</w:t>
                  </w:r>
                  <w:r>
                    <w:rPr>
                      <w:color w:val="auto"/>
                      <w:vertAlign w:val="subscript"/>
                    </w:rPr>
                    <w:t>3-1</w:t>
                  </w:r>
                </w:p>
              </w:tc>
              <w:tc>
                <w:tcPr>
                  <w:tcW w:w="1488" w:type="pct"/>
                  <w:tcBorders>
                    <w:top w:val="single" w:color="000000" w:sz="4" w:space="0"/>
                    <w:bottom w:val="single" w:color="000000" w:sz="4" w:space="0"/>
                  </w:tcBorders>
                  <w:vAlign w:val="center"/>
                </w:tcPr>
                <w:p>
                  <w:pPr>
                    <w:adjustRightInd w:val="0"/>
                    <w:snapToGrid w:val="0"/>
                    <w:spacing w:line="240" w:lineRule="exact"/>
                    <w:jc w:val="center"/>
                    <w:rPr>
                      <w:bCs/>
                      <w:color w:val="auto"/>
                      <w:szCs w:val="21"/>
                    </w:rPr>
                  </w:pPr>
                  <w:r>
                    <w:rPr>
                      <w:rFonts w:hint="eastAsia"/>
                      <w:bCs/>
                      <w:color w:val="auto"/>
                      <w:szCs w:val="21"/>
                    </w:rPr>
                    <w:t>模具钻孔</w:t>
                  </w:r>
                </w:p>
              </w:tc>
              <w:tc>
                <w:tcPr>
                  <w:tcW w:w="901" w:type="pct"/>
                  <w:vAlign w:val="center"/>
                </w:tcPr>
                <w:p>
                  <w:pPr>
                    <w:adjustRightInd w:val="0"/>
                    <w:snapToGrid w:val="0"/>
                    <w:spacing w:line="240" w:lineRule="exact"/>
                    <w:jc w:val="center"/>
                    <w:rPr>
                      <w:color w:val="auto"/>
                    </w:rPr>
                  </w:pPr>
                  <w:r>
                    <w:rPr>
                      <w:rFonts w:hint="eastAsia"/>
                      <w:color w:val="auto"/>
                    </w:rPr>
                    <w:t>钢屑</w:t>
                  </w:r>
                </w:p>
              </w:tc>
              <w:tc>
                <w:tcPr>
                  <w:tcW w:w="417" w:type="pct"/>
                  <w:vAlign w:val="center"/>
                </w:tcPr>
                <w:p>
                  <w:pPr>
                    <w:adjustRightInd w:val="0"/>
                    <w:snapToGrid w:val="0"/>
                    <w:spacing w:line="240" w:lineRule="exact"/>
                    <w:jc w:val="center"/>
                    <w:rPr>
                      <w:color w:val="auto"/>
                    </w:rPr>
                  </w:pPr>
                  <w:r>
                    <w:rPr>
                      <w:color w:val="auto"/>
                    </w:rPr>
                    <w:t>间歇</w:t>
                  </w:r>
                </w:p>
              </w:tc>
              <w:tc>
                <w:tcPr>
                  <w:tcW w:w="1513" w:type="pct"/>
                  <w:vAlign w:val="center"/>
                </w:tcPr>
                <w:p>
                  <w:pPr>
                    <w:adjustRightInd w:val="0"/>
                    <w:snapToGrid w:val="0"/>
                    <w:spacing w:line="240" w:lineRule="exact"/>
                    <w:jc w:val="center"/>
                    <w:rPr>
                      <w:color w:val="auto"/>
                    </w:rPr>
                  </w:pPr>
                  <w:r>
                    <w:rPr>
                      <w:color w:val="auto"/>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adjustRightInd w:val="0"/>
                    <w:snapToGrid w:val="0"/>
                    <w:spacing w:line="240" w:lineRule="exact"/>
                    <w:jc w:val="center"/>
                    <w:rPr>
                      <w:color w:val="auto"/>
                    </w:rPr>
                  </w:pPr>
                  <w:r>
                    <w:rPr>
                      <w:color w:val="auto"/>
                    </w:rPr>
                    <w:t>S</w:t>
                  </w:r>
                  <w:r>
                    <w:rPr>
                      <w:color w:val="auto"/>
                      <w:vertAlign w:val="subscript"/>
                    </w:rPr>
                    <w:t>3-2</w:t>
                  </w:r>
                </w:p>
              </w:tc>
              <w:tc>
                <w:tcPr>
                  <w:tcW w:w="1488" w:type="pct"/>
                  <w:tcBorders>
                    <w:top w:val="single" w:color="000000" w:sz="4" w:space="0"/>
                  </w:tcBorders>
                  <w:vAlign w:val="center"/>
                </w:tcPr>
                <w:p>
                  <w:pPr>
                    <w:adjustRightInd w:val="0"/>
                    <w:snapToGrid w:val="0"/>
                    <w:spacing w:line="240" w:lineRule="exact"/>
                    <w:jc w:val="center"/>
                    <w:rPr>
                      <w:bCs/>
                      <w:color w:val="auto"/>
                      <w:szCs w:val="21"/>
                    </w:rPr>
                  </w:pPr>
                  <w:r>
                    <w:rPr>
                      <w:rFonts w:hint="eastAsia"/>
                      <w:bCs/>
                      <w:color w:val="auto"/>
                      <w:szCs w:val="21"/>
                    </w:rPr>
                    <w:t>模具装配</w:t>
                  </w:r>
                </w:p>
              </w:tc>
              <w:tc>
                <w:tcPr>
                  <w:tcW w:w="901" w:type="pct"/>
                  <w:vAlign w:val="center"/>
                </w:tcPr>
                <w:p>
                  <w:pPr>
                    <w:adjustRightInd w:val="0"/>
                    <w:snapToGrid w:val="0"/>
                    <w:spacing w:line="240" w:lineRule="exact"/>
                    <w:jc w:val="center"/>
                    <w:rPr>
                      <w:color w:val="auto"/>
                    </w:rPr>
                  </w:pPr>
                  <w:r>
                    <w:rPr>
                      <w:color w:val="auto"/>
                    </w:rPr>
                    <w:t>不合格品</w:t>
                  </w:r>
                </w:p>
              </w:tc>
              <w:tc>
                <w:tcPr>
                  <w:tcW w:w="417" w:type="pct"/>
                  <w:vAlign w:val="center"/>
                </w:tcPr>
                <w:p>
                  <w:pPr>
                    <w:adjustRightInd w:val="0"/>
                    <w:snapToGrid w:val="0"/>
                    <w:spacing w:line="240" w:lineRule="exact"/>
                    <w:jc w:val="center"/>
                    <w:rPr>
                      <w:color w:val="auto"/>
                    </w:rPr>
                  </w:pPr>
                  <w:r>
                    <w:rPr>
                      <w:color w:val="auto"/>
                    </w:rPr>
                    <w:t>间歇</w:t>
                  </w:r>
                </w:p>
              </w:tc>
              <w:tc>
                <w:tcPr>
                  <w:tcW w:w="1513" w:type="pct"/>
                  <w:vAlign w:val="center"/>
                </w:tcPr>
                <w:p>
                  <w:pPr>
                    <w:adjustRightInd w:val="0"/>
                    <w:snapToGrid w:val="0"/>
                    <w:spacing w:line="240" w:lineRule="exact"/>
                    <w:jc w:val="center"/>
                    <w:rPr>
                      <w:color w:val="auto"/>
                    </w:rPr>
                  </w:pPr>
                  <w:r>
                    <w:rPr>
                      <w:color w:val="auto"/>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jc w:val="center"/>
                    <w:rPr>
                      <w:color w:val="auto"/>
                    </w:rPr>
                  </w:pPr>
                  <w:r>
                    <w:rPr>
                      <w:rFonts w:hint="eastAsia"/>
                      <w:color w:val="auto"/>
                    </w:rPr>
                    <w:t>/</w:t>
                  </w:r>
                </w:p>
              </w:tc>
              <w:tc>
                <w:tcPr>
                  <w:tcW w:w="1488" w:type="pct"/>
                  <w:vAlign w:val="center"/>
                </w:tcPr>
                <w:p>
                  <w:pPr>
                    <w:widowControl/>
                    <w:jc w:val="center"/>
                    <w:rPr>
                      <w:bCs/>
                      <w:color w:val="auto"/>
                      <w:szCs w:val="21"/>
                    </w:rPr>
                  </w:pPr>
                  <w:r>
                    <w:rPr>
                      <w:rFonts w:hint="eastAsia"/>
                      <w:bCs/>
                      <w:color w:val="auto"/>
                      <w:szCs w:val="21"/>
                    </w:rPr>
                    <w:t>纯水制备</w:t>
                  </w:r>
                </w:p>
              </w:tc>
              <w:tc>
                <w:tcPr>
                  <w:tcW w:w="901" w:type="pct"/>
                  <w:vAlign w:val="center"/>
                </w:tcPr>
                <w:p>
                  <w:pPr>
                    <w:adjustRightInd w:val="0"/>
                    <w:snapToGrid w:val="0"/>
                    <w:spacing w:line="240" w:lineRule="exact"/>
                    <w:jc w:val="center"/>
                    <w:rPr>
                      <w:rFonts w:hint="default" w:eastAsia="宋体"/>
                      <w:color w:val="auto"/>
                      <w:lang w:val="en-US" w:eastAsia="zh-CN"/>
                    </w:rPr>
                  </w:pPr>
                  <w:r>
                    <w:rPr>
                      <w:rFonts w:hint="eastAsia"/>
                      <w:color w:val="auto"/>
                      <w:lang w:val="en-US" w:eastAsia="zh-CN"/>
                    </w:rPr>
                    <w:t>纯水制备费过滤材料</w:t>
                  </w:r>
                </w:p>
              </w:tc>
              <w:tc>
                <w:tcPr>
                  <w:tcW w:w="417" w:type="pct"/>
                  <w:vAlign w:val="center"/>
                </w:tcPr>
                <w:p>
                  <w:pPr>
                    <w:adjustRightInd w:val="0"/>
                    <w:snapToGrid w:val="0"/>
                    <w:spacing w:line="240" w:lineRule="exact"/>
                    <w:jc w:val="center"/>
                    <w:rPr>
                      <w:color w:val="auto"/>
                    </w:rPr>
                  </w:pPr>
                  <w:r>
                    <w:rPr>
                      <w:color w:val="auto"/>
                    </w:rPr>
                    <w:t>间歇</w:t>
                  </w:r>
                </w:p>
              </w:tc>
              <w:tc>
                <w:tcPr>
                  <w:tcW w:w="1513" w:type="pct"/>
                  <w:vAlign w:val="center"/>
                </w:tcPr>
                <w:p>
                  <w:pPr>
                    <w:adjustRightInd w:val="0"/>
                    <w:snapToGrid w:val="0"/>
                    <w:spacing w:line="240" w:lineRule="exact"/>
                    <w:jc w:val="center"/>
                    <w:rPr>
                      <w:color w:val="auto"/>
                    </w:rPr>
                  </w:pPr>
                  <w:r>
                    <w:rPr>
                      <w:color w:val="auto"/>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jc w:val="center"/>
                    <w:rPr>
                      <w:color w:val="auto"/>
                    </w:rPr>
                  </w:pPr>
                  <w:r>
                    <w:rPr>
                      <w:color w:val="auto"/>
                    </w:rPr>
                    <w:t>/</w:t>
                  </w:r>
                </w:p>
              </w:tc>
              <w:tc>
                <w:tcPr>
                  <w:tcW w:w="1488" w:type="pct"/>
                  <w:vMerge w:val="restart"/>
                  <w:vAlign w:val="center"/>
                </w:tcPr>
                <w:p>
                  <w:pPr>
                    <w:jc w:val="center"/>
                    <w:rPr>
                      <w:bCs/>
                      <w:color w:val="auto"/>
                      <w:szCs w:val="21"/>
                    </w:rPr>
                  </w:pPr>
                  <w:r>
                    <w:rPr>
                      <w:color w:val="auto"/>
                    </w:rPr>
                    <w:t>原料使用</w:t>
                  </w:r>
                </w:p>
              </w:tc>
              <w:tc>
                <w:tcPr>
                  <w:tcW w:w="901" w:type="pct"/>
                  <w:vAlign w:val="center"/>
                </w:tcPr>
                <w:p>
                  <w:pPr>
                    <w:jc w:val="center"/>
                    <w:rPr>
                      <w:color w:val="auto"/>
                    </w:rPr>
                  </w:pPr>
                  <w:r>
                    <w:rPr>
                      <w:color w:val="auto"/>
                    </w:rPr>
                    <w:t>原料包装箱</w:t>
                  </w:r>
                </w:p>
              </w:tc>
              <w:tc>
                <w:tcPr>
                  <w:tcW w:w="417" w:type="pct"/>
                  <w:vAlign w:val="center"/>
                </w:tcPr>
                <w:p>
                  <w:pPr>
                    <w:jc w:val="center"/>
                    <w:rPr>
                      <w:color w:val="auto"/>
                    </w:rPr>
                  </w:pPr>
                  <w:r>
                    <w:rPr>
                      <w:color w:val="auto"/>
                    </w:rPr>
                    <w:t>间歇</w:t>
                  </w:r>
                </w:p>
              </w:tc>
              <w:tc>
                <w:tcPr>
                  <w:tcW w:w="1513" w:type="pct"/>
                  <w:vAlign w:val="center"/>
                </w:tcPr>
                <w:p>
                  <w:pPr>
                    <w:jc w:val="center"/>
                    <w:rPr>
                      <w:color w:val="auto"/>
                    </w:rPr>
                  </w:pPr>
                  <w:r>
                    <w:rPr>
                      <w:color w:val="auto"/>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jc w:val="center"/>
                    <w:rPr>
                      <w:color w:val="auto"/>
                    </w:rPr>
                  </w:pPr>
                  <w:r>
                    <w:rPr>
                      <w:color w:val="auto"/>
                    </w:rPr>
                    <w:t>/</w:t>
                  </w:r>
                </w:p>
              </w:tc>
              <w:tc>
                <w:tcPr>
                  <w:tcW w:w="1488" w:type="pct"/>
                  <w:vMerge w:val="continue"/>
                  <w:vAlign w:val="center"/>
                </w:tcPr>
                <w:p>
                  <w:pPr>
                    <w:jc w:val="center"/>
                    <w:rPr>
                      <w:bCs/>
                      <w:color w:val="auto"/>
                      <w:szCs w:val="21"/>
                    </w:rPr>
                  </w:pPr>
                </w:p>
              </w:tc>
              <w:tc>
                <w:tcPr>
                  <w:tcW w:w="901" w:type="pct"/>
                  <w:vAlign w:val="center"/>
                </w:tcPr>
                <w:p>
                  <w:pPr>
                    <w:jc w:val="center"/>
                    <w:rPr>
                      <w:color w:val="auto"/>
                    </w:rPr>
                  </w:pPr>
                  <w:r>
                    <w:rPr>
                      <w:color w:val="auto"/>
                    </w:rPr>
                    <w:t>废包装桶/瓶</w:t>
                  </w:r>
                </w:p>
              </w:tc>
              <w:tc>
                <w:tcPr>
                  <w:tcW w:w="417" w:type="pct"/>
                  <w:vAlign w:val="center"/>
                </w:tcPr>
                <w:p>
                  <w:pPr>
                    <w:jc w:val="center"/>
                    <w:rPr>
                      <w:color w:val="auto"/>
                    </w:rPr>
                  </w:pPr>
                  <w:r>
                    <w:rPr>
                      <w:color w:val="auto"/>
                    </w:rPr>
                    <w:t>间歇</w:t>
                  </w:r>
                </w:p>
              </w:tc>
              <w:tc>
                <w:tcPr>
                  <w:tcW w:w="1513" w:type="pct"/>
                  <w:vAlign w:val="center"/>
                </w:tcPr>
                <w:p>
                  <w:pPr>
                    <w:jc w:val="center"/>
                    <w:rPr>
                      <w:color w:val="auto"/>
                    </w:rPr>
                  </w:pPr>
                  <w:r>
                    <w:rPr>
                      <w:color w:val="auto"/>
                    </w:rPr>
                    <w:t>委托有资质单位处置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jc w:val="center"/>
                    <w:rPr>
                      <w:color w:val="auto"/>
                    </w:rPr>
                  </w:pPr>
                  <w:r>
                    <w:rPr>
                      <w:color w:val="auto"/>
                    </w:rPr>
                    <w:t>/</w:t>
                  </w:r>
                </w:p>
              </w:tc>
              <w:tc>
                <w:tcPr>
                  <w:tcW w:w="1488" w:type="pct"/>
                  <w:vAlign w:val="center"/>
                </w:tcPr>
                <w:p>
                  <w:pPr>
                    <w:jc w:val="center"/>
                    <w:rPr>
                      <w:bCs/>
                      <w:color w:val="auto"/>
                      <w:szCs w:val="21"/>
                    </w:rPr>
                  </w:pPr>
                  <w:r>
                    <w:rPr>
                      <w:bCs/>
                      <w:color w:val="auto"/>
                      <w:szCs w:val="21"/>
                    </w:rPr>
                    <w:t>废气处理</w:t>
                  </w:r>
                </w:p>
              </w:tc>
              <w:tc>
                <w:tcPr>
                  <w:tcW w:w="901" w:type="pct"/>
                  <w:vAlign w:val="center"/>
                </w:tcPr>
                <w:p>
                  <w:pPr>
                    <w:jc w:val="center"/>
                    <w:rPr>
                      <w:bCs/>
                      <w:color w:val="auto"/>
                      <w:szCs w:val="21"/>
                    </w:rPr>
                  </w:pPr>
                  <w:r>
                    <w:rPr>
                      <w:bCs/>
                      <w:color w:val="auto"/>
                      <w:szCs w:val="21"/>
                    </w:rPr>
                    <w:t>废活性炭</w:t>
                  </w:r>
                </w:p>
              </w:tc>
              <w:tc>
                <w:tcPr>
                  <w:tcW w:w="417" w:type="pct"/>
                  <w:vAlign w:val="center"/>
                </w:tcPr>
                <w:p>
                  <w:pPr>
                    <w:jc w:val="center"/>
                    <w:rPr>
                      <w:color w:val="auto"/>
                    </w:rPr>
                  </w:pPr>
                  <w:r>
                    <w:rPr>
                      <w:color w:val="auto"/>
                    </w:rPr>
                    <w:t>间歇</w:t>
                  </w:r>
                </w:p>
              </w:tc>
              <w:tc>
                <w:tcPr>
                  <w:tcW w:w="1513" w:type="pct"/>
                  <w:vAlign w:val="center"/>
                </w:tcPr>
                <w:p>
                  <w:pPr>
                    <w:jc w:val="center"/>
                    <w:rPr>
                      <w:color w:val="auto"/>
                    </w:rPr>
                  </w:pPr>
                  <w:r>
                    <w:rPr>
                      <w:color w:val="auto"/>
                    </w:rPr>
                    <w:t>委托有资质单位处置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jc w:val="center"/>
                    <w:rPr>
                      <w:color w:val="auto"/>
                    </w:rPr>
                  </w:pPr>
                  <w:r>
                    <w:rPr>
                      <w:color w:val="auto"/>
                    </w:rPr>
                    <w:t>/</w:t>
                  </w:r>
                </w:p>
              </w:tc>
              <w:tc>
                <w:tcPr>
                  <w:tcW w:w="1488" w:type="pct"/>
                  <w:vMerge w:val="restart"/>
                  <w:vAlign w:val="center"/>
                </w:tcPr>
                <w:p>
                  <w:pPr>
                    <w:jc w:val="center"/>
                    <w:rPr>
                      <w:bCs/>
                      <w:color w:val="auto"/>
                      <w:szCs w:val="21"/>
                    </w:rPr>
                  </w:pPr>
                  <w:r>
                    <w:rPr>
                      <w:bCs/>
                      <w:color w:val="auto"/>
                      <w:szCs w:val="21"/>
                    </w:rPr>
                    <w:t>废水处理</w:t>
                  </w:r>
                </w:p>
              </w:tc>
              <w:tc>
                <w:tcPr>
                  <w:tcW w:w="901" w:type="pct"/>
                  <w:vAlign w:val="center"/>
                </w:tcPr>
                <w:p>
                  <w:pPr>
                    <w:jc w:val="center"/>
                    <w:rPr>
                      <w:bCs/>
                      <w:color w:val="auto"/>
                      <w:szCs w:val="21"/>
                    </w:rPr>
                  </w:pPr>
                  <w:r>
                    <w:rPr>
                      <w:rFonts w:hint="eastAsia"/>
                      <w:bCs/>
                      <w:color w:val="auto"/>
                      <w:szCs w:val="21"/>
                    </w:rPr>
                    <w:t>生活污水</w:t>
                  </w:r>
                  <w:r>
                    <w:rPr>
                      <w:bCs/>
                      <w:color w:val="auto"/>
                      <w:szCs w:val="21"/>
                    </w:rPr>
                    <w:t>沉淀捞渣</w:t>
                  </w:r>
                </w:p>
              </w:tc>
              <w:tc>
                <w:tcPr>
                  <w:tcW w:w="417" w:type="pct"/>
                  <w:vAlign w:val="center"/>
                </w:tcPr>
                <w:p>
                  <w:pPr>
                    <w:jc w:val="center"/>
                    <w:rPr>
                      <w:color w:val="auto"/>
                    </w:rPr>
                  </w:pPr>
                  <w:r>
                    <w:rPr>
                      <w:color w:val="auto"/>
                    </w:rPr>
                    <w:t>间歇</w:t>
                  </w:r>
                </w:p>
              </w:tc>
              <w:tc>
                <w:tcPr>
                  <w:tcW w:w="1513" w:type="pct"/>
                  <w:vAlign w:val="center"/>
                </w:tcPr>
                <w:p>
                  <w:pPr>
                    <w:jc w:val="center"/>
                    <w:rPr>
                      <w:color w:val="auto"/>
                    </w:rPr>
                  </w:pPr>
                  <w:r>
                    <w:rPr>
                      <w:color w:val="auto"/>
                    </w:rPr>
                    <w:t>委托环卫清运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jc w:val="center"/>
                    <w:rPr>
                      <w:color w:val="auto"/>
                    </w:rPr>
                  </w:pPr>
                  <w:r>
                    <w:rPr>
                      <w:rFonts w:hint="eastAsia"/>
                      <w:color w:val="auto"/>
                    </w:rPr>
                    <w:t>/</w:t>
                  </w:r>
                </w:p>
              </w:tc>
              <w:tc>
                <w:tcPr>
                  <w:tcW w:w="1488" w:type="pct"/>
                  <w:vMerge w:val="continue"/>
                  <w:vAlign w:val="center"/>
                </w:tcPr>
                <w:p>
                  <w:pPr>
                    <w:jc w:val="center"/>
                    <w:rPr>
                      <w:bCs/>
                      <w:color w:val="auto"/>
                      <w:szCs w:val="21"/>
                    </w:rPr>
                  </w:pPr>
                </w:p>
              </w:tc>
              <w:tc>
                <w:tcPr>
                  <w:tcW w:w="901" w:type="pct"/>
                  <w:vAlign w:val="center"/>
                </w:tcPr>
                <w:p>
                  <w:pPr>
                    <w:jc w:val="center"/>
                    <w:rPr>
                      <w:bCs/>
                      <w:color w:val="auto"/>
                      <w:szCs w:val="21"/>
                    </w:rPr>
                  </w:pPr>
                  <w:r>
                    <w:rPr>
                      <w:rFonts w:hint="eastAsia"/>
                      <w:bCs/>
                      <w:color w:val="auto"/>
                      <w:szCs w:val="21"/>
                    </w:rPr>
                    <w:t>压滤污泥</w:t>
                  </w:r>
                </w:p>
              </w:tc>
              <w:tc>
                <w:tcPr>
                  <w:tcW w:w="417" w:type="pct"/>
                  <w:vAlign w:val="center"/>
                </w:tcPr>
                <w:p>
                  <w:pPr>
                    <w:jc w:val="center"/>
                    <w:rPr>
                      <w:color w:val="auto"/>
                    </w:rPr>
                  </w:pPr>
                  <w:r>
                    <w:rPr>
                      <w:color w:val="auto"/>
                    </w:rPr>
                    <w:t>间歇</w:t>
                  </w:r>
                </w:p>
              </w:tc>
              <w:tc>
                <w:tcPr>
                  <w:tcW w:w="1513" w:type="pct"/>
                  <w:vAlign w:val="center"/>
                </w:tcPr>
                <w:p>
                  <w:pPr>
                    <w:jc w:val="center"/>
                    <w:rPr>
                      <w:color w:val="auto"/>
                    </w:rPr>
                  </w:pPr>
                  <w:r>
                    <w:rPr>
                      <w:color w:val="auto"/>
                    </w:rPr>
                    <w:t>委托有资质单位处置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jc w:val="center"/>
                    <w:rPr>
                      <w:color w:val="auto"/>
                    </w:rPr>
                  </w:pPr>
                </w:p>
              </w:tc>
              <w:tc>
                <w:tcPr>
                  <w:tcW w:w="1488" w:type="pct"/>
                  <w:vMerge w:val="continue"/>
                  <w:vAlign w:val="center"/>
                </w:tcPr>
                <w:p>
                  <w:pPr>
                    <w:jc w:val="center"/>
                    <w:rPr>
                      <w:bCs/>
                      <w:color w:val="auto"/>
                      <w:szCs w:val="21"/>
                    </w:rPr>
                  </w:pPr>
                </w:p>
              </w:tc>
              <w:tc>
                <w:tcPr>
                  <w:tcW w:w="901" w:type="pct"/>
                  <w:vAlign w:val="center"/>
                </w:tcPr>
                <w:p>
                  <w:pPr>
                    <w:jc w:val="center"/>
                    <w:rPr>
                      <w:bCs/>
                      <w:color w:val="auto"/>
                      <w:szCs w:val="21"/>
                    </w:rPr>
                  </w:pPr>
                  <w:r>
                    <w:rPr>
                      <w:rFonts w:hint="eastAsia"/>
                      <w:bCs/>
                      <w:color w:val="auto"/>
                      <w:szCs w:val="21"/>
                    </w:rPr>
                    <w:t>废过滤材料</w:t>
                  </w:r>
                </w:p>
              </w:tc>
              <w:tc>
                <w:tcPr>
                  <w:tcW w:w="417" w:type="pct"/>
                  <w:vAlign w:val="center"/>
                </w:tcPr>
                <w:p>
                  <w:pPr>
                    <w:jc w:val="center"/>
                    <w:rPr>
                      <w:color w:val="auto"/>
                    </w:rPr>
                  </w:pPr>
                  <w:r>
                    <w:rPr>
                      <w:color w:val="auto"/>
                    </w:rPr>
                    <w:t>间歇</w:t>
                  </w:r>
                </w:p>
              </w:tc>
              <w:tc>
                <w:tcPr>
                  <w:tcW w:w="1513" w:type="pct"/>
                  <w:vAlign w:val="center"/>
                </w:tcPr>
                <w:p>
                  <w:pPr>
                    <w:jc w:val="center"/>
                    <w:rPr>
                      <w:color w:val="auto"/>
                    </w:rPr>
                  </w:pPr>
                  <w:r>
                    <w:rPr>
                      <w:color w:val="auto"/>
                    </w:rPr>
                    <w:t>委托有资质单位处置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jc w:val="center"/>
                    <w:rPr>
                      <w:color w:val="auto"/>
                    </w:rPr>
                  </w:pPr>
                  <w:r>
                    <w:rPr>
                      <w:rFonts w:hint="eastAsia"/>
                      <w:color w:val="auto"/>
                    </w:rPr>
                    <w:t>/</w:t>
                  </w:r>
                </w:p>
              </w:tc>
              <w:tc>
                <w:tcPr>
                  <w:tcW w:w="1488" w:type="pct"/>
                  <w:vMerge w:val="continue"/>
                  <w:vAlign w:val="center"/>
                </w:tcPr>
                <w:p>
                  <w:pPr>
                    <w:jc w:val="center"/>
                    <w:rPr>
                      <w:bCs/>
                      <w:color w:val="auto"/>
                      <w:szCs w:val="21"/>
                    </w:rPr>
                  </w:pPr>
                </w:p>
              </w:tc>
              <w:tc>
                <w:tcPr>
                  <w:tcW w:w="901" w:type="pct"/>
                  <w:vAlign w:val="center"/>
                </w:tcPr>
                <w:p>
                  <w:pPr>
                    <w:jc w:val="center"/>
                    <w:rPr>
                      <w:bCs/>
                      <w:color w:val="auto"/>
                      <w:szCs w:val="21"/>
                    </w:rPr>
                  </w:pPr>
                  <w:r>
                    <w:rPr>
                      <w:rFonts w:hint="eastAsia"/>
                      <w:bCs/>
                      <w:color w:val="auto"/>
                      <w:szCs w:val="21"/>
                    </w:rPr>
                    <w:t>浓缩蒸发液</w:t>
                  </w:r>
                </w:p>
              </w:tc>
              <w:tc>
                <w:tcPr>
                  <w:tcW w:w="417" w:type="pct"/>
                  <w:vAlign w:val="center"/>
                </w:tcPr>
                <w:p>
                  <w:pPr>
                    <w:jc w:val="center"/>
                    <w:rPr>
                      <w:color w:val="auto"/>
                    </w:rPr>
                  </w:pPr>
                  <w:r>
                    <w:rPr>
                      <w:color w:val="auto"/>
                    </w:rPr>
                    <w:t>间歇</w:t>
                  </w:r>
                </w:p>
              </w:tc>
              <w:tc>
                <w:tcPr>
                  <w:tcW w:w="1513" w:type="pct"/>
                  <w:vAlign w:val="center"/>
                </w:tcPr>
                <w:p>
                  <w:pPr>
                    <w:jc w:val="center"/>
                    <w:rPr>
                      <w:color w:val="auto"/>
                    </w:rPr>
                  </w:pPr>
                  <w:r>
                    <w:rPr>
                      <w:color w:val="auto"/>
                    </w:rPr>
                    <w:t>委托有资质单位处置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jc w:val="center"/>
                    <w:rPr>
                      <w:color w:val="auto"/>
                    </w:rPr>
                  </w:pPr>
                  <w:r>
                    <w:rPr>
                      <w:color w:val="auto"/>
                    </w:rPr>
                    <w:t>/</w:t>
                  </w:r>
                </w:p>
              </w:tc>
              <w:tc>
                <w:tcPr>
                  <w:tcW w:w="1488" w:type="pct"/>
                  <w:vAlign w:val="center"/>
                </w:tcPr>
                <w:p>
                  <w:pPr>
                    <w:jc w:val="center"/>
                    <w:rPr>
                      <w:bCs/>
                      <w:color w:val="auto"/>
                      <w:szCs w:val="21"/>
                    </w:rPr>
                  </w:pPr>
                  <w:r>
                    <w:rPr>
                      <w:bCs/>
                      <w:color w:val="auto"/>
                      <w:szCs w:val="21"/>
                    </w:rPr>
                    <w:t>生产过程</w:t>
                  </w:r>
                </w:p>
              </w:tc>
              <w:tc>
                <w:tcPr>
                  <w:tcW w:w="901" w:type="pct"/>
                  <w:vAlign w:val="center"/>
                </w:tcPr>
                <w:p>
                  <w:pPr>
                    <w:jc w:val="center"/>
                    <w:rPr>
                      <w:bCs/>
                      <w:color w:val="auto"/>
                      <w:szCs w:val="21"/>
                    </w:rPr>
                  </w:pPr>
                  <w:r>
                    <w:rPr>
                      <w:bCs/>
                      <w:color w:val="auto"/>
                      <w:szCs w:val="21"/>
                    </w:rPr>
                    <w:t>含油废抹布手套</w:t>
                  </w:r>
                </w:p>
              </w:tc>
              <w:tc>
                <w:tcPr>
                  <w:tcW w:w="417" w:type="pct"/>
                  <w:vAlign w:val="center"/>
                </w:tcPr>
                <w:p>
                  <w:pPr>
                    <w:jc w:val="center"/>
                    <w:rPr>
                      <w:color w:val="auto"/>
                    </w:rPr>
                  </w:pPr>
                  <w:r>
                    <w:rPr>
                      <w:color w:val="auto"/>
                    </w:rPr>
                    <w:t>间歇</w:t>
                  </w:r>
                </w:p>
              </w:tc>
              <w:tc>
                <w:tcPr>
                  <w:tcW w:w="1513" w:type="pct"/>
                  <w:vAlign w:val="center"/>
                </w:tcPr>
                <w:p>
                  <w:pPr>
                    <w:jc w:val="center"/>
                    <w:rPr>
                      <w:color w:val="auto"/>
                    </w:rPr>
                  </w:pPr>
                  <w:r>
                    <w:rPr>
                      <w:color w:val="auto"/>
                    </w:rPr>
                    <w:t>委托有资质单位处置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jc w:val="center"/>
                    <w:rPr>
                      <w:color w:val="auto"/>
                    </w:rPr>
                  </w:pPr>
                  <w:r>
                    <w:rPr>
                      <w:rFonts w:hint="eastAsia"/>
                      <w:color w:val="auto"/>
                    </w:rPr>
                    <w:t>/</w:t>
                  </w:r>
                </w:p>
              </w:tc>
              <w:tc>
                <w:tcPr>
                  <w:tcW w:w="1488" w:type="pct"/>
                  <w:vMerge w:val="restart"/>
                  <w:vAlign w:val="center"/>
                </w:tcPr>
                <w:p>
                  <w:pPr>
                    <w:jc w:val="center"/>
                    <w:rPr>
                      <w:color w:val="auto"/>
                    </w:rPr>
                  </w:pPr>
                  <w:r>
                    <w:rPr>
                      <w:rFonts w:hint="eastAsia"/>
                      <w:color w:val="auto"/>
                    </w:rPr>
                    <w:t>设备维护保养</w:t>
                  </w:r>
                </w:p>
              </w:tc>
              <w:tc>
                <w:tcPr>
                  <w:tcW w:w="901" w:type="pct"/>
                  <w:vAlign w:val="center"/>
                </w:tcPr>
                <w:p>
                  <w:pPr>
                    <w:jc w:val="center"/>
                    <w:rPr>
                      <w:bCs/>
                      <w:color w:val="auto"/>
                      <w:szCs w:val="21"/>
                    </w:rPr>
                  </w:pPr>
                  <w:r>
                    <w:rPr>
                      <w:rFonts w:hint="eastAsia"/>
                      <w:bCs/>
                      <w:color w:val="auto"/>
                      <w:szCs w:val="21"/>
                    </w:rPr>
                    <w:t>废液压油</w:t>
                  </w:r>
                </w:p>
              </w:tc>
              <w:tc>
                <w:tcPr>
                  <w:tcW w:w="417" w:type="pct"/>
                  <w:vAlign w:val="center"/>
                </w:tcPr>
                <w:p>
                  <w:pPr>
                    <w:jc w:val="center"/>
                    <w:rPr>
                      <w:color w:val="auto"/>
                    </w:rPr>
                  </w:pPr>
                  <w:r>
                    <w:rPr>
                      <w:color w:val="auto"/>
                    </w:rPr>
                    <w:t>间歇</w:t>
                  </w:r>
                </w:p>
              </w:tc>
              <w:tc>
                <w:tcPr>
                  <w:tcW w:w="1513" w:type="pct"/>
                  <w:vAlign w:val="center"/>
                </w:tcPr>
                <w:p>
                  <w:pPr>
                    <w:jc w:val="center"/>
                    <w:rPr>
                      <w:color w:val="auto"/>
                    </w:rPr>
                  </w:pPr>
                  <w:r>
                    <w:rPr>
                      <w:color w:val="auto"/>
                    </w:rPr>
                    <w:t>委托有资质单位处置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jc w:val="center"/>
                    <w:rPr>
                      <w:color w:val="auto"/>
                    </w:rPr>
                  </w:pPr>
                  <w:r>
                    <w:rPr>
                      <w:rFonts w:hint="eastAsia"/>
                      <w:color w:val="auto"/>
                    </w:rPr>
                    <w:t>/</w:t>
                  </w:r>
                </w:p>
              </w:tc>
              <w:tc>
                <w:tcPr>
                  <w:tcW w:w="1488" w:type="pct"/>
                  <w:vMerge w:val="continue"/>
                  <w:vAlign w:val="center"/>
                </w:tcPr>
                <w:p>
                  <w:pPr>
                    <w:jc w:val="center"/>
                    <w:rPr>
                      <w:bCs/>
                      <w:color w:val="auto"/>
                      <w:szCs w:val="21"/>
                    </w:rPr>
                  </w:pPr>
                </w:p>
              </w:tc>
              <w:tc>
                <w:tcPr>
                  <w:tcW w:w="901" w:type="pct"/>
                  <w:vAlign w:val="center"/>
                </w:tcPr>
                <w:p>
                  <w:pPr>
                    <w:jc w:val="center"/>
                    <w:rPr>
                      <w:bCs/>
                      <w:color w:val="auto"/>
                      <w:szCs w:val="21"/>
                    </w:rPr>
                  </w:pPr>
                  <w:r>
                    <w:rPr>
                      <w:rFonts w:hint="eastAsia"/>
                      <w:bCs/>
                      <w:color w:val="auto"/>
                      <w:szCs w:val="21"/>
                    </w:rPr>
                    <w:t>废润滑油</w:t>
                  </w:r>
                </w:p>
              </w:tc>
              <w:tc>
                <w:tcPr>
                  <w:tcW w:w="417" w:type="pct"/>
                  <w:vAlign w:val="center"/>
                </w:tcPr>
                <w:p>
                  <w:pPr>
                    <w:jc w:val="center"/>
                    <w:rPr>
                      <w:color w:val="auto"/>
                    </w:rPr>
                  </w:pPr>
                  <w:r>
                    <w:rPr>
                      <w:color w:val="auto"/>
                    </w:rPr>
                    <w:t>间歇</w:t>
                  </w:r>
                </w:p>
              </w:tc>
              <w:tc>
                <w:tcPr>
                  <w:tcW w:w="1513" w:type="pct"/>
                  <w:vAlign w:val="center"/>
                </w:tcPr>
                <w:p>
                  <w:pPr>
                    <w:jc w:val="center"/>
                    <w:rPr>
                      <w:color w:val="auto"/>
                    </w:rPr>
                  </w:pPr>
                  <w:r>
                    <w:rPr>
                      <w:color w:val="auto"/>
                    </w:rPr>
                    <w:t>委托有资质单位处置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jc w:val="center"/>
                    <w:rPr>
                      <w:color w:val="auto"/>
                    </w:rPr>
                  </w:pPr>
                  <w:r>
                    <w:rPr>
                      <w:color w:val="auto"/>
                    </w:rPr>
                    <w:t>/</w:t>
                  </w:r>
                </w:p>
              </w:tc>
              <w:tc>
                <w:tcPr>
                  <w:tcW w:w="1488" w:type="pct"/>
                  <w:vMerge w:val="continue"/>
                  <w:vAlign w:val="center"/>
                </w:tcPr>
                <w:p>
                  <w:pPr>
                    <w:jc w:val="center"/>
                    <w:rPr>
                      <w:color w:val="auto"/>
                    </w:rPr>
                  </w:pPr>
                </w:p>
              </w:tc>
              <w:tc>
                <w:tcPr>
                  <w:tcW w:w="901" w:type="pct"/>
                  <w:vAlign w:val="center"/>
                </w:tcPr>
                <w:p>
                  <w:pPr>
                    <w:jc w:val="center"/>
                    <w:rPr>
                      <w:color w:val="auto"/>
                    </w:rPr>
                  </w:pPr>
                  <w:r>
                    <w:rPr>
                      <w:bCs/>
                      <w:color w:val="auto"/>
                      <w:szCs w:val="21"/>
                    </w:rPr>
                    <w:t>含油废抹布手套</w:t>
                  </w:r>
                </w:p>
              </w:tc>
              <w:tc>
                <w:tcPr>
                  <w:tcW w:w="417" w:type="pct"/>
                  <w:vAlign w:val="center"/>
                </w:tcPr>
                <w:p>
                  <w:pPr>
                    <w:jc w:val="center"/>
                    <w:rPr>
                      <w:color w:val="auto"/>
                    </w:rPr>
                  </w:pPr>
                  <w:r>
                    <w:rPr>
                      <w:color w:val="auto"/>
                    </w:rPr>
                    <w:t>间歇</w:t>
                  </w:r>
                </w:p>
              </w:tc>
              <w:tc>
                <w:tcPr>
                  <w:tcW w:w="1513" w:type="pct"/>
                  <w:vAlign w:val="center"/>
                </w:tcPr>
                <w:p>
                  <w:pPr>
                    <w:jc w:val="center"/>
                    <w:rPr>
                      <w:color w:val="auto"/>
                    </w:rPr>
                  </w:pPr>
                  <w:r>
                    <w:rPr>
                      <w:color w:val="auto"/>
                    </w:rPr>
                    <w:t>委托有资质单位处置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Merge w:val="continue"/>
                  <w:vAlign w:val="center"/>
                </w:tcPr>
                <w:p>
                  <w:pPr>
                    <w:jc w:val="center"/>
                    <w:rPr>
                      <w:bCs/>
                      <w:color w:val="auto"/>
                      <w:szCs w:val="21"/>
                    </w:rPr>
                  </w:pPr>
                </w:p>
              </w:tc>
              <w:tc>
                <w:tcPr>
                  <w:tcW w:w="389" w:type="pct"/>
                  <w:vAlign w:val="center"/>
                </w:tcPr>
                <w:p>
                  <w:pPr>
                    <w:jc w:val="center"/>
                    <w:rPr>
                      <w:color w:val="auto"/>
                    </w:rPr>
                  </w:pPr>
                  <w:r>
                    <w:rPr>
                      <w:rFonts w:hint="eastAsia"/>
                      <w:color w:val="auto"/>
                    </w:rPr>
                    <w:t>/</w:t>
                  </w:r>
                </w:p>
              </w:tc>
              <w:tc>
                <w:tcPr>
                  <w:tcW w:w="1488" w:type="pct"/>
                  <w:vAlign w:val="center"/>
                </w:tcPr>
                <w:p>
                  <w:pPr>
                    <w:jc w:val="center"/>
                    <w:rPr>
                      <w:color w:val="auto"/>
                    </w:rPr>
                  </w:pPr>
                  <w:r>
                    <w:rPr>
                      <w:rFonts w:hint="eastAsia"/>
                      <w:color w:val="auto"/>
                    </w:rPr>
                    <w:t>生活垃圾</w:t>
                  </w:r>
                </w:p>
              </w:tc>
              <w:tc>
                <w:tcPr>
                  <w:tcW w:w="901" w:type="pct"/>
                  <w:vAlign w:val="center"/>
                </w:tcPr>
                <w:p>
                  <w:pPr>
                    <w:jc w:val="center"/>
                    <w:rPr>
                      <w:bCs/>
                      <w:color w:val="auto"/>
                      <w:szCs w:val="21"/>
                    </w:rPr>
                  </w:pPr>
                  <w:r>
                    <w:rPr>
                      <w:rFonts w:hint="eastAsia"/>
                      <w:bCs/>
                      <w:color w:val="auto"/>
                      <w:szCs w:val="21"/>
                    </w:rPr>
                    <w:t>办公、生活</w:t>
                  </w:r>
                </w:p>
              </w:tc>
              <w:tc>
                <w:tcPr>
                  <w:tcW w:w="417" w:type="pct"/>
                  <w:vAlign w:val="center"/>
                </w:tcPr>
                <w:p>
                  <w:pPr>
                    <w:jc w:val="center"/>
                    <w:rPr>
                      <w:color w:val="auto"/>
                    </w:rPr>
                  </w:pPr>
                  <w:r>
                    <w:rPr>
                      <w:color w:val="auto"/>
                    </w:rPr>
                    <w:t>间歇</w:t>
                  </w:r>
                </w:p>
              </w:tc>
              <w:tc>
                <w:tcPr>
                  <w:tcW w:w="1513" w:type="pct"/>
                  <w:vAlign w:val="center"/>
                </w:tcPr>
                <w:p>
                  <w:pPr>
                    <w:jc w:val="center"/>
                    <w:rPr>
                      <w:color w:val="auto"/>
                    </w:rPr>
                  </w:pPr>
                  <w:r>
                    <w:rPr>
                      <w:color w:val="auto"/>
                    </w:rPr>
                    <w:t>委托环卫清运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90" w:type="pct"/>
                  <w:vAlign w:val="center"/>
                </w:tcPr>
                <w:p>
                  <w:pPr>
                    <w:jc w:val="center"/>
                    <w:rPr>
                      <w:bCs/>
                      <w:color w:val="auto"/>
                      <w:szCs w:val="21"/>
                    </w:rPr>
                  </w:pPr>
                  <w:r>
                    <w:rPr>
                      <w:rFonts w:hint="eastAsia"/>
                      <w:bCs/>
                      <w:color w:val="auto"/>
                      <w:szCs w:val="21"/>
                    </w:rPr>
                    <w:t>振动</w:t>
                  </w:r>
                </w:p>
              </w:tc>
              <w:tc>
                <w:tcPr>
                  <w:tcW w:w="389" w:type="pct"/>
                  <w:vAlign w:val="center"/>
                </w:tcPr>
                <w:p>
                  <w:pPr>
                    <w:jc w:val="center"/>
                    <w:rPr>
                      <w:color w:val="auto"/>
                    </w:rPr>
                  </w:pPr>
                  <w:r>
                    <w:rPr>
                      <w:rFonts w:hint="eastAsia"/>
                      <w:color w:val="auto"/>
                    </w:rPr>
                    <w:t>Z</w:t>
                  </w:r>
                </w:p>
              </w:tc>
              <w:tc>
                <w:tcPr>
                  <w:tcW w:w="1488" w:type="pct"/>
                  <w:vAlign w:val="center"/>
                </w:tcPr>
                <w:p>
                  <w:pPr>
                    <w:jc w:val="center"/>
                    <w:rPr>
                      <w:color w:val="auto"/>
                    </w:rPr>
                  </w:pPr>
                  <w:r>
                    <w:rPr>
                      <w:rFonts w:hint="eastAsia"/>
                      <w:color w:val="auto"/>
                    </w:rPr>
                    <w:t>机械加工</w:t>
                  </w:r>
                </w:p>
              </w:tc>
              <w:tc>
                <w:tcPr>
                  <w:tcW w:w="901" w:type="pct"/>
                  <w:vAlign w:val="center"/>
                </w:tcPr>
                <w:p>
                  <w:pPr>
                    <w:jc w:val="center"/>
                    <w:rPr>
                      <w:bCs/>
                      <w:color w:val="auto"/>
                      <w:szCs w:val="21"/>
                    </w:rPr>
                  </w:pPr>
                  <w:r>
                    <w:rPr>
                      <w:rFonts w:hint="eastAsia"/>
                      <w:bCs/>
                      <w:color w:val="auto"/>
                      <w:szCs w:val="21"/>
                    </w:rPr>
                    <w:t>/</w:t>
                  </w:r>
                </w:p>
              </w:tc>
              <w:tc>
                <w:tcPr>
                  <w:tcW w:w="417" w:type="pct"/>
                  <w:vAlign w:val="center"/>
                </w:tcPr>
                <w:p>
                  <w:pPr>
                    <w:jc w:val="center"/>
                    <w:rPr>
                      <w:color w:val="auto"/>
                    </w:rPr>
                  </w:pPr>
                  <w:r>
                    <w:rPr>
                      <w:rFonts w:hint="eastAsia"/>
                      <w:color w:val="auto"/>
                    </w:rPr>
                    <w:t>持续</w:t>
                  </w:r>
                </w:p>
              </w:tc>
              <w:tc>
                <w:tcPr>
                  <w:tcW w:w="1513" w:type="pct"/>
                  <w:vAlign w:val="center"/>
                </w:tcPr>
                <w:p>
                  <w:pPr>
                    <w:jc w:val="center"/>
                    <w:rPr>
                      <w:color w:val="auto"/>
                    </w:rPr>
                  </w:pPr>
                  <w:r>
                    <w:rPr>
                      <w:rFonts w:hint="eastAsia"/>
                      <w:color w:val="auto"/>
                      <w:szCs w:val="21"/>
                    </w:rPr>
                    <w:t>铺设隔振垫进行隔振</w:t>
                  </w:r>
                </w:p>
              </w:tc>
            </w:tr>
          </w:tbl>
          <w:p>
            <w:pPr>
              <w:pStyle w:val="2"/>
              <w:rPr>
                <w:rFonts w:ascii="Calibri" w:hAnsi="Calibri" w:cs="Calibri"/>
                <w:color w:val="auto"/>
              </w:rPr>
            </w:pPr>
          </w:p>
        </w:tc>
      </w:tr>
    </w:tbl>
    <w:p>
      <w:pPr>
        <w:pStyle w:val="2"/>
        <w:rPr>
          <w:color w:val="auto"/>
        </w:rPr>
        <w:sectPr>
          <w:pgSz w:w="11906" w:h="16838"/>
          <w:pgMar w:top="1440" w:right="1797" w:bottom="1440" w:left="1797" w:header="851" w:footer="992" w:gutter="0"/>
          <w:pgBorders>
            <w:top w:val="none" w:sz="0" w:space="0"/>
            <w:left w:val="none" w:sz="0" w:space="0"/>
            <w:bottom w:val="none" w:sz="0" w:space="0"/>
            <w:right w:val="none" w:sz="0" w:space="0"/>
          </w:pgBorders>
          <w:cols w:space="0" w:num="1"/>
          <w:docGrid w:type="lines" w:linePitch="319" w:charSpace="0"/>
        </w:sectPr>
      </w:pPr>
    </w:p>
    <w:tbl>
      <w:tblPr>
        <w:tblStyle w:val="27"/>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7" w:hRule="atLeast"/>
        </w:trPr>
        <w:tc>
          <w:tcPr>
            <w:tcW w:w="456" w:type="dxa"/>
            <w:vAlign w:val="center"/>
          </w:tcPr>
          <w:p>
            <w:pPr>
              <w:jc w:val="center"/>
              <w:rPr>
                <w:rFonts w:ascii="Calibri" w:hAnsi="Calibri" w:eastAsia="黑体" w:cs="Calibri"/>
                <w:snapToGrid w:val="0"/>
                <w:color w:val="auto"/>
                <w:sz w:val="30"/>
                <w:szCs w:val="30"/>
              </w:rPr>
            </w:pPr>
            <w:r>
              <w:rPr>
                <w:rFonts w:ascii="Calibri" w:hAnsi="Calibri" w:cs="Calibri"/>
                <w:bCs/>
                <w:color w:val="auto"/>
                <w:sz w:val="24"/>
              </w:rPr>
              <w:t>与项目有关的原有环境污染问题</w:t>
            </w:r>
          </w:p>
        </w:tc>
        <w:tc>
          <w:tcPr>
            <w:tcW w:w="8191" w:type="dxa"/>
          </w:tcPr>
          <w:p>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1、迁建前项目概况</w:t>
            </w:r>
          </w:p>
          <w:p>
            <w:pPr>
              <w:spacing w:line="360" w:lineRule="auto"/>
              <w:ind w:firstLine="480" w:firstLineChars="200"/>
              <w:rPr>
                <w:rFonts w:hint="default" w:ascii="Calibri" w:hAnsi="Calibri" w:eastAsia="宋体" w:cs="Calibri"/>
                <w:b/>
                <w:bCs/>
                <w:color w:val="auto"/>
                <w:szCs w:val="21"/>
                <w:lang w:val="en-US" w:eastAsia="zh-CN"/>
              </w:rPr>
            </w:pPr>
            <w:r>
              <w:rPr>
                <w:rFonts w:hint="default" w:ascii="Times New Roman" w:hAnsi="Times New Roman" w:cs="Times New Roman"/>
                <w:color w:val="auto"/>
                <w:sz w:val="24"/>
              </w:rPr>
              <w:t>无锡丰科金属制品有限公司2005年10月通过工商部门预核准，注册资本为300万元。公司原有项目位于梅村工业集中区锡鸿路15号，主要从事五金、冲压项目生产，并取得原无锡新区经济发展局备案（备案号：锡新管经备【2005】0068号），原有项目于2005年9月8日编制《五金、冲压建设项目环境影响申报（登记）表》，主要产品冲压件28800件，并于2005年11月21日取得原无锡市新区规划建设环保局审批意见，同意该项目建设。</w:t>
            </w:r>
            <w:r>
              <w:rPr>
                <w:rFonts w:hint="eastAsia" w:ascii="Times New Roman" w:hAnsi="Times New Roman" w:cs="Times New Roman"/>
                <w:color w:val="auto"/>
                <w:sz w:val="24"/>
                <w:lang w:val="en-US" w:eastAsia="zh-CN"/>
              </w:rPr>
              <w:t>已取得固定污染源排污登记，登记编号：9132021478027233XB001X。</w:t>
            </w:r>
          </w:p>
          <w:p>
            <w:pPr>
              <w:numPr>
                <w:ilvl w:val="0"/>
                <w:numId w:val="7"/>
              </w:numPr>
              <w:spacing w:line="360" w:lineRule="auto"/>
              <w:rPr>
                <w:rFonts w:hint="default" w:ascii="Times New Roman" w:hAnsi="Times New Roman" w:cs="Times New Roman"/>
                <w:b/>
                <w:color w:val="auto"/>
                <w:sz w:val="24"/>
                <w:szCs w:val="22"/>
              </w:rPr>
            </w:pPr>
            <w:r>
              <w:rPr>
                <w:rFonts w:hint="default" w:ascii="Times New Roman" w:hAnsi="Times New Roman" w:cs="Times New Roman"/>
                <w:b/>
                <w:bCs/>
                <w:color w:val="auto"/>
                <w:sz w:val="24"/>
                <w:szCs w:val="22"/>
              </w:rPr>
              <w:t>迁建</w:t>
            </w:r>
            <w:r>
              <w:rPr>
                <w:rFonts w:hint="default" w:ascii="Times New Roman" w:hAnsi="Times New Roman" w:cs="Times New Roman"/>
                <w:b/>
                <w:color w:val="auto"/>
                <w:sz w:val="24"/>
                <w:szCs w:val="22"/>
              </w:rPr>
              <w:t>前项目工艺流程图</w:t>
            </w:r>
          </w:p>
          <w:p>
            <w:pPr>
              <w:pStyle w:val="2"/>
              <w:jc w:val="center"/>
              <w:rPr>
                <w:rFonts w:ascii="Calibri" w:hAnsi="Calibri" w:cs="Calibri"/>
                <w:color w:val="auto"/>
              </w:rPr>
            </w:pPr>
            <w:r>
              <w:rPr>
                <w:color w:val="auto"/>
              </w:rPr>
              <w:drawing>
                <wp:inline distT="0" distB="0" distL="114300" distR="114300">
                  <wp:extent cx="3590925" cy="3095625"/>
                  <wp:effectExtent l="0" t="0" r="9525" b="952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5"/>
                          <a:stretch>
                            <a:fillRect/>
                          </a:stretch>
                        </pic:blipFill>
                        <pic:spPr>
                          <a:xfrm>
                            <a:off x="0" y="0"/>
                            <a:ext cx="3590925" cy="3095625"/>
                          </a:xfrm>
                          <a:prstGeom prst="rect">
                            <a:avLst/>
                          </a:prstGeom>
                          <a:noFill/>
                          <a:ln>
                            <a:noFill/>
                          </a:ln>
                        </pic:spPr>
                      </pic:pic>
                    </a:graphicData>
                  </a:graphic>
                </wp:inline>
              </w:drawing>
            </w:r>
          </w:p>
          <w:p>
            <w:pPr>
              <w:pStyle w:val="3"/>
              <w:numPr>
                <w:ilvl w:val="0"/>
                <w:numId w:val="0"/>
              </w:numPr>
              <w:jc w:val="center"/>
              <w:rPr>
                <w:rFonts w:ascii="Calibri" w:hAnsi="Calibri" w:cs="Calibri"/>
                <w:b/>
                <w:bCs/>
                <w:color w:val="auto"/>
                <w:sz w:val="24"/>
              </w:rPr>
            </w:pPr>
            <w:r>
              <w:rPr>
                <w:rFonts w:hint="eastAsia" w:ascii="Calibri" w:hAnsi="Calibri" w:cs="Calibri"/>
                <w:b/>
                <w:bCs/>
                <w:color w:val="auto"/>
                <w:sz w:val="24"/>
              </w:rPr>
              <w:t>图2-6 原有项目工艺流程图</w:t>
            </w:r>
          </w:p>
          <w:p>
            <w:pPr>
              <w:pStyle w:val="3"/>
              <w:numPr>
                <w:ilvl w:val="0"/>
                <w:numId w:val="0"/>
              </w:numPr>
              <w:rPr>
                <w:rFonts w:ascii="Calibri" w:hAnsi="Calibri" w:cs="Calibri"/>
                <w:color w:val="auto"/>
              </w:rPr>
            </w:pPr>
          </w:p>
          <w:p>
            <w:pPr>
              <w:spacing w:line="360" w:lineRule="auto"/>
              <w:rPr>
                <w:rFonts w:ascii="Calibri" w:hAnsi="Calibri" w:cs="Calibri"/>
                <w:b/>
                <w:color w:val="auto"/>
                <w:sz w:val="24"/>
              </w:rPr>
            </w:pPr>
            <w:r>
              <w:rPr>
                <w:rFonts w:ascii="Calibri" w:hAnsi="Calibri" w:cs="Calibri"/>
                <w:b/>
                <w:color w:val="auto"/>
                <w:sz w:val="24"/>
              </w:rPr>
              <w:t>工艺说明：</w:t>
            </w:r>
          </w:p>
          <w:p>
            <w:pPr>
              <w:pStyle w:val="58"/>
              <w:widowControl/>
              <w:spacing w:line="360" w:lineRule="auto"/>
              <w:ind w:firstLine="482"/>
              <w:rPr>
                <w:rFonts w:ascii="Calibri" w:hAnsi="Calibri" w:cs="Calibri"/>
                <w:color w:val="auto"/>
                <w:sz w:val="24"/>
              </w:rPr>
            </w:pPr>
            <w:r>
              <w:rPr>
                <w:rFonts w:ascii="Calibri" w:hAnsi="Calibri" w:cs="Calibri"/>
                <w:b/>
                <w:bCs/>
                <w:color w:val="auto"/>
                <w:sz w:val="24"/>
              </w:rPr>
              <w:t>剪板：</w:t>
            </w:r>
            <w:r>
              <w:rPr>
                <w:rFonts w:ascii="Calibri" w:hAnsi="Calibri" w:cs="Calibri"/>
                <w:color w:val="auto"/>
                <w:sz w:val="24"/>
              </w:rPr>
              <w:t>依据客户设计要求，利用</w:t>
            </w:r>
            <w:r>
              <w:rPr>
                <w:rFonts w:ascii="Calibri" w:hAnsi="Calibri" w:cs="Calibri"/>
                <w:bCs/>
                <w:color w:val="auto"/>
                <w:kern w:val="0"/>
                <w:sz w:val="24"/>
              </w:rPr>
              <w:t>闭式双点压力机以及</w:t>
            </w:r>
            <w:r>
              <w:rPr>
                <w:rFonts w:ascii="Calibri" w:hAnsi="Calibri" w:cs="Calibri"/>
                <w:color w:val="auto"/>
                <w:sz w:val="24"/>
              </w:rPr>
              <w:t>剪板机将外购的铁皮裁剪压制成型。</w:t>
            </w:r>
          </w:p>
          <w:p>
            <w:pPr>
              <w:pStyle w:val="58"/>
              <w:widowControl/>
              <w:spacing w:line="360" w:lineRule="auto"/>
              <w:ind w:firstLine="480"/>
              <w:rPr>
                <w:rFonts w:ascii="Calibri" w:hAnsi="Calibri" w:cs="Calibri"/>
                <w:bCs/>
                <w:color w:val="auto"/>
                <w:sz w:val="24"/>
              </w:rPr>
            </w:pPr>
            <w:r>
              <w:rPr>
                <w:rFonts w:ascii="Calibri" w:hAnsi="Calibri" w:cs="Calibri"/>
                <w:bCs/>
                <w:color w:val="auto"/>
                <w:kern w:val="0"/>
                <w:sz w:val="24"/>
              </w:rPr>
              <w:t>该工序产生金属废料（S</w:t>
            </w:r>
            <w:r>
              <w:rPr>
                <w:rFonts w:ascii="Calibri" w:hAnsi="Calibri" w:cs="Calibri"/>
                <w:bCs/>
                <w:color w:val="auto"/>
                <w:kern w:val="0"/>
                <w:sz w:val="24"/>
                <w:vertAlign w:val="subscript"/>
              </w:rPr>
              <w:t>1-1</w:t>
            </w:r>
            <w:r>
              <w:rPr>
                <w:rFonts w:ascii="Calibri" w:hAnsi="Calibri" w:cs="Calibri"/>
                <w:bCs/>
                <w:color w:val="auto"/>
                <w:kern w:val="0"/>
                <w:sz w:val="24"/>
              </w:rPr>
              <w:t>）、噪声（N</w:t>
            </w:r>
            <w:r>
              <w:rPr>
                <w:rFonts w:ascii="Calibri" w:hAnsi="Calibri" w:cs="Calibri"/>
                <w:bCs/>
                <w:color w:val="auto"/>
                <w:kern w:val="0"/>
                <w:sz w:val="24"/>
                <w:vertAlign w:val="subscript"/>
              </w:rPr>
              <w:t>1-1</w:t>
            </w:r>
            <w:r>
              <w:rPr>
                <w:rFonts w:ascii="Calibri" w:hAnsi="Calibri" w:cs="Calibri"/>
                <w:bCs/>
                <w:color w:val="auto"/>
                <w:kern w:val="0"/>
                <w:sz w:val="24"/>
              </w:rPr>
              <w:t>）。</w:t>
            </w:r>
          </w:p>
          <w:p>
            <w:pPr>
              <w:pStyle w:val="58"/>
              <w:widowControl/>
              <w:spacing w:line="360" w:lineRule="auto"/>
              <w:ind w:firstLine="482"/>
              <w:rPr>
                <w:rFonts w:ascii="Calibri" w:hAnsi="Calibri" w:cs="Calibri"/>
                <w:color w:val="auto"/>
                <w:sz w:val="24"/>
              </w:rPr>
            </w:pPr>
            <w:r>
              <w:rPr>
                <w:rFonts w:ascii="Calibri" w:hAnsi="Calibri" w:cs="Calibri"/>
                <w:b/>
                <w:bCs/>
                <w:color w:val="auto"/>
                <w:sz w:val="24"/>
              </w:rPr>
              <w:t>冲压加工：</w:t>
            </w:r>
            <w:r>
              <w:rPr>
                <w:rFonts w:ascii="Calibri" w:hAnsi="Calibri" w:cs="Calibri"/>
                <w:color w:val="auto"/>
                <w:sz w:val="24"/>
              </w:rPr>
              <w:t>根据客户对部件的不同要求，产品成型后由闭式双点压力机对其进行冲压加工。</w:t>
            </w:r>
          </w:p>
          <w:p>
            <w:pPr>
              <w:pStyle w:val="3"/>
              <w:numPr>
                <w:ilvl w:val="0"/>
                <w:numId w:val="0"/>
              </w:numPr>
              <w:spacing w:line="360" w:lineRule="auto"/>
              <w:ind w:firstLine="480" w:firstLineChars="200"/>
              <w:rPr>
                <w:rFonts w:hint="eastAsia" w:ascii="Calibri" w:hAnsi="Calibri" w:eastAsia="宋体" w:cs="Calibri"/>
                <w:color w:val="auto"/>
                <w:sz w:val="24"/>
                <w:lang w:eastAsia="zh-CN"/>
              </w:rPr>
            </w:pPr>
            <w:r>
              <w:rPr>
                <w:rFonts w:hint="eastAsia" w:ascii="Calibri" w:hAnsi="Calibri" w:cs="Calibri"/>
                <w:color w:val="auto"/>
                <w:sz w:val="24"/>
              </w:rPr>
              <w:t>该</w:t>
            </w:r>
            <w:r>
              <w:rPr>
                <w:rFonts w:ascii="Calibri" w:hAnsi="Calibri" w:cs="Calibri"/>
                <w:color w:val="auto"/>
                <w:sz w:val="24"/>
              </w:rPr>
              <w:t>冲压加工工序产生废边角料（S</w:t>
            </w:r>
            <w:r>
              <w:rPr>
                <w:rFonts w:ascii="Calibri" w:hAnsi="Calibri" w:cs="Calibri"/>
                <w:color w:val="auto"/>
                <w:sz w:val="24"/>
                <w:vertAlign w:val="subscript"/>
              </w:rPr>
              <w:t>1-2</w:t>
            </w:r>
            <w:r>
              <w:rPr>
                <w:rFonts w:ascii="Calibri" w:hAnsi="Calibri" w:cs="Calibri"/>
                <w:color w:val="auto"/>
                <w:sz w:val="24"/>
              </w:rPr>
              <w:t>）、噪声（N</w:t>
            </w:r>
            <w:r>
              <w:rPr>
                <w:rFonts w:ascii="Calibri" w:hAnsi="Calibri" w:cs="Calibri"/>
                <w:color w:val="auto"/>
                <w:sz w:val="24"/>
                <w:vertAlign w:val="subscript"/>
              </w:rPr>
              <w:t>1-2</w:t>
            </w:r>
            <w:r>
              <w:rPr>
                <w:rFonts w:ascii="Calibri" w:hAnsi="Calibri" w:cs="Calibri"/>
                <w:color w:val="auto"/>
                <w:sz w:val="24"/>
              </w:rPr>
              <w:t>）</w:t>
            </w:r>
            <w:r>
              <w:rPr>
                <w:rFonts w:hint="eastAsia"/>
                <w:color w:val="auto"/>
                <w:lang w:eastAsia="zh-CN"/>
              </w:rPr>
              <w:t>。</w:t>
            </w:r>
          </w:p>
          <w:p>
            <w:pPr>
              <w:pStyle w:val="5"/>
              <w:spacing w:before="0" w:after="0" w:line="360" w:lineRule="auto"/>
              <w:rPr>
                <w:rFonts w:hint="default" w:ascii="Times New Roman" w:hAnsi="Times New Roman" w:eastAsia="宋体" w:cs="Times New Roman"/>
                <w:b/>
                <w:color w:val="auto"/>
                <w:sz w:val="24"/>
                <w:highlight w:val="none"/>
              </w:rPr>
            </w:pPr>
            <w:r>
              <w:rPr>
                <w:rStyle w:val="34"/>
                <w:rFonts w:hint="default" w:ascii="Times New Roman" w:hAnsi="Times New Roman" w:cs="Times New Roman"/>
                <w:b/>
                <w:bCs/>
                <w:color w:val="auto"/>
                <w:sz w:val="24"/>
                <w:szCs w:val="24"/>
              </w:rPr>
              <w:t>3、</w:t>
            </w:r>
            <w:r>
              <w:rPr>
                <w:rFonts w:hint="default" w:ascii="Times New Roman" w:hAnsi="Times New Roman" w:cs="Times New Roman"/>
                <w:b/>
                <w:color w:val="auto"/>
                <w:sz w:val="24"/>
                <w:highlight w:val="none"/>
                <w:lang w:val="en-US" w:eastAsia="zh-CN"/>
              </w:rPr>
              <w:t>迁建前</w:t>
            </w:r>
            <w:r>
              <w:rPr>
                <w:rFonts w:hint="default" w:ascii="Times New Roman" w:hAnsi="Times New Roman" w:eastAsia="宋体" w:cs="Times New Roman"/>
                <w:b/>
                <w:color w:val="auto"/>
                <w:sz w:val="24"/>
                <w:highlight w:val="none"/>
              </w:rPr>
              <w:t>项目污染物产生和排放情况</w:t>
            </w:r>
          </w:p>
          <w:p>
            <w:pPr>
              <w:pStyle w:val="16"/>
              <w:widowControl/>
              <w:spacing w:after="0" w:line="360" w:lineRule="auto"/>
              <w:ind w:left="0" w:leftChars="0" w:firstLine="480" w:firstLineChars="200"/>
              <w:rPr>
                <w:rStyle w:val="34"/>
                <w:rFonts w:hint="default" w:ascii="Calibri" w:hAnsi="Calibri" w:cs="Calibri"/>
                <w:b/>
                <w:bCs/>
                <w:color w:val="auto"/>
                <w:sz w:val="24"/>
                <w:szCs w:val="24"/>
                <w:lang w:val="en-US"/>
              </w:rPr>
            </w:pPr>
            <w:r>
              <w:rPr>
                <w:rFonts w:hint="eastAsia" w:ascii="Times New Roman" w:hAnsi="Times New Roman" w:cs="Times New Roman"/>
                <w:color w:val="auto"/>
                <w:sz w:val="24"/>
                <w:szCs w:val="32"/>
                <w:highlight w:val="none"/>
                <w:lang w:val="en-US" w:eastAsia="zh-CN"/>
              </w:rPr>
              <w:t>迁建前</w:t>
            </w:r>
            <w:r>
              <w:rPr>
                <w:rFonts w:hint="default" w:ascii="Times New Roman" w:hAnsi="Times New Roman" w:eastAsia="宋体" w:cs="Times New Roman"/>
                <w:color w:val="auto"/>
                <w:sz w:val="24"/>
                <w:szCs w:val="32"/>
                <w:highlight w:val="none"/>
              </w:rPr>
              <w:t>项目</w:t>
            </w:r>
            <w:r>
              <w:rPr>
                <w:rFonts w:hint="eastAsia" w:ascii="Times New Roman" w:hAnsi="Times New Roman" w:eastAsia="宋体" w:cs="Times New Roman"/>
                <w:color w:val="auto"/>
                <w:sz w:val="24"/>
                <w:szCs w:val="32"/>
                <w:highlight w:val="none"/>
                <w:lang w:eastAsia="zh-CN"/>
              </w:rPr>
              <w:t>不涉及生产</w:t>
            </w:r>
            <w:r>
              <w:rPr>
                <w:rFonts w:hint="default" w:ascii="Times New Roman" w:hAnsi="Times New Roman" w:eastAsia="宋体" w:cs="Times New Roman"/>
                <w:color w:val="auto"/>
                <w:sz w:val="24"/>
                <w:szCs w:val="32"/>
                <w:highlight w:val="none"/>
              </w:rPr>
              <w:t>废气</w:t>
            </w:r>
            <w:r>
              <w:rPr>
                <w:rFonts w:hint="eastAsia" w:ascii="Times New Roman" w:hAnsi="Times New Roman" w:eastAsia="宋体" w:cs="Times New Roman"/>
                <w:color w:val="auto"/>
                <w:sz w:val="24"/>
                <w:szCs w:val="32"/>
                <w:highlight w:val="none"/>
                <w:lang w:eastAsia="zh-CN"/>
              </w:rPr>
              <w:t>，</w:t>
            </w:r>
            <w:r>
              <w:rPr>
                <w:rFonts w:hint="eastAsia" w:ascii="Times New Roman" w:hAnsi="Times New Roman" w:cs="Times New Roman"/>
                <w:color w:val="auto"/>
                <w:sz w:val="24"/>
                <w:szCs w:val="32"/>
                <w:highlight w:val="none"/>
                <w:lang w:val="en-US" w:eastAsia="zh-CN"/>
              </w:rPr>
              <w:t>生活污水经租用厂房已建化粪池预处理后接管梅村水处理厂集中处理后排放，</w:t>
            </w:r>
            <w:commentRangeStart w:id="13"/>
            <w:r>
              <w:rPr>
                <w:rFonts w:hint="eastAsia" w:cs="Times New Roman"/>
                <w:color w:val="auto"/>
                <w:sz w:val="24"/>
                <w:szCs w:val="32"/>
                <w:highlight w:val="none"/>
                <w:lang w:val="en-US" w:eastAsia="zh-CN"/>
              </w:rPr>
              <w:t>设备经厂房隔声、距离衰减等措施后对周围环境影响较小，</w:t>
            </w:r>
            <w:commentRangeEnd w:id="13"/>
            <w:r>
              <w:rPr>
                <w:color w:val="auto"/>
              </w:rPr>
              <w:commentReference w:id="13"/>
            </w:r>
            <w:r>
              <w:rPr>
                <w:rFonts w:hint="eastAsia" w:ascii="Times New Roman" w:hAnsi="Times New Roman" w:cs="Times New Roman"/>
                <w:color w:val="auto"/>
                <w:sz w:val="24"/>
                <w:szCs w:val="32"/>
                <w:highlight w:val="none"/>
                <w:lang w:val="en-US" w:eastAsia="zh-CN"/>
              </w:rPr>
              <w:t>，固体废弃物均外售资源回收利用。</w:t>
            </w:r>
          </w:p>
          <w:p>
            <w:pPr>
              <w:pStyle w:val="16"/>
              <w:widowControl/>
              <w:spacing w:after="0" w:line="360" w:lineRule="auto"/>
              <w:ind w:left="0" w:leftChars="0" w:firstLine="0" w:firstLineChars="0"/>
              <w:rPr>
                <w:rStyle w:val="34"/>
                <w:rFonts w:hint="default" w:ascii="Times New Roman" w:hAnsi="Times New Roman" w:cs="Times New Roman"/>
                <w:color w:val="auto"/>
              </w:rPr>
            </w:pPr>
            <w:r>
              <w:rPr>
                <w:rStyle w:val="34"/>
                <w:rFonts w:hint="default" w:ascii="Times New Roman" w:hAnsi="Times New Roman" w:cs="Times New Roman"/>
                <w:b/>
                <w:bCs/>
                <w:color w:val="auto"/>
                <w:sz w:val="24"/>
                <w:szCs w:val="24"/>
                <w:lang w:val="en-US" w:eastAsia="zh-CN"/>
              </w:rPr>
              <w:t>4、</w:t>
            </w:r>
            <w:r>
              <w:rPr>
                <w:rStyle w:val="34"/>
                <w:rFonts w:hint="default" w:ascii="Times New Roman" w:hAnsi="Times New Roman" w:cs="Times New Roman"/>
                <w:b/>
                <w:bCs/>
                <w:color w:val="auto"/>
                <w:sz w:val="24"/>
                <w:szCs w:val="24"/>
              </w:rPr>
              <w:t>搬迁后原有场地管理要求</w:t>
            </w:r>
          </w:p>
          <w:p>
            <w:pPr>
              <w:pStyle w:val="16"/>
              <w:widowControl/>
              <w:spacing w:after="0" w:line="360" w:lineRule="auto"/>
              <w:ind w:left="0" w:leftChars="0" w:firstLine="480"/>
              <w:rPr>
                <w:rFonts w:ascii="Calibri" w:hAnsi="Calibri" w:cs="Calibri"/>
                <w:color w:val="auto"/>
                <w:sz w:val="24"/>
                <w:szCs w:val="22"/>
              </w:rPr>
            </w:pPr>
            <w:r>
              <w:rPr>
                <w:rFonts w:ascii="Calibri" w:hAnsi="Calibri" w:cs="Calibri"/>
                <w:color w:val="auto"/>
                <w:sz w:val="24"/>
                <w:szCs w:val="22"/>
              </w:rPr>
              <w:t>原项目位于</w:t>
            </w:r>
            <w:r>
              <w:rPr>
                <w:rFonts w:ascii="Calibri" w:hAnsi="Calibri" w:cs="Calibri"/>
                <w:color w:val="auto"/>
                <w:sz w:val="24"/>
              </w:rPr>
              <w:t>梅村工业集中区锡鸿路15号</w:t>
            </w:r>
            <w:r>
              <w:rPr>
                <w:rFonts w:ascii="Calibri" w:hAnsi="Calibri" w:cs="Calibri"/>
                <w:color w:val="auto"/>
                <w:sz w:val="24"/>
                <w:szCs w:val="22"/>
              </w:rPr>
              <w:t>，</w:t>
            </w:r>
            <w:r>
              <w:rPr>
                <w:rFonts w:hint="eastAsia" w:ascii="Calibri" w:hAnsi="Calibri" w:cs="Calibri"/>
                <w:color w:val="auto"/>
                <w:sz w:val="24"/>
              </w:rPr>
              <w:t>现</w:t>
            </w:r>
            <w:r>
              <w:rPr>
                <w:rFonts w:ascii="Calibri" w:hAnsi="Calibri" w:cs="Calibri"/>
                <w:color w:val="auto"/>
                <w:sz w:val="24"/>
              </w:rPr>
              <w:t>由于市场需求</w:t>
            </w:r>
            <w:r>
              <w:rPr>
                <w:rFonts w:ascii="Calibri" w:hAnsi="Calibri" w:cs="Calibri"/>
                <w:color w:val="auto"/>
                <w:sz w:val="24"/>
                <w:szCs w:val="24"/>
              </w:rPr>
              <w:t>，</w:t>
            </w:r>
            <w:r>
              <w:rPr>
                <w:rFonts w:ascii="Calibri" w:hAnsi="Calibri" w:cs="Calibri"/>
                <w:color w:val="auto"/>
                <w:sz w:val="24"/>
                <w:szCs w:val="22"/>
              </w:rPr>
              <w:t>公司整体搬迁至</w:t>
            </w:r>
            <w:r>
              <w:rPr>
                <w:rFonts w:hint="eastAsia" w:ascii="Calibri" w:hAnsi="Calibri" w:cs="Calibri"/>
                <w:color w:val="auto"/>
                <w:sz w:val="24"/>
                <w:szCs w:val="22"/>
              </w:rPr>
              <w:t>无锡市新吴区新风路69号</w:t>
            </w:r>
            <w:r>
              <w:rPr>
                <w:rFonts w:hint="eastAsia" w:ascii="Calibri" w:hAnsi="Calibri" w:cs="Calibri"/>
                <w:bCs/>
                <w:color w:val="auto"/>
                <w:sz w:val="24"/>
              </w:rPr>
              <w:t>，</w:t>
            </w:r>
            <w:r>
              <w:rPr>
                <w:rFonts w:hint="eastAsia" w:ascii="Calibri" w:hAnsi="Calibri" w:cs="Calibri"/>
                <w:color w:val="auto"/>
                <w:sz w:val="24"/>
              </w:rPr>
              <w:t>建设年产洗衣机冲压件200万件、热水器冲压件300万件、模具40副建设项目</w:t>
            </w:r>
            <w:r>
              <w:rPr>
                <w:rFonts w:ascii="Calibri" w:hAnsi="Calibri" w:cs="Calibri"/>
                <w:color w:val="auto"/>
                <w:sz w:val="24"/>
                <w:szCs w:val="22"/>
              </w:rPr>
              <w:t>。根据《工矿用地土壤环境管理办法（试行）》、《关于切实做好企业搬迁过程中环境污染防治工作的通知》（环办[2004]47号）、《关于加强工业企业关停、搬迁及原址场地再开发利用过程中污染防治工作的通知》（环办[2004]47号）等文件，工况企业是工况用地土壤及地下水环境保护的责任主体，在搬迁过程中企业需加强管理，规范各类设施拆除流程，安全处置遗留的固体废物等，确保搬迁过程对周围环境不造成污染，若因企业的相关活动造成原厂址土壤及地下水污染，公司将承担治理与修复的主体责任。</w:t>
            </w:r>
          </w:p>
          <w:p>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Cs w:val="21"/>
                <w:lang w:val="en-US" w:eastAsia="zh-CN"/>
              </w:rPr>
              <w:t>5</w:t>
            </w:r>
            <w:r>
              <w:rPr>
                <w:rFonts w:hint="default" w:ascii="Times New Roman" w:hAnsi="Times New Roman" w:cs="Times New Roman"/>
                <w:b/>
                <w:bCs/>
                <w:color w:val="auto"/>
                <w:sz w:val="24"/>
              </w:rPr>
              <w:t>、</w:t>
            </w:r>
            <w:r>
              <w:rPr>
                <w:rFonts w:hint="default" w:ascii="Times New Roman" w:hAnsi="Times New Roman" w:eastAsia="宋体" w:cs="Times New Roman"/>
                <w:b/>
                <w:bCs/>
                <w:color w:val="auto"/>
                <w:sz w:val="24"/>
                <w:szCs w:val="24"/>
              </w:rPr>
              <w:t>本项目租赁厂房概况及租赁依托情况</w:t>
            </w:r>
          </w:p>
          <w:p>
            <w:pPr>
              <w:spacing w:line="360" w:lineRule="auto"/>
              <w:ind w:firstLine="480" w:firstLineChars="200"/>
              <w:rPr>
                <w:rFonts w:ascii="Calibri" w:hAnsi="Calibri" w:cs="Calibri"/>
                <w:color w:val="auto"/>
                <w:sz w:val="24"/>
              </w:rPr>
            </w:pPr>
            <w:r>
              <w:rPr>
                <w:rFonts w:hint="eastAsia" w:ascii="Calibri" w:hAnsi="Calibri" w:cs="Calibri"/>
                <w:color w:val="auto"/>
                <w:sz w:val="24"/>
              </w:rPr>
              <w:t>无锡丰科金属制品有限公司因发展需要搬迁至新风路69号，租用无锡迪润工贸有限公司原有厂房，建设年产洗衣机冲压件200万件、热水器冲压件300万件、模具40副建设项目，原有项目不再生产。本项目为迁建项目</w:t>
            </w:r>
            <w:r>
              <w:rPr>
                <w:color w:val="auto"/>
              </w:rPr>
              <w:commentReference w:id="14"/>
            </w:r>
            <w:r>
              <w:rPr>
                <w:rFonts w:hint="eastAsia" w:ascii="Calibri" w:hAnsi="Calibri" w:cs="Calibri"/>
                <w:color w:val="auto"/>
                <w:sz w:val="24"/>
              </w:rPr>
              <w:t>，本项目租赁厂房概况及租赁依托情况如下：</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（1）、租赁厂房基本情况</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无锡迪润工贸有限公司位于无锡市新吴区新风路69号，法定代表人为沈炜迪。</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项目租赁无锡迪润工贸有限公司无锡市新吴区新风路69号，建筑面积11584.97平方米。目前厂房已经建设完成，雨污水管网及排放口也已铺设完成。本项目依托无锡迪润工贸有限公司建设的雨污水管网及排口。</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（2）、公用及辅助工程依托情况</w:t>
            </w:r>
          </w:p>
          <w:p>
            <w:pPr>
              <w:spacing w:line="360" w:lineRule="auto"/>
              <w:ind w:firstLine="480" w:firstLineChars="200"/>
              <w:rPr>
                <w:rFonts w:ascii="Calibri" w:hAnsi="Calibri" w:cs="Calibri"/>
                <w:color w:val="auto"/>
                <w:sz w:val="24"/>
              </w:rPr>
            </w:pPr>
            <w:r>
              <w:rPr>
                <w:rFonts w:hint="eastAsia" w:ascii="Calibri" w:hAnsi="Calibri" w:cs="Calibri"/>
                <w:color w:val="auto"/>
                <w:sz w:val="24"/>
              </w:rPr>
              <w:t>A供电：本项目利用出租方无锡迪润工贸有限公司内现有供电、配电系统，现有供配电系统可满足本项目用电需求，不改变现有供配电系统。</w:t>
            </w:r>
          </w:p>
          <w:p>
            <w:pPr>
              <w:spacing w:line="360" w:lineRule="auto"/>
              <w:ind w:firstLine="480" w:firstLineChars="200"/>
              <w:rPr>
                <w:rFonts w:ascii="Calibri" w:hAnsi="Calibri" w:cs="Calibri"/>
                <w:color w:val="auto"/>
                <w:sz w:val="24"/>
              </w:rPr>
            </w:pPr>
            <w:r>
              <w:rPr>
                <w:rFonts w:hint="eastAsia" w:ascii="Calibri" w:hAnsi="Calibri" w:cs="Calibri"/>
                <w:color w:val="auto"/>
                <w:sz w:val="24"/>
              </w:rPr>
              <w:t>B给水：本项目利用出租方无锡迪润工贸有限公司内现有给水系统。本项目全年新鲜用水量</w:t>
            </w:r>
            <w:commentRangeStart w:id="15"/>
            <w:r>
              <w:rPr>
                <w:rFonts w:hint="default" w:ascii="Times New Roman" w:hAnsi="Times New Roman" w:cs="Times New Roman"/>
                <w:color w:val="auto"/>
                <w:sz w:val="24"/>
                <w:lang w:val="en-US" w:eastAsia="zh-CN"/>
              </w:rPr>
              <w:t>327</w:t>
            </w:r>
            <w:r>
              <w:rPr>
                <w:rFonts w:hint="eastAsia" w:cs="Times New Roman"/>
                <w:color w:val="auto"/>
                <w:sz w:val="24"/>
                <w:lang w:val="en-US" w:eastAsia="zh-CN"/>
              </w:rPr>
              <w:t>9</w:t>
            </w:r>
            <w:r>
              <w:rPr>
                <w:rFonts w:hint="default" w:ascii="Times New Roman" w:hAnsi="Times New Roman" w:cs="Times New Roman"/>
                <w:color w:val="auto"/>
                <w:sz w:val="24"/>
                <w:lang w:val="en-US" w:eastAsia="zh-CN"/>
              </w:rPr>
              <w:t>.</w:t>
            </w:r>
            <w:commentRangeEnd w:id="15"/>
            <w:r>
              <w:rPr>
                <w:color w:val="auto"/>
              </w:rPr>
              <w:commentReference w:id="15"/>
            </w:r>
            <w:r>
              <w:rPr>
                <w:rFonts w:hint="eastAsia"/>
                <w:color w:val="auto"/>
                <w:lang w:val="en-US" w:eastAsia="zh-CN"/>
              </w:rPr>
              <w:t>1</w:t>
            </w:r>
            <w:r>
              <w:rPr>
                <w:rFonts w:hint="eastAsia" w:ascii="Calibri" w:hAnsi="Calibri" w:cs="Calibri"/>
                <w:color w:val="auto"/>
                <w:sz w:val="24"/>
              </w:rPr>
              <w:t>吨，现有供水系统可满足于本项目用水需求。</w:t>
            </w:r>
          </w:p>
          <w:p>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（3）、环保工程依托情况</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雨、污水管网及排放口：无锡迪润工贸有限公司已按雨污水分流原则建设管网，且雨污分流管网已覆盖整个厂区，无锡迪润工贸有限公司已设置雨水排放口1个和污水接管口1个，雨水去向群兴路，污水接管口排水去向新风路。</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本项目员工日常生活污水依托出租方已建化粪池预处理后经污水管网接入梅村处理厂集中处理，不单独自建雨、污水管网和排污口，均依托无锡迪润工贸有限公司现有排污口。</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建成后，出租方现有雨、污排污口日常监管工作由出租方无锡迪润工贸有限公司负责，无锡迪润工贸有限公司为出租方，厂区内雨、污总排污口的环境责任主体。本项目生活污水依托出租方已建化粪池预处理后接入梅村水处理厂集中处理，无锡丰科金属制品有限公司为本项目废水排放情况的环境责任主体，为本项目突发环境事件的环保责任主体，应做好定期监测和管理。</w:t>
            </w:r>
          </w:p>
          <w:p>
            <w:pPr>
              <w:pStyle w:val="3"/>
              <w:numPr>
                <w:ilvl w:val="0"/>
                <w:numId w:val="0"/>
              </w:numPr>
              <w:adjustRightInd w:val="0"/>
              <w:snapToGrid w:val="0"/>
              <w:spacing w:before="159" w:beforeLines="50" w:line="360" w:lineRule="auto"/>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6</w:t>
            </w:r>
            <w:r>
              <w:rPr>
                <w:rFonts w:hint="default" w:ascii="Times New Roman" w:hAnsi="Times New Roman" w:cs="Times New Roman"/>
                <w:b/>
                <w:color w:val="auto"/>
                <w:sz w:val="24"/>
                <w:highlight w:val="none"/>
              </w:rPr>
              <w:t>、“以新带老”措施</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color w:val="auto"/>
                <w:sz w:val="24"/>
                <w:highlight w:val="none"/>
                <w:lang w:val="en-US" w:eastAsia="zh-CN"/>
              </w:rPr>
            </w:pPr>
            <w:r>
              <w:rPr>
                <w:rFonts w:hint="default" w:ascii="Times New Roman" w:hAnsi="Times New Roman" w:cs="Times New Roman"/>
                <w:color w:val="auto"/>
                <w:sz w:val="24"/>
                <w:highlight w:val="none"/>
              </w:rPr>
              <w:t>无。</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7</w:t>
            </w:r>
            <w:r>
              <w:rPr>
                <w:rFonts w:hint="default" w:ascii="Times New Roman" w:hAnsi="Times New Roman" w:cs="Times New Roman"/>
                <w:b/>
                <w:color w:val="auto"/>
                <w:sz w:val="24"/>
                <w:highlight w:val="none"/>
              </w:rPr>
              <w:t>、现有项目周围企事业单位、居民的投诉、抱怨等</w:t>
            </w:r>
          </w:p>
          <w:p>
            <w:pPr>
              <w:pStyle w:val="16"/>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bCs/>
                <w:color w:val="auto"/>
                <w:szCs w:val="21"/>
                <w:highlight w:val="none"/>
              </w:rPr>
            </w:pPr>
            <w:r>
              <w:rPr>
                <w:rFonts w:hint="default" w:ascii="Times New Roman" w:hAnsi="Times New Roman" w:cs="Times New Roman"/>
                <w:color w:val="auto"/>
                <w:sz w:val="24"/>
                <w:highlight w:val="none"/>
              </w:rPr>
              <w:t>无。</w:t>
            </w:r>
          </w:p>
          <w:p>
            <w:pPr>
              <w:spacing w:line="360" w:lineRule="auto"/>
              <w:rPr>
                <w:rFonts w:ascii="Calibri" w:hAnsi="Calibri" w:eastAsia="黑体" w:cs="Calibri"/>
                <w:snapToGrid w:val="0"/>
                <w:color w:val="auto"/>
                <w:sz w:val="30"/>
                <w:szCs w:val="30"/>
              </w:rPr>
            </w:pPr>
            <w:r>
              <w:rPr>
                <w:rFonts w:hint="eastAsia" w:ascii="Calibri" w:hAnsi="Calibri" w:cs="Calibri"/>
                <w:color w:val="auto"/>
                <w:sz w:val="24"/>
              </w:rPr>
              <w:t xml:space="preserve"> </w:t>
            </w:r>
          </w:p>
        </w:tc>
      </w:tr>
    </w:tbl>
    <w:p>
      <w:pPr>
        <w:rPr>
          <w:rFonts w:eastAsia="黑体"/>
          <w:snapToGrid w:val="0"/>
          <w:color w:val="auto"/>
          <w:sz w:val="30"/>
          <w:szCs w:val="30"/>
        </w:rPr>
      </w:pPr>
      <w:r>
        <w:rPr>
          <w:rFonts w:eastAsia="黑体"/>
          <w:snapToGrid w:val="0"/>
          <w:color w:val="auto"/>
          <w:sz w:val="30"/>
          <w:szCs w:val="30"/>
        </w:rPr>
        <w:br w:type="page"/>
      </w:r>
    </w:p>
    <w:p>
      <w:pPr>
        <w:pStyle w:val="23"/>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三、区域环境质量现状、环境保护目标及评价标准</w:t>
      </w:r>
    </w:p>
    <w:tbl>
      <w:tblPr>
        <w:tblStyle w:val="26"/>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2"/>
        <w:gridCol w:w="81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6" w:hRule="atLeast"/>
          <w:jc w:val="center"/>
        </w:trPr>
        <w:tc>
          <w:tcPr>
            <w:tcW w:w="236" w:type="pct"/>
            <w:vAlign w:val="center"/>
          </w:tcPr>
          <w:p>
            <w:pPr>
              <w:adjustRightInd w:val="0"/>
              <w:snapToGrid w:val="0"/>
              <w:jc w:val="center"/>
              <w:rPr>
                <w:color w:val="auto"/>
                <w:kern w:val="0"/>
                <w:sz w:val="24"/>
              </w:rPr>
            </w:pPr>
            <w:r>
              <w:rPr>
                <w:color w:val="auto"/>
                <w:kern w:val="0"/>
                <w:sz w:val="24"/>
              </w:rPr>
              <w:t>区域</w:t>
            </w:r>
          </w:p>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质量</w:t>
            </w:r>
          </w:p>
          <w:p>
            <w:pPr>
              <w:adjustRightInd w:val="0"/>
              <w:snapToGrid w:val="0"/>
              <w:jc w:val="center"/>
              <w:rPr>
                <w:color w:val="auto"/>
                <w:kern w:val="0"/>
                <w:szCs w:val="21"/>
              </w:rPr>
            </w:pPr>
            <w:r>
              <w:rPr>
                <w:color w:val="auto"/>
                <w:kern w:val="0"/>
                <w:sz w:val="24"/>
              </w:rPr>
              <w:t>现状</w:t>
            </w:r>
          </w:p>
        </w:tc>
        <w:tc>
          <w:tcPr>
            <w:tcW w:w="4763" w:type="pct"/>
            <w:vAlign w:val="center"/>
          </w:tcPr>
          <w:p>
            <w:pPr>
              <w:pStyle w:val="11"/>
              <w:numPr>
                <w:ilvl w:val="0"/>
                <w:numId w:val="10"/>
              </w:numPr>
              <w:spacing w:line="360" w:lineRule="auto"/>
              <w:rPr>
                <w:rFonts w:ascii="Times New Roman"/>
                <w:b/>
                <w:bCs/>
                <w:color w:val="auto"/>
                <w:sz w:val="24"/>
              </w:rPr>
            </w:pPr>
            <w:r>
              <w:rPr>
                <w:rFonts w:ascii="Times New Roman"/>
                <w:b/>
                <w:bCs/>
                <w:color w:val="auto"/>
                <w:sz w:val="24"/>
              </w:rPr>
              <w:t>大气环境</w:t>
            </w:r>
          </w:p>
          <w:p>
            <w:pPr>
              <w:adjustRightInd w:val="0"/>
              <w:snapToGrid w:val="0"/>
              <w:spacing w:line="360" w:lineRule="auto"/>
              <w:ind w:firstLine="482" w:firstLineChars="200"/>
              <w:rPr>
                <w:b/>
                <w:bCs/>
                <w:color w:val="auto"/>
                <w:sz w:val="24"/>
              </w:rPr>
            </w:pPr>
            <w:r>
              <w:rPr>
                <w:b/>
                <w:bCs/>
                <w:color w:val="auto"/>
                <w:sz w:val="24"/>
              </w:rPr>
              <w:t>①基本污染物环境质量状况</w:t>
            </w:r>
          </w:p>
          <w:p>
            <w:pPr>
              <w:adjustRightInd w:val="0"/>
              <w:spacing w:line="360" w:lineRule="auto"/>
              <w:ind w:firstLine="480" w:firstLineChars="200"/>
              <w:rPr>
                <w:color w:val="auto"/>
                <w:sz w:val="24"/>
              </w:rPr>
            </w:pPr>
            <w:r>
              <w:rPr>
                <w:color w:val="auto"/>
                <w:sz w:val="24"/>
                <w:szCs w:val="22"/>
              </w:rPr>
              <w:t>根据《环境影响评价技术导则-大气环境》（HJ2.2-2018），项目所在区域达标判定，优先采用国家或地方生态环境主管部门公开发布的评价基准年环境质量公告或环境质量报告中的数据或结论。本报告选取2021年作为评价基准年，根据《无锡市生态环境状况公报（2021年度）》，全市环境空气中细颗粒物（PM</w:t>
            </w:r>
            <w:r>
              <w:rPr>
                <w:color w:val="auto"/>
                <w:sz w:val="24"/>
                <w:szCs w:val="22"/>
                <w:vertAlign w:val="subscript"/>
              </w:rPr>
              <w:t>2.5</w:t>
            </w:r>
            <w:r>
              <w:rPr>
                <w:color w:val="auto"/>
                <w:sz w:val="24"/>
                <w:szCs w:val="22"/>
              </w:rPr>
              <w:t>）、可吸入颗粒物（PM</w:t>
            </w:r>
            <w:r>
              <w:rPr>
                <w:color w:val="auto"/>
                <w:sz w:val="24"/>
                <w:szCs w:val="22"/>
                <w:vertAlign w:val="subscript"/>
              </w:rPr>
              <w:t>10</w:t>
            </w:r>
            <w:r>
              <w:rPr>
                <w:color w:val="auto"/>
                <w:sz w:val="24"/>
                <w:szCs w:val="22"/>
              </w:rPr>
              <w:t>）、一氧化碳（CO）年均浓度分别为29 微克/立方米、54 微克/立方米和1.1 毫克/立方米，同比分别下降12.1%、3.6%和8.3%；二氧化氮（NO</w:t>
            </w:r>
            <w:r>
              <w:rPr>
                <w:color w:val="auto"/>
                <w:sz w:val="24"/>
                <w:szCs w:val="22"/>
                <w:vertAlign w:val="subscript"/>
              </w:rPr>
              <w:t>2</w:t>
            </w:r>
            <w:r>
              <w:rPr>
                <w:color w:val="auto"/>
                <w:sz w:val="24"/>
                <w:szCs w:val="22"/>
              </w:rPr>
              <w:t>）和二氧化硫（SO</w:t>
            </w:r>
            <w:r>
              <w:rPr>
                <w:color w:val="auto"/>
                <w:sz w:val="24"/>
                <w:szCs w:val="22"/>
                <w:vertAlign w:val="subscript"/>
              </w:rPr>
              <w:t>2</w:t>
            </w:r>
            <w:r>
              <w:rPr>
                <w:color w:val="auto"/>
                <w:sz w:val="24"/>
                <w:szCs w:val="22"/>
              </w:rPr>
              <w:t>）年均浓度分别为34 微克/立方米和7 微克/立方米，同比持平；臭氧（O</w:t>
            </w:r>
            <w:r>
              <w:rPr>
                <w:color w:val="auto"/>
                <w:sz w:val="24"/>
                <w:szCs w:val="22"/>
                <w:vertAlign w:val="subscript"/>
              </w:rPr>
              <w:t>3</w:t>
            </w:r>
            <w:r>
              <w:rPr>
                <w:color w:val="auto"/>
                <w:sz w:val="24"/>
                <w:szCs w:val="22"/>
              </w:rPr>
              <w:t>）浓度为175 微克/立方米，同比上升2.3%。按照《环境空气质量标准》（GB3095-2012）二级标准进行年度评价，所辖“二市六区”臭氧浓度均未达标，其余指标均已达标。因此判定为不达标区</w:t>
            </w:r>
            <w:r>
              <w:rPr>
                <w:color w:val="auto"/>
                <w:sz w:val="24"/>
              </w:rPr>
              <w:t>。</w:t>
            </w:r>
          </w:p>
          <w:p>
            <w:pPr>
              <w:pStyle w:val="59"/>
              <w:spacing w:line="360" w:lineRule="auto"/>
              <w:ind w:firstLine="480"/>
              <w:rPr>
                <w:rFonts w:eastAsia="宋体"/>
                <w:color w:val="auto"/>
                <w:sz w:val="24"/>
              </w:rPr>
            </w:pPr>
            <w:r>
              <w:rPr>
                <w:rFonts w:eastAsia="宋体"/>
                <w:color w:val="auto"/>
                <w:sz w:val="24"/>
              </w:rPr>
              <w:t>根据《中华人民共和国大气污染防治法》的要求，未达标城市需要编制限期达标规划，明确限期达标，制定有效的大气污染防治措施。无锡市已按要求开展限期达标规划。</w:t>
            </w:r>
          </w:p>
          <w:p>
            <w:pPr>
              <w:pStyle w:val="59"/>
              <w:spacing w:line="360" w:lineRule="auto"/>
              <w:ind w:firstLine="480"/>
              <w:rPr>
                <w:rFonts w:eastAsia="宋体"/>
                <w:color w:val="auto"/>
                <w:sz w:val="24"/>
              </w:rPr>
            </w:pPr>
            <w:r>
              <w:rPr>
                <w:rFonts w:eastAsia="宋体"/>
                <w:color w:val="auto"/>
                <w:sz w:val="24"/>
              </w:rPr>
              <w:t>根据《无锡市大气环境质量限期达标规划（2018-2025年）》，无锡市达标规划的规划范围为：整个无锡市全市范围（4650平方公里）。无锡市区面积1643.88平方公里，另有太湖水域397.8平方公里。下辖共5个区2个市（梁溪区、滨湖区、惠山区、锡山区、新吴区、江阴市、宜兴市）、7个镇、41个街道。</w:t>
            </w:r>
          </w:p>
          <w:p>
            <w:pPr>
              <w:pStyle w:val="59"/>
              <w:spacing w:line="360" w:lineRule="auto"/>
              <w:ind w:firstLine="480"/>
              <w:rPr>
                <w:rFonts w:eastAsia="宋体"/>
                <w:color w:val="auto"/>
                <w:sz w:val="24"/>
              </w:rPr>
            </w:pPr>
            <w:r>
              <w:rPr>
                <w:rFonts w:eastAsia="宋体"/>
                <w:color w:val="auto"/>
                <w:sz w:val="24"/>
              </w:rPr>
              <w:t>达标期限：无锡市环境空气质量在2025年实现全面达标。</w:t>
            </w:r>
          </w:p>
          <w:p>
            <w:pPr>
              <w:pStyle w:val="59"/>
              <w:spacing w:line="360" w:lineRule="auto"/>
              <w:ind w:firstLine="480"/>
              <w:rPr>
                <w:rFonts w:eastAsia="宋体"/>
                <w:color w:val="auto"/>
                <w:sz w:val="24"/>
              </w:rPr>
            </w:pPr>
            <w:r>
              <w:rPr>
                <w:rFonts w:eastAsia="宋体"/>
                <w:color w:val="auto"/>
                <w:sz w:val="24"/>
              </w:rPr>
              <w:t>远期目标：力争到2025年，无锡市PM</w:t>
            </w:r>
            <w:r>
              <w:rPr>
                <w:rFonts w:eastAsia="宋体"/>
                <w:color w:val="auto"/>
                <w:sz w:val="24"/>
                <w:vertAlign w:val="subscript"/>
              </w:rPr>
              <w:t>2.5</w:t>
            </w:r>
            <w:r>
              <w:rPr>
                <w:rFonts w:eastAsia="宋体"/>
                <w:color w:val="auto"/>
                <w:sz w:val="24"/>
              </w:rPr>
              <w:t>浓度达到35ug/m</w:t>
            </w:r>
            <w:r>
              <w:rPr>
                <w:rFonts w:eastAsia="宋体"/>
                <w:color w:val="auto"/>
                <w:sz w:val="24"/>
                <w:vertAlign w:val="superscript"/>
              </w:rPr>
              <w:t>3</w:t>
            </w:r>
            <w:r>
              <w:rPr>
                <w:rFonts w:eastAsia="宋体"/>
                <w:color w:val="auto"/>
                <w:sz w:val="24"/>
              </w:rPr>
              <w:t>左右，O</w:t>
            </w:r>
            <w:r>
              <w:rPr>
                <w:rFonts w:eastAsia="宋体"/>
                <w:color w:val="auto"/>
                <w:sz w:val="24"/>
                <w:vertAlign w:val="subscript"/>
              </w:rPr>
              <w:t>3</w:t>
            </w:r>
            <w:r>
              <w:rPr>
                <w:rFonts w:eastAsia="宋体"/>
                <w:color w:val="auto"/>
                <w:sz w:val="24"/>
              </w:rPr>
              <w:t>浓度达到拐点，除O</w:t>
            </w:r>
            <w:r>
              <w:rPr>
                <w:rFonts w:eastAsia="宋体"/>
                <w:color w:val="auto"/>
                <w:sz w:val="24"/>
                <w:vertAlign w:val="subscript"/>
              </w:rPr>
              <w:t>3</w:t>
            </w:r>
            <w:r>
              <w:rPr>
                <w:rFonts w:eastAsia="宋体"/>
                <w:color w:val="auto"/>
                <w:sz w:val="24"/>
              </w:rPr>
              <w:t>以外的主要大气污染物浓度达到国家二级标准要求，空气质量优良天数比率达到80%。</w:t>
            </w:r>
          </w:p>
          <w:p>
            <w:pPr>
              <w:pStyle w:val="59"/>
              <w:spacing w:line="360" w:lineRule="auto"/>
              <w:ind w:firstLine="480"/>
              <w:rPr>
                <w:rFonts w:eastAsia="宋体"/>
                <w:color w:val="auto"/>
                <w:sz w:val="24"/>
              </w:rPr>
            </w:pPr>
            <w:r>
              <w:rPr>
                <w:rFonts w:eastAsia="宋体"/>
                <w:color w:val="auto"/>
                <w:sz w:val="24"/>
              </w:rPr>
              <w:t>总体战略：以不断降低PM</w:t>
            </w:r>
            <w:r>
              <w:rPr>
                <w:rFonts w:eastAsia="宋体"/>
                <w:color w:val="auto"/>
                <w:sz w:val="24"/>
                <w:vertAlign w:val="subscript"/>
              </w:rPr>
              <w:t>2.5</w:t>
            </w:r>
            <w:r>
              <w:rPr>
                <w:rFonts w:eastAsia="宋体"/>
                <w:color w:val="auto"/>
                <w:sz w:val="24"/>
              </w:rPr>
              <w:t>浓度，明显减少重污染天数，明显改善环境空气质量，明显增强人民的蓝天幸福感为核心目标，推进能源结构调整，推进热电整合，优化产业结构和布局；提高各行业清洁化生产水平，全面执行大气污染物特别排放限值，完成重点企业颗粒物无组织排放深度治理，从化工、电子（半导体）、涂装等工业行业挖掘VOCs减排潜力，完成重点行业低VOCs含量原辅料替代目标；以港口码头和堆场为重点提高扬尘污染控制水平。促进PM</w:t>
            </w:r>
            <w:r>
              <w:rPr>
                <w:rFonts w:eastAsia="宋体"/>
                <w:color w:val="auto"/>
                <w:sz w:val="24"/>
                <w:vertAlign w:val="subscript"/>
              </w:rPr>
              <w:t>2.5</w:t>
            </w:r>
            <w:r>
              <w:rPr>
                <w:rFonts w:eastAsia="宋体"/>
                <w:color w:val="auto"/>
                <w:sz w:val="24"/>
              </w:rPr>
              <w:t>和臭氧协同控制，推进区域联防联控，提升大气污染精细化防控能力。</w:t>
            </w:r>
          </w:p>
          <w:p>
            <w:pPr>
              <w:tabs>
                <w:tab w:val="left" w:pos="9555"/>
              </w:tabs>
              <w:adjustRightInd w:val="0"/>
              <w:snapToGrid w:val="0"/>
              <w:spacing w:line="360" w:lineRule="auto"/>
              <w:ind w:firstLine="480" w:firstLineChars="200"/>
              <w:rPr>
                <w:color w:val="auto"/>
                <w:sz w:val="24"/>
              </w:rPr>
            </w:pPr>
            <w:r>
              <w:rPr>
                <w:color w:val="auto"/>
                <w:sz w:val="24"/>
              </w:rPr>
              <w:t>到2025年，实施清洁能源利用，优化能源结构，以江阴市为重点推进热电整合。完成重点行业低VOCs含量原辅料替代目标。升级工艺技术，优化工艺流程，提高各行业清洁化生产水平。大幅提升新能源汽车特别是电动车比例。推进PM</w:t>
            </w:r>
            <w:r>
              <w:rPr>
                <w:color w:val="auto"/>
                <w:sz w:val="24"/>
                <w:vertAlign w:val="subscript"/>
              </w:rPr>
              <w:t>2.5</w:t>
            </w:r>
            <w:r>
              <w:rPr>
                <w:color w:val="auto"/>
                <w:sz w:val="24"/>
              </w:rPr>
              <w:t>和臭氧的协同控制，推进区域联防联控。</w:t>
            </w:r>
          </w:p>
          <w:p>
            <w:pPr>
              <w:tabs>
                <w:tab w:val="left" w:pos="9555"/>
              </w:tabs>
              <w:adjustRightInd w:val="0"/>
              <w:snapToGrid w:val="0"/>
              <w:spacing w:line="360" w:lineRule="auto"/>
              <w:ind w:firstLine="482" w:firstLineChars="200"/>
              <w:rPr>
                <w:b/>
                <w:bCs/>
                <w:color w:val="auto"/>
                <w:sz w:val="24"/>
              </w:rPr>
            </w:pPr>
            <w:r>
              <w:rPr>
                <w:b/>
                <w:bCs/>
                <w:color w:val="auto"/>
                <w:sz w:val="24"/>
              </w:rPr>
              <w:t>②其他污染物环境质量现状</w:t>
            </w:r>
          </w:p>
          <w:p>
            <w:pPr>
              <w:adjustRightInd w:val="0"/>
              <w:snapToGrid w:val="0"/>
              <w:spacing w:line="360" w:lineRule="auto"/>
              <w:ind w:firstLine="480" w:firstLineChars="200"/>
              <w:rPr>
                <w:color w:val="auto"/>
                <w:sz w:val="24"/>
              </w:rPr>
            </w:pPr>
            <w:r>
              <w:rPr>
                <w:color w:val="auto"/>
                <w:sz w:val="24"/>
              </w:rPr>
              <w:t>特征污染物非甲烷总烃现状数据引用南京爱迪信环境技术有限公司监测报告（报告编号NJADT2202014101）中</w:t>
            </w:r>
            <w:r>
              <w:rPr>
                <w:rFonts w:hint="eastAsia"/>
                <w:color w:val="auto"/>
                <w:sz w:val="24"/>
              </w:rPr>
              <w:t>的数据（引用于《</w:t>
            </w:r>
            <w:r>
              <w:rPr>
                <w:bCs/>
                <w:color w:val="auto"/>
                <w:sz w:val="24"/>
              </w:rPr>
              <w:t>无锡市儒兴科技开发有限公司年产太阳能电池用导电铝浆8000吨和银浆1000吨（技改扩建）项目</w:t>
            </w:r>
            <w:r>
              <w:rPr>
                <w:bCs/>
                <w:color w:val="auto"/>
                <w:spacing w:val="20"/>
                <w:sz w:val="24"/>
              </w:rPr>
              <w:t>环境影响报告书</w:t>
            </w:r>
            <w:r>
              <w:rPr>
                <w:rFonts w:hint="eastAsia"/>
                <w:color w:val="auto"/>
                <w:sz w:val="24"/>
              </w:rPr>
              <w:t>》，该项目位于本项目东北方向1.0km处）</w:t>
            </w:r>
            <w:r>
              <w:rPr>
                <w:color w:val="auto"/>
                <w:sz w:val="24"/>
              </w:rPr>
              <w:t>， 2022年</w:t>
            </w:r>
            <w:r>
              <w:rPr>
                <w:rFonts w:hint="eastAsia"/>
                <w:color w:val="auto"/>
                <w:sz w:val="24"/>
              </w:rPr>
              <w:t>7</w:t>
            </w:r>
            <w:r>
              <w:rPr>
                <w:color w:val="auto"/>
                <w:sz w:val="24"/>
              </w:rPr>
              <w:t>月</w:t>
            </w:r>
            <w:r>
              <w:rPr>
                <w:rFonts w:hint="eastAsia"/>
                <w:color w:val="auto"/>
                <w:sz w:val="24"/>
              </w:rPr>
              <w:t>1</w:t>
            </w:r>
            <w:r>
              <w:rPr>
                <w:color w:val="auto"/>
                <w:sz w:val="24"/>
              </w:rPr>
              <w:t>日至</w:t>
            </w:r>
            <w:r>
              <w:rPr>
                <w:rFonts w:hint="eastAsia"/>
                <w:color w:val="auto"/>
                <w:sz w:val="24"/>
              </w:rPr>
              <w:t>7</w:t>
            </w:r>
            <w:r>
              <w:rPr>
                <w:color w:val="auto"/>
                <w:sz w:val="24"/>
              </w:rPr>
              <w:t>月</w:t>
            </w:r>
            <w:r>
              <w:rPr>
                <w:rFonts w:hint="eastAsia"/>
                <w:color w:val="auto"/>
                <w:sz w:val="24"/>
              </w:rPr>
              <w:t>7</w:t>
            </w:r>
            <w:r>
              <w:rPr>
                <w:color w:val="auto"/>
                <w:sz w:val="24"/>
              </w:rPr>
              <w:t>日对无锡市儒兴科技开发有限公司所在地G</w:t>
            </w:r>
            <w:r>
              <w:rPr>
                <w:rFonts w:hint="eastAsia"/>
                <w:color w:val="auto"/>
                <w:sz w:val="24"/>
              </w:rPr>
              <w:t>1以及</w:t>
            </w:r>
            <w:r>
              <w:rPr>
                <w:color w:val="auto"/>
                <w:sz w:val="24"/>
              </w:rPr>
              <w:t>G2长泰国际社区监测点位的数值，具体如下：</w:t>
            </w:r>
          </w:p>
          <w:p>
            <w:pPr>
              <w:numPr>
                <w:ilvl w:val="0"/>
                <w:numId w:val="11"/>
              </w:numPr>
              <w:snapToGrid w:val="0"/>
              <w:jc w:val="center"/>
              <w:rPr>
                <w:color w:val="auto"/>
                <w:sz w:val="24"/>
              </w:rPr>
            </w:pPr>
            <w:r>
              <w:rPr>
                <w:b/>
                <w:bCs/>
                <w:color w:val="auto"/>
                <w:kern w:val="0"/>
                <w:sz w:val="24"/>
              </w:rPr>
              <w:t xml:space="preserve">其他污染物环境质量现状监测结果表 </w:t>
            </w:r>
          </w:p>
          <w:tbl>
            <w:tblPr>
              <w:tblStyle w:val="26"/>
              <w:tblW w:w="4991"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1539"/>
              <w:gridCol w:w="1285"/>
              <w:gridCol w:w="1313"/>
              <w:gridCol w:w="876"/>
              <w:gridCol w:w="1313"/>
              <w:gridCol w:w="665"/>
              <w:gridCol w:w="902"/>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975" w:type="pct"/>
                  <w:vMerge w:val="restart"/>
                  <w:tcBorders>
                    <w:tl2br w:val="nil"/>
                    <w:tr2bl w:val="nil"/>
                  </w:tcBorders>
                  <w:vAlign w:val="center"/>
                </w:tcPr>
                <w:p>
                  <w:pPr>
                    <w:adjustRightInd w:val="0"/>
                    <w:snapToGrid w:val="0"/>
                    <w:jc w:val="center"/>
                    <w:rPr>
                      <w:b/>
                      <w:bCs/>
                      <w:color w:val="auto"/>
                      <w:szCs w:val="21"/>
                    </w:rPr>
                  </w:pPr>
                  <w:r>
                    <w:rPr>
                      <w:b/>
                      <w:bCs/>
                      <w:color w:val="auto"/>
                      <w:szCs w:val="21"/>
                    </w:rPr>
                    <w:t>监测点</w:t>
                  </w:r>
                </w:p>
                <w:p>
                  <w:pPr>
                    <w:adjustRightInd w:val="0"/>
                    <w:snapToGrid w:val="0"/>
                    <w:jc w:val="center"/>
                    <w:rPr>
                      <w:b/>
                      <w:bCs/>
                      <w:color w:val="auto"/>
                      <w:szCs w:val="21"/>
                    </w:rPr>
                  </w:pPr>
                  <w:r>
                    <w:rPr>
                      <w:b/>
                      <w:bCs/>
                      <w:color w:val="auto"/>
                      <w:szCs w:val="21"/>
                    </w:rPr>
                    <w:t>名称</w:t>
                  </w:r>
                </w:p>
              </w:tc>
              <w:tc>
                <w:tcPr>
                  <w:tcW w:w="1646" w:type="pct"/>
                  <w:gridSpan w:val="2"/>
                  <w:tcBorders>
                    <w:tl2br w:val="nil"/>
                    <w:tr2bl w:val="nil"/>
                  </w:tcBorders>
                  <w:vAlign w:val="center"/>
                </w:tcPr>
                <w:p>
                  <w:pPr>
                    <w:adjustRightInd w:val="0"/>
                    <w:snapToGrid w:val="0"/>
                    <w:jc w:val="center"/>
                    <w:rPr>
                      <w:b/>
                      <w:bCs/>
                      <w:color w:val="auto"/>
                      <w:szCs w:val="21"/>
                    </w:rPr>
                  </w:pPr>
                  <w:r>
                    <w:rPr>
                      <w:b/>
                      <w:bCs/>
                      <w:color w:val="auto"/>
                      <w:szCs w:val="21"/>
                    </w:rPr>
                    <w:t>监测点坐标</w:t>
                  </w:r>
                </w:p>
              </w:tc>
              <w:tc>
                <w:tcPr>
                  <w:tcW w:w="555" w:type="pct"/>
                  <w:vMerge w:val="restart"/>
                  <w:tcBorders>
                    <w:tl2br w:val="nil"/>
                    <w:tr2bl w:val="nil"/>
                  </w:tcBorders>
                  <w:vAlign w:val="center"/>
                </w:tcPr>
                <w:p>
                  <w:pPr>
                    <w:adjustRightInd w:val="0"/>
                    <w:snapToGrid w:val="0"/>
                    <w:jc w:val="center"/>
                    <w:rPr>
                      <w:b/>
                      <w:bCs/>
                      <w:color w:val="auto"/>
                      <w:szCs w:val="21"/>
                    </w:rPr>
                  </w:pPr>
                  <w:r>
                    <w:rPr>
                      <w:b/>
                      <w:bCs/>
                      <w:color w:val="auto"/>
                      <w:szCs w:val="21"/>
                    </w:rPr>
                    <w:t>监测</w:t>
                  </w:r>
                </w:p>
                <w:p>
                  <w:pPr>
                    <w:adjustRightInd w:val="0"/>
                    <w:snapToGrid w:val="0"/>
                    <w:jc w:val="center"/>
                    <w:rPr>
                      <w:b/>
                      <w:bCs/>
                      <w:color w:val="auto"/>
                      <w:szCs w:val="21"/>
                    </w:rPr>
                  </w:pPr>
                  <w:r>
                    <w:rPr>
                      <w:b/>
                      <w:bCs/>
                      <w:color w:val="auto"/>
                      <w:szCs w:val="21"/>
                    </w:rPr>
                    <w:t>因子</w:t>
                  </w:r>
                </w:p>
              </w:tc>
              <w:tc>
                <w:tcPr>
                  <w:tcW w:w="832" w:type="pct"/>
                  <w:vMerge w:val="restart"/>
                  <w:tcBorders>
                    <w:tl2br w:val="nil"/>
                    <w:tr2bl w:val="nil"/>
                  </w:tcBorders>
                  <w:vAlign w:val="center"/>
                </w:tcPr>
                <w:p>
                  <w:pPr>
                    <w:adjustRightInd w:val="0"/>
                    <w:snapToGrid w:val="0"/>
                    <w:jc w:val="center"/>
                    <w:rPr>
                      <w:b/>
                      <w:bCs/>
                      <w:color w:val="auto"/>
                      <w:szCs w:val="21"/>
                    </w:rPr>
                  </w:pPr>
                  <w:r>
                    <w:rPr>
                      <w:b/>
                      <w:bCs/>
                      <w:color w:val="auto"/>
                      <w:szCs w:val="21"/>
                    </w:rPr>
                    <w:t>检测时段</w:t>
                  </w:r>
                </w:p>
              </w:tc>
              <w:tc>
                <w:tcPr>
                  <w:tcW w:w="421" w:type="pct"/>
                  <w:vMerge w:val="restart"/>
                  <w:tcBorders>
                    <w:tl2br w:val="nil"/>
                    <w:tr2bl w:val="nil"/>
                  </w:tcBorders>
                  <w:vAlign w:val="center"/>
                </w:tcPr>
                <w:p>
                  <w:pPr>
                    <w:adjustRightInd w:val="0"/>
                    <w:snapToGrid w:val="0"/>
                    <w:jc w:val="center"/>
                    <w:rPr>
                      <w:b/>
                      <w:bCs/>
                      <w:color w:val="auto"/>
                      <w:szCs w:val="21"/>
                    </w:rPr>
                  </w:pPr>
                  <w:r>
                    <w:rPr>
                      <w:b/>
                      <w:bCs/>
                      <w:color w:val="auto"/>
                      <w:szCs w:val="21"/>
                    </w:rPr>
                    <w:t>相对厂址方位</w:t>
                  </w:r>
                </w:p>
              </w:tc>
              <w:tc>
                <w:tcPr>
                  <w:tcW w:w="571" w:type="pct"/>
                  <w:vMerge w:val="restart"/>
                  <w:tcBorders>
                    <w:tl2br w:val="nil"/>
                    <w:tr2bl w:val="nil"/>
                  </w:tcBorders>
                  <w:vAlign w:val="center"/>
                </w:tcPr>
                <w:p>
                  <w:pPr>
                    <w:adjustRightInd w:val="0"/>
                    <w:snapToGrid w:val="0"/>
                    <w:jc w:val="center"/>
                    <w:rPr>
                      <w:b/>
                      <w:bCs/>
                      <w:color w:val="auto"/>
                      <w:szCs w:val="21"/>
                    </w:rPr>
                  </w:pPr>
                  <w:r>
                    <w:rPr>
                      <w:b/>
                      <w:bCs/>
                      <w:color w:val="auto"/>
                      <w:szCs w:val="21"/>
                    </w:rPr>
                    <w:t>相对厂界距离/m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40" w:hRule="atLeast"/>
                <w:jc w:val="center"/>
              </w:trPr>
              <w:tc>
                <w:tcPr>
                  <w:tcW w:w="975" w:type="pct"/>
                  <w:vMerge w:val="continue"/>
                  <w:tcBorders>
                    <w:tl2br w:val="nil"/>
                    <w:tr2bl w:val="nil"/>
                  </w:tcBorders>
                  <w:vAlign w:val="center"/>
                </w:tcPr>
                <w:p>
                  <w:pPr>
                    <w:adjustRightInd w:val="0"/>
                    <w:snapToGrid w:val="0"/>
                    <w:jc w:val="center"/>
                    <w:rPr>
                      <w:b/>
                      <w:bCs/>
                      <w:color w:val="auto"/>
                      <w:szCs w:val="21"/>
                    </w:rPr>
                  </w:pPr>
                </w:p>
              </w:tc>
              <w:tc>
                <w:tcPr>
                  <w:tcW w:w="814" w:type="pct"/>
                  <w:tcBorders>
                    <w:tl2br w:val="nil"/>
                    <w:tr2bl w:val="nil"/>
                  </w:tcBorders>
                  <w:vAlign w:val="center"/>
                </w:tcPr>
                <w:p>
                  <w:pPr>
                    <w:adjustRightInd w:val="0"/>
                    <w:snapToGrid w:val="0"/>
                    <w:jc w:val="center"/>
                    <w:rPr>
                      <w:b/>
                      <w:bCs/>
                      <w:color w:val="auto"/>
                      <w:szCs w:val="21"/>
                    </w:rPr>
                  </w:pPr>
                  <w:r>
                    <w:rPr>
                      <w:b/>
                      <w:bCs/>
                      <w:color w:val="auto"/>
                      <w:szCs w:val="21"/>
                    </w:rPr>
                    <w:t>X</w:t>
                  </w:r>
                </w:p>
              </w:tc>
              <w:tc>
                <w:tcPr>
                  <w:tcW w:w="831" w:type="pct"/>
                  <w:tcBorders>
                    <w:tl2br w:val="nil"/>
                    <w:tr2bl w:val="nil"/>
                  </w:tcBorders>
                  <w:vAlign w:val="center"/>
                </w:tcPr>
                <w:p>
                  <w:pPr>
                    <w:adjustRightInd w:val="0"/>
                    <w:snapToGrid w:val="0"/>
                    <w:jc w:val="center"/>
                    <w:rPr>
                      <w:b/>
                      <w:bCs/>
                      <w:color w:val="auto"/>
                      <w:szCs w:val="21"/>
                    </w:rPr>
                  </w:pPr>
                  <w:r>
                    <w:rPr>
                      <w:b/>
                      <w:bCs/>
                      <w:color w:val="auto"/>
                      <w:szCs w:val="21"/>
                    </w:rPr>
                    <w:t>Y</w:t>
                  </w:r>
                </w:p>
              </w:tc>
              <w:tc>
                <w:tcPr>
                  <w:tcW w:w="555" w:type="pct"/>
                  <w:vMerge w:val="continue"/>
                  <w:tcBorders>
                    <w:tl2br w:val="nil"/>
                    <w:tr2bl w:val="nil"/>
                  </w:tcBorders>
                  <w:vAlign w:val="center"/>
                </w:tcPr>
                <w:p>
                  <w:pPr>
                    <w:adjustRightInd w:val="0"/>
                    <w:snapToGrid w:val="0"/>
                    <w:jc w:val="center"/>
                    <w:rPr>
                      <w:b/>
                      <w:bCs/>
                      <w:color w:val="auto"/>
                      <w:szCs w:val="21"/>
                    </w:rPr>
                  </w:pPr>
                </w:p>
              </w:tc>
              <w:tc>
                <w:tcPr>
                  <w:tcW w:w="832" w:type="pct"/>
                  <w:vMerge w:val="continue"/>
                  <w:tcBorders>
                    <w:tl2br w:val="nil"/>
                    <w:tr2bl w:val="nil"/>
                  </w:tcBorders>
                  <w:vAlign w:val="center"/>
                </w:tcPr>
                <w:p>
                  <w:pPr>
                    <w:adjustRightInd w:val="0"/>
                    <w:snapToGrid w:val="0"/>
                    <w:jc w:val="center"/>
                    <w:rPr>
                      <w:b/>
                      <w:bCs/>
                      <w:color w:val="auto"/>
                      <w:szCs w:val="21"/>
                    </w:rPr>
                  </w:pPr>
                </w:p>
              </w:tc>
              <w:tc>
                <w:tcPr>
                  <w:tcW w:w="421" w:type="pct"/>
                  <w:vMerge w:val="continue"/>
                  <w:tcBorders>
                    <w:tl2br w:val="nil"/>
                    <w:tr2bl w:val="nil"/>
                  </w:tcBorders>
                  <w:vAlign w:val="center"/>
                </w:tcPr>
                <w:p>
                  <w:pPr>
                    <w:adjustRightInd w:val="0"/>
                    <w:snapToGrid w:val="0"/>
                    <w:jc w:val="center"/>
                    <w:rPr>
                      <w:b/>
                      <w:bCs/>
                      <w:color w:val="auto"/>
                      <w:szCs w:val="21"/>
                    </w:rPr>
                  </w:pPr>
                </w:p>
              </w:tc>
              <w:tc>
                <w:tcPr>
                  <w:tcW w:w="571" w:type="pct"/>
                  <w:vMerge w:val="continue"/>
                  <w:tcBorders>
                    <w:tl2br w:val="nil"/>
                    <w:tr2bl w:val="nil"/>
                  </w:tcBorders>
                  <w:vAlign w:val="center"/>
                </w:tcPr>
                <w:p>
                  <w:pPr>
                    <w:adjustRightInd w:val="0"/>
                    <w:snapToGrid w:val="0"/>
                    <w:jc w:val="center"/>
                    <w:rPr>
                      <w:b/>
                      <w:bCs/>
                      <w:color w:val="auto"/>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785" w:hRule="atLeast"/>
                <w:jc w:val="center"/>
              </w:trPr>
              <w:tc>
                <w:tcPr>
                  <w:tcW w:w="975" w:type="pct"/>
                  <w:tcBorders>
                    <w:tl2br w:val="nil"/>
                    <w:tr2bl w:val="nil"/>
                  </w:tcBorders>
                  <w:vAlign w:val="center"/>
                </w:tcPr>
                <w:p>
                  <w:pPr>
                    <w:widowControl/>
                    <w:jc w:val="center"/>
                    <w:rPr>
                      <w:color w:val="auto"/>
                      <w:szCs w:val="21"/>
                    </w:rPr>
                  </w:pPr>
                  <w:r>
                    <w:rPr>
                      <w:rFonts w:hint="eastAsia"/>
                      <w:color w:val="auto"/>
                      <w:szCs w:val="21"/>
                    </w:rPr>
                    <w:t>儒兴科技开发有限公司G1</w:t>
                  </w:r>
                </w:p>
              </w:tc>
              <w:tc>
                <w:tcPr>
                  <w:tcW w:w="814" w:type="pct"/>
                  <w:tcBorders>
                    <w:tl2br w:val="nil"/>
                    <w:tr2bl w:val="nil"/>
                  </w:tcBorders>
                  <w:vAlign w:val="center"/>
                </w:tcPr>
                <w:p>
                  <w:pPr>
                    <w:adjustRightInd w:val="0"/>
                    <w:snapToGrid w:val="0"/>
                    <w:jc w:val="center"/>
                    <w:rPr>
                      <w:color w:val="auto"/>
                      <w:kern w:val="0"/>
                      <w:szCs w:val="21"/>
                      <w:lang w:bidi="ar"/>
                    </w:rPr>
                  </w:pPr>
                  <w:r>
                    <w:rPr>
                      <w:color w:val="auto"/>
                      <w:szCs w:val="21"/>
                    </w:rPr>
                    <w:t>120.422766</w:t>
                  </w:r>
                </w:p>
              </w:tc>
              <w:tc>
                <w:tcPr>
                  <w:tcW w:w="831" w:type="pct"/>
                  <w:tcBorders>
                    <w:tl2br w:val="nil"/>
                    <w:tr2bl w:val="nil"/>
                  </w:tcBorders>
                  <w:vAlign w:val="center"/>
                </w:tcPr>
                <w:p>
                  <w:pPr>
                    <w:adjustRightInd w:val="0"/>
                    <w:snapToGrid w:val="0"/>
                    <w:jc w:val="center"/>
                    <w:rPr>
                      <w:color w:val="auto"/>
                      <w:kern w:val="0"/>
                      <w:szCs w:val="21"/>
                      <w:lang w:bidi="ar"/>
                    </w:rPr>
                  </w:pPr>
                  <w:r>
                    <w:rPr>
                      <w:color w:val="auto"/>
                      <w:szCs w:val="21"/>
                    </w:rPr>
                    <w:t>31.576038</w:t>
                  </w:r>
                </w:p>
              </w:tc>
              <w:tc>
                <w:tcPr>
                  <w:tcW w:w="555" w:type="pct"/>
                  <w:tcBorders>
                    <w:tl2br w:val="nil"/>
                    <w:tr2bl w:val="nil"/>
                  </w:tcBorders>
                  <w:vAlign w:val="center"/>
                </w:tcPr>
                <w:p>
                  <w:pPr>
                    <w:adjustRightInd w:val="0"/>
                    <w:snapToGrid w:val="0"/>
                    <w:jc w:val="center"/>
                    <w:rPr>
                      <w:color w:val="auto"/>
                      <w:szCs w:val="21"/>
                    </w:rPr>
                  </w:pPr>
                  <w:r>
                    <w:rPr>
                      <w:color w:val="auto"/>
                      <w:szCs w:val="21"/>
                    </w:rPr>
                    <w:t>非甲烷总烃</w:t>
                  </w:r>
                </w:p>
              </w:tc>
              <w:tc>
                <w:tcPr>
                  <w:tcW w:w="832" w:type="pct"/>
                  <w:tcBorders>
                    <w:tl2br w:val="nil"/>
                    <w:tr2bl w:val="nil"/>
                  </w:tcBorders>
                  <w:vAlign w:val="center"/>
                </w:tcPr>
                <w:p>
                  <w:pPr>
                    <w:widowControl/>
                    <w:jc w:val="center"/>
                    <w:textAlignment w:val="center"/>
                    <w:rPr>
                      <w:color w:val="auto"/>
                      <w:szCs w:val="21"/>
                    </w:rPr>
                  </w:pPr>
                  <w:r>
                    <w:rPr>
                      <w:color w:val="auto"/>
                      <w:szCs w:val="21"/>
                    </w:rPr>
                    <w:t>20</w:t>
                  </w:r>
                  <w:r>
                    <w:rPr>
                      <w:rFonts w:hint="eastAsia"/>
                      <w:color w:val="auto"/>
                      <w:szCs w:val="21"/>
                    </w:rPr>
                    <w:t>22</w:t>
                  </w:r>
                  <w:r>
                    <w:rPr>
                      <w:color w:val="auto"/>
                      <w:szCs w:val="21"/>
                    </w:rPr>
                    <w:t>.</w:t>
                  </w:r>
                  <w:r>
                    <w:rPr>
                      <w:rFonts w:hint="eastAsia"/>
                      <w:color w:val="auto"/>
                      <w:szCs w:val="21"/>
                    </w:rPr>
                    <w:t>7.1</w:t>
                  </w:r>
                  <w:r>
                    <w:rPr>
                      <w:color w:val="auto"/>
                      <w:szCs w:val="21"/>
                    </w:rPr>
                    <w:t>~20</w:t>
                  </w:r>
                  <w:r>
                    <w:rPr>
                      <w:rFonts w:hint="eastAsia"/>
                      <w:color w:val="auto"/>
                      <w:szCs w:val="21"/>
                    </w:rPr>
                    <w:t>22.7.7</w:t>
                  </w:r>
                </w:p>
              </w:tc>
              <w:tc>
                <w:tcPr>
                  <w:tcW w:w="421" w:type="pct"/>
                  <w:tcBorders>
                    <w:tl2br w:val="nil"/>
                    <w:tr2bl w:val="nil"/>
                  </w:tcBorders>
                  <w:vAlign w:val="center"/>
                </w:tcPr>
                <w:p>
                  <w:pPr>
                    <w:pStyle w:val="10"/>
                    <w:jc w:val="center"/>
                    <w:rPr>
                      <w:color w:val="auto"/>
                      <w:szCs w:val="21"/>
                    </w:rPr>
                  </w:pPr>
                  <w:r>
                    <w:rPr>
                      <w:rFonts w:hint="eastAsia"/>
                      <w:color w:val="auto"/>
                      <w:szCs w:val="21"/>
                    </w:rPr>
                    <w:t>NE</w:t>
                  </w:r>
                </w:p>
              </w:tc>
              <w:tc>
                <w:tcPr>
                  <w:tcW w:w="571" w:type="pct"/>
                  <w:tcBorders>
                    <w:tl2br w:val="nil"/>
                    <w:tr2bl w:val="nil"/>
                  </w:tcBorders>
                  <w:vAlign w:val="center"/>
                </w:tcPr>
                <w:p>
                  <w:pPr>
                    <w:widowControl/>
                    <w:jc w:val="center"/>
                    <w:textAlignment w:val="center"/>
                    <w:rPr>
                      <w:color w:val="auto"/>
                      <w:szCs w:val="21"/>
                    </w:rPr>
                  </w:pPr>
                  <w:r>
                    <w:rPr>
                      <w:rFonts w:hint="eastAsia"/>
                      <w:color w:val="auto"/>
                      <w:szCs w:val="21"/>
                    </w:rPr>
                    <w:t>1000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785" w:hRule="atLeast"/>
                <w:jc w:val="center"/>
              </w:trPr>
              <w:tc>
                <w:tcPr>
                  <w:tcW w:w="975" w:type="pct"/>
                  <w:tcBorders>
                    <w:tl2br w:val="nil"/>
                    <w:tr2bl w:val="nil"/>
                  </w:tcBorders>
                  <w:vAlign w:val="center"/>
                </w:tcPr>
                <w:p>
                  <w:pPr>
                    <w:widowControl/>
                    <w:jc w:val="center"/>
                    <w:rPr>
                      <w:color w:val="auto"/>
                      <w:szCs w:val="21"/>
                    </w:rPr>
                  </w:pPr>
                  <w:r>
                    <w:rPr>
                      <w:color w:val="auto"/>
                      <w:szCs w:val="21"/>
                    </w:rPr>
                    <w:t>G2长泰国际社区</w:t>
                  </w:r>
                </w:p>
              </w:tc>
              <w:tc>
                <w:tcPr>
                  <w:tcW w:w="814" w:type="pct"/>
                  <w:tcBorders>
                    <w:tl2br w:val="nil"/>
                    <w:tr2bl w:val="nil"/>
                  </w:tcBorders>
                  <w:vAlign w:val="center"/>
                </w:tcPr>
                <w:p>
                  <w:pPr>
                    <w:adjustRightInd w:val="0"/>
                    <w:snapToGrid w:val="0"/>
                    <w:jc w:val="center"/>
                    <w:rPr>
                      <w:color w:val="auto"/>
                      <w:szCs w:val="21"/>
                    </w:rPr>
                  </w:pPr>
                  <w:r>
                    <w:rPr>
                      <w:color w:val="auto"/>
                      <w:szCs w:val="21"/>
                    </w:rPr>
                    <w:t>120.406136</w:t>
                  </w:r>
                </w:p>
              </w:tc>
              <w:tc>
                <w:tcPr>
                  <w:tcW w:w="831" w:type="pct"/>
                  <w:tcBorders>
                    <w:tl2br w:val="nil"/>
                    <w:tr2bl w:val="nil"/>
                  </w:tcBorders>
                  <w:vAlign w:val="center"/>
                </w:tcPr>
                <w:p>
                  <w:pPr>
                    <w:adjustRightInd w:val="0"/>
                    <w:snapToGrid w:val="0"/>
                    <w:jc w:val="center"/>
                    <w:rPr>
                      <w:color w:val="auto"/>
                      <w:szCs w:val="21"/>
                    </w:rPr>
                  </w:pPr>
                  <w:r>
                    <w:rPr>
                      <w:color w:val="auto"/>
                      <w:szCs w:val="21"/>
                    </w:rPr>
                    <w:t>31.583613</w:t>
                  </w:r>
                </w:p>
              </w:tc>
              <w:tc>
                <w:tcPr>
                  <w:tcW w:w="555" w:type="pct"/>
                  <w:tcBorders>
                    <w:tl2br w:val="nil"/>
                    <w:tr2bl w:val="nil"/>
                  </w:tcBorders>
                  <w:vAlign w:val="center"/>
                </w:tcPr>
                <w:p>
                  <w:pPr>
                    <w:adjustRightInd w:val="0"/>
                    <w:snapToGrid w:val="0"/>
                    <w:jc w:val="center"/>
                    <w:rPr>
                      <w:color w:val="auto"/>
                      <w:szCs w:val="21"/>
                    </w:rPr>
                  </w:pPr>
                  <w:r>
                    <w:rPr>
                      <w:color w:val="auto"/>
                      <w:szCs w:val="21"/>
                    </w:rPr>
                    <w:t>非甲烷总烃</w:t>
                  </w:r>
                </w:p>
              </w:tc>
              <w:tc>
                <w:tcPr>
                  <w:tcW w:w="832" w:type="pct"/>
                  <w:tcBorders>
                    <w:tl2br w:val="nil"/>
                    <w:tr2bl w:val="nil"/>
                  </w:tcBorders>
                  <w:vAlign w:val="center"/>
                </w:tcPr>
                <w:p>
                  <w:pPr>
                    <w:widowControl/>
                    <w:jc w:val="center"/>
                    <w:textAlignment w:val="center"/>
                    <w:rPr>
                      <w:color w:val="auto"/>
                      <w:szCs w:val="21"/>
                    </w:rPr>
                  </w:pPr>
                  <w:r>
                    <w:rPr>
                      <w:color w:val="auto"/>
                      <w:szCs w:val="21"/>
                    </w:rPr>
                    <w:t>20</w:t>
                  </w:r>
                  <w:r>
                    <w:rPr>
                      <w:rFonts w:hint="eastAsia"/>
                      <w:color w:val="auto"/>
                      <w:szCs w:val="21"/>
                    </w:rPr>
                    <w:t>22</w:t>
                  </w:r>
                  <w:r>
                    <w:rPr>
                      <w:color w:val="auto"/>
                      <w:szCs w:val="21"/>
                    </w:rPr>
                    <w:t>.</w:t>
                  </w:r>
                  <w:r>
                    <w:rPr>
                      <w:rFonts w:hint="eastAsia"/>
                      <w:color w:val="auto"/>
                      <w:szCs w:val="21"/>
                    </w:rPr>
                    <w:t>7.1</w:t>
                  </w:r>
                  <w:r>
                    <w:rPr>
                      <w:color w:val="auto"/>
                      <w:szCs w:val="21"/>
                    </w:rPr>
                    <w:t>~20</w:t>
                  </w:r>
                  <w:r>
                    <w:rPr>
                      <w:rFonts w:hint="eastAsia"/>
                      <w:color w:val="auto"/>
                      <w:szCs w:val="21"/>
                    </w:rPr>
                    <w:t>22.7.7</w:t>
                  </w:r>
                </w:p>
              </w:tc>
              <w:tc>
                <w:tcPr>
                  <w:tcW w:w="421" w:type="pct"/>
                  <w:tcBorders>
                    <w:tl2br w:val="nil"/>
                    <w:tr2bl w:val="nil"/>
                  </w:tcBorders>
                  <w:vAlign w:val="center"/>
                </w:tcPr>
                <w:p>
                  <w:pPr>
                    <w:pStyle w:val="10"/>
                    <w:jc w:val="center"/>
                    <w:rPr>
                      <w:color w:val="auto"/>
                      <w:szCs w:val="21"/>
                    </w:rPr>
                  </w:pPr>
                  <w:r>
                    <w:rPr>
                      <w:rFonts w:hint="eastAsia"/>
                      <w:color w:val="auto"/>
                      <w:szCs w:val="21"/>
                    </w:rPr>
                    <w:t>NW</w:t>
                  </w:r>
                </w:p>
              </w:tc>
              <w:tc>
                <w:tcPr>
                  <w:tcW w:w="571" w:type="pct"/>
                  <w:tcBorders>
                    <w:tl2br w:val="nil"/>
                    <w:tr2bl w:val="nil"/>
                  </w:tcBorders>
                  <w:vAlign w:val="center"/>
                </w:tcPr>
                <w:p>
                  <w:pPr>
                    <w:widowControl/>
                    <w:jc w:val="center"/>
                    <w:textAlignment w:val="center"/>
                    <w:rPr>
                      <w:color w:val="auto"/>
                      <w:szCs w:val="21"/>
                    </w:rPr>
                  </w:pPr>
                  <w:r>
                    <w:rPr>
                      <w:rFonts w:hint="eastAsia"/>
                      <w:color w:val="auto"/>
                      <w:szCs w:val="21"/>
                    </w:rPr>
                    <w:t>1200</w:t>
                  </w:r>
                </w:p>
              </w:tc>
            </w:tr>
          </w:tbl>
          <w:p>
            <w:pPr>
              <w:numPr>
                <w:ilvl w:val="0"/>
                <w:numId w:val="11"/>
              </w:numPr>
              <w:snapToGrid w:val="0"/>
              <w:jc w:val="center"/>
              <w:rPr>
                <w:b/>
                <w:color w:val="auto"/>
                <w:sz w:val="24"/>
              </w:rPr>
            </w:pPr>
            <w:r>
              <w:rPr>
                <w:b/>
                <w:color w:val="auto"/>
                <w:sz w:val="24"/>
              </w:rPr>
              <w:t>其他污染物环境质量现状表</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4"/>
              <w:gridCol w:w="775"/>
              <w:gridCol w:w="773"/>
              <w:gridCol w:w="818"/>
              <w:gridCol w:w="924"/>
              <w:gridCol w:w="818"/>
              <w:gridCol w:w="909"/>
              <w:gridCol w:w="817"/>
              <w:gridCol w:w="487"/>
              <w:gridCol w:w="6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Merge w:val="restart"/>
                  <w:tcMar>
                    <w:top w:w="0" w:type="dxa"/>
                    <w:left w:w="51" w:type="dxa"/>
                    <w:bottom w:w="0" w:type="dxa"/>
                    <w:right w:w="51" w:type="dxa"/>
                  </w:tcMar>
                  <w:vAlign w:val="center"/>
                </w:tcPr>
                <w:p>
                  <w:pPr>
                    <w:adjustRightInd w:val="0"/>
                    <w:snapToGrid w:val="0"/>
                    <w:jc w:val="center"/>
                    <w:rPr>
                      <w:b/>
                      <w:color w:val="auto"/>
                      <w:szCs w:val="21"/>
                    </w:rPr>
                  </w:pPr>
                  <w:r>
                    <w:rPr>
                      <w:b/>
                      <w:color w:val="auto"/>
                      <w:szCs w:val="21"/>
                    </w:rPr>
                    <w:t>监测点位</w:t>
                  </w:r>
                </w:p>
              </w:tc>
              <w:tc>
                <w:tcPr>
                  <w:tcW w:w="979" w:type="pct"/>
                  <w:gridSpan w:val="2"/>
                  <w:tcMar>
                    <w:top w:w="0" w:type="dxa"/>
                    <w:left w:w="51" w:type="dxa"/>
                    <w:bottom w:w="0" w:type="dxa"/>
                    <w:right w:w="51" w:type="dxa"/>
                  </w:tcMar>
                  <w:vAlign w:val="center"/>
                </w:tcPr>
                <w:p>
                  <w:pPr>
                    <w:adjustRightInd w:val="0"/>
                    <w:snapToGrid w:val="0"/>
                    <w:ind w:left="-80" w:leftChars="-38" w:right="-80" w:rightChars="-38"/>
                    <w:jc w:val="center"/>
                    <w:rPr>
                      <w:b/>
                      <w:color w:val="auto"/>
                      <w:szCs w:val="21"/>
                    </w:rPr>
                  </w:pPr>
                  <w:r>
                    <w:rPr>
                      <w:b/>
                      <w:bCs/>
                      <w:color w:val="auto"/>
                      <w:szCs w:val="21"/>
                    </w:rPr>
                    <w:t>监测点坐标</w:t>
                  </w:r>
                </w:p>
              </w:tc>
              <w:tc>
                <w:tcPr>
                  <w:tcW w:w="517" w:type="pct"/>
                  <w:vMerge w:val="restart"/>
                  <w:tcMar>
                    <w:top w:w="0" w:type="dxa"/>
                    <w:left w:w="51" w:type="dxa"/>
                    <w:bottom w:w="0" w:type="dxa"/>
                    <w:right w:w="51" w:type="dxa"/>
                  </w:tcMar>
                  <w:vAlign w:val="center"/>
                </w:tcPr>
                <w:p>
                  <w:pPr>
                    <w:adjustRightInd w:val="0"/>
                    <w:snapToGrid w:val="0"/>
                    <w:jc w:val="center"/>
                    <w:rPr>
                      <w:color w:val="auto"/>
                      <w:szCs w:val="21"/>
                    </w:rPr>
                  </w:pPr>
                  <w:r>
                    <w:rPr>
                      <w:b/>
                      <w:color w:val="auto"/>
                      <w:szCs w:val="21"/>
                    </w:rPr>
                    <w:t>污染物</w:t>
                  </w:r>
                </w:p>
              </w:tc>
              <w:tc>
                <w:tcPr>
                  <w:tcW w:w="584" w:type="pct"/>
                  <w:vMerge w:val="restart"/>
                  <w:tcMar>
                    <w:top w:w="0" w:type="dxa"/>
                    <w:left w:w="51" w:type="dxa"/>
                    <w:bottom w:w="0" w:type="dxa"/>
                    <w:right w:w="51" w:type="dxa"/>
                  </w:tcMar>
                  <w:vAlign w:val="center"/>
                </w:tcPr>
                <w:p>
                  <w:pPr>
                    <w:adjustRightInd w:val="0"/>
                    <w:snapToGrid w:val="0"/>
                    <w:jc w:val="center"/>
                    <w:rPr>
                      <w:b/>
                      <w:color w:val="auto"/>
                      <w:szCs w:val="21"/>
                    </w:rPr>
                  </w:pPr>
                  <w:r>
                    <w:rPr>
                      <w:b/>
                      <w:color w:val="auto"/>
                      <w:szCs w:val="21"/>
                    </w:rPr>
                    <w:t>平均</w:t>
                  </w:r>
                </w:p>
                <w:p>
                  <w:pPr>
                    <w:adjustRightInd w:val="0"/>
                    <w:snapToGrid w:val="0"/>
                    <w:jc w:val="center"/>
                    <w:rPr>
                      <w:b/>
                      <w:color w:val="auto"/>
                      <w:szCs w:val="21"/>
                    </w:rPr>
                  </w:pPr>
                  <w:r>
                    <w:rPr>
                      <w:b/>
                      <w:color w:val="auto"/>
                      <w:szCs w:val="21"/>
                    </w:rPr>
                    <w:t>时间</w:t>
                  </w:r>
                </w:p>
              </w:tc>
              <w:tc>
                <w:tcPr>
                  <w:tcW w:w="517" w:type="pct"/>
                  <w:vMerge w:val="restart"/>
                  <w:tcMar>
                    <w:top w:w="0" w:type="dxa"/>
                    <w:left w:w="51" w:type="dxa"/>
                    <w:bottom w:w="0" w:type="dxa"/>
                    <w:right w:w="51" w:type="dxa"/>
                  </w:tcMar>
                  <w:vAlign w:val="center"/>
                </w:tcPr>
                <w:p>
                  <w:pPr>
                    <w:adjustRightInd w:val="0"/>
                    <w:snapToGrid w:val="0"/>
                    <w:jc w:val="center"/>
                    <w:rPr>
                      <w:b/>
                      <w:color w:val="auto"/>
                      <w:szCs w:val="21"/>
                    </w:rPr>
                  </w:pPr>
                  <w:r>
                    <w:rPr>
                      <w:b/>
                      <w:color w:val="auto"/>
                      <w:szCs w:val="21"/>
                    </w:rPr>
                    <w:t>评价标准mg/m</w:t>
                  </w:r>
                  <w:r>
                    <w:rPr>
                      <w:b/>
                      <w:color w:val="auto"/>
                      <w:szCs w:val="21"/>
                      <w:vertAlign w:val="superscript"/>
                    </w:rPr>
                    <w:t>3</w:t>
                  </w:r>
                </w:p>
              </w:tc>
              <w:tc>
                <w:tcPr>
                  <w:tcW w:w="575" w:type="pct"/>
                  <w:vMerge w:val="restart"/>
                  <w:tcMar>
                    <w:top w:w="0" w:type="dxa"/>
                    <w:left w:w="51" w:type="dxa"/>
                    <w:bottom w:w="0" w:type="dxa"/>
                    <w:right w:w="51" w:type="dxa"/>
                  </w:tcMar>
                  <w:vAlign w:val="center"/>
                </w:tcPr>
                <w:p>
                  <w:pPr>
                    <w:adjustRightInd w:val="0"/>
                    <w:snapToGrid w:val="0"/>
                    <w:jc w:val="center"/>
                    <w:rPr>
                      <w:b/>
                      <w:color w:val="auto"/>
                      <w:szCs w:val="21"/>
                    </w:rPr>
                  </w:pPr>
                  <w:r>
                    <w:rPr>
                      <w:b/>
                      <w:color w:val="auto"/>
                      <w:szCs w:val="21"/>
                    </w:rPr>
                    <w:t>监测浓度</w:t>
                  </w:r>
                </w:p>
                <w:p>
                  <w:pPr>
                    <w:adjustRightInd w:val="0"/>
                    <w:snapToGrid w:val="0"/>
                    <w:jc w:val="center"/>
                    <w:rPr>
                      <w:b/>
                      <w:color w:val="auto"/>
                      <w:szCs w:val="21"/>
                    </w:rPr>
                  </w:pPr>
                  <w:r>
                    <w:rPr>
                      <w:b/>
                      <w:color w:val="auto"/>
                      <w:szCs w:val="21"/>
                    </w:rPr>
                    <w:t>范围mg/m</w:t>
                  </w:r>
                  <w:r>
                    <w:rPr>
                      <w:b/>
                      <w:color w:val="auto"/>
                      <w:szCs w:val="21"/>
                      <w:vertAlign w:val="superscript"/>
                    </w:rPr>
                    <w:t>3</w:t>
                  </w:r>
                </w:p>
              </w:tc>
              <w:tc>
                <w:tcPr>
                  <w:tcW w:w="517" w:type="pct"/>
                  <w:vMerge w:val="restart"/>
                  <w:tcMar>
                    <w:top w:w="0" w:type="dxa"/>
                    <w:left w:w="51" w:type="dxa"/>
                    <w:bottom w:w="0" w:type="dxa"/>
                    <w:right w:w="51" w:type="dxa"/>
                  </w:tcMar>
                  <w:vAlign w:val="center"/>
                </w:tcPr>
                <w:p>
                  <w:pPr>
                    <w:adjustRightInd w:val="0"/>
                    <w:snapToGrid w:val="0"/>
                    <w:jc w:val="center"/>
                    <w:rPr>
                      <w:b/>
                      <w:color w:val="auto"/>
                      <w:szCs w:val="21"/>
                    </w:rPr>
                  </w:pPr>
                  <w:r>
                    <w:rPr>
                      <w:b/>
                      <w:color w:val="auto"/>
                      <w:szCs w:val="21"/>
                    </w:rPr>
                    <w:t>最大浓度占标率%</w:t>
                  </w:r>
                </w:p>
              </w:tc>
              <w:tc>
                <w:tcPr>
                  <w:tcW w:w="308" w:type="pct"/>
                  <w:vMerge w:val="restart"/>
                  <w:tcMar>
                    <w:top w:w="0" w:type="dxa"/>
                    <w:left w:w="51" w:type="dxa"/>
                    <w:bottom w:w="0" w:type="dxa"/>
                    <w:right w:w="51" w:type="dxa"/>
                  </w:tcMar>
                  <w:vAlign w:val="center"/>
                </w:tcPr>
                <w:p>
                  <w:pPr>
                    <w:adjustRightInd w:val="0"/>
                    <w:snapToGrid w:val="0"/>
                    <w:jc w:val="center"/>
                    <w:rPr>
                      <w:b/>
                      <w:color w:val="auto"/>
                      <w:szCs w:val="21"/>
                    </w:rPr>
                  </w:pPr>
                  <w:r>
                    <w:rPr>
                      <w:b/>
                      <w:color w:val="auto"/>
                      <w:szCs w:val="21"/>
                    </w:rPr>
                    <w:t>超标率%</w:t>
                  </w:r>
                </w:p>
              </w:tc>
              <w:tc>
                <w:tcPr>
                  <w:tcW w:w="388" w:type="pct"/>
                  <w:vMerge w:val="restart"/>
                  <w:tcMar>
                    <w:top w:w="0" w:type="dxa"/>
                    <w:left w:w="51" w:type="dxa"/>
                    <w:bottom w:w="0" w:type="dxa"/>
                    <w:right w:w="51" w:type="dxa"/>
                  </w:tcMar>
                  <w:vAlign w:val="center"/>
                </w:tcPr>
                <w:p>
                  <w:pPr>
                    <w:adjustRightInd w:val="0"/>
                    <w:snapToGrid w:val="0"/>
                    <w:jc w:val="center"/>
                    <w:rPr>
                      <w:b/>
                      <w:color w:val="auto"/>
                      <w:szCs w:val="21"/>
                    </w:rPr>
                  </w:pPr>
                  <w:r>
                    <w:rPr>
                      <w:b/>
                      <w:color w:val="auto"/>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vMerge w:val="continue"/>
                  <w:tcMar>
                    <w:top w:w="0" w:type="dxa"/>
                    <w:left w:w="51" w:type="dxa"/>
                    <w:bottom w:w="0" w:type="dxa"/>
                    <w:right w:w="51" w:type="dxa"/>
                  </w:tcMar>
                  <w:vAlign w:val="center"/>
                </w:tcPr>
                <w:p>
                  <w:pPr>
                    <w:adjustRightInd w:val="0"/>
                    <w:snapToGrid w:val="0"/>
                    <w:jc w:val="center"/>
                    <w:rPr>
                      <w:b/>
                      <w:color w:val="auto"/>
                      <w:szCs w:val="21"/>
                    </w:rPr>
                  </w:pPr>
                </w:p>
              </w:tc>
              <w:tc>
                <w:tcPr>
                  <w:tcW w:w="490" w:type="pct"/>
                  <w:tcMar>
                    <w:top w:w="0" w:type="dxa"/>
                    <w:left w:w="51" w:type="dxa"/>
                    <w:bottom w:w="0" w:type="dxa"/>
                    <w:right w:w="51" w:type="dxa"/>
                  </w:tcMar>
                  <w:vAlign w:val="center"/>
                </w:tcPr>
                <w:p>
                  <w:pPr>
                    <w:adjustRightInd w:val="0"/>
                    <w:snapToGrid w:val="0"/>
                    <w:ind w:left="-80" w:leftChars="-38" w:right="-80" w:rightChars="-38"/>
                    <w:jc w:val="center"/>
                    <w:rPr>
                      <w:b/>
                      <w:bCs/>
                      <w:color w:val="auto"/>
                      <w:szCs w:val="21"/>
                    </w:rPr>
                  </w:pPr>
                  <w:r>
                    <w:rPr>
                      <w:b/>
                      <w:bCs/>
                      <w:color w:val="auto"/>
                      <w:szCs w:val="21"/>
                    </w:rPr>
                    <w:t>X</w:t>
                  </w:r>
                </w:p>
              </w:tc>
              <w:tc>
                <w:tcPr>
                  <w:tcW w:w="489" w:type="pct"/>
                  <w:tcMar>
                    <w:top w:w="0" w:type="dxa"/>
                    <w:left w:w="51" w:type="dxa"/>
                    <w:bottom w:w="0" w:type="dxa"/>
                    <w:right w:w="51" w:type="dxa"/>
                  </w:tcMar>
                  <w:vAlign w:val="center"/>
                </w:tcPr>
                <w:p>
                  <w:pPr>
                    <w:adjustRightInd w:val="0"/>
                    <w:snapToGrid w:val="0"/>
                    <w:ind w:left="-80" w:leftChars="-38" w:right="-80" w:rightChars="-38"/>
                    <w:jc w:val="center"/>
                    <w:rPr>
                      <w:b/>
                      <w:bCs/>
                      <w:color w:val="auto"/>
                      <w:szCs w:val="21"/>
                    </w:rPr>
                  </w:pPr>
                  <w:r>
                    <w:rPr>
                      <w:b/>
                      <w:bCs/>
                      <w:color w:val="auto"/>
                      <w:szCs w:val="21"/>
                    </w:rPr>
                    <w:t>Y</w:t>
                  </w:r>
                </w:p>
              </w:tc>
              <w:tc>
                <w:tcPr>
                  <w:tcW w:w="517" w:type="pct"/>
                  <w:vMerge w:val="continue"/>
                  <w:tcBorders>
                    <w:bottom w:val="single" w:color="auto" w:sz="4" w:space="0"/>
                  </w:tcBorders>
                  <w:tcMar>
                    <w:top w:w="0" w:type="dxa"/>
                    <w:left w:w="51" w:type="dxa"/>
                    <w:bottom w:w="0" w:type="dxa"/>
                    <w:right w:w="51" w:type="dxa"/>
                  </w:tcMar>
                  <w:vAlign w:val="center"/>
                </w:tcPr>
                <w:p>
                  <w:pPr>
                    <w:adjustRightInd w:val="0"/>
                    <w:snapToGrid w:val="0"/>
                    <w:jc w:val="center"/>
                    <w:rPr>
                      <w:color w:val="auto"/>
                      <w:szCs w:val="21"/>
                    </w:rPr>
                  </w:pPr>
                </w:p>
              </w:tc>
              <w:tc>
                <w:tcPr>
                  <w:tcW w:w="584" w:type="pct"/>
                  <w:vMerge w:val="continue"/>
                  <w:tcBorders>
                    <w:bottom w:val="single" w:color="auto" w:sz="4" w:space="0"/>
                  </w:tcBorders>
                  <w:tcMar>
                    <w:top w:w="0" w:type="dxa"/>
                    <w:left w:w="51" w:type="dxa"/>
                    <w:bottom w:w="0" w:type="dxa"/>
                    <w:right w:w="51" w:type="dxa"/>
                  </w:tcMar>
                  <w:vAlign w:val="center"/>
                </w:tcPr>
                <w:p>
                  <w:pPr>
                    <w:adjustRightInd w:val="0"/>
                    <w:snapToGrid w:val="0"/>
                    <w:jc w:val="center"/>
                    <w:rPr>
                      <w:b/>
                      <w:color w:val="auto"/>
                      <w:szCs w:val="21"/>
                    </w:rPr>
                  </w:pPr>
                </w:p>
              </w:tc>
              <w:tc>
                <w:tcPr>
                  <w:tcW w:w="517" w:type="pct"/>
                  <w:vMerge w:val="continue"/>
                  <w:tcMar>
                    <w:top w:w="0" w:type="dxa"/>
                    <w:left w:w="51" w:type="dxa"/>
                    <w:bottom w:w="0" w:type="dxa"/>
                    <w:right w:w="51" w:type="dxa"/>
                  </w:tcMar>
                  <w:vAlign w:val="center"/>
                </w:tcPr>
                <w:p>
                  <w:pPr>
                    <w:adjustRightInd w:val="0"/>
                    <w:snapToGrid w:val="0"/>
                    <w:jc w:val="center"/>
                    <w:rPr>
                      <w:b/>
                      <w:color w:val="auto"/>
                      <w:szCs w:val="21"/>
                    </w:rPr>
                  </w:pPr>
                </w:p>
              </w:tc>
              <w:tc>
                <w:tcPr>
                  <w:tcW w:w="575" w:type="pct"/>
                  <w:vMerge w:val="continue"/>
                  <w:tcMar>
                    <w:top w:w="0" w:type="dxa"/>
                    <w:left w:w="51" w:type="dxa"/>
                    <w:bottom w:w="0" w:type="dxa"/>
                    <w:right w:w="51" w:type="dxa"/>
                  </w:tcMar>
                  <w:vAlign w:val="center"/>
                </w:tcPr>
                <w:p>
                  <w:pPr>
                    <w:adjustRightInd w:val="0"/>
                    <w:snapToGrid w:val="0"/>
                    <w:jc w:val="center"/>
                    <w:rPr>
                      <w:b/>
                      <w:color w:val="auto"/>
                      <w:szCs w:val="21"/>
                    </w:rPr>
                  </w:pPr>
                </w:p>
              </w:tc>
              <w:tc>
                <w:tcPr>
                  <w:tcW w:w="517" w:type="pct"/>
                  <w:vMerge w:val="continue"/>
                  <w:tcMar>
                    <w:top w:w="0" w:type="dxa"/>
                    <w:left w:w="51" w:type="dxa"/>
                    <w:bottom w:w="0" w:type="dxa"/>
                    <w:right w:w="51" w:type="dxa"/>
                  </w:tcMar>
                  <w:vAlign w:val="center"/>
                </w:tcPr>
                <w:p>
                  <w:pPr>
                    <w:adjustRightInd w:val="0"/>
                    <w:snapToGrid w:val="0"/>
                    <w:jc w:val="center"/>
                    <w:rPr>
                      <w:b/>
                      <w:color w:val="auto"/>
                      <w:szCs w:val="21"/>
                    </w:rPr>
                  </w:pPr>
                </w:p>
              </w:tc>
              <w:tc>
                <w:tcPr>
                  <w:tcW w:w="308" w:type="pct"/>
                  <w:vMerge w:val="continue"/>
                  <w:tcMar>
                    <w:top w:w="0" w:type="dxa"/>
                    <w:left w:w="51" w:type="dxa"/>
                    <w:bottom w:w="0" w:type="dxa"/>
                    <w:right w:w="51" w:type="dxa"/>
                  </w:tcMar>
                  <w:vAlign w:val="center"/>
                </w:tcPr>
                <w:p>
                  <w:pPr>
                    <w:adjustRightInd w:val="0"/>
                    <w:snapToGrid w:val="0"/>
                    <w:jc w:val="center"/>
                    <w:rPr>
                      <w:b/>
                      <w:color w:val="auto"/>
                      <w:szCs w:val="21"/>
                    </w:rPr>
                  </w:pPr>
                </w:p>
              </w:tc>
              <w:tc>
                <w:tcPr>
                  <w:tcW w:w="388" w:type="pct"/>
                  <w:vMerge w:val="continue"/>
                  <w:tcMar>
                    <w:top w:w="0" w:type="dxa"/>
                    <w:left w:w="51" w:type="dxa"/>
                    <w:bottom w:w="0" w:type="dxa"/>
                    <w:right w:w="51" w:type="dxa"/>
                  </w:tcMar>
                  <w:vAlign w:val="center"/>
                </w:tcPr>
                <w:p>
                  <w:pPr>
                    <w:adjustRightInd w:val="0"/>
                    <w:snapToGrid w:val="0"/>
                    <w:jc w:val="center"/>
                    <w:rPr>
                      <w:b/>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10" w:type="pct"/>
                  <w:tcMar>
                    <w:top w:w="0" w:type="dxa"/>
                    <w:left w:w="51" w:type="dxa"/>
                    <w:bottom w:w="0" w:type="dxa"/>
                    <w:right w:w="51" w:type="dxa"/>
                  </w:tcMar>
                  <w:vAlign w:val="center"/>
                </w:tcPr>
                <w:p>
                  <w:pPr>
                    <w:adjustRightInd w:val="0"/>
                    <w:snapToGrid w:val="0"/>
                    <w:jc w:val="center"/>
                    <w:rPr>
                      <w:color w:val="auto"/>
                      <w:szCs w:val="21"/>
                    </w:rPr>
                  </w:pPr>
                  <w:r>
                    <w:rPr>
                      <w:color w:val="auto"/>
                      <w:szCs w:val="21"/>
                    </w:rPr>
                    <w:t>G1</w:t>
                  </w:r>
                  <w:r>
                    <w:rPr>
                      <w:rFonts w:hint="eastAsia"/>
                      <w:color w:val="auto"/>
                      <w:szCs w:val="21"/>
                    </w:rPr>
                    <w:t>儒兴科技开发有限公司</w:t>
                  </w:r>
                </w:p>
              </w:tc>
              <w:tc>
                <w:tcPr>
                  <w:tcW w:w="490" w:type="pct"/>
                  <w:tcMar>
                    <w:top w:w="0" w:type="dxa"/>
                    <w:left w:w="51" w:type="dxa"/>
                    <w:bottom w:w="0" w:type="dxa"/>
                    <w:right w:w="51" w:type="dxa"/>
                  </w:tcMar>
                  <w:vAlign w:val="center"/>
                </w:tcPr>
                <w:p>
                  <w:pPr>
                    <w:adjustRightInd w:val="0"/>
                    <w:snapToGrid w:val="0"/>
                    <w:jc w:val="center"/>
                    <w:rPr>
                      <w:color w:val="auto"/>
                      <w:szCs w:val="21"/>
                      <w:lang w:bidi="ar"/>
                    </w:rPr>
                  </w:pPr>
                  <w:r>
                    <w:rPr>
                      <w:color w:val="auto"/>
                      <w:szCs w:val="21"/>
                    </w:rPr>
                    <w:t>120.422766</w:t>
                  </w:r>
                </w:p>
              </w:tc>
              <w:tc>
                <w:tcPr>
                  <w:tcW w:w="489" w:type="pct"/>
                  <w:tcMar>
                    <w:top w:w="0" w:type="dxa"/>
                    <w:left w:w="51" w:type="dxa"/>
                    <w:bottom w:w="0" w:type="dxa"/>
                    <w:right w:w="51" w:type="dxa"/>
                  </w:tcMar>
                  <w:vAlign w:val="center"/>
                </w:tcPr>
                <w:p>
                  <w:pPr>
                    <w:adjustRightInd w:val="0"/>
                    <w:snapToGrid w:val="0"/>
                    <w:jc w:val="center"/>
                    <w:rPr>
                      <w:color w:val="auto"/>
                      <w:szCs w:val="21"/>
                      <w:lang w:bidi="ar"/>
                    </w:rPr>
                  </w:pPr>
                  <w:r>
                    <w:rPr>
                      <w:color w:val="auto"/>
                      <w:szCs w:val="21"/>
                    </w:rPr>
                    <w:t>31.576038</w:t>
                  </w:r>
                </w:p>
              </w:tc>
              <w:tc>
                <w:tcPr>
                  <w:tcW w:w="517" w:type="pct"/>
                  <w:tcMar>
                    <w:top w:w="0" w:type="dxa"/>
                    <w:left w:w="51" w:type="dxa"/>
                    <w:bottom w:w="0" w:type="dxa"/>
                    <w:right w:w="51" w:type="dxa"/>
                  </w:tcMar>
                  <w:vAlign w:val="center"/>
                </w:tcPr>
                <w:p>
                  <w:pPr>
                    <w:adjustRightInd w:val="0"/>
                    <w:snapToGrid w:val="0"/>
                    <w:jc w:val="center"/>
                    <w:rPr>
                      <w:color w:val="auto"/>
                      <w:spacing w:val="2"/>
                      <w:szCs w:val="21"/>
                    </w:rPr>
                  </w:pPr>
                  <w:r>
                    <w:rPr>
                      <w:color w:val="auto"/>
                      <w:spacing w:val="2"/>
                      <w:szCs w:val="21"/>
                    </w:rPr>
                    <w:t>非甲烷总烃</w:t>
                  </w:r>
                </w:p>
              </w:tc>
              <w:tc>
                <w:tcPr>
                  <w:tcW w:w="584" w:type="pct"/>
                  <w:vMerge w:val="restart"/>
                  <w:tcMar>
                    <w:top w:w="0" w:type="dxa"/>
                    <w:left w:w="51" w:type="dxa"/>
                    <w:bottom w:w="0" w:type="dxa"/>
                    <w:right w:w="51" w:type="dxa"/>
                  </w:tcMar>
                  <w:vAlign w:val="center"/>
                </w:tcPr>
                <w:p>
                  <w:pPr>
                    <w:adjustRightInd w:val="0"/>
                    <w:snapToGrid w:val="0"/>
                    <w:jc w:val="center"/>
                    <w:rPr>
                      <w:color w:val="auto"/>
                      <w:spacing w:val="2"/>
                      <w:szCs w:val="21"/>
                    </w:rPr>
                  </w:pPr>
                  <w:r>
                    <w:rPr>
                      <w:color w:val="auto"/>
                      <w:spacing w:val="2"/>
                      <w:szCs w:val="21"/>
                    </w:rPr>
                    <w:t>1小时平均值</w:t>
                  </w:r>
                </w:p>
              </w:tc>
              <w:tc>
                <w:tcPr>
                  <w:tcW w:w="517" w:type="pct"/>
                  <w:tcMar>
                    <w:top w:w="0" w:type="dxa"/>
                    <w:left w:w="51" w:type="dxa"/>
                    <w:bottom w:w="0" w:type="dxa"/>
                    <w:right w:w="51" w:type="dxa"/>
                  </w:tcMar>
                  <w:vAlign w:val="center"/>
                </w:tcPr>
                <w:p>
                  <w:pPr>
                    <w:adjustRightInd w:val="0"/>
                    <w:snapToGrid w:val="0"/>
                    <w:jc w:val="center"/>
                    <w:rPr>
                      <w:color w:val="auto"/>
                      <w:spacing w:val="2"/>
                      <w:szCs w:val="21"/>
                    </w:rPr>
                  </w:pPr>
                  <w:r>
                    <w:rPr>
                      <w:color w:val="auto"/>
                      <w:spacing w:val="2"/>
                      <w:szCs w:val="21"/>
                    </w:rPr>
                    <w:t>2.0</w:t>
                  </w:r>
                </w:p>
              </w:tc>
              <w:tc>
                <w:tcPr>
                  <w:tcW w:w="575" w:type="pct"/>
                  <w:tcMar>
                    <w:top w:w="0" w:type="dxa"/>
                    <w:left w:w="51" w:type="dxa"/>
                    <w:bottom w:w="0" w:type="dxa"/>
                    <w:right w:w="51" w:type="dxa"/>
                  </w:tcMar>
                  <w:vAlign w:val="center"/>
                </w:tcPr>
                <w:p>
                  <w:pPr>
                    <w:adjustRightInd w:val="0"/>
                    <w:snapToGrid w:val="0"/>
                    <w:jc w:val="center"/>
                    <w:rPr>
                      <w:color w:val="auto"/>
                      <w:spacing w:val="2"/>
                      <w:szCs w:val="21"/>
                    </w:rPr>
                  </w:pPr>
                  <w:r>
                    <w:rPr>
                      <w:color w:val="auto"/>
                      <w:spacing w:val="2"/>
                      <w:szCs w:val="21"/>
                    </w:rPr>
                    <w:t>0.52~1.0</w:t>
                  </w:r>
                </w:p>
              </w:tc>
              <w:tc>
                <w:tcPr>
                  <w:tcW w:w="517" w:type="pct"/>
                  <w:tcMar>
                    <w:top w:w="0" w:type="dxa"/>
                    <w:left w:w="51" w:type="dxa"/>
                    <w:bottom w:w="0" w:type="dxa"/>
                    <w:right w:w="51" w:type="dxa"/>
                  </w:tcMar>
                  <w:vAlign w:val="center"/>
                </w:tcPr>
                <w:p>
                  <w:pPr>
                    <w:adjustRightInd w:val="0"/>
                    <w:snapToGrid w:val="0"/>
                    <w:jc w:val="center"/>
                    <w:rPr>
                      <w:color w:val="auto"/>
                      <w:spacing w:val="2"/>
                      <w:szCs w:val="21"/>
                    </w:rPr>
                  </w:pPr>
                  <w:r>
                    <w:rPr>
                      <w:color w:val="auto"/>
                      <w:spacing w:val="2"/>
                      <w:szCs w:val="21"/>
                    </w:rPr>
                    <w:t>50</w:t>
                  </w:r>
                </w:p>
              </w:tc>
              <w:tc>
                <w:tcPr>
                  <w:tcW w:w="308" w:type="pct"/>
                  <w:tcMar>
                    <w:top w:w="0" w:type="dxa"/>
                    <w:left w:w="51" w:type="dxa"/>
                    <w:bottom w:w="0" w:type="dxa"/>
                    <w:right w:w="51" w:type="dxa"/>
                  </w:tcMar>
                  <w:vAlign w:val="center"/>
                </w:tcPr>
                <w:p>
                  <w:pPr>
                    <w:adjustRightInd w:val="0"/>
                    <w:snapToGrid w:val="0"/>
                    <w:jc w:val="center"/>
                    <w:rPr>
                      <w:color w:val="auto"/>
                      <w:spacing w:val="2"/>
                      <w:szCs w:val="21"/>
                    </w:rPr>
                  </w:pPr>
                  <w:r>
                    <w:rPr>
                      <w:color w:val="auto"/>
                      <w:spacing w:val="2"/>
                      <w:szCs w:val="21"/>
                    </w:rPr>
                    <w:t>0</w:t>
                  </w:r>
                </w:p>
              </w:tc>
              <w:tc>
                <w:tcPr>
                  <w:tcW w:w="388" w:type="pct"/>
                  <w:tcMar>
                    <w:top w:w="0" w:type="dxa"/>
                    <w:left w:w="51" w:type="dxa"/>
                    <w:bottom w:w="0" w:type="dxa"/>
                    <w:right w:w="51" w:type="dxa"/>
                  </w:tcMar>
                  <w:vAlign w:val="center"/>
                </w:tcPr>
                <w:p>
                  <w:pPr>
                    <w:adjustRightInd w:val="0"/>
                    <w:snapToGrid w:val="0"/>
                    <w:jc w:val="center"/>
                    <w:rPr>
                      <w:color w:val="auto"/>
                      <w:szCs w:val="21"/>
                    </w:rPr>
                  </w:pPr>
                  <w:r>
                    <w:rPr>
                      <w:color w:val="auto"/>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0" w:type="pct"/>
                  <w:tcMar>
                    <w:top w:w="0" w:type="dxa"/>
                    <w:left w:w="51" w:type="dxa"/>
                    <w:bottom w:w="0" w:type="dxa"/>
                    <w:right w:w="51" w:type="dxa"/>
                  </w:tcMar>
                  <w:vAlign w:val="center"/>
                </w:tcPr>
                <w:p>
                  <w:pPr>
                    <w:adjustRightInd w:val="0"/>
                    <w:snapToGrid w:val="0"/>
                    <w:jc w:val="center"/>
                    <w:rPr>
                      <w:color w:val="auto"/>
                      <w:szCs w:val="21"/>
                    </w:rPr>
                  </w:pPr>
                  <w:r>
                    <w:rPr>
                      <w:color w:val="auto"/>
                      <w:szCs w:val="21"/>
                    </w:rPr>
                    <w:t>G2长泰国际社区</w:t>
                  </w:r>
                </w:p>
              </w:tc>
              <w:tc>
                <w:tcPr>
                  <w:tcW w:w="490" w:type="pct"/>
                  <w:tcMar>
                    <w:top w:w="0" w:type="dxa"/>
                    <w:left w:w="51" w:type="dxa"/>
                    <w:bottom w:w="0" w:type="dxa"/>
                    <w:right w:w="51" w:type="dxa"/>
                  </w:tcMar>
                  <w:vAlign w:val="center"/>
                </w:tcPr>
                <w:p>
                  <w:pPr>
                    <w:adjustRightInd w:val="0"/>
                    <w:snapToGrid w:val="0"/>
                    <w:jc w:val="center"/>
                    <w:rPr>
                      <w:color w:val="auto"/>
                      <w:szCs w:val="21"/>
                    </w:rPr>
                  </w:pPr>
                  <w:r>
                    <w:rPr>
                      <w:color w:val="auto"/>
                      <w:szCs w:val="21"/>
                    </w:rPr>
                    <w:t>120.406136</w:t>
                  </w:r>
                </w:p>
              </w:tc>
              <w:tc>
                <w:tcPr>
                  <w:tcW w:w="489" w:type="pct"/>
                  <w:tcMar>
                    <w:top w:w="0" w:type="dxa"/>
                    <w:left w:w="51" w:type="dxa"/>
                    <w:bottom w:w="0" w:type="dxa"/>
                    <w:right w:w="51" w:type="dxa"/>
                  </w:tcMar>
                  <w:vAlign w:val="center"/>
                </w:tcPr>
                <w:p>
                  <w:pPr>
                    <w:adjustRightInd w:val="0"/>
                    <w:snapToGrid w:val="0"/>
                    <w:jc w:val="center"/>
                    <w:rPr>
                      <w:color w:val="auto"/>
                      <w:szCs w:val="21"/>
                    </w:rPr>
                  </w:pPr>
                  <w:r>
                    <w:rPr>
                      <w:color w:val="auto"/>
                      <w:szCs w:val="21"/>
                    </w:rPr>
                    <w:t>31.583613</w:t>
                  </w:r>
                </w:p>
              </w:tc>
              <w:tc>
                <w:tcPr>
                  <w:tcW w:w="517" w:type="pct"/>
                  <w:tcMar>
                    <w:top w:w="0" w:type="dxa"/>
                    <w:left w:w="51" w:type="dxa"/>
                    <w:bottom w:w="0" w:type="dxa"/>
                    <w:right w:w="51" w:type="dxa"/>
                  </w:tcMar>
                  <w:vAlign w:val="center"/>
                </w:tcPr>
                <w:p>
                  <w:pPr>
                    <w:adjustRightInd w:val="0"/>
                    <w:snapToGrid w:val="0"/>
                    <w:jc w:val="center"/>
                    <w:rPr>
                      <w:color w:val="auto"/>
                      <w:szCs w:val="21"/>
                    </w:rPr>
                  </w:pPr>
                  <w:r>
                    <w:rPr>
                      <w:color w:val="auto"/>
                      <w:spacing w:val="2"/>
                      <w:szCs w:val="21"/>
                    </w:rPr>
                    <w:t>非甲烷总烃</w:t>
                  </w:r>
                </w:p>
              </w:tc>
              <w:tc>
                <w:tcPr>
                  <w:tcW w:w="584" w:type="pct"/>
                  <w:vMerge w:val="continue"/>
                  <w:tcMar>
                    <w:top w:w="0" w:type="dxa"/>
                    <w:left w:w="51" w:type="dxa"/>
                    <w:bottom w:w="0" w:type="dxa"/>
                    <w:right w:w="51" w:type="dxa"/>
                  </w:tcMar>
                  <w:vAlign w:val="center"/>
                </w:tcPr>
                <w:p>
                  <w:pPr>
                    <w:adjustRightInd w:val="0"/>
                    <w:snapToGrid w:val="0"/>
                    <w:jc w:val="center"/>
                    <w:rPr>
                      <w:color w:val="auto"/>
                      <w:szCs w:val="21"/>
                    </w:rPr>
                  </w:pPr>
                </w:p>
              </w:tc>
              <w:tc>
                <w:tcPr>
                  <w:tcW w:w="517" w:type="pct"/>
                  <w:tcMar>
                    <w:top w:w="0" w:type="dxa"/>
                    <w:left w:w="51" w:type="dxa"/>
                    <w:bottom w:w="0" w:type="dxa"/>
                    <w:right w:w="51" w:type="dxa"/>
                  </w:tcMar>
                  <w:vAlign w:val="center"/>
                </w:tcPr>
                <w:p>
                  <w:pPr>
                    <w:adjustRightInd w:val="0"/>
                    <w:snapToGrid w:val="0"/>
                    <w:jc w:val="center"/>
                    <w:rPr>
                      <w:color w:val="auto"/>
                      <w:szCs w:val="21"/>
                    </w:rPr>
                  </w:pPr>
                  <w:r>
                    <w:rPr>
                      <w:color w:val="auto"/>
                      <w:spacing w:val="2"/>
                      <w:szCs w:val="21"/>
                    </w:rPr>
                    <w:t>2.0</w:t>
                  </w:r>
                </w:p>
              </w:tc>
              <w:tc>
                <w:tcPr>
                  <w:tcW w:w="575" w:type="pct"/>
                  <w:tcMar>
                    <w:top w:w="0" w:type="dxa"/>
                    <w:left w:w="51" w:type="dxa"/>
                    <w:bottom w:w="0" w:type="dxa"/>
                    <w:right w:w="51" w:type="dxa"/>
                  </w:tcMar>
                  <w:vAlign w:val="center"/>
                </w:tcPr>
                <w:p>
                  <w:pPr>
                    <w:adjustRightInd w:val="0"/>
                    <w:snapToGrid w:val="0"/>
                    <w:jc w:val="center"/>
                    <w:rPr>
                      <w:color w:val="auto"/>
                      <w:szCs w:val="21"/>
                    </w:rPr>
                  </w:pPr>
                  <w:r>
                    <w:rPr>
                      <w:color w:val="auto"/>
                      <w:szCs w:val="21"/>
                    </w:rPr>
                    <w:t>0.56~0.96</w:t>
                  </w:r>
                </w:p>
              </w:tc>
              <w:tc>
                <w:tcPr>
                  <w:tcW w:w="517" w:type="pct"/>
                  <w:tcMar>
                    <w:top w:w="0" w:type="dxa"/>
                    <w:left w:w="51" w:type="dxa"/>
                    <w:bottom w:w="0" w:type="dxa"/>
                    <w:right w:w="51" w:type="dxa"/>
                  </w:tcMar>
                  <w:vAlign w:val="center"/>
                </w:tcPr>
                <w:p>
                  <w:pPr>
                    <w:adjustRightInd w:val="0"/>
                    <w:snapToGrid w:val="0"/>
                    <w:jc w:val="center"/>
                    <w:rPr>
                      <w:color w:val="auto"/>
                      <w:szCs w:val="21"/>
                    </w:rPr>
                  </w:pPr>
                  <w:r>
                    <w:rPr>
                      <w:color w:val="auto"/>
                      <w:szCs w:val="21"/>
                    </w:rPr>
                    <w:t>28.5</w:t>
                  </w:r>
                </w:p>
              </w:tc>
              <w:tc>
                <w:tcPr>
                  <w:tcW w:w="308" w:type="pct"/>
                  <w:tcMar>
                    <w:top w:w="0" w:type="dxa"/>
                    <w:left w:w="51" w:type="dxa"/>
                    <w:bottom w:w="0" w:type="dxa"/>
                    <w:right w:w="51" w:type="dxa"/>
                  </w:tcMar>
                  <w:vAlign w:val="center"/>
                </w:tcPr>
                <w:p>
                  <w:pPr>
                    <w:adjustRightInd w:val="0"/>
                    <w:snapToGrid w:val="0"/>
                    <w:jc w:val="center"/>
                    <w:rPr>
                      <w:color w:val="auto"/>
                      <w:szCs w:val="21"/>
                    </w:rPr>
                  </w:pPr>
                  <w:r>
                    <w:rPr>
                      <w:color w:val="auto"/>
                      <w:szCs w:val="21"/>
                    </w:rPr>
                    <w:t>0</w:t>
                  </w:r>
                </w:p>
              </w:tc>
              <w:tc>
                <w:tcPr>
                  <w:tcW w:w="388" w:type="pct"/>
                  <w:tcMar>
                    <w:top w:w="0" w:type="dxa"/>
                    <w:left w:w="51" w:type="dxa"/>
                    <w:bottom w:w="0" w:type="dxa"/>
                    <w:right w:w="51" w:type="dxa"/>
                  </w:tcMar>
                  <w:vAlign w:val="center"/>
                </w:tcPr>
                <w:p>
                  <w:pPr>
                    <w:adjustRightInd w:val="0"/>
                    <w:snapToGrid w:val="0"/>
                    <w:jc w:val="center"/>
                    <w:rPr>
                      <w:color w:val="auto"/>
                      <w:szCs w:val="21"/>
                    </w:rPr>
                  </w:pPr>
                  <w:r>
                    <w:rPr>
                      <w:color w:val="auto"/>
                      <w:szCs w:val="21"/>
                    </w:rPr>
                    <w:t>达标</w:t>
                  </w:r>
                </w:p>
              </w:tc>
            </w:tr>
          </w:tbl>
          <w:p>
            <w:pPr>
              <w:spacing w:line="360" w:lineRule="auto"/>
              <w:ind w:firstLine="480" w:firstLineChars="200"/>
              <w:rPr>
                <w:color w:val="auto"/>
                <w:sz w:val="24"/>
              </w:rPr>
            </w:pPr>
            <w:r>
              <w:rPr>
                <w:color w:val="auto"/>
                <w:sz w:val="24"/>
              </w:rPr>
              <w:t>从上表可见，项目所在地非甲烷总烃符合相关的环境空气质量标准。</w:t>
            </w:r>
          </w:p>
          <w:p>
            <w:pPr>
              <w:spacing w:line="360" w:lineRule="auto"/>
              <w:rPr>
                <w:b/>
                <w:color w:val="auto"/>
                <w:sz w:val="24"/>
              </w:rPr>
            </w:pPr>
            <w:r>
              <w:rPr>
                <w:b/>
                <w:color w:val="auto"/>
                <w:sz w:val="24"/>
              </w:rPr>
              <w:t>2、地表水环境质量</w:t>
            </w:r>
          </w:p>
          <w:p>
            <w:pPr>
              <w:spacing w:line="360" w:lineRule="auto"/>
              <w:ind w:firstLine="480" w:firstLineChars="200"/>
              <w:jc w:val="left"/>
              <w:rPr>
                <w:color w:val="auto"/>
                <w:sz w:val="24"/>
                <w:lang w:val="zh-CN"/>
              </w:rPr>
            </w:pPr>
            <w:r>
              <w:rPr>
                <w:color w:val="auto"/>
                <w:sz w:val="24"/>
              </w:rPr>
              <w:t>项目</w:t>
            </w:r>
            <w:r>
              <w:rPr>
                <w:rFonts w:hint="eastAsia"/>
                <w:color w:val="auto"/>
                <w:sz w:val="24"/>
              </w:rPr>
              <w:t>生产废水经处理后回用，不外排；生活污水经厂内化粪池预处理后与纯水制备浓水</w:t>
            </w:r>
            <w:r>
              <w:rPr>
                <w:color w:val="auto"/>
                <w:szCs w:val="21"/>
              </w:rPr>
              <w:t>、</w:t>
            </w:r>
            <w:r>
              <w:rPr>
                <w:rFonts w:hint="eastAsia"/>
                <w:color w:val="auto"/>
                <w:sz w:val="24"/>
              </w:rPr>
              <w:t>纯水反冲洗水</w:t>
            </w:r>
            <w:r>
              <w:rPr>
                <w:color w:val="auto"/>
                <w:sz w:val="24"/>
              </w:rPr>
              <w:t>接</w:t>
            </w:r>
            <w:r>
              <w:rPr>
                <w:rFonts w:hint="eastAsia"/>
                <w:color w:val="auto"/>
                <w:sz w:val="24"/>
              </w:rPr>
              <w:t>管</w:t>
            </w:r>
            <w:r>
              <w:rPr>
                <w:color w:val="auto"/>
                <w:sz w:val="24"/>
              </w:rPr>
              <w:t>入梅村水处理厂处理，尾水排入梅花港，最终汇入江南运河。本次评价地表水梅花港环境质量现状引用</w:t>
            </w:r>
            <w:r>
              <w:rPr>
                <w:bCs/>
                <w:color w:val="auto"/>
                <w:sz w:val="24"/>
              </w:rPr>
              <w:t>南京爱迪信环境技术有限公司出具的环境质量现状监测报告（NJADT2202001701）</w:t>
            </w:r>
            <w:r>
              <w:rPr>
                <w:color w:val="auto"/>
                <w:sz w:val="24"/>
              </w:rPr>
              <w:t>中的监测数据</w:t>
            </w:r>
            <w:r>
              <w:rPr>
                <w:rFonts w:hint="eastAsia"/>
                <w:color w:val="auto"/>
                <w:sz w:val="24"/>
              </w:rPr>
              <w:t>，</w:t>
            </w:r>
            <w:r>
              <w:rPr>
                <w:color w:val="auto"/>
                <w:sz w:val="24"/>
              </w:rPr>
              <w:t>监测点位为梅村水处理厂上游套闸处和梅村水处理厂下游500m（梅育路断面），监测时间为2022年2月11日~2022年2月</w:t>
            </w:r>
            <w:r>
              <w:rPr>
                <w:rFonts w:hint="eastAsia"/>
                <w:color w:val="auto"/>
                <w:sz w:val="24"/>
              </w:rPr>
              <w:t>13</w:t>
            </w:r>
            <w:r>
              <w:rPr>
                <w:color w:val="auto"/>
                <w:sz w:val="24"/>
              </w:rPr>
              <w:t>日</w:t>
            </w:r>
            <w:r>
              <w:rPr>
                <w:color w:val="auto"/>
                <w:sz w:val="24"/>
                <w:lang w:val="zh-CN"/>
              </w:rPr>
              <w:t>，具体监测结果见表3-</w:t>
            </w:r>
            <w:r>
              <w:rPr>
                <w:color w:val="auto"/>
                <w:sz w:val="24"/>
              </w:rPr>
              <w:t>3</w:t>
            </w:r>
            <w:r>
              <w:rPr>
                <w:color w:val="auto"/>
                <w:sz w:val="24"/>
                <w:lang w:val="zh-CN"/>
              </w:rPr>
              <w:t>。</w:t>
            </w:r>
          </w:p>
          <w:p>
            <w:pPr>
              <w:numPr>
                <w:ilvl w:val="0"/>
                <w:numId w:val="11"/>
              </w:numPr>
              <w:snapToGrid w:val="0"/>
              <w:spacing w:line="360" w:lineRule="auto"/>
              <w:jc w:val="center"/>
              <w:rPr>
                <w:b/>
                <w:snapToGrid w:val="0"/>
                <w:color w:val="auto"/>
                <w:spacing w:val="-8"/>
                <w:szCs w:val="21"/>
              </w:rPr>
            </w:pPr>
            <w:r>
              <w:rPr>
                <w:b/>
                <w:bCs/>
                <w:snapToGrid w:val="0"/>
                <w:color w:val="auto"/>
                <w:spacing w:val="-8"/>
                <w:sz w:val="24"/>
              </w:rPr>
              <w:t>地表</w:t>
            </w:r>
            <w:r>
              <w:rPr>
                <w:b/>
                <w:snapToGrid w:val="0"/>
                <w:color w:val="auto"/>
                <w:spacing w:val="-8"/>
                <w:sz w:val="24"/>
              </w:rPr>
              <w:t>水环境质量监测结果   单位：mg/L，pH无量纲</w:t>
            </w:r>
          </w:p>
          <w:tbl>
            <w:tblPr>
              <w:tblStyle w:val="26"/>
              <w:tblW w:w="79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57"/>
              <w:gridCol w:w="1590"/>
              <w:gridCol w:w="656"/>
              <w:gridCol w:w="635"/>
              <w:gridCol w:w="668"/>
              <w:gridCol w:w="645"/>
              <w:gridCol w:w="857"/>
              <w:gridCol w:w="79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3" w:hRule="atLeast"/>
                <w:jc w:val="center"/>
              </w:trPr>
              <w:tc>
                <w:tcPr>
                  <w:tcW w:w="2157" w:type="dxa"/>
                  <w:vMerge w:val="restart"/>
                  <w:tcBorders>
                    <w:tl2br w:val="nil"/>
                    <w:tr2bl w:val="nil"/>
                  </w:tcBorders>
                  <w:vAlign w:val="center"/>
                </w:tcPr>
                <w:p>
                  <w:pPr>
                    <w:widowControl/>
                    <w:autoSpaceDE w:val="0"/>
                    <w:jc w:val="center"/>
                    <w:textAlignment w:val="center"/>
                    <w:rPr>
                      <w:b/>
                      <w:color w:val="auto"/>
                      <w:szCs w:val="21"/>
                    </w:rPr>
                  </w:pPr>
                  <w:r>
                    <w:rPr>
                      <w:b/>
                      <w:color w:val="auto"/>
                      <w:szCs w:val="21"/>
                    </w:rPr>
                    <w:t>断面名称</w:t>
                  </w:r>
                </w:p>
              </w:tc>
              <w:tc>
                <w:tcPr>
                  <w:tcW w:w="1590" w:type="dxa"/>
                  <w:vMerge w:val="restart"/>
                  <w:tcBorders>
                    <w:tl2br w:val="nil"/>
                    <w:tr2bl w:val="nil"/>
                  </w:tcBorders>
                  <w:tcMar>
                    <w:top w:w="15" w:type="dxa"/>
                    <w:left w:w="15" w:type="dxa"/>
                    <w:bottom w:w="0" w:type="dxa"/>
                    <w:right w:w="15" w:type="dxa"/>
                  </w:tcMar>
                  <w:vAlign w:val="center"/>
                </w:tcPr>
                <w:p>
                  <w:pPr>
                    <w:widowControl/>
                    <w:jc w:val="center"/>
                    <w:textAlignment w:val="center"/>
                    <w:rPr>
                      <w:b/>
                      <w:color w:val="auto"/>
                      <w:szCs w:val="21"/>
                    </w:rPr>
                  </w:pPr>
                  <w:r>
                    <w:rPr>
                      <w:b/>
                      <w:color w:val="auto"/>
                      <w:szCs w:val="21"/>
                    </w:rPr>
                    <w:t>采样时间</w:t>
                  </w:r>
                </w:p>
                <w:p>
                  <w:pPr>
                    <w:widowControl/>
                    <w:jc w:val="center"/>
                    <w:textAlignment w:val="center"/>
                    <w:rPr>
                      <w:b/>
                      <w:color w:val="auto"/>
                      <w:szCs w:val="21"/>
                    </w:rPr>
                  </w:pPr>
                </w:p>
              </w:tc>
              <w:tc>
                <w:tcPr>
                  <w:tcW w:w="4251" w:type="dxa"/>
                  <w:gridSpan w:val="6"/>
                  <w:tcBorders>
                    <w:tl2br w:val="nil"/>
                    <w:tr2bl w:val="nil"/>
                  </w:tcBorders>
                  <w:tcMar>
                    <w:top w:w="15" w:type="dxa"/>
                    <w:left w:w="15" w:type="dxa"/>
                    <w:bottom w:w="0" w:type="dxa"/>
                    <w:right w:w="15" w:type="dxa"/>
                  </w:tcMar>
                  <w:vAlign w:val="center"/>
                </w:tcPr>
                <w:p>
                  <w:pPr>
                    <w:widowControl/>
                    <w:jc w:val="center"/>
                    <w:textAlignment w:val="center"/>
                    <w:rPr>
                      <w:b/>
                      <w:color w:val="auto"/>
                      <w:szCs w:val="21"/>
                    </w:rPr>
                  </w:pPr>
                  <w:r>
                    <w:rPr>
                      <w:b/>
                      <w:color w:val="auto"/>
                      <w:szCs w:val="21"/>
                    </w:rPr>
                    <w:t>检测项目 单位:mg/L（pH值无量纲及注明者除外）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5" w:hRule="atLeast"/>
                <w:jc w:val="center"/>
              </w:trPr>
              <w:tc>
                <w:tcPr>
                  <w:tcW w:w="2157" w:type="dxa"/>
                  <w:vMerge w:val="continue"/>
                  <w:tcBorders>
                    <w:tl2br w:val="nil"/>
                    <w:tr2bl w:val="nil"/>
                  </w:tcBorders>
                  <w:vAlign w:val="center"/>
                </w:tcPr>
                <w:p>
                  <w:pPr>
                    <w:widowControl/>
                    <w:jc w:val="center"/>
                    <w:textAlignment w:val="center"/>
                    <w:rPr>
                      <w:color w:val="auto"/>
                      <w:szCs w:val="21"/>
                    </w:rPr>
                  </w:pPr>
                </w:p>
              </w:tc>
              <w:tc>
                <w:tcPr>
                  <w:tcW w:w="1590" w:type="dxa"/>
                  <w:vMerge w:val="continue"/>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p>
              </w:tc>
              <w:tc>
                <w:tcPr>
                  <w:tcW w:w="656" w:type="dxa"/>
                  <w:tcBorders>
                    <w:tl2br w:val="nil"/>
                    <w:tr2bl w:val="nil"/>
                  </w:tcBorders>
                  <w:tcMar>
                    <w:top w:w="15" w:type="dxa"/>
                    <w:left w:w="15" w:type="dxa"/>
                    <w:bottom w:w="0" w:type="dxa"/>
                    <w:right w:w="15" w:type="dxa"/>
                  </w:tcMar>
                  <w:vAlign w:val="center"/>
                </w:tcPr>
                <w:p>
                  <w:pPr>
                    <w:widowControl/>
                    <w:jc w:val="center"/>
                    <w:textAlignment w:val="center"/>
                    <w:rPr>
                      <w:b/>
                      <w:color w:val="auto"/>
                      <w:szCs w:val="21"/>
                    </w:rPr>
                  </w:pPr>
                  <w:r>
                    <w:rPr>
                      <w:b/>
                      <w:color w:val="auto"/>
                      <w:szCs w:val="21"/>
                    </w:rPr>
                    <w:t>pH</w:t>
                  </w:r>
                </w:p>
              </w:tc>
              <w:tc>
                <w:tcPr>
                  <w:tcW w:w="635" w:type="dxa"/>
                  <w:tcBorders>
                    <w:tl2br w:val="nil"/>
                    <w:tr2bl w:val="nil"/>
                  </w:tcBorders>
                  <w:tcMar>
                    <w:top w:w="15" w:type="dxa"/>
                    <w:left w:w="15" w:type="dxa"/>
                    <w:bottom w:w="0" w:type="dxa"/>
                    <w:right w:w="15" w:type="dxa"/>
                  </w:tcMar>
                  <w:vAlign w:val="center"/>
                </w:tcPr>
                <w:p>
                  <w:pPr>
                    <w:widowControl/>
                    <w:jc w:val="center"/>
                    <w:textAlignment w:val="center"/>
                    <w:rPr>
                      <w:b/>
                      <w:color w:val="auto"/>
                      <w:szCs w:val="21"/>
                    </w:rPr>
                  </w:pPr>
                  <w:r>
                    <w:rPr>
                      <w:b/>
                      <w:color w:val="auto"/>
                      <w:szCs w:val="21"/>
                    </w:rPr>
                    <w:t>DO</w:t>
                  </w:r>
                </w:p>
              </w:tc>
              <w:tc>
                <w:tcPr>
                  <w:tcW w:w="668" w:type="dxa"/>
                  <w:tcBorders>
                    <w:tl2br w:val="nil"/>
                    <w:tr2bl w:val="nil"/>
                  </w:tcBorders>
                  <w:tcMar>
                    <w:top w:w="15" w:type="dxa"/>
                    <w:left w:w="15" w:type="dxa"/>
                    <w:bottom w:w="0" w:type="dxa"/>
                    <w:right w:w="15" w:type="dxa"/>
                  </w:tcMar>
                  <w:vAlign w:val="center"/>
                </w:tcPr>
                <w:p>
                  <w:pPr>
                    <w:widowControl/>
                    <w:jc w:val="center"/>
                    <w:textAlignment w:val="center"/>
                    <w:rPr>
                      <w:b/>
                      <w:color w:val="auto"/>
                      <w:szCs w:val="21"/>
                    </w:rPr>
                  </w:pPr>
                  <w:r>
                    <w:rPr>
                      <w:b/>
                      <w:color w:val="auto"/>
                      <w:szCs w:val="21"/>
                    </w:rPr>
                    <w:t>COD</w:t>
                  </w:r>
                </w:p>
              </w:tc>
              <w:tc>
                <w:tcPr>
                  <w:tcW w:w="645" w:type="dxa"/>
                  <w:tcBorders>
                    <w:tl2br w:val="nil"/>
                    <w:tr2bl w:val="nil"/>
                  </w:tcBorders>
                  <w:tcMar>
                    <w:top w:w="15" w:type="dxa"/>
                    <w:left w:w="15" w:type="dxa"/>
                    <w:bottom w:w="0" w:type="dxa"/>
                    <w:right w:w="15" w:type="dxa"/>
                  </w:tcMar>
                  <w:vAlign w:val="center"/>
                </w:tcPr>
                <w:p>
                  <w:pPr>
                    <w:widowControl/>
                    <w:jc w:val="center"/>
                    <w:textAlignment w:val="center"/>
                    <w:rPr>
                      <w:b/>
                      <w:color w:val="auto"/>
                      <w:szCs w:val="21"/>
                    </w:rPr>
                  </w:pPr>
                  <w:r>
                    <w:rPr>
                      <w:b/>
                      <w:color w:val="auto"/>
                      <w:szCs w:val="21"/>
                    </w:rPr>
                    <w:t>SS</w:t>
                  </w:r>
                </w:p>
              </w:tc>
              <w:tc>
                <w:tcPr>
                  <w:tcW w:w="857" w:type="dxa"/>
                  <w:tcBorders>
                    <w:tl2br w:val="nil"/>
                    <w:tr2bl w:val="nil"/>
                  </w:tcBorders>
                  <w:tcMar>
                    <w:top w:w="15" w:type="dxa"/>
                    <w:left w:w="15" w:type="dxa"/>
                    <w:bottom w:w="0" w:type="dxa"/>
                    <w:right w:w="15" w:type="dxa"/>
                  </w:tcMar>
                  <w:vAlign w:val="center"/>
                </w:tcPr>
                <w:p>
                  <w:pPr>
                    <w:widowControl/>
                    <w:jc w:val="center"/>
                    <w:textAlignment w:val="center"/>
                    <w:rPr>
                      <w:b/>
                      <w:color w:val="auto"/>
                      <w:szCs w:val="21"/>
                    </w:rPr>
                  </w:pPr>
                  <w:r>
                    <w:rPr>
                      <w:b/>
                      <w:color w:val="auto"/>
                      <w:szCs w:val="21"/>
                    </w:rPr>
                    <w:t>NH</w:t>
                  </w:r>
                  <w:r>
                    <w:rPr>
                      <w:b/>
                      <w:color w:val="auto"/>
                      <w:szCs w:val="21"/>
                      <w:vertAlign w:val="subscript"/>
                    </w:rPr>
                    <w:t>3</w:t>
                  </w:r>
                  <w:r>
                    <w:rPr>
                      <w:b/>
                      <w:color w:val="auto"/>
                      <w:szCs w:val="21"/>
                    </w:rPr>
                    <w:t>-N</w:t>
                  </w:r>
                </w:p>
              </w:tc>
              <w:tc>
                <w:tcPr>
                  <w:tcW w:w="790" w:type="dxa"/>
                  <w:tcBorders>
                    <w:tl2br w:val="nil"/>
                    <w:tr2bl w:val="nil"/>
                  </w:tcBorders>
                  <w:tcMar>
                    <w:top w:w="15" w:type="dxa"/>
                    <w:left w:w="15" w:type="dxa"/>
                    <w:bottom w:w="0" w:type="dxa"/>
                    <w:right w:w="15" w:type="dxa"/>
                  </w:tcMar>
                  <w:vAlign w:val="center"/>
                </w:tcPr>
                <w:p>
                  <w:pPr>
                    <w:widowControl/>
                    <w:jc w:val="center"/>
                    <w:textAlignment w:val="center"/>
                    <w:rPr>
                      <w:b/>
                      <w:color w:val="auto"/>
                      <w:szCs w:val="21"/>
                    </w:rPr>
                  </w:pPr>
                  <w:r>
                    <w:rPr>
                      <w:b/>
                      <w:color w:val="auto"/>
                      <w:szCs w:val="21"/>
                    </w:rPr>
                    <w:t>TP</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2157" w:type="dxa"/>
                  <w:vMerge w:val="restart"/>
                  <w:tcBorders>
                    <w:tl2br w:val="nil"/>
                    <w:tr2bl w:val="nil"/>
                  </w:tcBorders>
                  <w:vAlign w:val="center"/>
                </w:tcPr>
                <w:p>
                  <w:pPr>
                    <w:widowControl/>
                    <w:jc w:val="center"/>
                    <w:textAlignment w:val="center"/>
                    <w:rPr>
                      <w:rFonts w:hint="default" w:eastAsia="宋体"/>
                      <w:color w:val="auto"/>
                      <w:szCs w:val="21"/>
                      <w:lang w:val="en-US" w:eastAsia="zh-CN"/>
                    </w:rPr>
                  </w:pPr>
                  <w:r>
                    <w:rPr>
                      <w:color w:val="auto"/>
                      <w:szCs w:val="21"/>
                    </w:rPr>
                    <w:t>梅村水处理厂上游套闸处</w:t>
                  </w:r>
                  <w:r>
                    <w:rPr>
                      <w:rFonts w:hint="eastAsia"/>
                      <w:color w:val="auto"/>
                      <w:szCs w:val="21"/>
                      <w:lang w:val="en-US" w:eastAsia="zh-CN"/>
                    </w:rPr>
                    <w:t>W1</w:t>
                  </w:r>
                </w:p>
              </w:tc>
              <w:tc>
                <w:tcPr>
                  <w:tcW w:w="1590"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2022.02.11</w:t>
                  </w:r>
                </w:p>
              </w:tc>
              <w:tc>
                <w:tcPr>
                  <w:tcW w:w="656"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6.7</w:t>
                  </w:r>
                </w:p>
              </w:tc>
              <w:tc>
                <w:tcPr>
                  <w:tcW w:w="635"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6.4</w:t>
                  </w:r>
                </w:p>
              </w:tc>
              <w:tc>
                <w:tcPr>
                  <w:tcW w:w="668"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18</w:t>
                  </w:r>
                </w:p>
              </w:tc>
              <w:tc>
                <w:tcPr>
                  <w:tcW w:w="645"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21</w:t>
                  </w:r>
                </w:p>
              </w:tc>
              <w:tc>
                <w:tcPr>
                  <w:tcW w:w="857"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0.745</w:t>
                  </w:r>
                </w:p>
              </w:tc>
              <w:tc>
                <w:tcPr>
                  <w:tcW w:w="790"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0.10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2" w:hRule="atLeast"/>
                <w:jc w:val="center"/>
              </w:trPr>
              <w:tc>
                <w:tcPr>
                  <w:tcW w:w="2157" w:type="dxa"/>
                  <w:vMerge w:val="continue"/>
                  <w:tcBorders>
                    <w:tl2br w:val="nil"/>
                    <w:tr2bl w:val="nil"/>
                  </w:tcBorders>
                  <w:vAlign w:val="center"/>
                </w:tcPr>
                <w:p>
                  <w:pPr>
                    <w:widowControl/>
                    <w:jc w:val="center"/>
                    <w:textAlignment w:val="center"/>
                    <w:rPr>
                      <w:color w:val="auto"/>
                      <w:szCs w:val="21"/>
                    </w:rPr>
                  </w:pPr>
                </w:p>
              </w:tc>
              <w:tc>
                <w:tcPr>
                  <w:tcW w:w="1590"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2022.02.12</w:t>
                  </w:r>
                </w:p>
              </w:tc>
              <w:tc>
                <w:tcPr>
                  <w:tcW w:w="656"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6.8</w:t>
                  </w:r>
                </w:p>
              </w:tc>
              <w:tc>
                <w:tcPr>
                  <w:tcW w:w="635"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6.5</w:t>
                  </w:r>
                </w:p>
              </w:tc>
              <w:tc>
                <w:tcPr>
                  <w:tcW w:w="668"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18</w:t>
                  </w:r>
                </w:p>
              </w:tc>
              <w:tc>
                <w:tcPr>
                  <w:tcW w:w="645"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20</w:t>
                  </w:r>
                </w:p>
              </w:tc>
              <w:tc>
                <w:tcPr>
                  <w:tcW w:w="857"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0.740</w:t>
                  </w:r>
                </w:p>
              </w:tc>
              <w:tc>
                <w:tcPr>
                  <w:tcW w:w="790"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0.11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2157" w:type="dxa"/>
                  <w:vMerge w:val="continue"/>
                  <w:tcBorders>
                    <w:tl2br w:val="nil"/>
                    <w:tr2bl w:val="nil"/>
                  </w:tcBorders>
                  <w:vAlign w:val="center"/>
                </w:tcPr>
                <w:p>
                  <w:pPr>
                    <w:widowControl/>
                    <w:jc w:val="center"/>
                    <w:textAlignment w:val="center"/>
                    <w:rPr>
                      <w:color w:val="auto"/>
                      <w:szCs w:val="21"/>
                    </w:rPr>
                  </w:pPr>
                </w:p>
              </w:tc>
              <w:tc>
                <w:tcPr>
                  <w:tcW w:w="1590"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2022.02.13</w:t>
                  </w:r>
                </w:p>
              </w:tc>
              <w:tc>
                <w:tcPr>
                  <w:tcW w:w="656"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6.9</w:t>
                  </w:r>
                </w:p>
              </w:tc>
              <w:tc>
                <w:tcPr>
                  <w:tcW w:w="635"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6.6</w:t>
                  </w:r>
                </w:p>
              </w:tc>
              <w:tc>
                <w:tcPr>
                  <w:tcW w:w="668"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15</w:t>
                  </w:r>
                </w:p>
              </w:tc>
              <w:tc>
                <w:tcPr>
                  <w:tcW w:w="645"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22</w:t>
                  </w:r>
                </w:p>
              </w:tc>
              <w:tc>
                <w:tcPr>
                  <w:tcW w:w="857"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0.758</w:t>
                  </w:r>
                </w:p>
              </w:tc>
              <w:tc>
                <w:tcPr>
                  <w:tcW w:w="790"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0.09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2157" w:type="dxa"/>
                  <w:vMerge w:val="restart"/>
                  <w:tcBorders>
                    <w:tl2br w:val="nil"/>
                    <w:tr2bl w:val="nil"/>
                  </w:tcBorders>
                  <w:vAlign w:val="center"/>
                </w:tcPr>
                <w:p>
                  <w:pPr>
                    <w:widowControl/>
                    <w:jc w:val="center"/>
                    <w:textAlignment w:val="center"/>
                    <w:rPr>
                      <w:rFonts w:hint="default" w:eastAsia="宋体"/>
                      <w:color w:val="auto"/>
                      <w:szCs w:val="21"/>
                      <w:lang w:val="en-US" w:eastAsia="zh-CN"/>
                    </w:rPr>
                  </w:pPr>
                  <w:r>
                    <w:rPr>
                      <w:color w:val="auto"/>
                      <w:szCs w:val="21"/>
                    </w:rPr>
                    <w:t>梅村水处理厂下游500m（梅育路断面）</w:t>
                  </w:r>
                  <w:r>
                    <w:rPr>
                      <w:rFonts w:hint="eastAsia"/>
                      <w:color w:val="auto"/>
                      <w:szCs w:val="21"/>
                      <w:lang w:val="en-US" w:eastAsia="zh-CN"/>
                    </w:rPr>
                    <w:t>W2</w:t>
                  </w:r>
                </w:p>
              </w:tc>
              <w:tc>
                <w:tcPr>
                  <w:tcW w:w="1590"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2022.02.11</w:t>
                  </w:r>
                </w:p>
              </w:tc>
              <w:tc>
                <w:tcPr>
                  <w:tcW w:w="656"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7.1</w:t>
                  </w:r>
                </w:p>
              </w:tc>
              <w:tc>
                <w:tcPr>
                  <w:tcW w:w="635"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6.5</w:t>
                  </w:r>
                </w:p>
              </w:tc>
              <w:tc>
                <w:tcPr>
                  <w:tcW w:w="668"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13</w:t>
                  </w:r>
                </w:p>
              </w:tc>
              <w:tc>
                <w:tcPr>
                  <w:tcW w:w="645"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24</w:t>
                  </w:r>
                </w:p>
              </w:tc>
              <w:tc>
                <w:tcPr>
                  <w:tcW w:w="857"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0.630</w:t>
                  </w:r>
                </w:p>
              </w:tc>
              <w:tc>
                <w:tcPr>
                  <w:tcW w:w="790"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2157" w:type="dxa"/>
                  <w:vMerge w:val="continue"/>
                  <w:tcBorders>
                    <w:tl2br w:val="nil"/>
                    <w:tr2bl w:val="nil"/>
                  </w:tcBorders>
                  <w:vAlign w:val="center"/>
                </w:tcPr>
                <w:p>
                  <w:pPr>
                    <w:widowControl/>
                    <w:jc w:val="center"/>
                    <w:textAlignment w:val="center"/>
                    <w:rPr>
                      <w:color w:val="auto"/>
                      <w:szCs w:val="21"/>
                    </w:rPr>
                  </w:pPr>
                </w:p>
              </w:tc>
              <w:tc>
                <w:tcPr>
                  <w:tcW w:w="1590"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2022.02.12</w:t>
                  </w:r>
                </w:p>
              </w:tc>
              <w:tc>
                <w:tcPr>
                  <w:tcW w:w="656"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6.7</w:t>
                  </w:r>
                </w:p>
              </w:tc>
              <w:tc>
                <w:tcPr>
                  <w:tcW w:w="635"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6.4</w:t>
                  </w:r>
                </w:p>
              </w:tc>
              <w:tc>
                <w:tcPr>
                  <w:tcW w:w="668"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15</w:t>
                  </w:r>
                </w:p>
              </w:tc>
              <w:tc>
                <w:tcPr>
                  <w:tcW w:w="645"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23</w:t>
                  </w:r>
                </w:p>
              </w:tc>
              <w:tc>
                <w:tcPr>
                  <w:tcW w:w="857"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0.651</w:t>
                  </w:r>
                </w:p>
              </w:tc>
              <w:tc>
                <w:tcPr>
                  <w:tcW w:w="790"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0.09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2157" w:type="dxa"/>
                  <w:vMerge w:val="continue"/>
                  <w:tcBorders>
                    <w:tl2br w:val="nil"/>
                    <w:tr2bl w:val="nil"/>
                  </w:tcBorders>
                  <w:vAlign w:val="center"/>
                </w:tcPr>
                <w:p>
                  <w:pPr>
                    <w:widowControl/>
                    <w:jc w:val="center"/>
                    <w:textAlignment w:val="center"/>
                    <w:rPr>
                      <w:color w:val="auto"/>
                      <w:szCs w:val="21"/>
                    </w:rPr>
                  </w:pPr>
                </w:p>
              </w:tc>
              <w:tc>
                <w:tcPr>
                  <w:tcW w:w="1590"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2022.02.13</w:t>
                  </w:r>
                </w:p>
              </w:tc>
              <w:tc>
                <w:tcPr>
                  <w:tcW w:w="656"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6.7</w:t>
                  </w:r>
                </w:p>
              </w:tc>
              <w:tc>
                <w:tcPr>
                  <w:tcW w:w="635"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6.4</w:t>
                  </w:r>
                </w:p>
              </w:tc>
              <w:tc>
                <w:tcPr>
                  <w:tcW w:w="668"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11</w:t>
                  </w:r>
                </w:p>
              </w:tc>
              <w:tc>
                <w:tcPr>
                  <w:tcW w:w="645"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27</w:t>
                  </w:r>
                </w:p>
              </w:tc>
              <w:tc>
                <w:tcPr>
                  <w:tcW w:w="857"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0.646</w:t>
                  </w:r>
                </w:p>
              </w:tc>
              <w:tc>
                <w:tcPr>
                  <w:tcW w:w="790" w:type="dxa"/>
                  <w:tcBorders>
                    <w:tl2br w:val="nil"/>
                    <w:tr2bl w:val="nil"/>
                  </w:tcBorders>
                  <w:tcMar>
                    <w:top w:w="15" w:type="dxa"/>
                    <w:left w:w="15" w:type="dxa"/>
                    <w:bottom w:w="0" w:type="dxa"/>
                    <w:right w:w="15" w:type="dxa"/>
                  </w:tcMar>
                  <w:vAlign w:val="center"/>
                </w:tcPr>
                <w:p>
                  <w:pPr>
                    <w:widowControl/>
                    <w:jc w:val="center"/>
                    <w:textAlignment w:val="center"/>
                    <w:rPr>
                      <w:color w:val="auto"/>
                      <w:szCs w:val="21"/>
                    </w:rPr>
                  </w:pPr>
                  <w:r>
                    <w:rPr>
                      <w:color w:val="auto"/>
                      <w:szCs w:val="21"/>
                    </w:rPr>
                    <w:t>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3747" w:type="dxa"/>
                  <w:gridSpan w:val="2"/>
                  <w:tcBorders>
                    <w:tl2br w:val="nil"/>
                    <w:tr2bl w:val="nil"/>
                  </w:tcBorders>
                  <w:vAlign w:val="center"/>
                </w:tcPr>
                <w:p>
                  <w:pPr>
                    <w:widowControl/>
                    <w:jc w:val="center"/>
                    <w:textAlignment w:val="center"/>
                    <w:rPr>
                      <w:b/>
                      <w:bCs/>
                      <w:color w:val="auto"/>
                      <w:szCs w:val="21"/>
                    </w:rPr>
                  </w:pPr>
                  <w:r>
                    <w:rPr>
                      <w:b/>
                      <w:bCs/>
                      <w:color w:val="auto"/>
                      <w:szCs w:val="21"/>
                    </w:rPr>
                    <w:t>标准限值</w:t>
                  </w:r>
                </w:p>
              </w:tc>
              <w:tc>
                <w:tcPr>
                  <w:tcW w:w="656" w:type="dxa"/>
                  <w:tcBorders>
                    <w:tl2br w:val="nil"/>
                    <w:tr2bl w:val="nil"/>
                  </w:tcBorders>
                  <w:tcMar>
                    <w:top w:w="15" w:type="dxa"/>
                    <w:left w:w="15" w:type="dxa"/>
                    <w:bottom w:w="0" w:type="dxa"/>
                    <w:right w:w="15" w:type="dxa"/>
                  </w:tcMar>
                  <w:vAlign w:val="center"/>
                </w:tcPr>
                <w:p>
                  <w:pPr>
                    <w:widowControl/>
                    <w:jc w:val="center"/>
                    <w:textAlignment w:val="center"/>
                    <w:rPr>
                      <w:b/>
                      <w:bCs/>
                      <w:color w:val="auto"/>
                      <w:szCs w:val="21"/>
                    </w:rPr>
                  </w:pPr>
                  <w:r>
                    <w:rPr>
                      <w:b/>
                      <w:bCs/>
                      <w:color w:val="auto"/>
                      <w:szCs w:val="21"/>
                    </w:rPr>
                    <w:t>6~9</w:t>
                  </w:r>
                </w:p>
              </w:tc>
              <w:tc>
                <w:tcPr>
                  <w:tcW w:w="635" w:type="dxa"/>
                  <w:tcBorders>
                    <w:tl2br w:val="nil"/>
                    <w:tr2bl w:val="nil"/>
                  </w:tcBorders>
                  <w:tcMar>
                    <w:top w:w="15" w:type="dxa"/>
                    <w:left w:w="15" w:type="dxa"/>
                    <w:bottom w:w="0" w:type="dxa"/>
                    <w:right w:w="15" w:type="dxa"/>
                  </w:tcMar>
                  <w:vAlign w:val="center"/>
                </w:tcPr>
                <w:p>
                  <w:pPr>
                    <w:widowControl/>
                    <w:jc w:val="center"/>
                    <w:textAlignment w:val="center"/>
                    <w:rPr>
                      <w:b/>
                      <w:bCs/>
                      <w:color w:val="auto"/>
                      <w:szCs w:val="21"/>
                    </w:rPr>
                  </w:pPr>
                  <w:r>
                    <w:rPr>
                      <w:b/>
                      <w:bCs/>
                      <w:color w:val="auto"/>
                      <w:szCs w:val="21"/>
                    </w:rPr>
                    <w:t>≥3</w:t>
                  </w:r>
                </w:p>
              </w:tc>
              <w:tc>
                <w:tcPr>
                  <w:tcW w:w="668" w:type="dxa"/>
                  <w:tcBorders>
                    <w:tl2br w:val="nil"/>
                    <w:tr2bl w:val="nil"/>
                  </w:tcBorders>
                  <w:tcMar>
                    <w:top w:w="15" w:type="dxa"/>
                    <w:left w:w="15" w:type="dxa"/>
                    <w:bottom w:w="0" w:type="dxa"/>
                    <w:right w:w="15" w:type="dxa"/>
                  </w:tcMar>
                  <w:vAlign w:val="center"/>
                </w:tcPr>
                <w:p>
                  <w:pPr>
                    <w:widowControl/>
                    <w:jc w:val="center"/>
                    <w:textAlignment w:val="center"/>
                    <w:rPr>
                      <w:b/>
                      <w:bCs/>
                      <w:color w:val="auto"/>
                      <w:szCs w:val="21"/>
                    </w:rPr>
                  </w:pPr>
                  <w:r>
                    <w:rPr>
                      <w:b/>
                      <w:bCs/>
                      <w:color w:val="auto"/>
                      <w:szCs w:val="21"/>
                    </w:rPr>
                    <w:t>≤20</w:t>
                  </w:r>
                </w:p>
              </w:tc>
              <w:tc>
                <w:tcPr>
                  <w:tcW w:w="645" w:type="dxa"/>
                  <w:tcBorders>
                    <w:tl2br w:val="nil"/>
                    <w:tr2bl w:val="nil"/>
                  </w:tcBorders>
                  <w:tcMar>
                    <w:top w:w="15" w:type="dxa"/>
                    <w:left w:w="15" w:type="dxa"/>
                    <w:bottom w:w="0" w:type="dxa"/>
                    <w:right w:w="15" w:type="dxa"/>
                  </w:tcMar>
                  <w:vAlign w:val="center"/>
                </w:tcPr>
                <w:p>
                  <w:pPr>
                    <w:widowControl/>
                    <w:jc w:val="center"/>
                    <w:textAlignment w:val="center"/>
                    <w:rPr>
                      <w:b/>
                      <w:bCs/>
                      <w:color w:val="auto"/>
                      <w:szCs w:val="21"/>
                    </w:rPr>
                  </w:pPr>
                  <w:r>
                    <w:rPr>
                      <w:b/>
                      <w:bCs/>
                      <w:color w:val="auto"/>
                      <w:szCs w:val="21"/>
                    </w:rPr>
                    <w:t>≤60</w:t>
                  </w:r>
                </w:p>
              </w:tc>
              <w:tc>
                <w:tcPr>
                  <w:tcW w:w="857" w:type="dxa"/>
                  <w:tcBorders>
                    <w:tl2br w:val="nil"/>
                    <w:tr2bl w:val="nil"/>
                  </w:tcBorders>
                  <w:tcMar>
                    <w:top w:w="15" w:type="dxa"/>
                    <w:left w:w="15" w:type="dxa"/>
                    <w:bottom w:w="0" w:type="dxa"/>
                    <w:right w:w="15" w:type="dxa"/>
                  </w:tcMar>
                  <w:vAlign w:val="center"/>
                </w:tcPr>
                <w:p>
                  <w:pPr>
                    <w:widowControl/>
                    <w:jc w:val="center"/>
                    <w:textAlignment w:val="center"/>
                    <w:rPr>
                      <w:b/>
                      <w:bCs/>
                      <w:color w:val="auto"/>
                      <w:szCs w:val="21"/>
                    </w:rPr>
                  </w:pPr>
                  <w:r>
                    <w:rPr>
                      <w:b/>
                      <w:bCs/>
                      <w:color w:val="auto"/>
                      <w:szCs w:val="21"/>
                    </w:rPr>
                    <w:t>≤1.0</w:t>
                  </w:r>
                </w:p>
              </w:tc>
              <w:tc>
                <w:tcPr>
                  <w:tcW w:w="790" w:type="dxa"/>
                  <w:tcBorders>
                    <w:tl2br w:val="nil"/>
                    <w:tr2bl w:val="nil"/>
                  </w:tcBorders>
                  <w:tcMar>
                    <w:top w:w="15" w:type="dxa"/>
                    <w:left w:w="15" w:type="dxa"/>
                    <w:bottom w:w="0" w:type="dxa"/>
                    <w:right w:w="15" w:type="dxa"/>
                  </w:tcMar>
                  <w:vAlign w:val="center"/>
                </w:tcPr>
                <w:p>
                  <w:pPr>
                    <w:widowControl/>
                    <w:jc w:val="center"/>
                    <w:textAlignment w:val="center"/>
                    <w:rPr>
                      <w:b/>
                      <w:bCs/>
                      <w:color w:val="auto"/>
                      <w:szCs w:val="21"/>
                    </w:rPr>
                  </w:pPr>
                  <w:r>
                    <w:rPr>
                      <w:b/>
                      <w:bCs/>
                      <w:color w:val="auto"/>
                      <w:szCs w:val="21"/>
                    </w:rPr>
                    <w:t>≤0.2</w:t>
                  </w:r>
                </w:p>
              </w:tc>
            </w:tr>
          </w:tbl>
          <w:p>
            <w:pPr>
              <w:pStyle w:val="65"/>
              <w:adjustRightInd w:val="0"/>
              <w:snapToGrid w:val="0"/>
              <w:spacing w:before="159" w:beforeLines="50" w:line="360" w:lineRule="auto"/>
              <w:ind w:firstLine="480" w:firstLineChars="200"/>
              <w:rPr>
                <w:color w:val="auto"/>
                <w:sz w:val="24"/>
                <w:szCs w:val="24"/>
              </w:rPr>
            </w:pPr>
            <w:r>
              <w:rPr>
                <w:color w:val="auto"/>
                <w:sz w:val="24"/>
                <w:szCs w:val="24"/>
              </w:rPr>
              <w:t>从上表可见，监测期间各监测因子均能满足</w:t>
            </w:r>
            <w:r>
              <w:rPr>
                <w:color w:val="auto"/>
                <w:kern w:val="2"/>
                <w:sz w:val="24"/>
                <w:szCs w:val="28"/>
              </w:rPr>
              <w:t>《地表水环境质量标准》（GB3838-2002）Ⅲ类水质标准</w:t>
            </w:r>
            <w:r>
              <w:rPr>
                <w:color w:val="auto"/>
                <w:sz w:val="24"/>
                <w:szCs w:val="24"/>
              </w:rPr>
              <w:t>。</w:t>
            </w:r>
          </w:p>
          <w:p>
            <w:pPr>
              <w:spacing w:line="360" w:lineRule="auto"/>
              <w:rPr>
                <w:b/>
                <w:color w:val="auto"/>
                <w:sz w:val="24"/>
              </w:rPr>
            </w:pPr>
            <w:r>
              <w:rPr>
                <w:b/>
                <w:bCs/>
                <w:color w:val="auto"/>
                <w:sz w:val="24"/>
                <w:szCs w:val="32"/>
              </w:rPr>
              <w:t>3、</w:t>
            </w:r>
            <w:r>
              <w:rPr>
                <w:b/>
                <w:color w:val="auto"/>
                <w:sz w:val="24"/>
              </w:rPr>
              <w:t>声环境质量</w:t>
            </w:r>
          </w:p>
          <w:p>
            <w:pPr>
              <w:spacing w:line="360" w:lineRule="auto"/>
              <w:ind w:firstLine="480" w:firstLineChars="200"/>
              <w:outlineLvl w:val="0"/>
              <w:rPr>
                <w:color w:val="auto"/>
                <w:sz w:val="24"/>
                <w:lang w:val="zh-CN"/>
              </w:rPr>
            </w:pPr>
            <w:r>
              <w:rPr>
                <w:color w:val="auto"/>
                <w:sz w:val="24"/>
              </w:rPr>
              <w:t>根据江苏迈斯特环境检测有限公司提供的监测报告（MST20221213030），2022年12月15日实测本项目周围昼夜间噪声背景值及敏感点新风公寓噪声值，</w:t>
            </w:r>
            <w:r>
              <w:rPr>
                <w:color w:val="auto"/>
                <w:sz w:val="24"/>
                <w:lang w:val="zh-CN"/>
              </w:rPr>
              <w:t>监测结果详见表</w:t>
            </w:r>
            <w:r>
              <w:rPr>
                <w:color w:val="auto"/>
                <w:sz w:val="24"/>
              </w:rPr>
              <w:t>3</w:t>
            </w:r>
            <w:r>
              <w:rPr>
                <w:color w:val="auto"/>
                <w:sz w:val="24"/>
                <w:lang w:val="zh-CN"/>
              </w:rPr>
              <w:t>-</w:t>
            </w:r>
            <w:r>
              <w:rPr>
                <w:color w:val="auto"/>
                <w:sz w:val="24"/>
              </w:rPr>
              <w:t>4</w:t>
            </w:r>
            <w:r>
              <w:rPr>
                <w:color w:val="auto"/>
                <w:sz w:val="24"/>
                <w:lang w:val="zh-CN"/>
              </w:rPr>
              <w:t>。</w:t>
            </w:r>
          </w:p>
          <w:p>
            <w:pPr>
              <w:numPr>
                <w:ilvl w:val="0"/>
                <w:numId w:val="11"/>
              </w:numPr>
              <w:snapToGrid w:val="0"/>
              <w:jc w:val="center"/>
              <w:rPr>
                <w:b/>
                <w:color w:val="auto"/>
                <w:sz w:val="24"/>
              </w:rPr>
            </w:pPr>
            <w:r>
              <w:rPr>
                <w:b/>
                <w:color w:val="auto"/>
                <w:sz w:val="24"/>
              </w:rPr>
              <w:t>噪声现状监测结果汇总      单位：dB（A）</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047"/>
              <w:gridCol w:w="576"/>
              <w:gridCol w:w="1496"/>
              <w:gridCol w:w="512"/>
              <w:gridCol w:w="953"/>
              <w:gridCol w:w="926"/>
              <w:gridCol w:w="971"/>
              <w:gridCol w:w="823"/>
              <w:gridCol w:w="5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61" w:type="pct"/>
                  <w:vMerge w:val="restart"/>
                  <w:vAlign w:val="center"/>
                </w:tcPr>
                <w:p>
                  <w:pPr>
                    <w:pStyle w:val="36"/>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检验日期</w:t>
                  </w:r>
                </w:p>
              </w:tc>
              <w:tc>
                <w:tcPr>
                  <w:tcW w:w="364" w:type="pct"/>
                  <w:vMerge w:val="restart"/>
                  <w:vAlign w:val="center"/>
                </w:tcPr>
                <w:p>
                  <w:pPr>
                    <w:pStyle w:val="36"/>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测点</w:t>
                  </w:r>
                </w:p>
              </w:tc>
              <w:tc>
                <w:tcPr>
                  <w:tcW w:w="945" w:type="pct"/>
                  <w:vMerge w:val="restart"/>
                  <w:vAlign w:val="center"/>
                </w:tcPr>
                <w:p>
                  <w:pPr>
                    <w:pStyle w:val="36"/>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位置</w:t>
                  </w:r>
                </w:p>
              </w:tc>
              <w:tc>
                <w:tcPr>
                  <w:tcW w:w="324" w:type="pct"/>
                  <w:vMerge w:val="restart"/>
                  <w:vAlign w:val="center"/>
                </w:tcPr>
                <w:p>
                  <w:pPr>
                    <w:pStyle w:val="36"/>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环境功能</w:t>
                  </w:r>
                </w:p>
              </w:tc>
              <w:tc>
                <w:tcPr>
                  <w:tcW w:w="1189" w:type="pct"/>
                  <w:gridSpan w:val="2"/>
                  <w:vAlign w:val="center"/>
                </w:tcPr>
                <w:p>
                  <w:pPr>
                    <w:pStyle w:val="36"/>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昼间</w:t>
                  </w:r>
                </w:p>
              </w:tc>
              <w:tc>
                <w:tcPr>
                  <w:tcW w:w="1135" w:type="pct"/>
                  <w:gridSpan w:val="2"/>
                  <w:vAlign w:val="center"/>
                </w:tcPr>
                <w:p>
                  <w:pPr>
                    <w:pStyle w:val="36"/>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夜间</w:t>
                  </w:r>
                </w:p>
              </w:tc>
              <w:tc>
                <w:tcPr>
                  <w:tcW w:w="378" w:type="pct"/>
                  <w:vMerge w:val="restart"/>
                  <w:vAlign w:val="center"/>
                </w:tcPr>
                <w:p>
                  <w:pPr>
                    <w:pStyle w:val="36"/>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达标状况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75" w:hRule="atLeast"/>
                <w:jc w:val="center"/>
              </w:trPr>
              <w:tc>
                <w:tcPr>
                  <w:tcW w:w="661" w:type="pct"/>
                  <w:vMerge w:val="continue"/>
                  <w:vAlign w:val="center"/>
                </w:tcPr>
                <w:p>
                  <w:pPr>
                    <w:pStyle w:val="36"/>
                    <w:adjustRightInd w:val="0"/>
                    <w:snapToGrid w:val="0"/>
                    <w:jc w:val="center"/>
                    <w:rPr>
                      <w:rFonts w:ascii="Times New Roman" w:hAnsi="Times New Roman" w:eastAsia="宋体"/>
                      <w:color w:val="auto"/>
                      <w:sz w:val="21"/>
                      <w:szCs w:val="21"/>
                    </w:rPr>
                  </w:pPr>
                </w:p>
              </w:tc>
              <w:tc>
                <w:tcPr>
                  <w:tcW w:w="364" w:type="pct"/>
                  <w:vMerge w:val="continue"/>
                  <w:vAlign w:val="center"/>
                </w:tcPr>
                <w:p>
                  <w:pPr>
                    <w:pStyle w:val="36"/>
                    <w:adjustRightInd w:val="0"/>
                    <w:snapToGrid w:val="0"/>
                    <w:jc w:val="center"/>
                    <w:rPr>
                      <w:rFonts w:ascii="Times New Roman" w:hAnsi="Times New Roman" w:eastAsia="宋体"/>
                      <w:color w:val="auto"/>
                      <w:sz w:val="21"/>
                      <w:szCs w:val="21"/>
                    </w:rPr>
                  </w:pPr>
                </w:p>
              </w:tc>
              <w:tc>
                <w:tcPr>
                  <w:tcW w:w="945" w:type="pct"/>
                  <w:vMerge w:val="continue"/>
                  <w:vAlign w:val="center"/>
                </w:tcPr>
                <w:p>
                  <w:pPr>
                    <w:pStyle w:val="36"/>
                    <w:adjustRightInd w:val="0"/>
                    <w:snapToGrid w:val="0"/>
                    <w:jc w:val="center"/>
                    <w:rPr>
                      <w:rFonts w:ascii="Times New Roman" w:hAnsi="Times New Roman" w:eastAsia="宋体"/>
                      <w:color w:val="auto"/>
                      <w:sz w:val="21"/>
                      <w:szCs w:val="21"/>
                    </w:rPr>
                  </w:pPr>
                </w:p>
              </w:tc>
              <w:tc>
                <w:tcPr>
                  <w:tcW w:w="324" w:type="pct"/>
                  <w:vMerge w:val="continue"/>
                  <w:vAlign w:val="center"/>
                </w:tcPr>
                <w:p>
                  <w:pPr>
                    <w:pStyle w:val="36"/>
                    <w:adjustRightInd w:val="0"/>
                    <w:snapToGrid w:val="0"/>
                    <w:jc w:val="center"/>
                    <w:rPr>
                      <w:rFonts w:ascii="Times New Roman" w:hAnsi="Times New Roman" w:eastAsia="宋体"/>
                      <w:color w:val="auto"/>
                      <w:sz w:val="21"/>
                      <w:szCs w:val="21"/>
                    </w:rPr>
                  </w:pPr>
                </w:p>
              </w:tc>
              <w:tc>
                <w:tcPr>
                  <w:tcW w:w="603" w:type="pct"/>
                  <w:vAlign w:val="center"/>
                </w:tcPr>
                <w:p>
                  <w:pPr>
                    <w:pStyle w:val="36"/>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监测值</w:t>
                  </w:r>
                </w:p>
              </w:tc>
              <w:tc>
                <w:tcPr>
                  <w:tcW w:w="586" w:type="pct"/>
                  <w:vAlign w:val="center"/>
                </w:tcPr>
                <w:p>
                  <w:pPr>
                    <w:pStyle w:val="36"/>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标准值</w:t>
                  </w:r>
                </w:p>
              </w:tc>
              <w:tc>
                <w:tcPr>
                  <w:tcW w:w="614" w:type="pct"/>
                  <w:vAlign w:val="center"/>
                </w:tcPr>
                <w:p>
                  <w:pPr>
                    <w:pStyle w:val="36"/>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监测值</w:t>
                  </w:r>
                </w:p>
              </w:tc>
              <w:tc>
                <w:tcPr>
                  <w:tcW w:w="521" w:type="pct"/>
                  <w:vAlign w:val="center"/>
                </w:tcPr>
                <w:p>
                  <w:pPr>
                    <w:pStyle w:val="36"/>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标准值</w:t>
                  </w:r>
                </w:p>
              </w:tc>
              <w:tc>
                <w:tcPr>
                  <w:tcW w:w="378" w:type="pct"/>
                  <w:vMerge w:val="continue"/>
                  <w:vAlign w:val="center"/>
                </w:tcPr>
                <w:p>
                  <w:pPr>
                    <w:pStyle w:val="36"/>
                    <w:adjustRightInd w:val="0"/>
                    <w:snapToGrid w:val="0"/>
                    <w:jc w:val="center"/>
                    <w:rPr>
                      <w:rFonts w:ascii="Times New Roman" w:hAnsi="Times New Roman" w:eastAsia="宋体"/>
                      <w:b/>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61" w:type="pct"/>
                  <w:vMerge w:val="restar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202</w:t>
                  </w:r>
                  <w:r>
                    <w:rPr>
                      <w:rFonts w:hint="eastAsia" w:ascii="Times New Roman" w:hAnsi="Times New Roman" w:eastAsia="宋体"/>
                      <w:color w:val="auto"/>
                      <w:sz w:val="21"/>
                      <w:szCs w:val="21"/>
                    </w:rPr>
                    <w:t>2.12.15</w:t>
                  </w:r>
                </w:p>
              </w:tc>
              <w:tc>
                <w:tcPr>
                  <w:tcW w:w="364"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N1</w:t>
                  </w:r>
                </w:p>
              </w:tc>
              <w:tc>
                <w:tcPr>
                  <w:tcW w:w="945"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厂界东外1米处</w:t>
                  </w:r>
                </w:p>
              </w:tc>
              <w:tc>
                <w:tcPr>
                  <w:tcW w:w="324" w:type="pct"/>
                  <w:vAlign w:val="center"/>
                </w:tcPr>
                <w:p>
                  <w:pPr>
                    <w:adjustRightInd w:val="0"/>
                    <w:snapToGrid w:val="0"/>
                    <w:jc w:val="center"/>
                    <w:rPr>
                      <w:color w:val="auto"/>
                      <w:szCs w:val="21"/>
                    </w:rPr>
                  </w:pPr>
                  <w:r>
                    <w:rPr>
                      <w:color w:val="auto"/>
                      <w:szCs w:val="21"/>
                    </w:rPr>
                    <w:t>3</w:t>
                  </w:r>
                </w:p>
              </w:tc>
              <w:tc>
                <w:tcPr>
                  <w:tcW w:w="603" w:type="pct"/>
                  <w:vAlign w:val="center"/>
                </w:tcPr>
                <w:p>
                  <w:pPr>
                    <w:pStyle w:val="36"/>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52.4</w:t>
                  </w:r>
                </w:p>
              </w:tc>
              <w:tc>
                <w:tcPr>
                  <w:tcW w:w="586" w:type="pct"/>
                  <w:vAlign w:val="center"/>
                </w:tcPr>
                <w:p>
                  <w:pPr>
                    <w:adjustRightInd w:val="0"/>
                    <w:snapToGrid w:val="0"/>
                    <w:jc w:val="center"/>
                    <w:rPr>
                      <w:color w:val="auto"/>
                      <w:szCs w:val="21"/>
                    </w:rPr>
                  </w:pPr>
                  <w:r>
                    <w:rPr>
                      <w:color w:val="auto"/>
                      <w:szCs w:val="21"/>
                    </w:rPr>
                    <w:t>65</w:t>
                  </w:r>
                </w:p>
              </w:tc>
              <w:tc>
                <w:tcPr>
                  <w:tcW w:w="614" w:type="pct"/>
                  <w:vAlign w:val="center"/>
                </w:tcPr>
                <w:p>
                  <w:pPr>
                    <w:pStyle w:val="36"/>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48.1</w:t>
                  </w:r>
                </w:p>
              </w:tc>
              <w:tc>
                <w:tcPr>
                  <w:tcW w:w="521"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55</w:t>
                  </w:r>
                </w:p>
              </w:tc>
              <w:tc>
                <w:tcPr>
                  <w:tcW w:w="378"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61" w:type="pct"/>
                  <w:vMerge w:val="continue"/>
                  <w:vAlign w:val="center"/>
                </w:tcPr>
                <w:p>
                  <w:pPr>
                    <w:pStyle w:val="36"/>
                    <w:adjustRightInd w:val="0"/>
                    <w:snapToGrid w:val="0"/>
                    <w:jc w:val="center"/>
                    <w:rPr>
                      <w:rFonts w:ascii="Times New Roman" w:hAnsi="Times New Roman" w:eastAsia="宋体"/>
                      <w:color w:val="auto"/>
                      <w:sz w:val="21"/>
                      <w:szCs w:val="21"/>
                    </w:rPr>
                  </w:pPr>
                </w:p>
              </w:tc>
              <w:tc>
                <w:tcPr>
                  <w:tcW w:w="364"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N2</w:t>
                  </w:r>
                </w:p>
              </w:tc>
              <w:tc>
                <w:tcPr>
                  <w:tcW w:w="945"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厂界南外1米处</w:t>
                  </w:r>
                </w:p>
              </w:tc>
              <w:tc>
                <w:tcPr>
                  <w:tcW w:w="324" w:type="pct"/>
                  <w:vAlign w:val="center"/>
                </w:tcPr>
                <w:p>
                  <w:pPr>
                    <w:adjustRightInd w:val="0"/>
                    <w:snapToGrid w:val="0"/>
                    <w:jc w:val="center"/>
                    <w:rPr>
                      <w:color w:val="auto"/>
                      <w:szCs w:val="21"/>
                    </w:rPr>
                  </w:pPr>
                  <w:r>
                    <w:rPr>
                      <w:color w:val="auto"/>
                      <w:szCs w:val="21"/>
                    </w:rPr>
                    <w:t>3</w:t>
                  </w:r>
                </w:p>
              </w:tc>
              <w:tc>
                <w:tcPr>
                  <w:tcW w:w="603" w:type="pct"/>
                  <w:vAlign w:val="center"/>
                </w:tcPr>
                <w:p>
                  <w:pPr>
                    <w:pStyle w:val="36"/>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52.9</w:t>
                  </w:r>
                </w:p>
              </w:tc>
              <w:tc>
                <w:tcPr>
                  <w:tcW w:w="586" w:type="pct"/>
                  <w:vAlign w:val="center"/>
                </w:tcPr>
                <w:p>
                  <w:pPr>
                    <w:adjustRightInd w:val="0"/>
                    <w:snapToGrid w:val="0"/>
                    <w:jc w:val="center"/>
                    <w:rPr>
                      <w:color w:val="auto"/>
                      <w:szCs w:val="21"/>
                    </w:rPr>
                  </w:pPr>
                  <w:r>
                    <w:rPr>
                      <w:color w:val="auto"/>
                      <w:szCs w:val="21"/>
                    </w:rPr>
                    <w:t>65</w:t>
                  </w:r>
                </w:p>
              </w:tc>
              <w:tc>
                <w:tcPr>
                  <w:tcW w:w="614" w:type="pct"/>
                  <w:vAlign w:val="center"/>
                </w:tcPr>
                <w:p>
                  <w:pPr>
                    <w:pStyle w:val="36"/>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48.2</w:t>
                  </w:r>
                </w:p>
              </w:tc>
              <w:tc>
                <w:tcPr>
                  <w:tcW w:w="521"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55</w:t>
                  </w:r>
                </w:p>
              </w:tc>
              <w:tc>
                <w:tcPr>
                  <w:tcW w:w="378"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61" w:type="pct"/>
                  <w:vMerge w:val="continue"/>
                  <w:vAlign w:val="center"/>
                </w:tcPr>
                <w:p>
                  <w:pPr>
                    <w:pStyle w:val="36"/>
                    <w:adjustRightInd w:val="0"/>
                    <w:snapToGrid w:val="0"/>
                    <w:jc w:val="center"/>
                    <w:rPr>
                      <w:rFonts w:ascii="Times New Roman" w:hAnsi="Times New Roman" w:eastAsia="宋体"/>
                      <w:color w:val="auto"/>
                      <w:sz w:val="21"/>
                      <w:szCs w:val="21"/>
                    </w:rPr>
                  </w:pPr>
                </w:p>
              </w:tc>
              <w:tc>
                <w:tcPr>
                  <w:tcW w:w="364"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N3</w:t>
                  </w:r>
                </w:p>
              </w:tc>
              <w:tc>
                <w:tcPr>
                  <w:tcW w:w="945"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厂界西外1米处</w:t>
                  </w:r>
                </w:p>
              </w:tc>
              <w:tc>
                <w:tcPr>
                  <w:tcW w:w="324" w:type="pct"/>
                  <w:vAlign w:val="center"/>
                </w:tcPr>
                <w:p>
                  <w:pPr>
                    <w:adjustRightInd w:val="0"/>
                    <w:snapToGrid w:val="0"/>
                    <w:jc w:val="center"/>
                    <w:rPr>
                      <w:color w:val="auto"/>
                      <w:szCs w:val="21"/>
                    </w:rPr>
                  </w:pPr>
                  <w:r>
                    <w:rPr>
                      <w:color w:val="auto"/>
                      <w:szCs w:val="21"/>
                    </w:rPr>
                    <w:t>3</w:t>
                  </w:r>
                </w:p>
              </w:tc>
              <w:tc>
                <w:tcPr>
                  <w:tcW w:w="603" w:type="pct"/>
                  <w:vAlign w:val="center"/>
                </w:tcPr>
                <w:p>
                  <w:pPr>
                    <w:pStyle w:val="36"/>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52.6</w:t>
                  </w:r>
                </w:p>
              </w:tc>
              <w:tc>
                <w:tcPr>
                  <w:tcW w:w="586"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65</w:t>
                  </w:r>
                </w:p>
              </w:tc>
              <w:tc>
                <w:tcPr>
                  <w:tcW w:w="614" w:type="pct"/>
                  <w:vAlign w:val="center"/>
                </w:tcPr>
                <w:p>
                  <w:pPr>
                    <w:pStyle w:val="36"/>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46.5</w:t>
                  </w:r>
                </w:p>
              </w:tc>
              <w:tc>
                <w:tcPr>
                  <w:tcW w:w="521"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55</w:t>
                  </w:r>
                </w:p>
              </w:tc>
              <w:tc>
                <w:tcPr>
                  <w:tcW w:w="378"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61" w:type="pct"/>
                  <w:vMerge w:val="continue"/>
                  <w:vAlign w:val="center"/>
                </w:tcPr>
                <w:p>
                  <w:pPr>
                    <w:pStyle w:val="36"/>
                    <w:adjustRightInd w:val="0"/>
                    <w:snapToGrid w:val="0"/>
                    <w:jc w:val="center"/>
                    <w:rPr>
                      <w:rFonts w:ascii="Times New Roman" w:hAnsi="Times New Roman" w:eastAsia="宋体"/>
                      <w:color w:val="auto"/>
                      <w:sz w:val="21"/>
                      <w:szCs w:val="21"/>
                    </w:rPr>
                  </w:pPr>
                </w:p>
              </w:tc>
              <w:tc>
                <w:tcPr>
                  <w:tcW w:w="364"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N4</w:t>
                  </w:r>
                </w:p>
              </w:tc>
              <w:tc>
                <w:tcPr>
                  <w:tcW w:w="945"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厂界北外1米处</w:t>
                  </w:r>
                </w:p>
              </w:tc>
              <w:tc>
                <w:tcPr>
                  <w:tcW w:w="324" w:type="pct"/>
                  <w:vAlign w:val="center"/>
                </w:tcPr>
                <w:p>
                  <w:pPr>
                    <w:adjustRightInd w:val="0"/>
                    <w:snapToGrid w:val="0"/>
                    <w:jc w:val="center"/>
                    <w:rPr>
                      <w:color w:val="auto"/>
                      <w:szCs w:val="21"/>
                    </w:rPr>
                  </w:pPr>
                  <w:r>
                    <w:rPr>
                      <w:color w:val="auto"/>
                      <w:szCs w:val="21"/>
                    </w:rPr>
                    <w:t>3</w:t>
                  </w:r>
                </w:p>
              </w:tc>
              <w:tc>
                <w:tcPr>
                  <w:tcW w:w="603" w:type="pct"/>
                  <w:vAlign w:val="center"/>
                </w:tcPr>
                <w:p>
                  <w:pPr>
                    <w:pStyle w:val="36"/>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52.5</w:t>
                  </w:r>
                </w:p>
              </w:tc>
              <w:tc>
                <w:tcPr>
                  <w:tcW w:w="586"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65</w:t>
                  </w:r>
                </w:p>
              </w:tc>
              <w:tc>
                <w:tcPr>
                  <w:tcW w:w="614" w:type="pct"/>
                  <w:vAlign w:val="center"/>
                </w:tcPr>
                <w:p>
                  <w:pPr>
                    <w:pStyle w:val="36"/>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48.0</w:t>
                  </w:r>
                </w:p>
              </w:tc>
              <w:tc>
                <w:tcPr>
                  <w:tcW w:w="521"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55</w:t>
                  </w:r>
                </w:p>
              </w:tc>
              <w:tc>
                <w:tcPr>
                  <w:tcW w:w="378"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661" w:type="pct"/>
                  <w:vMerge w:val="continue"/>
                  <w:vAlign w:val="center"/>
                </w:tcPr>
                <w:p>
                  <w:pPr>
                    <w:pStyle w:val="36"/>
                    <w:adjustRightInd w:val="0"/>
                    <w:snapToGrid w:val="0"/>
                    <w:jc w:val="center"/>
                    <w:rPr>
                      <w:rFonts w:ascii="Times New Roman" w:hAnsi="Times New Roman" w:eastAsia="宋体"/>
                      <w:color w:val="auto"/>
                      <w:sz w:val="21"/>
                      <w:szCs w:val="21"/>
                    </w:rPr>
                  </w:pPr>
                </w:p>
              </w:tc>
              <w:tc>
                <w:tcPr>
                  <w:tcW w:w="364"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N</w:t>
                  </w:r>
                  <w:r>
                    <w:rPr>
                      <w:rFonts w:hint="eastAsia" w:ascii="Times New Roman" w:hAnsi="Times New Roman" w:eastAsia="宋体"/>
                      <w:color w:val="auto"/>
                      <w:sz w:val="21"/>
                      <w:szCs w:val="21"/>
                    </w:rPr>
                    <w:t>5</w:t>
                  </w:r>
                </w:p>
              </w:tc>
              <w:tc>
                <w:tcPr>
                  <w:tcW w:w="945" w:type="pct"/>
                  <w:vAlign w:val="center"/>
                </w:tcPr>
                <w:p>
                  <w:pPr>
                    <w:pStyle w:val="36"/>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新风公寓</w:t>
                  </w:r>
                </w:p>
              </w:tc>
              <w:tc>
                <w:tcPr>
                  <w:tcW w:w="324" w:type="pct"/>
                  <w:vAlign w:val="center"/>
                </w:tcPr>
                <w:p>
                  <w:pPr>
                    <w:adjustRightInd w:val="0"/>
                    <w:snapToGrid w:val="0"/>
                    <w:jc w:val="center"/>
                    <w:rPr>
                      <w:color w:val="auto"/>
                      <w:szCs w:val="21"/>
                    </w:rPr>
                  </w:pPr>
                  <w:r>
                    <w:rPr>
                      <w:rFonts w:hint="eastAsia"/>
                      <w:color w:val="auto"/>
                      <w:szCs w:val="21"/>
                    </w:rPr>
                    <w:t>2</w:t>
                  </w:r>
                </w:p>
              </w:tc>
              <w:tc>
                <w:tcPr>
                  <w:tcW w:w="603" w:type="pct"/>
                  <w:vAlign w:val="center"/>
                </w:tcPr>
                <w:p>
                  <w:pPr>
                    <w:pStyle w:val="36"/>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45.0</w:t>
                  </w:r>
                </w:p>
              </w:tc>
              <w:tc>
                <w:tcPr>
                  <w:tcW w:w="586" w:type="pct"/>
                  <w:vAlign w:val="center"/>
                </w:tcPr>
                <w:p>
                  <w:pPr>
                    <w:pStyle w:val="36"/>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60</w:t>
                  </w:r>
                </w:p>
              </w:tc>
              <w:tc>
                <w:tcPr>
                  <w:tcW w:w="614" w:type="pct"/>
                  <w:vAlign w:val="center"/>
                </w:tcPr>
                <w:p>
                  <w:pPr>
                    <w:pStyle w:val="36"/>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44.0</w:t>
                  </w:r>
                </w:p>
              </w:tc>
              <w:tc>
                <w:tcPr>
                  <w:tcW w:w="521" w:type="pct"/>
                  <w:vAlign w:val="center"/>
                </w:tcPr>
                <w:p>
                  <w:pPr>
                    <w:pStyle w:val="36"/>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rPr>
                    <w:t>50</w:t>
                  </w:r>
                </w:p>
              </w:tc>
              <w:tc>
                <w:tcPr>
                  <w:tcW w:w="378" w:type="pct"/>
                  <w:vAlign w:val="center"/>
                </w:tcPr>
                <w:p>
                  <w:pPr>
                    <w:pStyle w:val="36"/>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达标</w:t>
                  </w:r>
                </w:p>
              </w:tc>
            </w:tr>
          </w:tbl>
          <w:p>
            <w:pPr>
              <w:pStyle w:val="23"/>
              <w:autoSpaceDE w:val="0"/>
              <w:autoSpaceDN w:val="0"/>
              <w:adjustRightInd w:val="0"/>
              <w:snapToGrid w:val="0"/>
              <w:spacing w:before="0" w:beforeAutospacing="0" w:after="0" w:afterAutospacing="0" w:line="360" w:lineRule="auto"/>
              <w:ind w:firstLine="480" w:firstLineChars="200"/>
              <w:jc w:val="both"/>
              <w:rPr>
                <w:rFonts w:ascii="Times New Roman" w:hAnsi="Times New Roman"/>
                <w:bCs/>
                <w:snapToGrid w:val="0"/>
                <w:color w:val="auto"/>
                <w:szCs w:val="24"/>
              </w:rPr>
            </w:pPr>
            <w:r>
              <w:rPr>
                <w:rFonts w:ascii="Times New Roman" w:hAnsi="Times New Roman"/>
                <w:color w:val="auto"/>
                <w:szCs w:val="24"/>
              </w:rPr>
              <w:t>监测结果表明：拟建项目各厂界声环境质量符合《声环境质量标准》 （GB3096-2008）中 3 类标准，拟建项目所在地声环境质量良好</w:t>
            </w:r>
            <w:r>
              <w:rPr>
                <w:rFonts w:ascii="Times New Roman" w:hAnsi="Times New Roman"/>
                <w:snapToGrid w:val="0"/>
                <w:color w:val="auto"/>
              </w:rPr>
              <w:t>，</w:t>
            </w:r>
            <w:r>
              <w:rPr>
                <w:rFonts w:ascii="Times New Roman" w:hAnsi="Times New Roman"/>
                <w:color w:val="auto"/>
                <w:szCs w:val="24"/>
              </w:rPr>
              <w:t>厂界噪声达到《声环境质量标准》（GB3096-2008）中的3类区域标准</w:t>
            </w:r>
            <w:r>
              <w:rPr>
                <w:rFonts w:hint="eastAsia" w:ascii="Times New Roman" w:hAnsi="Times New Roman"/>
                <w:color w:val="auto"/>
                <w:szCs w:val="24"/>
              </w:rPr>
              <w:t>，敏感点新风公寓满足</w:t>
            </w:r>
            <w:r>
              <w:rPr>
                <w:rFonts w:ascii="Times New Roman" w:hAnsi="Times New Roman"/>
                <w:color w:val="auto"/>
                <w:szCs w:val="24"/>
              </w:rPr>
              <w:t>《声环境质量标准》（GB3096-2008）中的</w:t>
            </w:r>
            <w:r>
              <w:rPr>
                <w:rFonts w:hint="eastAsia" w:ascii="Times New Roman" w:hAnsi="Times New Roman"/>
                <w:color w:val="auto"/>
                <w:szCs w:val="24"/>
              </w:rPr>
              <w:t>2</w:t>
            </w:r>
            <w:r>
              <w:rPr>
                <w:rFonts w:ascii="Times New Roman" w:hAnsi="Times New Roman"/>
                <w:color w:val="auto"/>
                <w:szCs w:val="24"/>
              </w:rPr>
              <w:t>类区域标准</w:t>
            </w:r>
            <w:r>
              <w:rPr>
                <w:rFonts w:ascii="Times New Roman" w:hAnsi="Times New Roman"/>
                <w:color w:val="auto"/>
                <w:szCs w:val="32"/>
              </w:rPr>
              <w:t>。</w:t>
            </w:r>
          </w:p>
          <w:p>
            <w:pPr>
              <w:pStyle w:val="23"/>
              <w:numPr>
                <w:ilvl w:val="0"/>
                <w:numId w:val="12"/>
              </w:numPr>
              <w:autoSpaceDE w:val="0"/>
              <w:autoSpaceDN w:val="0"/>
              <w:adjustRightInd w:val="0"/>
              <w:snapToGrid w:val="0"/>
              <w:spacing w:before="0" w:beforeAutospacing="0" w:after="0" w:afterAutospacing="0" w:line="360" w:lineRule="auto"/>
              <w:jc w:val="both"/>
              <w:rPr>
                <w:rFonts w:ascii="Times New Roman" w:hAnsi="Times New Roman"/>
                <w:b/>
                <w:snapToGrid w:val="0"/>
                <w:color w:val="auto"/>
                <w:szCs w:val="24"/>
              </w:rPr>
            </w:pPr>
            <w:r>
              <w:rPr>
                <w:rFonts w:ascii="Times New Roman" w:hAnsi="Times New Roman"/>
                <w:b/>
                <w:snapToGrid w:val="0"/>
                <w:color w:val="auto"/>
                <w:szCs w:val="24"/>
              </w:rPr>
              <w:t>生态环境</w:t>
            </w:r>
          </w:p>
          <w:p>
            <w:pPr>
              <w:pStyle w:val="23"/>
              <w:autoSpaceDE w:val="0"/>
              <w:autoSpaceDN w:val="0"/>
              <w:adjustRightInd w:val="0"/>
              <w:snapToGrid w:val="0"/>
              <w:spacing w:before="0" w:beforeAutospacing="0" w:after="0" w:afterAutospacing="0" w:line="360" w:lineRule="auto"/>
              <w:ind w:firstLine="480" w:firstLineChars="200"/>
              <w:jc w:val="both"/>
              <w:rPr>
                <w:rFonts w:ascii="Times New Roman" w:hAnsi="Times New Roman"/>
                <w:snapToGrid w:val="0"/>
                <w:color w:val="auto"/>
                <w:szCs w:val="24"/>
              </w:rPr>
            </w:pPr>
            <w:r>
              <w:rPr>
                <w:rFonts w:ascii="Times New Roman" w:hAnsi="Times New Roman"/>
                <w:snapToGrid w:val="0"/>
                <w:color w:val="auto"/>
                <w:szCs w:val="24"/>
              </w:rPr>
              <w:t>本项目位于无锡市新吴区</w:t>
            </w:r>
            <w:r>
              <w:rPr>
                <w:rFonts w:hint="eastAsia" w:ascii="Times New Roman" w:hAnsi="Times New Roman"/>
                <w:snapToGrid w:val="0"/>
                <w:color w:val="auto"/>
                <w:szCs w:val="24"/>
              </w:rPr>
              <w:t>梅村新风路69号</w:t>
            </w:r>
            <w:r>
              <w:rPr>
                <w:rFonts w:ascii="Times New Roman" w:hAnsi="Times New Roman"/>
                <w:snapToGrid w:val="0"/>
                <w:color w:val="auto"/>
                <w:szCs w:val="24"/>
              </w:rPr>
              <w:t>，不新增用地，范围内不涉及生态环境保护目标，不开展生态环境现状调查。</w:t>
            </w:r>
          </w:p>
          <w:p>
            <w:pPr>
              <w:pStyle w:val="23"/>
              <w:numPr>
                <w:ilvl w:val="0"/>
                <w:numId w:val="12"/>
              </w:numPr>
              <w:autoSpaceDE w:val="0"/>
              <w:autoSpaceDN w:val="0"/>
              <w:adjustRightInd w:val="0"/>
              <w:snapToGrid w:val="0"/>
              <w:spacing w:before="0" w:beforeAutospacing="0" w:after="0" w:afterAutospacing="0" w:line="360" w:lineRule="auto"/>
              <w:jc w:val="both"/>
              <w:rPr>
                <w:rFonts w:ascii="Times New Roman" w:hAnsi="Times New Roman"/>
                <w:b/>
                <w:snapToGrid w:val="0"/>
                <w:color w:val="auto"/>
                <w:szCs w:val="24"/>
              </w:rPr>
            </w:pPr>
            <w:r>
              <w:rPr>
                <w:rFonts w:ascii="Times New Roman" w:hAnsi="Times New Roman"/>
                <w:b/>
                <w:snapToGrid w:val="0"/>
                <w:color w:val="auto"/>
                <w:szCs w:val="24"/>
              </w:rPr>
              <w:t>电磁辐射</w:t>
            </w:r>
          </w:p>
          <w:p>
            <w:pPr>
              <w:pStyle w:val="23"/>
              <w:autoSpaceDE w:val="0"/>
              <w:autoSpaceDN w:val="0"/>
              <w:adjustRightInd w:val="0"/>
              <w:snapToGrid w:val="0"/>
              <w:spacing w:before="0" w:beforeAutospacing="0" w:after="0" w:afterAutospacing="0" w:line="360" w:lineRule="auto"/>
              <w:ind w:firstLine="480" w:firstLineChars="200"/>
              <w:jc w:val="both"/>
              <w:rPr>
                <w:rFonts w:ascii="Times New Roman" w:hAnsi="Times New Roman"/>
                <w:snapToGrid w:val="0"/>
                <w:color w:val="auto"/>
                <w:szCs w:val="24"/>
              </w:rPr>
            </w:pPr>
            <w:r>
              <w:rPr>
                <w:rFonts w:ascii="Times New Roman" w:hAnsi="Times New Roman"/>
                <w:snapToGrid w:val="0"/>
                <w:color w:val="auto"/>
                <w:szCs w:val="24"/>
              </w:rPr>
              <w:t>本项目不涉及电磁辐射，无需对电磁辐射现状开展监测与评价。</w:t>
            </w:r>
          </w:p>
          <w:p>
            <w:pPr>
              <w:pStyle w:val="23"/>
              <w:numPr>
                <w:ilvl w:val="0"/>
                <w:numId w:val="12"/>
              </w:numPr>
              <w:autoSpaceDE w:val="0"/>
              <w:autoSpaceDN w:val="0"/>
              <w:adjustRightInd w:val="0"/>
              <w:snapToGrid w:val="0"/>
              <w:spacing w:before="0" w:beforeAutospacing="0" w:after="0" w:afterAutospacing="0" w:line="360" w:lineRule="auto"/>
              <w:jc w:val="both"/>
              <w:rPr>
                <w:rFonts w:ascii="Times New Roman" w:hAnsi="Times New Roman"/>
                <w:b/>
                <w:snapToGrid w:val="0"/>
                <w:color w:val="auto"/>
                <w:szCs w:val="24"/>
              </w:rPr>
            </w:pPr>
            <w:r>
              <w:rPr>
                <w:rFonts w:ascii="Times New Roman" w:hAnsi="Times New Roman"/>
                <w:b/>
                <w:snapToGrid w:val="0"/>
                <w:color w:val="auto"/>
                <w:szCs w:val="24"/>
              </w:rPr>
              <w:t>地下水、土壤环境</w:t>
            </w:r>
          </w:p>
          <w:p>
            <w:pPr>
              <w:pStyle w:val="23"/>
              <w:autoSpaceDE w:val="0"/>
              <w:autoSpaceDN w:val="0"/>
              <w:adjustRightInd w:val="0"/>
              <w:snapToGrid w:val="0"/>
              <w:spacing w:before="0" w:beforeAutospacing="0" w:after="0" w:afterAutospacing="0" w:line="360" w:lineRule="auto"/>
              <w:ind w:firstLine="480" w:firstLineChars="200"/>
              <w:jc w:val="both"/>
              <w:rPr>
                <w:rFonts w:ascii="Times New Roman" w:hAnsi="Times New Roman"/>
                <w:bCs/>
                <w:color w:val="auto"/>
                <w:szCs w:val="24"/>
              </w:rPr>
            </w:pPr>
            <w:r>
              <w:rPr>
                <w:rFonts w:ascii="Times New Roman" w:hAnsi="Times New Roman"/>
                <w:bCs/>
                <w:color w:val="auto"/>
                <w:szCs w:val="24"/>
              </w:rPr>
              <w:t>本项目周边无地下水、土壤环境保护目标。本项目使用的</w:t>
            </w:r>
            <w:r>
              <w:rPr>
                <w:rFonts w:hint="eastAsia" w:ascii="Times New Roman" w:hAnsi="Times New Roman"/>
                <w:bCs/>
                <w:color w:val="auto"/>
                <w:szCs w:val="24"/>
              </w:rPr>
              <w:t>脱脂剂、脱脂助剂、液压油、润滑油、无磷转化液、硅烷处理剂等</w:t>
            </w:r>
            <w:r>
              <w:rPr>
                <w:rFonts w:ascii="Times New Roman" w:hAnsi="Times New Roman"/>
                <w:bCs/>
                <w:color w:val="auto"/>
                <w:szCs w:val="24"/>
              </w:rPr>
              <w:t>储存在仓库，</w:t>
            </w:r>
            <w:r>
              <w:rPr>
                <w:rFonts w:hint="eastAsia" w:ascii="Times New Roman" w:hAnsi="Times New Roman"/>
                <w:bCs/>
                <w:color w:val="auto"/>
                <w:szCs w:val="24"/>
              </w:rPr>
              <w:t>清槽废水、清洗水进厂内污水处理设施处理后回用于生产。纯水制备浓水与制备纯水反冲洗水接管梅村水处理厂，生活污水经化粪池处理后接管梅村水处理厂，脱脂废渣（液）、陶化废渣（液）、</w:t>
            </w:r>
            <w:r>
              <w:rPr>
                <w:rFonts w:ascii="Times New Roman" w:hAnsi="Times New Roman"/>
                <w:bCs/>
                <w:color w:val="auto"/>
                <w:szCs w:val="24"/>
              </w:rPr>
              <w:t>废</w:t>
            </w:r>
            <w:r>
              <w:rPr>
                <w:rFonts w:hint="eastAsia" w:ascii="Times New Roman" w:hAnsi="Times New Roman"/>
                <w:bCs/>
                <w:color w:val="auto"/>
                <w:szCs w:val="24"/>
              </w:rPr>
              <w:t>液压油、废润滑油</w:t>
            </w:r>
            <w:r>
              <w:rPr>
                <w:rFonts w:ascii="Times New Roman" w:hAnsi="Times New Roman"/>
                <w:bCs/>
                <w:color w:val="auto"/>
                <w:szCs w:val="24"/>
              </w:rPr>
              <w:t>、</w:t>
            </w:r>
            <w:r>
              <w:rPr>
                <w:rFonts w:hint="eastAsia" w:ascii="Times New Roman" w:hAnsi="Times New Roman"/>
                <w:bCs/>
                <w:color w:val="auto"/>
                <w:szCs w:val="24"/>
              </w:rPr>
              <w:t>废活性炭</w:t>
            </w:r>
            <w:r>
              <w:rPr>
                <w:rFonts w:ascii="Times New Roman" w:hAnsi="Times New Roman"/>
                <w:bCs/>
                <w:color w:val="auto"/>
                <w:szCs w:val="24"/>
              </w:rPr>
              <w:t>、</w:t>
            </w:r>
            <w:r>
              <w:rPr>
                <w:rFonts w:hint="eastAsia" w:ascii="Times New Roman" w:hAnsi="Times New Roman"/>
                <w:bCs/>
                <w:color w:val="auto"/>
                <w:szCs w:val="24"/>
              </w:rPr>
              <w:t>压滤污泥、</w:t>
            </w:r>
            <w:r>
              <w:rPr>
                <w:rFonts w:ascii="Times New Roman" w:hAnsi="Times New Roman"/>
                <w:bCs/>
                <w:color w:val="auto"/>
                <w:szCs w:val="24"/>
              </w:rPr>
              <w:t>含油废抹布手套、废包装桶/瓶</w:t>
            </w:r>
            <w:r>
              <w:rPr>
                <w:rFonts w:hint="eastAsia" w:ascii="Times New Roman" w:hAnsi="Times New Roman"/>
                <w:bCs/>
                <w:color w:val="auto"/>
                <w:szCs w:val="24"/>
              </w:rPr>
              <w:t>、含油滤芯、浓缩蒸发液</w:t>
            </w:r>
            <w:r>
              <w:rPr>
                <w:rFonts w:ascii="Times New Roman" w:hAnsi="Times New Roman"/>
                <w:bCs/>
                <w:color w:val="auto"/>
                <w:szCs w:val="24"/>
              </w:rPr>
              <w:t>等危废主要储存在危废仓库。原料仓库、生产车间及危废仓库采取合理的分区防渗措施后，正常运营工况下无地下水、土壤污染途径，不开展地下水、土壤环境现状调查。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34" w:hRule="atLeast"/>
          <w:jc w:val="center"/>
        </w:trPr>
        <w:tc>
          <w:tcPr>
            <w:tcW w:w="236" w:type="pct"/>
            <w:vAlign w:val="center"/>
          </w:tcPr>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保护</w:t>
            </w:r>
          </w:p>
          <w:p>
            <w:pPr>
              <w:adjustRightInd w:val="0"/>
              <w:snapToGrid w:val="0"/>
              <w:jc w:val="center"/>
              <w:rPr>
                <w:color w:val="auto"/>
                <w:kern w:val="0"/>
                <w:szCs w:val="21"/>
              </w:rPr>
            </w:pPr>
            <w:r>
              <w:rPr>
                <w:color w:val="auto"/>
                <w:kern w:val="0"/>
                <w:sz w:val="24"/>
              </w:rPr>
              <w:t>目标</w:t>
            </w:r>
          </w:p>
        </w:tc>
        <w:tc>
          <w:tcPr>
            <w:tcW w:w="4763" w:type="pct"/>
            <w:vAlign w:val="center"/>
          </w:tcPr>
          <w:p>
            <w:pPr>
              <w:numPr>
                <w:ilvl w:val="0"/>
                <w:numId w:val="13"/>
              </w:numPr>
              <w:adjustRightInd w:val="0"/>
              <w:snapToGrid w:val="0"/>
              <w:spacing w:line="360" w:lineRule="auto"/>
              <w:rPr>
                <w:b/>
                <w:bCs/>
                <w:color w:val="auto"/>
                <w:sz w:val="24"/>
                <w:szCs w:val="32"/>
              </w:rPr>
            </w:pPr>
            <w:r>
              <w:rPr>
                <w:b/>
                <w:bCs/>
                <w:color w:val="auto"/>
                <w:sz w:val="24"/>
                <w:szCs w:val="32"/>
              </w:rPr>
              <w:t>大气环境</w:t>
            </w:r>
          </w:p>
          <w:p>
            <w:pPr>
              <w:pStyle w:val="23"/>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rPr>
              <w:t>建设项目位于</w:t>
            </w:r>
            <w:r>
              <w:rPr>
                <w:rFonts w:ascii="Times New Roman" w:hAnsi="Times New Roman"/>
                <w:snapToGrid w:val="0"/>
                <w:color w:val="auto"/>
                <w:szCs w:val="24"/>
              </w:rPr>
              <w:t>无锡市新吴区</w:t>
            </w:r>
            <w:r>
              <w:rPr>
                <w:rFonts w:hint="eastAsia" w:ascii="Times New Roman" w:hAnsi="Times New Roman"/>
                <w:snapToGrid w:val="0"/>
                <w:color w:val="auto"/>
                <w:szCs w:val="24"/>
              </w:rPr>
              <w:t>新风路69</w:t>
            </w:r>
            <w:r>
              <w:rPr>
                <w:rFonts w:ascii="Times New Roman" w:hAnsi="Times New Roman"/>
                <w:snapToGrid w:val="0"/>
                <w:color w:val="auto"/>
                <w:szCs w:val="24"/>
              </w:rPr>
              <w:t>号</w:t>
            </w:r>
            <w:r>
              <w:rPr>
                <w:rFonts w:ascii="Times New Roman" w:hAnsi="Times New Roman"/>
                <w:color w:val="auto"/>
              </w:rPr>
              <w:t>，项目周边500米范围内大气环境保护目标。</w:t>
            </w:r>
          </w:p>
          <w:p>
            <w:pPr>
              <w:numPr>
                <w:ilvl w:val="0"/>
                <w:numId w:val="11"/>
              </w:numPr>
              <w:snapToGrid w:val="0"/>
              <w:jc w:val="center"/>
              <w:rPr>
                <w:b/>
                <w:color w:val="auto"/>
                <w:sz w:val="24"/>
              </w:rPr>
            </w:pPr>
            <w:r>
              <w:rPr>
                <w:b/>
                <w:color w:val="auto"/>
                <w:sz w:val="24"/>
              </w:rPr>
              <w:t>大气环境保护目标一览表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7"/>
              <w:gridCol w:w="766"/>
              <w:gridCol w:w="809"/>
              <w:gridCol w:w="798"/>
              <w:gridCol w:w="842"/>
              <w:gridCol w:w="721"/>
              <w:gridCol w:w="917"/>
              <w:gridCol w:w="1127"/>
              <w:gridCol w:w="812"/>
              <w:gridCol w:w="7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 w:type="pct"/>
                  <w:vMerge w:val="restart"/>
                  <w:vAlign w:val="center"/>
                </w:tcPr>
                <w:p>
                  <w:pPr>
                    <w:pStyle w:val="37"/>
                    <w:adjustRightInd w:val="0"/>
                    <w:snapToGrid w:val="0"/>
                    <w:rPr>
                      <w:b/>
                      <w:bCs/>
                      <w:color w:val="auto"/>
                    </w:rPr>
                  </w:pPr>
                  <w:r>
                    <w:rPr>
                      <w:b/>
                      <w:bCs/>
                      <w:color w:val="auto"/>
                    </w:rPr>
                    <w:t>序号</w:t>
                  </w:r>
                </w:p>
              </w:tc>
              <w:tc>
                <w:tcPr>
                  <w:tcW w:w="485" w:type="pct"/>
                  <w:vMerge w:val="restart"/>
                  <w:vAlign w:val="center"/>
                </w:tcPr>
                <w:p>
                  <w:pPr>
                    <w:pStyle w:val="37"/>
                    <w:adjustRightInd w:val="0"/>
                    <w:snapToGrid w:val="0"/>
                    <w:rPr>
                      <w:b/>
                      <w:bCs/>
                      <w:color w:val="auto"/>
                    </w:rPr>
                  </w:pPr>
                  <w:r>
                    <w:rPr>
                      <w:b/>
                      <w:bCs/>
                      <w:color w:val="auto"/>
                    </w:rPr>
                    <w:t>名称</w:t>
                  </w:r>
                </w:p>
              </w:tc>
              <w:tc>
                <w:tcPr>
                  <w:tcW w:w="1015" w:type="pct"/>
                  <w:gridSpan w:val="2"/>
                  <w:vAlign w:val="center"/>
                </w:tcPr>
                <w:p>
                  <w:pPr>
                    <w:pStyle w:val="37"/>
                    <w:adjustRightInd w:val="0"/>
                    <w:snapToGrid w:val="0"/>
                    <w:rPr>
                      <w:b/>
                      <w:bCs/>
                      <w:color w:val="auto"/>
                    </w:rPr>
                  </w:pPr>
                  <w:r>
                    <w:rPr>
                      <w:b/>
                      <w:bCs/>
                      <w:color w:val="auto"/>
                    </w:rPr>
                    <w:t>坐标/m</w:t>
                  </w:r>
                </w:p>
              </w:tc>
              <w:tc>
                <w:tcPr>
                  <w:tcW w:w="532" w:type="pct"/>
                  <w:vMerge w:val="restart"/>
                  <w:vAlign w:val="center"/>
                </w:tcPr>
                <w:p>
                  <w:pPr>
                    <w:pStyle w:val="37"/>
                    <w:adjustRightInd w:val="0"/>
                    <w:snapToGrid w:val="0"/>
                    <w:rPr>
                      <w:b/>
                      <w:bCs/>
                      <w:color w:val="auto"/>
                    </w:rPr>
                  </w:pPr>
                  <w:r>
                    <w:rPr>
                      <w:b/>
                      <w:bCs/>
                      <w:color w:val="auto"/>
                    </w:rPr>
                    <w:t>保护对象</w:t>
                  </w:r>
                </w:p>
              </w:tc>
              <w:tc>
                <w:tcPr>
                  <w:tcW w:w="456" w:type="pct"/>
                  <w:vMerge w:val="restart"/>
                  <w:vAlign w:val="center"/>
                </w:tcPr>
                <w:p>
                  <w:pPr>
                    <w:pStyle w:val="37"/>
                    <w:adjustRightInd w:val="0"/>
                    <w:snapToGrid w:val="0"/>
                    <w:rPr>
                      <w:b/>
                      <w:bCs/>
                      <w:color w:val="auto"/>
                    </w:rPr>
                  </w:pPr>
                  <w:r>
                    <w:rPr>
                      <w:b/>
                      <w:bCs/>
                      <w:color w:val="auto"/>
                    </w:rPr>
                    <w:t>保护内容</w:t>
                  </w:r>
                </w:p>
              </w:tc>
              <w:tc>
                <w:tcPr>
                  <w:tcW w:w="579" w:type="pct"/>
                  <w:vMerge w:val="restart"/>
                  <w:vAlign w:val="center"/>
                </w:tcPr>
                <w:p>
                  <w:pPr>
                    <w:pStyle w:val="37"/>
                    <w:adjustRightInd w:val="0"/>
                    <w:snapToGrid w:val="0"/>
                    <w:rPr>
                      <w:b/>
                      <w:bCs/>
                      <w:color w:val="auto"/>
                    </w:rPr>
                  </w:pPr>
                  <w:r>
                    <w:rPr>
                      <w:b/>
                      <w:bCs/>
                      <w:color w:val="auto"/>
                    </w:rPr>
                    <w:t>环境功能区</w:t>
                  </w:r>
                </w:p>
              </w:tc>
              <w:tc>
                <w:tcPr>
                  <w:tcW w:w="712" w:type="pct"/>
                  <w:vAlign w:val="center"/>
                </w:tcPr>
                <w:p>
                  <w:pPr>
                    <w:pStyle w:val="37"/>
                    <w:adjustRightInd w:val="0"/>
                    <w:snapToGrid w:val="0"/>
                    <w:rPr>
                      <w:b/>
                      <w:bCs/>
                      <w:color w:val="auto"/>
                    </w:rPr>
                  </w:pPr>
                  <w:r>
                    <w:rPr>
                      <w:b/>
                      <w:bCs/>
                      <w:color w:val="auto"/>
                    </w:rPr>
                    <w:t>规模</w:t>
                  </w:r>
                </w:p>
              </w:tc>
              <w:tc>
                <w:tcPr>
                  <w:tcW w:w="513" w:type="pct"/>
                  <w:vMerge w:val="restart"/>
                  <w:vAlign w:val="center"/>
                </w:tcPr>
                <w:p>
                  <w:pPr>
                    <w:pStyle w:val="37"/>
                    <w:adjustRightInd w:val="0"/>
                    <w:snapToGrid w:val="0"/>
                    <w:rPr>
                      <w:b/>
                      <w:bCs/>
                      <w:color w:val="auto"/>
                    </w:rPr>
                  </w:pPr>
                  <w:r>
                    <w:rPr>
                      <w:b/>
                      <w:bCs/>
                      <w:color w:val="auto"/>
                    </w:rPr>
                    <w:t>相对厂址方位</w:t>
                  </w:r>
                </w:p>
              </w:tc>
              <w:tc>
                <w:tcPr>
                  <w:tcW w:w="483" w:type="pct"/>
                  <w:vMerge w:val="restart"/>
                  <w:vAlign w:val="center"/>
                </w:tcPr>
                <w:p>
                  <w:pPr>
                    <w:pStyle w:val="37"/>
                    <w:adjustRightInd w:val="0"/>
                    <w:snapToGrid w:val="0"/>
                    <w:rPr>
                      <w:b/>
                      <w:bCs/>
                      <w:color w:val="auto"/>
                    </w:rPr>
                  </w:pPr>
                  <w:r>
                    <w:rPr>
                      <w:b/>
                      <w:bCs/>
                      <w:color w:val="auto"/>
                    </w:rPr>
                    <w:t>相对距离/m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20" w:type="pct"/>
                  <w:vMerge w:val="continue"/>
                  <w:vAlign w:val="center"/>
                </w:tcPr>
                <w:p>
                  <w:pPr>
                    <w:pStyle w:val="37"/>
                    <w:adjustRightInd w:val="0"/>
                    <w:snapToGrid w:val="0"/>
                    <w:rPr>
                      <w:color w:val="auto"/>
                    </w:rPr>
                  </w:pPr>
                </w:p>
              </w:tc>
              <w:tc>
                <w:tcPr>
                  <w:tcW w:w="485" w:type="pct"/>
                  <w:vMerge w:val="continue"/>
                  <w:vAlign w:val="center"/>
                </w:tcPr>
                <w:p>
                  <w:pPr>
                    <w:pStyle w:val="37"/>
                    <w:adjustRightInd w:val="0"/>
                    <w:snapToGrid w:val="0"/>
                    <w:rPr>
                      <w:color w:val="auto"/>
                    </w:rPr>
                  </w:pPr>
                </w:p>
              </w:tc>
              <w:tc>
                <w:tcPr>
                  <w:tcW w:w="511" w:type="pct"/>
                  <w:vAlign w:val="center"/>
                </w:tcPr>
                <w:p>
                  <w:pPr>
                    <w:pStyle w:val="37"/>
                    <w:adjustRightInd w:val="0"/>
                    <w:snapToGrid w:val="0"/>
                    <w:rPr>
                      <w:b/>
                      <w:bCs/>
                      <w:color w:val="auto"/>
                    </w:rPr>
                  </w:pPr>
                  <w:r>
                    <w:rPr>
                      <w:b/>
                      <w:bCs/>
                      <w:color w:val="auto"/>
                    </w:rPr>
                    <w:t>X</w:t>
                  </w:r>
                </w:p>
              </w:tc>
              <w:tc>
                <w:tcPr>
                  <w:tcW w:w="503" w:type="pct"/>
                  <w:vAlign w:val="center"/>
                </w:tcPr>
                <w:p>
                  <w:pPr>
                    <w:pStyle w:val="37"/>
                    <w:adjustRightInd w:val="0"/>
                    <w:snapToGrid w:val="0"/>
                    <w:rPr>
                      <w:b/>
                      <w:bCs/>
                      <w:color w:val="auto"/>
                    </w:rPr>
                  </w:pPr>
                  <w:r>
                    <w:rPr>
                      <w:b/>
                      <w:bCs/>
                      <w:color w:val="auto"/>
                    </w:rPr>
                    <w:t>Y</w:t>
                  </w:r>
                </w:p>
              </w:tc>
              <w:tc>
                <w:tcPr>
                  <w:tcW w:w="532" w:type="pct"/>
                  <w:vMerge w:val="continue"/>
                  <w:vAlign w:val="center"/>
                </w:tcPr>
                <w:p>
                  <w:pPr>
                    <w:pStyle w:val="37"/>
                    <w:adjustRightInd w:val="0"/>
                    <w:snapToGrid w:val="0"/>
                    <w:rPr>
                      <w:color w:val="auto"/>
                    </w:rPr>
                  </w:pPr>
                </w:p>
              </w:tc>
              <w:tc>
                <w:tcPr>
                  <w:tcW w:w="456" w:type="pct"/>
                  <w:vMerge w:val="continue"/>
                  <w:vAlign w:val="center"/>
                </w:tcPr>
                <w:p>
                  <w:pPr>
                    <w:pStyle w:val="37"/>
                    <w:adjustRightInd w:val="0"/>
                    <w:snapToGrid w:val="0"/>
                    <w:rPr>
                      <w:color w:val="auto"/>
                    </w:rPr>
                  </w:pPr>
                </w:p>
              </w:tc>
              <w:tc>
                <w:tcPr>
                  <w:tcW w:w="579" w:type="pct"/>
                  <w:vMerge w:val="continue"/>
                  <w:vAlign w:val="center"/>
                </w:tcPr>
                <w:p>
                  <w:pPr>
                    <w:pStyle w:val="37"/>
                    <w:adjustRightInd w:val="0"/>
                    <w:snapToGrid w:val="0"/>
                    <w:rPr>
                      <w:color w:val="auto"/>
                    </w:rPr>
                  </w:pPr>
                </w:p>
              </w:tc>
              <w:tc>
                <w:tcPr>
                  <w:tcW w:w="712" w:type="pct"/>
                  <w:vAlign w:val="center"/>
                </w:tcPr>
                <w:p>
                  <w:pPr>
                    <w:pStyle w:val="37"/>
                    <w:adjustRightInd w:val="0"/>
                    <w:snapToGrid w:val="0"/>
                    <w:rPr>
                      <w:color w:val="auto"/>
                    </w:rPr>
                  </w:pPr>
                  <w:r>
                    <w:rPr>
                      <w:b/>
                      <w:bCs/>
                      <w:color w:val="auto"/>
                    </w:rPr>
                    <w:t>户数/人数</w:t>
                  </w:r>
                </w:p>
              </w:tc>
              <w:tc>
                <w:tcPr>
                  <w:tcW w:w="513" w:type="pct"/>
                  <w:vMerge w:val="continue"/>
                  <w:vAlign w:val="center"/>
                </w:tcPr>
                <w:p>
                  <w:pPr>
                    <w:pStyle w:val="37"/>
                    <w:adjustRightInd w:val="0"/>
                    <w:snapToGrid w:val="0"/>
                    <w:rPr>
                      <w:color w:val="auto"/>
                    </w:rPr>
                  </w:pPr>
                </w:p>
              </w:tc>
              <w:tc>
                <w:tcPr>
                  <w:tcW w:w="483" w:type="pct"/>
                  <w:vMerge w:val="continue"/>
                  <w:vAlign w:val="center"/>
                </w:tcPr>
                <w:p>
                  <w:pPr>
                    <w:pStyle w:val="37"/>
                    <w:adjustRightInd w:val="0"/>
                    <w:snapToGrid w:val="0"/>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 w:type="pct"/>
                  <w:vAlign w:val="center"/>
                </w:tcPr>
                <w:p>
                  <w:pPr>
                    <w:adjustRightInd w:val="0"/>
                    <w:snapToGrid w:val="0"/>
                    <w:jc w:val="center"/>
                    <w:rPr>
                      <w:color w:val="auto"/>
                      <w:szCs w:val="21"/>
                    </w:rPr>
                  </w:pPr>
                  <w:r>
                    <w:rPr>
                      <w:color w:val="auto"/>
                      <w:szCs w:val="21"/>
                    </w:rPr>
                    <w:t>1</w:t>
                  </w:r>
                </w:p>
              </w:tc>
              <w:tc>
                <w:tcPr>
                  <w:tcW w:w="485" w:type="pct"/>
                  <w:vAlign w:val="center"/>
                </w:tcPr>
                <w:p>
                  <w:pPr>
                    <w:adjustRightInd w:val="0"/>
                    <w:snapToGrid w:val="0"/>
                    <w:jc w:val="center"/>
                    <w:rPr>
                      <w:color w:val="auto"/>
                      <w:szCs w:val="21"/>
                    </w:rPr>
                  </w:pPr>
                  <w:r>
                    <w:rPr>
                      <w:rFonts w:hint="eastAsia"/>
                      <w:color w:val="auto"/>
                      <w:szCs w:val="21"/>
                    </w:rPr>
                    <w:t>新风公寓</w:t>
                  </w:r>
                </w:p>
              </w:tc>
              <w:tc>
                <w:tcPr>
                  <w:tcW w:w="511" w:type="pct"/>
                  <w:vAlign w:val="center"/>
                </w:tcPr>
                <w:p>
                  <w:pPr>
                    <w:adjustRightInd w:val="0"/>
                    <w:snapToGrid w:val="0"/>
                    <w:jc w:val="center"/>
                    <w:rPr>
                      <w:color w:val="auto"/>
                      <w:szCs w:val="21"/>
                    </w:rPr>
                  </w:pPr>
                  <w:r>
                    <w:rPr>
                      <w:rFonts w:hint="eastAsia"/>
                      <w:color w:val="auto"/>
                      <w:kern w:val="0"/>
                      <w:szCs w:val="21"/>
                      <w:lang w:bidi="ar"/>
                    </w:rPr>
                    <w:t>120.413015</w:t>
                  </w:r>
                </w:p>
              </w:tc>
              <w:tc>
                <w:tcPr>
                  <w:tcW w:w="503" w:type="pct"/>
                  <w:vAlign w:val="center"/>
                </w:tcPr>
                <w:p>
                  <w:pPr>
                    <w:adjustRightInd w:val="0"/>
                    <w:snapToGrid w:val="0"/>
                    <w:jc w:val="center"/>
                    <w:rPr>
                      <w:color w:val="auto"/>
                      <w:szCs w:val="21"/>
                    </w:rPr>
                  </w:pPr>
                  <w:r>
                    <w:rPr>
                      <w:color w:val="auto"/>
                      <w:kern w:val="0"/>
                      <w:szCs w:val="21"/>
                      <w:lang w:bidi="ar"/>
                    </w:rPr>
                    <w:t>31.</w:t>
                  </w:r>
                  <w:r>
                    <w:rPr>
                      <w:rFonts w:hint="eastAsia"/>
                      <w:color w:val="auto"/>
                      <w:kern w:val="0"/>
                      <w:szCs w:val="21"/>
                      <w:lang w:bidi="ar"/>
                    </w:rPr>
                    <w:t>574244</w:t>
                  </w:r>
                </w:p>
              </w:tc>
              <w:tc>
                <w:tcPr>
                  <w:tcW w:w="532" w:type="pct"/>
                  <w:vAlign w:val="center"/>
                </w:tcPr>
                <w:p>
                  <w:pPr>
                    <w:adjustRightInd w:val="0"/>
                    <w:snapToGrid w:val="0"/>
                    <w:jc w:val="center"/>
                    <w:rPr>
                      <w:color w:val="auto"/>
                      <w:szCs w:val="21"/>
                    </w:rPr>
                  </w:pPr>
                  <w:r>
                    <w:rPr>
                      <w:rFonts w:hint="eastAsia"/>
                      <w:color w:val="auto"/>
                      <w:kern w:val="0"/>
                      <w:szCs w:val="21"/>
                      <w:lang w:bidi="ar"/>
                    </w:rPr>
                    <w:t>公寓</w:t>
                  </w:r>
                </w:p>
              </w:tc>
              <w:tc>
                <w:tcPr>
                  <w:tcW w:w="456" w:type="pct"/>
                  <w:vAlign w:val="center"/>
                </w:tcPr>
                <w:p>
                  <w:pPr>
                    <w:widowControl/>
                    <w:adjustRightInd w:val="0"/>
                    <w:snapToGrid w:val="0"/>
                    <w:jc w:val="center"/>
                    <w:textAlignment w:val="center"/>
                    <w:rPr>
                      <w:color w:val="auto"/>
                      <w:szCs w:val="21"/>
                    </w:rPr>
                  </w:pPr>
                  <w:r>
                    <w:rPr>
                      <w:color w:val="auto"/>
                      <w:kern w:val="0"/>
                      <w:szCs w:val="21"/>
                      <w:lang w:bidi="ar"/>
                    </w:rPr>
                    <w:t>人群</w:t>
                  </w:r>
                </w:p>
              </w:tc>
              <w:tc>
                <w:tcPr>
                  <w:tcW w:w="579" w:type="pct"/>
                  <w:vAlign w:val="center"/>
                </w:tcPr>
                <w:p>
                  <w:pPr>
                    <w:widowControl/>
                    <w:adjustRightInd w:val="0"/>
                    <w:snapToGrid w:val="0"/>
                    <w:jc w:val="center"/>
                    <w:textAlignment w:val="center"/>
                    <w:rPr>
                      <w:color w:val="auto"/>
                      <w:szCs w:val="21"/>
                    </w:rPr>
                  </w:pPr>
                  <w:r>
                    <w:rPr>
                      <w:rFonts w:hint="eastAsia"/>
                      <w:color w:val="auto"/>
                      <w:kern w:val="0"/>
                      <w:szCs w:val="21"/>
                      <w:lang w:bidi="ar"/>
                    </w:rPr>
                    <w:t>二</w:t>
                  </w:r>
                  <w:r>
                    <w:rPr>
                      <w:color w:val="auto"/>
                      <w:kern w:val="0"/>
                      <w:szCs w:val="21"/>
                      <w:lang w:bidi="ar"/>
                    </w:rPr>
                    <w:t>类区</w:t>
                  </w:r>
                </w:p>
              </w:tc>
              <w:tc>
                <w:tcPr>
                  <w:tcW w:w="712" w:type="pct"/>
                  <w:vAlign w:val="center"/>
                </w:tcPr>
                <w:p>
                  <w:pPr>
                    <w:widowControl/>
                    <w:adjustRightInd w:val="0"/>
                    <w:snapToGrid w:val="0"/>
                    <w:jc w:val="center"/>
                    <w:textAlignment w:val="center"/>
                    <w:rPr>
                      <w:color w:val="auto"/>
                      <w:szCs w:val="21"/>
                    </w:rPr>
                  </w:pPr>
                  <w:r>
                    <w:rPr>
                      <w:color w:val="auto"/>
                      <w:kern w:val="0"/>
                      <w:szCs w:val="21"/>
                      <w:lang w:bidi="ar"/>
                    </w:rPr>
                    <w:t>约840人</w:t>
                  </w:r>
                </w:p>
              </w:tc>
              <w:tc>
                <w:tcPr>
                  <w:tcW w:w="513" w:type="pct"/>
                  <w:vAlign w:val="center"/>
                </w:tcPr>
                <w:p>
                  <w:pPr>
                    <w:widowControl/>
                    <w:adjustRightInd w:val="0"/>
                    <w:snapToGrid w:val="0"/>
                    <w:jc w:val="center"/>
                    <w:textAlignment w:val="center"/>
                    <w:rPr>
                      <w:color w:val="auto"/>
                      <w:szCs w:val="21"/>
                    </w:rPr>
                  </w:pPr>
                  <w:r>
                    <w:rPr>
                      <w:rFonts w:hint="eastAsia"/>
                      <w:color w:val="auto"/>
                      <w:kern w:val="0"/>
                      <w:szCs w:val="21"/>
                      <w:lang w:bidi="ar"/>
                    </w:rPr>
                    <w:t>S</w:t>
                  </w:r>
                  <w:r>
                    <w:rPr>
                      <w:color w:val="auto"/>
                      <w:kern w:val="0"/>
                      <w:szCs w:val="21"/>
                      <w:lang w:bidi="ar"/>
                    </w:rPr>
                    <w:t>W</w:t>
                  </w:r>
                </w:p>
              </w:tc>
              <w:tc>
                <w:tcPr>
                  <w:tcW w:w="483" w:type="pct"/>
                  <w:vAlign w:val="center"/>
                </w:tcPr>
                <w:p>
                  <w:pPr>
                    <w:widowControl/>
                    <w:adjustRightInd w:val="0"/>
                    <w:snapToGrid w:val="0"/>
                    <w:jc w:val="center"/>
                    <w:textAlignment w:val="center"/>
                    <w:rPr>
                      <w:color w:val="auto"/>
                      <w:szCs w:val="21"/>
                    </w:rPr>
                  </w:pPr>
                  <w:r>
                    <w:rPr>
                      <w:rFonts w:hint="eastAsia"/>
                      <w:color w:val="auto"/>
                      <w:kern w:val="0"/>
                      <w:szCs w:val="21"/>
                      <w:lang w:bidi="ar"/>
                    </w:rPr>
                    <w:t>43</w:t>
                  </w:r>
                </w:p>
              </w:tc>
            </w:tr>
          </w:tbl>
          <w:p>
            <w:pPr>
              <w:pStyle w:val="10"/>
              <w:numPr>
                <w:ilvl w:val="0"/>
                <w:numId w:val="13"/>
              </w:numPr>
              <w:spacing w:before="159" w:beforeLines="50"/>
              <w:rPr>
                <w:b/>
                <w:bCs/>
                <w:color w:val="auto"/>
                <w:sz w:val="24"/>
                <w:szCs w:val="24"/>
              </w:rPr>
            </w:pPr>
            <w:r>
              <w:rPr>
                <w:b/>
                <w:bCs/>
                <w:color w:val="auto"/>
                <w:sz w:val="24"/>
                <w:szCs w:val="24"/>
              </w:rPr>
              <w:t>水环境</w:t>
            </w:r>
          </w:p>
          <w:p>
            <w:pPr>
              <w:numPr>
                <w:ilvl w:val="0"/>
                <w:numId w:val="11"/>
              </w:numPr>
              <w:snapToGrid w:val="0"/>
              <w:jc w:val="center"/>
              <w:rPr>
                <w:b/>
                <w:bCs/>
                <w:color w:val="auto"/>
                <w:sz w:val="24"/>
              </w:rPr>
            </w:pPr>
            <w:r>
              <w:rPr>
                <w:b/>
                <w:color w:val="auto"/>
                <w:sz w:val="24"/>
              </w:rPr>
              <w:t>水环境保护目标一览表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
              <w:gridCol w:w="692"/>
              <w:gridCol w:w="1493"/>
              <w:gridCol w:w="489"/>
              <w:gridCol w:w="847"/>
              <w:gridCol w:w="694"/>
              <w:gridCol w:w="603"/>
              <w:gridCol w:w="603"/>
              <w:gridCol w:w="697"/>
              <w:gridCol w:w="787"/>
              <w:gridCol w:w="7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 w:type="pct"/>
                  <w:vMerge w:val="restart"/>
                  <w:tcMar>
                    <w:top w:w="0" w:type="dxa"/>
                    <w:left w:w="0" w:type="dxa"/>
                    <w:bottom w:w="0" w:type="dxa"/>
                    <w:right w:w="0" w:type="dxa"/>
                  </w:tcMar>
                  <w:vAlign w:val="center"/>
                </w:tcPr>
                <w:p>
                  <w:pPr>
                    <w:pStyle w:val="37"/>
                    <w:spacing w:before="10" w:line="144" w:lineRule="auto"/>
                    <w:rPr>
                      <w:color w:val="auto"/>
                    </w:rPr>
                  </w:pPr>
                  <w:r>
                    <w:rPr>
                      <w:b/>
                      <w:bCs/>
                      <w:color w:val="auto"/>
                    </w:rPr>
                    <w:t>序号</w:t>
                  </w:r>
                </w:p>
              </w:tc>
              <w:tc>
                <w:tcPr>
                  <w:tcW w:w="437" w:type="pct"/>
                  <w:vMerge w:val="restart"/>
                  <w:tcMar>
                    <w:top w:w="0" w:type="dxa"/>
                    <w:left w:w="0" w:type="dxa"/>
                    <w:bottom w:w="0" w:type="dxa"/>
                    <w:right w:w="0" w:type="dxa"/>
                  </w:tcMar>
                  <w:vAlign w:val="center"/>
                </w:tcPr>
                <w:p>
                  <w:pPr>
                    <w:pStyle w:val="37"/>
                    <w:spacing w:before="10" w:line="144" w:lineRule="auto"/>
                    <w:rPr>
                      <w:b/>
                      <w:bCs/>
                      <w:color w:val="auto"/>
                    </w:rPr>
                  </w:pPr>
                  <w:r>
                    <w:rPr>
                      <w:b/>
                      <w:bCs/>
                      <w:color w:val="auto"/>
                    </w:rPr>
                    <w:t>保护</w:t>
                  </w:r>
                </w:p>
                <w:p>
                  <w:pPr>
                    <w:pStyle w:val="37"/>
                    <w:spacing w:before="10" w:line="144" w:lineRule="auto"/>
                    <w:rPr>
                      <w:b/>
                      <w:bCs/>
                      <w:color w:val="auto"/>
                    </w:rPr>
                  </w:pPr>
                  <w:r>
                    <w:rPr>
                      <w:b/>
                      <w:bCs/>
                      <w:color w:val="auto"/>
                    </w:rPr>
                    <w:t>对象</w:t>
                  </w:r>
                </w:p>
              </w:tc>
              <w:tc>
                <w:tcPr>
                  <w:tcW w:w="943" w:type="pct"/>
                  <w:vMerge w:val="restart"/>
                  <w:tcMar>
                    <w:top w:w="0" w:type="dxa"/>
                    <w:left w:w="0" w:type="dxa"/>
                    <w:bottom w:w="0" w:type="dxa"/>
                    <w:right w:w="0" w:type="dxa"/>
                  </w:tcMar>
                  <w:vAlign w:val="center"/>
                </w:tcPr>
                <w:p>
                  <w:pPr>
                    <w:pStyle w:val="37"/>
                    <w:spacing w:before="10" w:line="144" w:lineRule="auto"/>
                    <w:rPr>
                      <w:b/>
                      <w:bCs/>
                      <w:color w:val="auto"/>
                    </w:rPr>
                  </w:pPr>
                  <w:r>
                    <w:rPr>
                      <w:b/>
                      <w:bCs/>
                      <w:color w:val="auto"/>
                    </w:rPr>
                    <w:t>保护要求</w:t>
                  </w:r>
                </w:p>
              </w:tc>
              <w:tc>
                <w:tcPr>
                  <w:tcW w:w="1666" w:type="pct"/>
                  <w:gridSpan w:val="4"/>
                  <w:tcMar>
                    <w:top w:w="0" w:type="dxa"/>
                    <w:left w:w="0" w:type="dxa"/>
                    <w:bottom w:w="0" w:type="dxa"/>
                    <w:right w:w="0" w:type="dxa"/>
                  </w:tcMar>
                  <w:vAlign w:val="center"/>
                </w:tcPr>
                <w:p>
                  <w:pPr>
                    <w:pStyle w:val="37"/>
                    <w:spacing w:before="10" w:line="144" w:lineRule="auto"/>
                    <w:rPr>
                      <w:b/>
                      <w:bCs/>
                      <w:color w:val="auto"/>
                    </w:rPr>
                  </w:pPr>
                  <w:r>
                    <w:rPr>
                      <w:b/>
                      <w:bCs/>
                      <w:color w:val="auto"/>
                    </w:rPr>
                    <w:t>相对厂界</w:t>
                  </w:r>
                </w:p>
              </w:tc>
              <w:tc>
                <w:tcPr>
                  <w:tcW w:w="1321" w:type="pct"/>
                  <w:gridSpan w:val="3"/>
                  <w:tcMar>
                    <w:top w:w="0" w:type="dxa"/>
                    <w:left w:w="0" w:type="dxa"/>
                    <w:bottom w:w="0" w:type="dxa"/>
                    <w:right w:w="0" w:type="dxa"/>
                  </w:tcMar>
                  <w:vAlign w:val="center"/>
                </w:tcPr>
                <w:p>
                  <w:pPr>
                    <w:pStyle w:val="37"/>
                    <w:spacing w:before="10" w:line="144" w:lineRule="auto"/>
                    <w:rPr>
                      <w:b/>
                      <w:bCs/>
                      <w:color w:val="auto"/>
                    </w:rPr>
                  </w:pPr>
                  <w:r>
                    <w:rPr>
                      <w:b/>
                      <w:bCs/>
                      <w:color w:val="auto"/>
                    </w:rPr>
                    <w:t>相对排放口</w:t>
                  </w:r>
                </w:p>
              </w:tc>
              <w:tc>
                <w:tcPr>
                  <w:tcW w:w="494" w:type="pct"/>
                  <w:vMerge w:val="restart"/>
                  <w:tcMar>
                    <w:top w:w="0" w:type="dxa"/>
                    <w:left w:w="0" w:type="dxa"/>
                    <w:bottom w:w="0" w:type="dxa"/>
                    <w:right w:w="0" w:type="dxa"/>
                  </w:tcMar>
                  <w:vAlign w:val="center"/>
                </w:tcPr>
                <w:p>
                  <w:pPr>
                    <w:pStyle w:val="37"/>
                    <w:spacing w:before="10" w:line="144" w:lineRule="auto"/>
                    <w:rPr>
                      <w:b/>
                      <w:bCs/>
                      <w:color w:val="auto"/>
                    </w:rPr>
                  </w:pPr>
                  <w:r>
                    <w:rPr>
                      <w:b/>
                      <w:bCs/>
                      <w:color w:val="auto"/>
                    </w:rPr>
                    <w:t>与本项目的水力联系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 w:type="pct"/>
                  <w:vMerge w:val="continue"/>
                  <w:tcMar>
                    <w:top w:w="0" w:type="dxa"/>
                    <w:left w:w="0" w:type="dxa"/>
                    <w:bottom w:w="0" w:type="dxa"/>
                    <w:right w:w="0" w:type="dxa"/>
                  </w:tcMar>
                  <w:vAlign w:val="center"/>
                </w:tcPr>
                <w:p>
                  <w:pPr>
                    <w:pStyle w:val="37"/>
                    <w:spacing w:before="10" w:line="144" w:lineRule="auto"/>
                    <w:rPr>
                      <w:color w:val="auto"/>
                    </w:rPr>
                  </w:pPr>
                </w:p>
              </w:tc>
              <w:tc>
                <w:tcPr>
                  <w:tcW w:w="437" w:type="pct"/>
                  <w:vMerge w:val="continue"/>
                  <w:tcMar>
                    <w:top w:w="0" w:type="dxa"/>
                    <w:left w:w="0" w:type="dxa"/>
                    <w:bottom w:w="0" w:type="dxa"/>
                    <w:right w:w="0" w:type="dxa"/>
                  </w:tcMar>
                  <w:vAlign w:val="center"/>
                </w:tcPr>
                <w:p>
                  <w:pPr>
                    <w:pStyle w:val="37"/>
                    <w:spacing w:before="10" w:line="144" w:lineRule="auto"/>
                    <w:rPr>
                      <w:color w:val="auto"/>
                    </w:rPr>
                  </w:pPr>
                </w:p>
              </w:tc>
              <w:tc>
                <w:tcPr>
                  <w:tcW w:w="943" w:type="pct"/>
                  <w:vMerge w:val="continue"/>
                  <w:tcMar>
                    <w:top w:w="0" w:type="dxa"/>
                    <w:left w:w="0" w:type="dxa"/>
                    <w:bottom w:w="0" w:type="dxa"/>
                    <w:right w:w="0" w:type="dxa"/>
                  </w:tcMar>
                  <w:vAlign w:val="center"/>
                </w:tcPr>
                <w:p>
                  <w:pPr>
                    <w:pStyle w:val="37"/>
                    <w:spacing w:before="10" w:line="144" w:lineRule="auto"/>
                    <w:rPr>
                      <w:b/>
                      <w:bCs/>
                      <w:color w:val="auto"/>
                    </w:rPr>
                  </w:pPr>
                </w:p>
              </w:tc>
              <w:tc>
                <w:tcPr>
                  <w:tcW w:w="309" w:type="pct"/>
                  <w:vMerge w:val="restart"/>
                  <w:tcMar>
                    <w:top w:w="0" w:type="dxa"/>
                    <w:left w:w="0" w:type="dxa"/>
                    <w:bottom w:w="0" w:type="dxa"/>
                    <w:right w:w="0" w:type="dxa"/>
                  </w:tcMar>
                  <w:vAlign w:val="center"/>
                </w:tcPr>
                <w:p>
                  <w:pPr>
                    <w:pStyle w:val="14"/>
                    <w:spacing w:before="10" w:beforeAutospacing="0" w:line="144" w:lineRule="auto"/>
                    <w:jc w:val="center"/>
                    <w:rPr>
                      <w:rFonts w:ascii="Times New Roman" w:hAnsi="Times New Roman"/>
                      <w:color w:val="auto"/>
                      <w:sz w:val="21"/>
                      <w:szCs w:val="21"/>
                    </w:rPr>
                  </w:pPr>
                  <w:r>
                    <w:rPr>
                      <w:rFonts w:ascii="Times New Roman" w:hAnsi="Times New Roman"/>
                      <w:b/>
                      <w:bCs/>
                      <w:color w:val="auto"/>
                      <w:sz w:val="21"/>
                      <w:szCs w:val="21"/>
                    </w:rPr>
                    <w:t>距离</w:t>
                  </w:r>
                </w:p>
              </w:tc>
              <w:tc>
                <w:tcPr>
                  <w:tcW w:w="975" w:type="pct"/>
                  <w:gridSpan w:val="2"/>
                  <w:tcMar>
                    <w:top w:w="0" w:type="dxa"/>
                    <w:left w:w="0" w:type="dxa"/>
                    <w:bottom w:w="0" w:type="dxa"/>
                    <w:right w:w="0" w:type="dxa"/>
                  </w:tcMar>
                  <w:vAlign w:val="center"/>
                </w:tcPr>
                <w:p>
                  <w:pPr>
                    <w:pStyle w:val="37"/>
                    <w:spacing w:before="10" w:line="144" w:lineRule="auto"/>
                    <w:rPr>
                      <w:color w:val="auto"/>
                    </w:rPr>
                  </w:pPr>
                  <w:r>
                    <w:rPr>
                      <w:b/>
                      <w:bCs/>
                      <w:color w:val="auto"/>
                    </w:rPr>
                    <w:t>经纬度坐标</w:t>
                  </w:r>
                </w:p>
              </w:tc>
              <w:tc>
                <w:tcPr>
                  <w:tcW w:w="382" w:type="pct"/>
                  <w:vMerge w:val="restart"/>
                  <w:tcMar>
                    <w:top w:w="0" w:type="dxa"/>
                    <w:left w:w="0" w:type="dxa"/>
                    <w:bottom w:w="0" w:type="dxa"/>
                    <w:right w:w="0" w:type="dxa"/>
                  </w:tcMar>
                  <w:vAlign w:val="center"/>
                </w:tcPr>
                <w:p>
                  <w:pPr>
                    <w:pStyle w:val="37"/>
                    <w:spacing w:before="10" w:line="144" w:lineRule="auto"/>
                    <w:rPr>
                      <w:color w:val="auto"/>
                    </w:rPr>
                  </w:pPr>
                  <w:r>
                    <w:rPr>
                      <w:b/>
                      <w:bCs/>
                      <w:color w:val="auto"/>
                    </w:rPr>
                    <w:t>高差</w:t>
                  </w:r>
                </w:p>
              </w:tc>
              <w:tc>
                <w:tcPr>
                  <w:tcW w:w="382" w:type="pct"/>
                  <w:vMerge w:val="restart"/>
                  <w:tcMar>
                    <w:top w:w="0" w:type="dxa"/>
                    <w:left w:w="0" w:type="dxa"/>
                    <w:bottom w:w="0" w:type="dxa"/>
                    <w:right w:w="0" w:type="dxa"/>
                  </w:tcMar>
                  <w:vAlign w:val="center"/>
                </w:tcPr>
                <w:p>
                  <w:pPr>
                    <w:spacing w:before="10" w:line="144" w:lineRule="auto"/>
                    <w:jc w:val="center"/>
                    <w:rPr>
                      <w:color w:val="auto"/>
                      <w:szCs w:val="21"/>
                    </w:rPr>
                  </w:pPr>
                  <w:r>
                    <w:rPr>
                      <w:b/>
                      <w:bCs/>
                      <w:color w:val="auto"/>
                      <w:szCs w:val="21"/>
                    </w:rPr>
                    <w:t>距离</w:t>
                  </w:r>
                </w:p>
              </w:tc>
              <w:tc>
                <w:tcPr>
                  <w:tcW w:w="938" w:type="pct"/>
                  <w:gridSpan w:val="2"/>
                  <w:tcMar>
                    <w:top w:w="0" w:type="dxa"/>
                    <w:left w:w="0" w:type="dxa"/>
                    <w:bottom w:w="0" w:type="dxa"/>
                    <w:right w:w="0" w:type="dxa"/>
                  </w:tcMar>
                  <w:vAlign w:val="center"/>
                </w:tcPr>
                <w:p>
                  <w:pPr>
                    <w:pStyle w:val="37"/>
                    <w:spacing w:before="10" w:line="144" w:lineRule="auto"/>
                    <w:rPr>
                      <w:color w:val="auto"/>
                    </w:rPr>
                  </w:pPr>
                  <w:r>
                    <w:rPr>
                      <w:b/>
                      <w:bCs/>
                      <w:color w:val="auto"/>
                    </w:rPr>
                    <w:t>经纬度坐标</w:t>
                  </w:r>
                </w:p>
              </w:tc>
              <w:tc>
                <w:tcPr>
                  <w:tcW w:w="494" w:type="pct"/>
                  <w:vMerge w:val="continue"/>
                  <w:tcMar>
                    <w:top w:w="0" w:type="dxa"/>
                    <w:left w:w="0" w:type="dxa"/>
                    <w:bottom w:w="0" w:type="dxa"/>
                    <w:right w:w="0" w:type="dxa"/>
                  </w:tcMar>
                  <w:vAlign w:val="center"/>
                </w:tcPr>
                <w:p>
                  <w:pPr>
                    <w:pStyle w:val="37"/>
                    <w:spacing w:before="10" w:line="144" w:lineRule="auto"/>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 w:type="pct"/>
                  <w:vMerge w:val="continue"/>
                  <w:tcMar>
                    <w:top w:w="0" w:type="dxa"/>
                    <w:left w:w="0" w:type="dxa"/>
                    <w:bottom w:w="0" w:type="dxa"/>
                    <w:right w:w="0" w:type="dxa"/>
                  </w:tcMar>
                  <w:vAlign w:val="center"/>
                </w:tcPr>
                <w:p>
                  <w:pPr>
                    <w:pStyle w:val="37"/>
                    <w:spacing w:before="10" w:line="144" w:lineRule="auto"/>
                    <w:rPr>
                      <w:color w:val="auto"/>
                    </w:rPr>
                  </w:pPr>
                </w:p>
              </w:tc>
              <w:tc>
                <w:tcPr>
                  <w:tcW w:w="437" w:type="pct"/>
                  <w:vMerge w:val="continue"/>
                  <w:tcMar>
                    <w:top w:w="0" w:type="dxa"/>
                    <w:left w:w="0" w:type="dxa"/>
                    <w:bottom w:w="0" w:type="dxa"/>
                    <w:right w:w="0" w:type="dxa"/>
                  </w:tcMar>
                  <w:vAlign w:val="center"/>
                </w:tcPr>
                <w:p>
                  <w:pPr>
                    <w:spacing w:before="10" w:line="144" w:lineRule="auto"/>
                    <w:jc w:val="center"/>
                    <w:rPr>
                      <w:color w:val="auto"/>
                      <w:szCs w:val="21"/>
                    </w:rPr>
                  </w:pPr>
                </w:p>
              </w:tc>
              <w:tc>
                <w:tcPr>
                  <w:tcW w:w="943" w:type="pct"/>
                  <w:vMerge w:val="continue"/>
                  <w:tcMar>
                    <w:top w:w="0" w:type="dxa"/>
                    <w:left w:w="0" w:type="dxa"/>
                    <w:bottom w:w="0" w:type="dxa"/>
                    <w:right w:w="0" w:type="dxa"/>
                  </w:tcMar>
                  <w:vAlign w:val="center"/>
                </w:tcPr>
                <w:p>
                  <w:pPr>
                    <w:spacing w:before="10" w:line="144" w:lineRule="auto"/>
                    <w:jc w:val="center"/>
                    <w:rPr>
                      <w:color w:val="auto"/>
                      <w:szCs w:val="21"/>
                    </w:rPr>
                  </w:pPr>
                </w:p>
              </w:tc>
              <w:tc>
                <w:tcPr>
                  <w:tcW w:w="309" w:type="pct"/>
                  <w:vMerge w:val="continue"/>
                  <w:tcMar>
                    <w:top w:w="0" w:type="dxa"/>
                    <w:left w:w="0" w:type="dxa"/>
                    <w:bottom w:w="0" w:type="dxa"/>
                    <w:right w:w="0" w:type="dxa"/>
                  </w:tcMar>
                  <w:vAlign w:val="center"/>
                </w:tcPr>
                <w:p>
                  <w:pPr>
                    <w:pStyle w:val="14"/>
                    <w:spacing w:before="10" w:beforeAutospacing="0" w:line="144" w:lineRule="auto"/>
                    <w:jc w:val="center"/>
                    <w:rPr>
                      <w:rFonts w:ascii="Times New Roman" w:hAnsi="Times New Roman"/>
                      <w:color w:val="auto"/>
                      <w:sz w:val="21"/>
                      <w:szCs w:val="21"/>
                    </w:rPr>
                  </w:pPr>
                </w:p>
              </w:tc>
              <w:tc>
                <w:tcPr>
                  <w:tcW w:w="536" w:type="pct"/>
                  <w:tcMar>
                    <w:top w:w="0" w:type="dxa"/>
                    <w:left w:w="0" w:type="dxa"/>
                    <w:bottom w:w="0" w:type="dxa"/>
                    <w:right w:w="0" w:type="dxa"/>
                  </w:tcMar>
                  <w:vAlign w:val="center"/>
                </w:tcPr>
                <w:p>
                  <w:pPr>
                    <w:pStyle w:val="14"/>
                    <w:spacing w:before="10" w:beforeAutospacing="0" w:line="144" w:lineRule="auto"/>
                    <w:jc w:val="center"/>
                    <w:rPr>
                      <w:rFonts w:ascii="Times New Roman" w:hAnsi="Times New Roman"/>
                      <w:b/>
                      <w:bCs/>
                      <w:color w:val="auto"/>
                      <w:sz w:val="21"/>
                      <w:szCs w:val="21"/>
                    </w:rPr>
                  </w:pPr>
                  <w:r>
                    <w:rPr>
                      <w:rFonts w:ascii="Times New Roman" w:hAnsi="Times New Roman"/>
                      <w:b/>
                      <w:bCs/>
                      <w:color w:val="auto"/>
                      <w:sz w:val="21"/>
                      <w:szCs w:val="21"/>
                    </w:rPr>
                    <w:t>X</w:t>
                  </w:r>
                </w:p>
              </w:tc>
              <w:tc>
                <w:tcPr>
                  <w:tcW w:w="439" w:type="pct"/>
                  <w:tcMar>
                    <w:top w:w="0" w:type="dxa"/>
                    <w:left w:w="0" w:type="dxa"/>
                    <w:bottom w:w="0" w:type="dxa"/>
                    <w:right w:w="0" w:type="dxa"/>
                  </w:tcMar>
                  <w:vAlign w:val="center"/>
                </w:tcPr>
                <w:p>
                  <w:pPr>
                    <w:pStyle w:val="14"/>
                    <w:spacing w:before="10" w:beforeAutospacing="0" w:line="144" w:lineRule="auto"/>
                    <w:jc w:val="center"/>
                    <w:rPr>
                      <w:rFonts w:ascii="Times New Roman" w:hAnsi="Times New Roman"/>
                      <w:b/>
                      <w:bCs/>
                      <w:color w:val="auto"/>
                      <w:sz w:val="21"/>
                      <w:szCs w:val="21"/>
                    </w:rPr>
                  </w:pPr>
                  <w:r>
                    <w:rPr>
                      <w:rFonts w:ascii="Times New Roman" w:hAnsi="Times New Roman"/>
                      <w:b/>
                      <w:bCs/>
                      <w:color w:val="auto"/>
                      <w:sz w:val="21"/>
                      <w:szCs w:val="21"/>
                    </w:rPr>
                    <w:t>Y</w:t>
                  </w:r>
                </w:p>
              </w:tc>
              <w:tc>
                <w:tcPr>
                  <w:tcW w:w="382" w:type="pct"/>
                  <w:vMerge w:val="continue"/>
                  <w:tcMar>
                    <w:top w:w="0" w:type="dxa"/>
                    <w:left w:w="0" w:type="dxa"/>
                    <w:bottom w:w="0" w:type="dxa"/>
                    <w:right w:w="0" w:type="dxa"/>
                  </w:tcMar>
                  <w:vAlign w:val="center"/>
                </w:tcPr>
                <w:p>
                  <w:pPr>
                    <w:pStyle w:val="14"/>
                    <w:spacing w:before="10" w:beforeAutospacing="0" w:line="144" w:lineRule="auto"/>
                    <w:jc w:val="center"/>
                    <w:rPr>
                      <w:rFonts w:ascii="Times New Roman" w:hAnsi="Times New Roman"/>
                      <w:color w:val="auto"/>
                      <w:sz w:val="21"/>
                      <w:szCs w:val="21"/>
                    </w:rPr>
                  </w:pPr>
                </w:p>
              </w:tc>
              <w:tc>
                <w:tcPr>
                  <w:tcW w:w="382" w:type="pct"/>
                  <w:vMerge w:val="continue"/>
                  <w:tcMar>
                    <w:top w:w="0" w:type="dxa"/>
                    <w:left w:w="0" w:type="dxa"/>
                    <w:bottom w:w="0" w:type="dxa"/>
                    <w:right w:w="0" w:type="dxa"/>
                  </w:tcMar>
                  <w:vAlign w:val="center"/>
                </w:tcPr>
                <w:p>
                  <w:pPr>
                    <w:spacing w:before="10" w:line="144" w:lineRule="auto"/>
                    <w:jc w:val="center"/>
                    <w:rPr>
                      <w:color w:val="auto"/>
                      <w:szCs w:val="21"/>
                    </w:rPr>
                  </w:pPr>
                </w:p>
              </w:tc>
              <w:tc>
                <w:tcPr>
                  <w:tcW w:w="441" w:type="pct"/>
                  <w:tcMar>
                    <w:top w:w="0" w:type="dxa"/>
                    <w:left w:w="0" w:type="dxa"/>
                    <w:bottom w:w="0" w:type="dxa"/>
                    <w:right w:w="0" w:type="dxa"/>
                  </w:tcMar>
                  <w:vAlign w:val="center"/>
                </w:tcPr>
                <w:p>
                  <w:pPr>
                    <w:spacing w:before="10" w:line="144" w:lineRule="auto"/>
                    <w:jc w:val="center"/>
                    <w:rPr>
                      <w:b/>
                      <w:bCs/>
                      <w:color w:val="auto"/>
                      <w:szCs w:val="21"/>
                    </w:rPr>
                  </w:pPr>
                  <w:r>
                    <w:rPr>
                      <w:b/>
                      <w:bCs/>
                      <w:color w:val="auto"/>
                      <w:szCs w:val="21"/>
                    </w:rPr>
                    <w:t>X</w:t>
                  </w:r>
                </w:p>
              </w:tc>
              <w:tc>
                <w:tcPr>
                  <w:tcW w:w="496" w:type="pct"/>
                  <w:tcMar>
                    <w:top w:w="0" w:type="dxa"/>
                    <w:left w:w="0" w:type="dxa"/>
                    <w:bottom w:w="0" w:type="dxa"/>
                    <w:right w:w="0" w:type="dxa"/>
                  </w:tcMar>
                  <w:vAlign w:val="center"/>
                </w:tcPr>
                <w:p>
                  <w:pPr>
                    <w:spacing w:before="10" w:line="144" w:lineRule="auto"/>
                    <w:jc w:val="center"/>
                    <w:rPr>
                      <w:b/>
                      <w:bCs/>
                      <w:color w:val="auto"/>
                      <w:szCs w:val="21"/>
                    </w:rPr>
                  </w:pPr>
                  <w:r>
                    <w:rPr>
                      <w:b/>
                      <w:bCs/>
                      <w:color w:val="auto"/>
                      <w:szCs w:val="21"/>
                    </w:rPr>
                    <w:t>Y</w:t>
                  </w:r>
                </w:p>
              </w:tc>
              <w:tc>
                <w:tcPr>
                  <w:tcW w:w="494" w:type="pct"/>
                  <w:vMerge w:val="continue"/>
                  <w:tcMar>
                    <w:top w:w="0" w:type="dxa"/>
                    <w:left w:w="0" w:type="dxa"/>
                    <w:bottom w:w="0" w:type="dxa"/>
                    <w:right w:w="0" w:type="dxa"/>
                  </w:tcMar>
                  <w:vAlign w:val="center"/>
                </w:tcPr>
                <w:p>
                  <w:pPr>
                    <w:spacing w:before="10" w:line="144" w:lineRule="auto"/>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 w:type="pct"/>
                  <w:tcMar>
                    <w:top w:w="0" w:type="dxa"/>
                    <w:left w:w="0" w:type="dxa"/>
                    <w:bottom w:w="0" w:type="dxa"/>
                    <w:right w:w="0" w:type="dxa"/>
                  </w:tcMar>
                  <w:vAlign w:val="center"/>
                </w:tcPr>
                <w:p>
                  <w:pPr>
                    <w:pStyle w:val="37"/>
                    <w:spacing w:before="10" w:line="144" w:lineRule="auto"/>
                    <w:rPr>
                      <w:color w:val="auto"/>
                    </w:rPr>
                  </w:pPr>
                  <w:r>
                    <w:rPr>
                      <w:color w:val="auto"/>
                    </w:rPr>
                    <w:t>1</w:t>
                  </w:r>
                </w:p>
              </w:tc>
              <w:tc>
                <w:tcPr>
                  <w:tcW w:w="437" w:type="pct"/>
                  <w:tcMar>
                    <w:top w:w="0" w:type="dxa"/>
                    <w:left w:w="0" w:type="dxa"/>
                    <w:bottom w:w="0" w:type="dxa"/>
                    <w:right w:w="0" w:type="dxa"/>
                  </w:tcMar>
                  <w:vAlign w:val="center"/>
                </w:tcPr>
                <w:p>
                  <w:pPr>
                    <w:spacing w:before="10" w:line="144" w:lineRule="auto"/>
                    <w:jc w:val="center"/>
                    <w:rPr>
                      <w:color w:val="auto"/>
                    </w:rPr>
                  </w:pPr>
                  <w:r>
                    <w:rPr>
                      <w:rFonts w:hint="eastAsia"/>
                      <w:color w:val="auto"/>
                      <w:szCs w:val="21"/>
                      <w:shd w:val="clear" w:color="auto" w:fill="FFFFFF"/>
                    </w:rPr>
                    <w:t>周泾河</w:t>
                  </w:r>
                </w:p>
              </w:tc>
              <w:tc>
                <w:tcPr>
                  <w:tcW w:w="943" w:type="pct"/>
                  <w:tcMar>
                    <w:top w:w="0" w:type="dxa"/>
                    <w:left w:w="0" w:type="dxa"/>
                    <w:bottom w:w="0" w:type="dxa"/>
                    <w:right w:w="0" w:type="dxa"/>
                  </w:tcMar>
                  <w:vAlign w:val="center"/>
                </w:tcPr>
                <w:p>
                  <w:pPr>
                    <w:wordWrap w:val="0"/>
                    <w:spacing w:before="10" w:line="144" w:lineRule="auto"/>
                    <w:jc w:val="center"/>
                    <w:rPr>
                      <w:color w:val="auto"/>
                    </w:rPr>
                  </w:pPr>
                  <w:r>
                    <w:rPr>
                      <w:color w:val="auto"/>
                    </w:rPr>
                    <w:t>《地</w:t>
                  </w:r>
                  <w:r>
                    <w:rPr>
                      <w:color w:val="auto"/>
                      <w:szCs w:val="22"/>
                    </w:rPr>
                    <w:t>表水环境质量标准》（GB3838-2002）中的Ⅳ类标准</w:t>
                  </w:r>
                </w:p>
              </w:tc>
              <w:tc>
                <w:tcPr>
                  <w:tcW w:w="309" w:type="pct"/>
                  <w:tcMar>
                    <w:top w:w="0" w:type="dxa"/>
                    <w:left w:w="0" w:type="dxa"/>
                    <w:bottom w:w="0" w:type="dxa"/>
                    <w:right w:w="0" w:type="dxa"/>
                  </w:tcMar>
                  <w:vAlign w:val="center"/>
                </w:tcPr>
                <w:p>
                  <w:pPr>
                    <w:pStyle w:val="14"/>
                    <w:spacing w:before="10" w:beforeAutospacing="0" w:line="144" w:lineRule="auto"/>
                    <w:jc w:val="center"/>
                    <w:rPr>
                      <w:rFonts w:ascii="Times New Roman" w:hAnsi="Times New Roman"/>
                      <w:color w:val="auto"/>
                      <w:sz w:val="21"/>
                      <w:szCs w:val="21"/>
                    </w:rPr>
                  </w:pPr>
                  <w:r>
                    <w:rPr>
                      <w:rFonts w:ascii="Times New Roman" w:hAnsi="Times New Roman"/>
                      <w:color w:val="auto"/>
                      <w:sz w:val="21"/>
                      <w:szCs w:val="21"/>
                    </w:rPr>
                    <w:t>1</w:t>
                  </w:r>
                  <w:r>
                    <w:rPr>
                      <w:rFonts w:hint="eastAsia" w:ascii="Times New Roman" w:hAnsi="Times New Roman"/>
                      <w:color w:val="auto"/>
                      <w:sz w:val="21"/>
                      <w:szCs w:val="21"/>
                    </w:rPr>
                    <w:t>5</w:t>
                  </w:r>
                  <w:r>
                    <w:rPr>
                      <w:rFonts w:ascii="Times New Roman" w:hAnsi="Times New Roman"/>
                      <w:color w:val="auto"/>
                      <w:sz w:val="21"/>
                      <w:szCs w:val="21"/>
                    </w:rPr>
                    <w:t>m</w:t>
                  </w:r>
                </w:p>
              </w:tc>
              <w:tc>
                <w:tcPr>
                  <w:tcW w:w="536" w:type="pct"/>
                  <w:tcMar>
                    <w:top w:w="0" w:type="dxa"/>
                    <w:left w:w="0" w:type="dxa"/>
                    <w:bottom w:w="0" w:type="dxa"/>
                    <w:right w:w="0" w:type="dxa"/>
                  </w:tcMar>
                  <w:vAlign w:val="center"/>
                </w:tcPr>
                <w:p>
                  <w:pPr>
                    <w:adjustRightInd w:val="0"/>
                    <w:snapToGrid w:val="0"/>
                    <w:jc w:val="center"/>
                    <w:rPr>
                      <w:color w:val="auto"/>
                    </w:rPr>
                  </w:pPr>
                  <w:r>
                    <w:rPr>
                      <w:color w:val="auto"/>
                    </w:rPr>
                    <w:t>120.4</w:t>
                  </w:r>
                  <w:r>
                    <w:rPr>
                      <w:rFonts w:hint="eastAsia"/>
                      <w:color w:val="auto"/>
                    </w:rPr>
                    <w:t>11461</w:t>
                  </w:r>
                </w:p>
              </w:tc>
              <w:tc>
                <w:tcPr>
                  <w:tcW w:w="439" w:type="pct"/>
                  <w:tcMar>
                    <w:top w:w="0" w:type="dxa"/>
                    <w:left w:w="0" w:type="dxa"/>
                    <w:bottom w:w="0" w:type="dxa"/>
                    <w:right w:w="0" w:type="dxa"/>
                  </w:tcMar>
                  <w:vAlign w:val="center"/>
                </w:tcPr>
                <w:p>
                  <w:pPr>
                    <w:adjustRightInd w:val="0"/>
                    <w:snapToGrid w:val="0"/>
                    <w:jc w:val="center"/>
                    <w:rPr>
                      <w:color w:val="auto"/>
                    </w:rPr>
                  </w:pPr>
                  <w:r>
                    <w:rPr>
                      <w:color w:val="auto"/>
                    </w:rPr>
                    <w:t>31.</w:t>
                  </w:r>
                  <w:r>
                    <w:rPr>
                      <w:rFonts w:hint="eastAsia"/>
                      <w:color w:val="auto"/>
                    </w:rPr>
                    <w:t>574367</w:t>
                  </w:r>
                </w:p>
              </w:tc>
              <w:tc>
                <w:tcPr>
                  <w:tcW w:w="382" w:type="pct"/>
                  <w:tcMar>
                    <w:top w:w="0" w:type="dxa"/>
                    <w:left w:w="0" w:type="dxa"/>
                    <w:bottom w:w="0" w:type="dxa"/>
                    <w:right w:w="0" w:type="dxa"/>
                  </w:tcMar>
                  <w:vAlign w:val="center"/>
                </w:tcPr>
                <w:p>
                  <w:pPr>
                    <w:pStyle w:val="14"/>
                    <w:spacing w:before="10" w:beforeAutospacing="0" w:line="144" w:lineRule="auto"/>
                    <w:jc w:val="center"/>
                    <w:rPr>
                      <w:rFonts w:ascii="Times New Roman" w:hAnsi="Times New Roman"/>
                      <w:color w:val="auto"/>
                      <w:sz w:val="21"/>
                      <w:szCs w:val="21"/>
                    </w:rPr>
                  </w:pPr>
                  <w:r>
                    <w:rPr>
                      <w:rFonts w:ascii="Times New Roman" w:hAnsi="Times New Roman"/>
                      <w:color w:val="auto"/>
                      <w:sz w:val="21"/>
                      <w:szCs w:val="21"/>
                    </w:rPr>
                    <w:t>0</w:t>
                  </w:r>
                </w:p>
              </w:tc>
              <w:tc>
                <w:tcPr>
                  <w:tcW w:w="382" w:type="pct"/>
                  <w:tcMar>
                    <w:top w:w="0" w:type="dxa"/>
                    <w:left w:w="0" w:type="dxa"/>
                    <w:bottom w:w="0" w:type="dxa"/>
                    <w:right w:w="0" w:type="dxa"/>
                  </w:tcMar>
                  <w:vAlign w:val="center"/>
                </w:tcPr>
                <w:p>
                  <w:pPr>
                    <w:spacing w:before="10" w:line="144" w:lineRule="auto"/>
                    <w:jc w:val="center"/>
                    <w:rPr>
                      <w:color w:val="auto"/>
                      <w:szCs w:val="21"/>
                    </w:rPr>
                  </w:pPr>
                  <w:r>
                    <w:rPr>
                      <w:rFonts w:hint="eastAsia"/>
                      <w:color w:val="auto"/>
                      <w:szCs w:val="21"/>
                    </w:rPr>
                    <w:t>160</w:t>
                  </w:r>
                  <w:r>
                    <w:rPr>
                      <w:color w:val="auto"/>
                      <w:szCs w:val="21"/>
                    </w:rPr>
                    <w:t>m</w:t>
                  </w:r>
                </w:p>
              </w:tc>
              <w:tc>
                <w:tcPr>
                  <w:tcW w:w="441" w:type="pct"/>
                  <w:tcMar>
                    <w:top w:w="0" w:type="dxa"/>
                    <w:left w:w="0" w:type="dxa"/>
                    <w:bottom w:w="0" w:type="dxa"/>
                    <w:right w:w="0" w:type="dxa"/>
                  </w:tcMar>
                  <w:vAlign w:val="center"/>
                </w:tcPr>
                <w:p>
                  <w:pPr>
                    <w:adjustRightInd w:val="0"/>
                    <w:snapToGrid w:val="0"/>
                    <w:jc w:val="center"/>
                    <w:rPr>
                      <w:color w:val="auto"/>
                    </w:rPr>
                  </w:pPr>
                  <w:r>
                    <w:rPr>
                      <w:color w:val="auto"/>
                    </w:rPr>
                    <w:t>120.</w:t>
                  </w:r>
                  <w:r>
                    <w:rPr>
                      <w:rFonts w:hint="eastAsia"/>
                      <w:color w:val="auto"/>
                    </w:rPr>
                    <w:t>412477</w:t>
                  </w:r>
                </w:p>
              </w:tc>
              <w:tc>
                <w:tcPr>
                  <w:tcW w:w="496" w:type="pct"/>
                  <w:tcMar>
                    <w:top w:w="0" w:type="dxa"/>
                    <w:left w:w="0" w:type="dxa"/>
                    <w:bottom w:w="0" w:type="dxa"/>
                    <w:right w:w="0" w:type="dxa"/>
                  </w:tcMar>
                  <w:vAlign w:val="center"/>
                </w:tcPr>
                <w:p>
                  <w:pPr>
                    <w:adjustRightInd w:val="0"/>
                    <w:snapToGrid w:val="0"/>
                    <w:jc w:val="center"/>
                    <w:rPr>
                      <w:color w:val="auto"/>
                    </w:rPr>
                  </w:pPr>
                  <w:r>
                    <w:rPr>
                      <w:color w:val="auto"/>
                    </w:rPr>
                    <w:t>31.5</w:t>
                  </w:r>
                  <w:r>
                    <w:rPr>
                      <w:rFonts w:hint="eastAsia"/>
                      <w:color w:val="auto"/>
                    </w:rPr>
                    <w:t>74125</w:t>
                  </w:r>
                </w:p>
              </w:tc>
              <w:tc>
                <w:tcPr>
                  <w:tcW w:w="494" w:type="pct"/>
                  <w:tcMar>
                    <w:top w:w="0" w:type="dxa"/>
                    <w:left w:w="0" w:type="dxa"/>
                    <w:bottom w:w="0" w:type="dxa"/>
                    <w:right w:w="0" w:type="dxa"/>
                  </w:tcMar>
                  <w:vAlign w:val="center"/>
                </w:tcPr>
                <w:p>
                  <w:pPr>
                    <w:spacing w:before="10" w:line="144" w:lineRule="auto"/>
                    <w:jc w:val="center"/>
                    <w:rPr>
                      <w:color w:val="auto"/>
                      <w:szCs w:val="21"/>
                    </w:rPr>
                  </w:pPr>
                  <w:r>
                    <w:rPr>
                      <w:color w:val="auto"/>
                      <w:szCs w:val="21"/>
                    </w:rPr>
                    <w:t>雨水</w:t>
                  </w:r>
                </w:p>
                <w:p>
                  <w:pPr>
                    <w:spacing w:before="10" w:line="144" w:lineRule="auto"/>
                    <w:jc w:val="center"/>
                    <w:rPr>
                      <w:color w:val="auto"/>
                      <w:szCs w:val="21"/>
                    </w:rPr>
                  </w:pPr>
                  <w:r>
                    <w:rPr>
                      <w:color w:val="auto"/>
                      <w:szCs w:val="21"/>
                    </w:rPr>
                    <w:t>受体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 w:type="pct"/>
                  <w:tcMar>
                    <w:top w:w="0" w:type="dxa"/>
                    <w:left w:w="0" w:type="dxa"/>
                    <w:bottom w:w="0" w:type="dxa"/>
                    <w:right w:w="0" w:type="dxa"/>
                  </w:tcMar>
                  <w:vAlign w:val="center"/>
                </w:tcPr>
                <w:p>
                  <w:pPr>
                    <w:pStyle w:val="37"/>
                    <w:spacing w:before="10" w:line="144" w:lineRule="auto"/>
                    <w:rPr>
                      <w:color w:val="auto"/>
                    </w:rPr>
                  </w:pPr>
                  <w:r>
                    <w:rPr>
                      <w:color w:val="auto"/>
                    </w:rPr>
                    <w:t>2</w:t>
                  </w:r>
                </w:p>
              </w:tc>
              <w:tc>
                <w:tcPr>
                  <w:tcW w:w="437" w:type="pct"/>
                  <w:tcMar>
                    <w:top w:w="0" w:type="dxa"/>
                    <w:left w:w="0" w:type="dxa"/>
                    <w:bottom w:w="0" w:type="dxa"/>
                    <w:right w:w="0" w:type="dxa"/>
                  </w:tcMar>
                  <w:vAlign w:val="center"/>
                </w:tcPr>
                <w:p>
                  <w:pPr>
                    <w:spacing w:before="10" w:line="144" w:lineRule="auto"/>
                    <w:jc w:val="center"/>
                    <w:rPr>
                      <w:color w:val="auto"/>
                      <w:szCs w:val="21"/>
                    </w:rPr>
                  </w:pPr>
                  <w:r>
                    <w:rPr>
                      <w:color w:val="auto"/>
                    </w:rPr>
                    <w:t>梅花港</w:t>
                  </w:r>
                </w:p>
              </w:tc>
              <w:tc>
                <w:tcPr>
                  <w:tcW w:w="943" w:type="pct"/>
                  <w:tcMar>
                    <w:top w:w="0" w:type="dxa"/>
                    <w:left w:w="0" w:type="dxa"/>
                    <w:bottom w:w="0" w:type="dxa"/>
                    <w:right w:w="0" w:type="dxa"/>
                  </w:tcMar>
                  <w:vAlign w:val="center"/>
                </w:tcPr>
                <w:p>
                  <w:pPr>
                    <w:wordWrap w:val="0"/>
                    <w:spacing w:before="10" w:line="144" w:lineRule="auto"/>
                    <w:jc w:val="center"/>
                    <w:rPr>
                      <w:color w:val="auto"/>
                      <w:szCs w:val="21"/>
                    </w:rPr>
                  </w:pPr>
                  <w:r>
                    <w:rPr>
                      <w:color w:val="auto"/>
                    </w:rPr>
                    <w:t>《地表水环境质量标准》（GB3838-2002）中的</w:t>
                  </w:r>
                  <w:r>
                    <w:rPr>
                      <w:color w:val="auto"/>
                      <w:szCs w:val="22"/>
                    </w:rPr>
                    <w:t>Ⅲ</w:t>
                  </w:r>
                  <w:r>
                    <w:rPr>
                      <w:color w:val="auto"/>
                    </w:rPr>
                    <w:t>类标准</w:t>
                  </w:r>
                </w:p>
              </w:tc>
              <w:tc>
                <w:tcPr>
                  <w:tcW w:w="309" w:type="pct"/>
                  <w:tcMar>
                    <w:top w:w="0" w:type="dxa"/>
                    <w:left w:w="0" w:type="dxa"/>
                    <w:bottom w:w="0" w:type="dxa"/>
                    <w:right w:w="0" w:type="dxa"/>
                  </w:tcMar>
                  <w:vAlign w:val="center"/>
                </w:tcPr>
                <w:p>
                  <w:pPr>
                    <w:pStyle w:val="14"/>
                    <w:spacing w:before="10" w:beforeAutospacing="0" w:line="144" w:lineRule="auto"/>
                    <w:jc w:val="center"/>
                    <w:rPr>
                      <w:rFonts w:ascii="Times New Roman" w:hAnsi="Times New Roman"/>
                      <w:color w:val="auto"/>
                      <w:sz w:val="21"/>
                      <w:szCs w:val="21"/>
                    </w:rPr>
                  </w:pPr>
                  <w:r>
                    <w:rPr>
                      <w:rFonts w:hint="eastAsia" w:ascii="Times New Roman" w:hAnsi="Times New Roman"/>
                      <w:color w:val="auto"/>
                      <w:sz w:val="21"/>
                      <w:szCs w:val="21"/>
                    </w:rPr>
                    <w:t>5126</w:t>
                  </w:r>
                  <w:r>
                    <w:rPr>
                      <w:rFonts w:ascii="Times New Roman" w:hAnsi="Times New Roman"/>
                      <w:color w:val="auto"/>
                      <w:sz w:val="21"/>
                      <w:szCs w:val="21"/>
                    </w:rPr>
                    <w:t>m</w:t>
                  </w:r>
                </w:p>
              </w:tc>
              <w:tc>
                <w:tcPr>
                  <w:tcW w:w="846" w:type="dxa"/>
                  <w:tcMar>
                    <w:top w:w="0" w:type="dxa"/>
                    <w:left w:w="0" w:type="dxa"/>
                    <w:bottom w:w="0" w:type="dxa"/>
                    <w:right w:w="0" w:type="dxa"/>
                  </w:tcMar>
                  <w:vAlign w:val="center"/>
                </w:tcPr>
                <w:p>
                  <w:pPr>
                    <w:pStyle w:val="37"/>
                    <w:adjustRightInd w:val="0"/>
                    <w:snapToGrid w:val="0"/>
                    <w:rPr>
                      <w:color w:val="auto"/>
                    </w:rPr>
                  </w:pPr>
                  <w:r>
                    <w:rPr>
                      <w:color w:val="auto"/>
                    </w:rPr>
                    <w:t>120.448</w:t>
                  </w:r>
                  <w:r>
                    <w:rPr>
                      <w:rFonts w:hint="eastAsia"/>
                      <w:color w:val="auto"/>
                    </w:rPr>
                    <w:t>413</w:t>
                  </w:r>
                </w:p>
              </w:tc>
              <w:tc>
                <w:tcPr>
                  <w:tcW w:w="693" w:type="dxa"/>
                  <w:tcMar>
                    <w:top w:w="0" w:type="dxa"/>
                    <w:left w:w="0" w:type="dxa"/>
                    <w:bottom w:w="0" w:type="dxa"/>
                    <w:right w:w="0" w:type="dxa"/>
                  </w:tcMar>
                  <w:vAlign w:val="center"/>
                </w:tcPr>
                <w:p>
                  <w:pPr>
                    <w:pStyle w:val="37"/>
                    <w:adjustRightInd w:val="0"/>
                    <w:snapToGrid w:val="0"/>
                    <w:rPr>
                      <w:color w:val="auto"/>
                    </w:rPr>
                  </w:pPr>
                  <w:r>
                    <w:rPr>
                      <w:color w:val="auto"/>
                    </w:rPr>
                    <w:t>31.539</w:t>
                  </w:r>
                  <w:r>
                    <w:rPr>
                      <w:rFonts w:hint="eastAsia"/>
                      <w:color w:val="auto"/>
                    </w:rPr>
                    <w:t>466</w:t>
                  </w:r>
                </w:p>
              </w:tc>
              <w:tc>
                <w:tcPr>
                  <w:tcW w:w="382" w:type="pct"/>
                  <w:tcMar>
                    <w:top w:w="0" w:type="dxa"/>
                    <w:left w:w="0" w:type="dxa"/>
                    <w:bottom w:w="0" w:type="dxa"/>
                    <w:right w:w="0" w:type="dxa"/>
                  </w:tcMar>
                  <w:vAlign w:val="center"/>
                </w:tcPr>
                <w:p>
                  <w:pPr>
                    <w:pStyle w:val="14"/>
                    <w:spacing w:before="10" w:beforeAutospacing="0" w:line="144" w:lineRule="auto"/>
                    <w:jc w:val="center"/>
                    <w:rPr>
                      <w:rFonts w:ascii="Times New Roman" w:hAnsi="Times New Roman"/>
                      <w:color w:val="auto"/>
                      <w:sz w:val="21"/>
                      <w:szCs w:val="21"/>
                    </w:rPr>
                  </w:pPr>
                  <w:r>
                    <w:rPr>
                      <w:rFonts w:ascii="Times New Roman" w:hAnsi="Times New Roman"/>
                      <w:color w:val="auto"/>
                      <w:sz w:val="21"/>
                      <w:szCs w:val="21"/>
                    </w:rPr>
                    <w:t>0</w:t>
                  </w:r>
                </w:p>
              </w:tc>
              <w:tc>
                <w:tcPr>
                  <w:tcW w:w="382" w:type="pct"/>
                  <w:tcMar>
                    <w:top w:w="0" w:type="dxa"/>
                    <w:left w:w="0" w:type="dxa"/>
                    <w:bottom w:w="0" w:type="dxa"/>
                    <w:right w:w="0" w:type="dxa"/>
                  </w:tcMar>
                  <w:vAlign w:val="center"/>
                </w:tcPr>
                <w:p>
                  <w:pPr>
                    <w:spacing w:before="10" w:line="144" w:lineRule="auto"/>
                    <w:jc w:val="center"/>
                    <w:rPr>
                      <w:color w:val="auto"/>
                      <w:szCs w:val="21"/>
                    </w:rPr>
                  </w:pPr>
                  <w:r>
                    <w:rPr>
                      <w:rFonts w:hint="eastAsia"/>
                      <w:color w:val="auto"/>
                      <w:szCs w:val="21"/>
                    </w:rPr>
                    <w:t>5200</w:t>
                  </w:r>
                  <w:r>
                    <w:rPr>
                      <w:color w:val="auto"/>
                      <w:szCs w:val="21"/>
                    </w:rPr>
                    <w:t>m</w:t>
                  </w:r>
                </w:p>
              </w:tc>
              <w:tc>
                <w:tcPr>
                  <w:tcW w:w="697" w:type="dxa"/>
                  <w:tcMar>
                    <w:top w:w="0" w:type="dxa"/>
                    <w:left w:w="0" w:type="dxa"/>
                    <w:bottom w:w="0" w:type="dxa"/>
                    <w:right w:w="0" w:type="dxa"/>
                  </w:tcMar>
                  <w:vAlign w:val="center"/>
                </w:tcPr>
                <w:p>
                  <w:pPr>
                    <w:pStyle w:val="37"/>
                    <w:adjustRightInd w:val="0"/>
                    <w:snapToGrid w:val="0"/>
                    <w:rPr>
                      <w:color w:val="auto"/>
                    </w:rPr>
                  </w:pPr>
                  <w:r>
                    <w:rPr>
                      <w:color w:val="auto"/>
                    </w:rPr>
                    <w:t>120.448</w:t>
                  </w:r>
                  <w:r>
                    <w:rPr>
                      <w:rFonts w:hint="eastAsia"/>
                      <w:color w:val="auto"/>
                    </w:rPr>
                    <w:t>413</w:t>
                  </w:r>
                </w:p>
              </w:tc>
              <w:tc>
                <w:tcPr>
                  <w:tcW w:w="784" w:type="dxa"/>
                  <w:tcMar>
                    <w:top w:w="0" w:type="dxa"/>
                    <w:left w:w="0" w:type="dxa"/>
                    <w:bottom w:w="0" w:type="dxa"/>
                    <w:right w:w="0" w:type="dxa"/>
                  </w:tcMar>
                  <w:vAlign w:val="center"/>
                </w:tcPr>
                <w:p>
                  <w:pPr>
                    <w:pStyle w:val="37"/>
                    <w:adjustRightInd w:val="0"/>
                    <w:snapToGrid w:val="0"/>
                    <w:rPr>
                      <w:color w:val="auto"/>
                    </w:rPr>
                  </w:pPr>
                  <w:r>
                    <w:rPr>
                      <w:color w:val="auto"/>
                    </w:rPr>
                    <w:t>31.539</w:t>
                  </w:r>
                  <w:r>
                    <w:rPr>
                      <w:rFonts w:hint="eastAsia"/>
                      <w:color w:val="auto"/>
                    </w:rPr>
                    <w:t>466</w:t>
                  </w:r>
                </w:p>
              </w:tc>
              <w:tc>
                <w:tcPr>
                  <w:tcW w:w="494" w:type="pct"/>
                  <w:tcMar>
                    <w:top w:w="0" w:type="dxa"/>
                    <w:left w:w="0" w:type="dxa"/>
                    <w:bottom w:w="0" w:type="dxa"/>
                    <w:right w:w="0" w:type="dxa"/>
                  </w:tcMar>
                  <w:vAlign w:val="center"/>
                </w:tcPr>
                <w:p>
                  <w:pPr>
                    <w:spacing w:before="10" w:line="144" w:lineRule="auto"/>
                    <w:jc w:val="center"/>
                    <w:rPr>
                      <w:color w:val="auto"/>
                      <w:szCs w:val="21"/>
                    </w:rPr>
                  </w:pPr>
                  <w:r>
                    <w:rPr>
                      <w:color w:val="auto"/>
                      <w:szCs w:val="21"/>
                    </w:rPr>
                    <w:t>纳污</w:t>
                  </w:r>
                </w:p>
                <w:p>
                  <w:pPr>
                    <w:spacing w:before="10" w:line="144" w:lineRule="auto"/>
                    <w:jc w:val="center"/>
                    <w:rPr>
                      <w:color w:val="auto"/>
                      <w:szCs w:val="21"/>
                    </w:rPr>
                  </w:pPr>
                  <w:r>
                    <w:rPr>
                      <w:color w:val="auto"/>
                      <w:szCs w:val="21"/>
                    </w:rPr>
                    <w:t>水体</w:t>
                  </w:r>
                </w:p>
              </w:tc>
            </w:tr>
          </w:tbl>
          <w:p>
            <w:pPr>
              <w:pStyle w:val="10"/>
              <w:numPr>
                <w:ilvl w:val="0"/>
                <w:numId w:val="13"/>
              </w:numPr>
              <w:spacing w:before="159" w:beforeLines="50" w:line="360" w:lineRule="auto"/>
              <w:rPr>
                <w:b/>
                <w:bCs/>
                <w:color w:val="auto"/>
                <w:sz w:val="24"/>
                <w:szCs w:val="24"/>
              </w:rPr>
            </w:pPr>
            <w:r>
              <w:rPr>
                <w:b/>
                <w:bCs/>
                <w:color w:val="auto"/>
                <w:sz w:val="24"/>
                <w:szCs w:val="24"/>
              </w:rPr>
              <w:t>声环境</w:t>
            </w:r>
          </w:p>
          <w:p>
            <w:pPr>
              <w:pStyle w:val="23"/>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rPr>
              <w:t>厂界外50m范围内声环境保护目标</w:t>
            </w:r>
            <w:r>
              <w:rPr>
                <w:rFonts w:hint="eastAsia" w:ascii="Times New Roman" w:hAnsi="Times New Roman"/>
                <w:color w:val="auto"/>
              </w:rPr>
              <w:t>为新风公寓</w:t>
            </w:r>
            <w:r>
              <w:rPr>
                <w:rFonts w:ascii="Times New Roman" w:hAnsi="Times New Roman"/>
                <w:color w:val="auto"/>
              </w:rPr>
              <w:t>。</w:t>
            </w:r>
          </w:p>
          <w:p>
            <w:pPr>
              <w:numPr>
                <w:ilvl w:val="0"/>
                <w:numId w:val="11"/>
              </w:numPr>
              <w:snapToGrid w:val="0"/>
              <w:jc w:val="center"/>
              <w:rPr>
                <w:b/>
                <w:bCs/>
                <w:color w:val="auto"/>
                <w:sz w:val="24"/>
              </w:rPr>
            </w:pPr>
            <w:r>
              <w:rPr>
                <w:rFonts w:hint="eastAsia"/>
                <w:b/>
                <w:color w:val="auto"/>
                <w:sz w:val="24"/>
              </w:rPr>
              <w:t>声</w:t>
            </w:r>
            <w:r>
              <w:rPr>
                <w:b/>
                <w:color w:val="auto"/>
                <w:sz w:val="24"/>
              </w:rPr>
              <w:t>环境保护目标一览表</w:t>
            </w:r>
          </w:p>
          <w:tbl>
            <w:tblPr>
              <w:tblStyle w:val="27"/>
              <w:tblW w:w="79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0"/>
              <w:gridCol w:w="728"/>
              <w:gridCol w:w="442"/>
              <w:gridCol w:w="471"/>
              <w:gridCol w:w="433"/>
              <w:gridCol w:w="714"/>
              <w:gridCol w:w="499"/>
              <w:gridCol w:w="1657"/>
              <w:gridCol w:w="26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00" w:type="dxa"/>
                  <w:vMerge w:val="restart"/>
                  <w:tcBorders>
                    <w:tl2br w:val="nil"/>
                    <w:tr2bl w:val="nil"/>
                  </w:tcBorders>
                  <w:vAlign w:val="center"/>
                </w:tcPr>
                <w:p>
                  <w:pPr>
                    <w:jc w:val="center"/>
                    <w:rPr>
                      <w:rFonts w:ascii="Calibri" w:hAnsi="Calibri" w:cs="Calibri"/>
                      <w:b/>
                      <w:bCs/>
                      <w:color w:val="auto"/>
                      <w:szCs w:val="21"/>
                    </w:rPr>
                  </w:pPr>
                  <w:r>
                    <w:rPr>
                      <w:rFonts w:ascii="Calibri" w:hAnsi="Calibri" w:cs="Calibri"/>
                      <w:b/>
                      <w:bCs/>
                      <w:color w:val="auto"/>
                      <w:szCs w:val="21"/>
                    </w:rPr>
                    <w:t>序号</w:t>
                  </w:r>
                </w:p>
              </w:tc>
              <w:tc>
                <w:tcPr>
                  <w:tcW w:w="728" w:type="dxa"/>
                  <w:vMerge w:val="restart"/>
                  <w:tcBorders>
                    <w:tl2br w:val="nil"/>
                    <w:tr2bl w:val="nil"/>
                  </w:tcBorders>
                  <w:vAlign w:val="center"/>
                </w:tcPr>
                <w:p>
                  <w:pPr>
                    <w:jc w:val="center"/>
                    <w:rPr>
                      <w:rFonts w:ascii="Calibri" w:hAnsi="Calibri" w:cs="Calibri"/>
                      <w:b/>
                      <w:bCs/>
                      <w:color w:val="auto"/>
                      <w:szCs w:val="21"/>
                    </w:rPr>
                  </w:pPr>
                  <w:r>
                    <w:rPr>
                      <w:rFonts w:ascii="Calibri" w:hAnsi="Calibri" w:cs="Calibri"/>
                      <w:b/>
                      <w:bCs/>
                      <w:color w:val="auto"/>
                      <w:szCs w:val="21"/>
                    </w:rPr>
                    <w:t>声环境保护目标名称</w:t>
                  </w:r>
                </w:p>
              </w:tc>
              <w:tc>
                <w:tcPr>
                  <w:tcW w:w="1346" w:type="dxa"/>
                  <w:gridSpan w:val="3"/>
                  <w:tcBorders>
                    <w:tl2br w:val="nil"/>
                    <w:tr2bl w:val="nil"/>
                  </w:tcBorders>
                  <w:vAlign w:val="center"/>
                </w:tcPr>
                <w:p>
                  <w:pPr>
                    <w:jc w:val="center"/>
                    <w:rPr>
                      <w:rFonts w:ascii="Calibri" w:hAnsi="Calibri" w:cs="Calibri"/>
                      <w:b/>
                      <w:bCs/>
                      <w:color w:val="auto"/>
                      <w:szCs w:val="21"/>
                    </w:rPr>
                  </w:pPr>
                  <w:r>
                    <w:rPr>
                      <w:rFonts w:ascii="Calibri" w:hAnsi="Calibri" w:cs="Calibri"/>
                      <w:b/>
                      <w:bCs/>
                      <w:color w:val="auto"/>
                      <w:szCs w:val="21"/>
                    </w:rPr>
                    <w:t>空间相对位置/m</w:t>
                  </w:r>
                </w:p>
              </w:tc>
              <w:tc>
                <w:tcPr>
                  <w:tcW w:w="714" w:type="dxa"/>
                  <w:vMerge w:val="restart"/>
                  <w:tcBorders>
                    <w:tl2br w:val="nil"/>
                    <w:tr2bl w:val="nil"/>
                  </w:tcBorders>
                  <w:vAlign w:val="center"/>
                </w:tcPr>
                <w:p>
                  <w:pPr>
                    <w:jc w:val="center"/>
                    <w:rPr>
                      <w:rFonts w:ascii="Calibri" w:hAnsi="Calibri" w:cs="Calibri"/>
                      <w:b/>
                      <w:bCs/>
                      <w:color w:val="auto"/>
                      <w:szCs w:val="21"/>
                    </w:rPr>
                  </w:pPr>
                  <w:r>
                    <w:rPr>
                      <w:rFonts w:ascii="Calibri" w:hAnsi="Calibri" w:cs="Calibri"/>
                      <w:b/>
                      <w:bCs/>
                      <w:color w:val="auto"/>
                      <w:szCs w:val="21"/>
                    </w:rPr>
                    <w:t>距厂界最近距离/m</w:t>
                  </w:r>
                </w:p>
              </w:tc>
              <w:tc>
                <w:tcPr>
                  <w:tcW w:w="499" w:type="dxa"/>
                  <w:vMerge w:val="restart"/>
                  <w:tcBorders>
                    <w:tl2br w:val="nil"/>
                    <w:tr2bl w:val="nil"/>
                  </w:tcBorders>
                  <w:vAlign w:val="center"/>
                </w:tcPr>
                <w:p>
                  <w:pPr>
                    <w:jc w:val="center"/>
                    <w:rPr>
                      <w:rFonts w:ascii="Calibri" w:hAnsi="Calibri" w:cs="Calibri"/>
                      <w:b/>
                      <w:bCs/>
                      <w:color w:val="auto"/>
                      <w:szCs w:val="21"/>
                    </w:rPr>
                  </w:pPr>
                  <w:r>
                    <w:rPr>
                      <w:rFonts w:ascii="Calibri" w:hAnsi="Calibri" w:cs="Calibri"/>
                      <w:b/>
                      <w:bCs/>
                      <w:color w:val="auto"/>
                      <w:szCs w:val="21"/>
                    </w:rPr>
                    <w:t>方位</w:t>
                  </w:r>
                </w:p>
              </w:tc>
              <w:tc>
                <w:tcPr>
                  <w:tcW w:w="1657" w:type="dxa"/>
                  <w:vMerge w:val="restart"/>
                  <w:tcBorders>
                    <w:tl2br w:val="nil"/>
                    <w:tr2bl w:val="nil"/>
                  </w:tcBorders>
                  <w:vAlign w:val="center"/>
                </w:tcPr>
                <w:p>
                  <w:pPr>
                    <w:jc w:val="center"/>
                    <w:rPr>
                      <w:rFonts w:ascii="Calibri" w:hAnsi="Calibri" w:cs="Calibri"/>
                      <w:b/>
                      <w:bCs/>
                      <w:color w:val="auto"/>
                      <w:szCs w:val="21"/>
                    </w:rPr>
                  </w:pPr>
                  <w:r>
                    <w:rPr>
                      <w:rFonts w:ascii="Calibri" w:hAnsi="Calibri" w:cs="Calibri"/>
                      <w:b/>
                      <w:bCs/>
                      <w:color w:val="auto"/>
                      <w:szCs w:val="21"/>
                    </w:rPr>
                    <w:t>执行标准/功能区类别</w:t>
                  </w:r>
                </w:p>
              </w:tc>
              <w:tc>
                <w:tcPr>
                  <w:tcW w:w="2613" w:type="dxa"/>
                  <w:vMerge w:val="restart"/>
                  <w:tcBorders>
                    <w:tl2br w:val="nil"/>
                    <w:tr2bl w:val="nil"/>
                  </w:tcBorders>
                  <w:vAlign w:val="center"/>
                </w:tcPr>
                <w:p>
                  <w:pPr>
                    <w:jc w:val="center"/>
                    <w:rPr>
                      <w:rFonts w:ascii="Calibri" w:hAnsi="Calibri" w:cs="Calibri"/>
                      <w:b/>
                      <w:bCs/>
                      <w:color w:val="auto"/>
                      <w:szCs w:val="21"/>
                    </w:rPr>
                  </w:pPr>
                  <w:r>
                    <w:rPr>
                      <w:rFonts w:ascii="Calibri" w:hAnsi="Calibri" w:cs="Calibri"/>
                      <w:b/>
                      <w:bCs/>
                      <w:color w:val="auto"/>
                      <w:szCs w:val="21"/>
                    </w:rPr>
                    <w:t>声环境保护目标情况说明（介绍声环境保护目标建筑结构、朝向、楼层、周围环境情况）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400" w:type="dxa"/>
                  <w:vMerge w:val="continue"/>
                  <w:tcBorders>
                    <w:tl2br w:val="nil"/>
                    <w:tr2bl w:val="nil"/>
                  </w:tcBorders>
                  <w:vAlign w:val="center"/>
                </w:tcPr>
                <w:p>
                  <w:pPr>
                    <w:jc w:val="center"/>
                    <w:rPr>
                      <w:rFonts w:ascii="Calibri" w:hAnsi="Calibri" w:cs="Calibri"/>
                      <w:color w:val="auto"/>
                      <w:szCs w:val="21"/>
                    </w:rPr>
                  </w:pPr>
                </w:p>
              </w:tc>
              <w:tc>
                <w:tcPr>
                  <w:tcW w:w="728" w:type="dxa"/>
                  <w:vMerge w:val="continue"/>
                  <w:tcBorders>
                    <w:tl2br w:val="nil"/>
                    <w:tr2bl w:val="nil"/>
                  </w:tcBorders>
                  <w:vAlign w:val="center"/>
                </w:tcPr>
                <w:p>
                  <w:pPr>
                    <w:jc w:val="center"/>
                    <w:rPr>
                      <w:rFonts w:ascii="Calibri" w:hAnsi="Calibri" w:cs="Calibri"/>
                      <w:color w:val="auto"/>
                      <w:szCs w:val="21"/>
                    </w:rPr>
                  </w:pPr>
                </w:p>
              </w:tc>
              <w:tc>
                <w:tcPr>
                  <w:tcW w:w="442" w:type="dxa"/>
                  <w:tcBorders>
                    <w:tl2br w:val="nil"/>
                    <w:tr2bl w:val="nil"/>
                  </w:tcBorders>
                  <w:vAlign w:val="center"/>
                </w:tcPr>
                <w:p>
                  <w:pPr>
                    <w:widowControl/>
                    <w:jc w:val="center"/>
                    <w:textAlignment w:val="center"/>
                    <w:rPr>
                      <w:rFonts w:ascii="Calibri" w:hAnsi="Calibri" w:cs="Calibri"/>
                      <w:color w:val="auto"/>
                      <w:szCs w:val="21"/>
                    </w:rPr>
                  </w:pPr>
                  <w:r>
                    <w:rPr>
                      <w:rFonts w:ascii="Calibri" w:hAnsi="Calibri" w:cs="Calibri"/>
                      <w:b/>
                      <w:bCs/>
                      <w:color w:val="auto"/>
                      <w:kern w:val="0"/>
                      <w:szCs w:val="21"/>
                      <w:lang w:bidi="ar"/>
                    </w:rPr>
                    <w:t>X</w:t>
                  </w:r>
                </w:p>
              </w:tc>
              <w:tc>
                <w:tcPr>
                  <w:tcW w:w="471" w:type="dxa"/>
                  <w:tcBorders>
                    <w:tl2br w:val="nil"/>
                    <w:tr2bl w:val="nil"/>
                  </w:tcBorders>
                  <w:vAlign w:val="center"/>
                </w:tcPr>
                <w:p>
                  <w:pPr>
                    <w:widowControl/>
                    <w:jc w:val="center"/>
                    <w:textAlignment w:val="center"/>
                    <w:rPr>
                      <w:rFonts w:ascii="Calibri" w:hAnsi="Calibri" w:cs="Calibri"/>
                      <w:color w:val="auto"/>
                      <w:szCs w:val="21"/>
                    </w:rPr>
                  </w:pPr>
                  <w:r>
                    <w:rPr>
                      <w:rFonts w:ascii="Calibri" w:hAnsi="Calibri" w:cs="Calibri"/>
                      <w:b/>
                      <w:bCs/>
                      <w:color w:val="auto"/>
                      <w:kern w:val="0"/>
                      <w:szCs w:val="21"/>
                      <w:lang w:bidi="ar"/>
                    </w:rPr>
                    <w:t>Y</w:t>
                  </w:r>
                </w:p>
              </w:tc>
              <w:tc>
                <w:tcPr>
                  <w:tcW w:w="433" w:type="dxa"/>
                  <w:tcBorders>
                    <w:tl2br w:val="nil"/>
                    <w:tr2bl w:val="nil"/>
                  </w:tcBorders>
                  <w:vAlign w:val="center"/>
                </w:tcPr>
                <w:p>
                  <w:pPr>
                    <w:widowControl/>
                    <w:jc w:val="center"/>
                    <w:textAlignment w:val="center"/>
                    <w:rPr>
                      <w:rFonts w:ascii="Calibri" w:hAnsi="Calibri" w:cs="Calibri"/>
                      <w:color w:val="auto"/>
                      <w:szCs w:val="21"/>
                    </w:rPr>
                  </w:pPr>
                  <w:r>
                    <w:rPr>
                      <w:rFonts w:ascii="Calibri" w:hAnsi="Calibri" w:cs="Calibri"/>
                      <w:b/>
                      <w:bCs/>
                      <w:color w:val="auto"/>
                      <w:kern w:val="0"/>
                      <w:szCs w:val="21"/>
                      <w:lang w:bidi="ar"/>
                    </w:rPr>
                    <w:t>Z</w:t>
                  </w:r>
                </w:p>
              </w:tc>
              <w:tc>
                <w:tcPr>
                  <w:tcW w:w="714" w:type="dxa"/>
                  <w:vMerge w:val="continue"/>
                  <w:tcBorders>
                    <w:tl2br w:val="nil"/>
                    <w:tr2bl w:val="nil"/>
                  </w:tcBorders>
                  <w:vAlign w:val="center"/>
                </w:tcPr>
                <w:p>
                  <w:pPr>
                    <w:jc w:val="center"/>
                    <w:rPr>
                      <w:rFonts w:ascii="Calibri" w:hAnsi="Calibri" w:cs="Calibri"/>
                      <w:color w:val="auto"/>
                      <w:szCs w:val="21"/>
                    </w:rPr>
                  </w:pPr>
                </w:p>
              </w:tc>
              <w:tc>
                <w:tcPr>
                  <w:tcW w:w="499" w:type="dxa"/>
                  <w:vMerge w:val="continue"/>
                  <w:tcBorders>
                    <w:tl2br w:val="nil"/>
                    <w:tr2bl w:val="nil"/>
                  </w:tcBorders>
                  <w:vAlign w:val="center"/>
                </w:tcPr>
                <w:p>
                  <w:pPr>
                    <w:jc w:val="center"/>
                    <w:rPr>
                      <w:rFonts w:ascii="Calibri" w:hAnsi="Calibri" w:cs="Calibri"/>
                      <w:color w:val="auto"/>
                      <w:szCs w:val="21"/>
                    </w:rPr>
                  </w:pPr>
                </w:p>
              </w:tc>
              <w:tc>
                <w:tcPr>
                  <w:tcW w:w="1657" w:type="dxa"/>
                  <w:vMerge w:val="continue"/>
                  <w:tcBorders>
                    <w:tl2br w:val="nil"/>
                    <w:tr2bl w:val="nil"/>
                  </w:tcBorders>
                  <w:vAlign w:val="center"/>
                </w:tcPr>
                <w:p>
                  <w:pPr>
                    <w:jc w:val="center"/>
                    <w:rPr>
                      <w:rFonts w:ascii="Calibri" w:hAnsi="Calibri" w:cs="Calibri"/>
                      <w:color w:val="auto"/>
                      <w:szCs w:val="21"/>
                    </w:rPr>
                  </w:pPr>
                </w:p>
              </w:tc>
              <w:tc>
                <w:tcPr>
                  <w:tcW w:w="2613" w:type="dxa"/>
                  <w:vMerge w:val="continue"/>
                  <w:tcBorders>
                    <w:tl2br w:val="nil"/>
                    <w:tr2bl w:val="nil"/>
                  </w:tcBorders>
                  <w:vAlign w:val="center"/>
                </w:tcPr>
                <w:p>
                  <w:pPr>
                    <w:jc w:val="center"/>
                    <w:rPr>
                      <w:rFonts w:ascii="Calibri" w:hAnsi="Calibri" w:cs="Calibri"/>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3" w:hRule="atLeast"/>
                <w:jc w:val="center"/>
              </w:trPr>
              <w:tc>
                <w:tcPr>
                  <w:tcW w:w="400" w:type="dxa"/>
                  <w:tcBorders>
                    <w:tl2br w:val="nil"/>
                    <w:tr2bl w:val="nil"/>
                  </w:tcBorders>
                  <w:vAlign w:val="center"/>
                </w:tcPr>
                <w:p>
                  <w:pPr>
                    <w:jc w:val="center"/>
                    <w:rPr>
                      <w:rFonts w:ascii="Calibri" w:hAnsi="Calibri" w:cs="Calibri"/>
                      <w:color w:val="auto"/>
                      <w:szCs w:val="21"/>
                    </w:rPr>
                  </w:pPr>
                  <w:r>
                    <w:rPr>
                      <w:rFonts w:ascii="Calibri" w:hAnsi="Calibri" w:cs="Calibri"/>
                      <w:color w:val="auto"/>
                      <w:szCs w:val="21"/>
                    </w:rPr>
                    <w:t>1</w:t>
                  </w:r>
                </w:p>
              </w:tc>
              <w:tc>
                <w:tcPr>
                  <w:tcW w:w="728" w:type="dxa"/>
                  <w:tcBorders>
                    <w:tl2br w:val="nil"/>
                    <w:tr2bl w:val="nil"/>
                  </w:tcBorders>
                  <w:vAlign w:val="center"/>
                </w:tcPr>
                <w:p>
                  <w:pPr>
                    <w:jc w:val="center"/>
                    <w:rPr>
                      <w:rFonts w:ascii="Calibri" w:hAnsi="Calibri" w:cs="Calibri"/>
                      <w:color w:val="auto"/>
                      <w:szCs w:val="21"/>
                    </w:rPr>
                  </w:pPr>
                  <w:r>
                    <w:rPr>
                      <w:rFonts w:ascii="Calibri" w:hAnsi="Calibri" w:cs="Calibri"/>
                      <w:color w:val="auto"/>
                      <w:szCs w:val="21"/>
                    </w:rPr>
                    <w:t>新风公寓</w:t>
                  </w:r>
                </w:p>
              </w:tc>
              <w:tc>
                <w:tcPr>
                  <w:tcW w:w="442" w:type="dxa"/>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136</w:t>
                  </w:r>
                </w:p>
              </w:tc>
              <w:tc>
                <w:tcPr>
                  <w:tcW w:w="471" w:type="dxa"/>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-26</w:t>
                  </w:r>
                </w:p>
              </w:tc>
              <w:tc>
                <w:tcPr>
                  <w:tcW w:w="433" w:type="dxa"/>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1</w:t>
                  </w:r>
                </w:p>
              </w:tc>
              <w:tc>
                <w:tcPr>
                  <w:tcW w:w="714" w:type="dxa"/>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43</w:t>
                  </w:r>
                </w:p>
              </w:tc>
              <w:tc>
                <w:tcPr>
                  <w:tcW w:w="499" w:type="dxa"/>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东南</w:t>
                  </w:r>
                </w:p>
              </w:tc>
              <w:tc>
                <w:tcPr>
                  <w:tcW w:w="1657" w:type="dxa"/>
                  <w:tcBorders>
                    <w:tl2br w:val="nil"/>
                    <w:tr2bl w:val="nil"/>
                  </w:tcBorders>
                  <w:vAlign w:val="center"/>
                </w:tcPr>
                <w:p>
                  <w:pPr>
                    <w:jc w:val="center"/>
                    <w:rPr>
                      <w:rFonts w:ascii="Calibri" w:hAnsi="Calibri" w:cs="Calibri"/>
                      <w:color w:val="auto"/>
                      <w:szCs w:val="21"/>
                    </w:rPr>
                  </w:pPr>
                  <w:r>
                    <w:rPr>
                      <w:rFonts w:ascii="Calibri" w:hAnsi="Calibri" w:cs="Calibri"/>
                      <w:color w:val="auto"/>
                      <w:szCs w:val="21"/>
                    </w:rPr>
                    <w:t>《声环境质量标准》（GB3096-2008）中的2类区域标准</w:t>
                  </w:r>
                  <w:r>
                    <w:rPr>
                      <w:rFonts w:hint="eastAsia" w:ascii="Calibri" w:hAnsi="Calibri" w:cs="Calibri"/>
                      <w:color w:val="auto"/>
                      <w:szCs w:val="21"/>
                    </w:rPr>
                    <w:t>/</w:t>
                  </w:r>
                  <w:r>
                    <w:rPr>
                      <w:rFonts w:hint="eastAsia" w:ascii="Calibri" w:hAnsi="Calibri" w:cs="Calibri"/>
                      <w:color w:val="auto"/>
                      <w:lang w:val="en-US" w:eastAsia="zh-CN"/>
                    </w:rPr>
                    <w:t>2</w:t>
                  </w:r>
                  <w:r>
                    <w:rPr>
                      <w:rFonts w:hint="eastAsia" w:ascii="Calibri" w:hAnsi="Calibri" w:cs="Calibri"/>
                      <w:color w:val="auto"/>
                    </w:rPr>
                    <w:t>类区域</w:t>
                  </w:r>
                </w:p>
              </w:tc>
              <w:tc>
                <w:tcPr>
                  <w:tcW w:w="2613" w:type="dxa"/>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新风公寓5层钢混结构建筑，建筑坐北朝南，北以及东北方向为无锡展博环保科技有限公司，南侧隔周泾河为无锡亿能电力设备有限公司，西侧隔新风路为本项目</w:t>
                  </w:r>
                </w:p>
              </w:tc>
            </w:tr>
          </w:tbl>
          <w:p>
            <w:pPr>
              <w:numPr>
                <w:ilvl w:val="0"/>
                <w:numId w:val="11"/>
              </w:numPr>
              <w:snapToGrid w:val="0"/>
              <w:jc w:val="center"/>
              <w:rPr>
                <w:b/>
                <w:bCs/>
                <w:color w:val="auto"/>
                <w:sz w:val="24"/>
              </w:rPr>
            </w:pPr>
          </w:p>
          <w:p>
            <w:pPr>
              <w:keepNext w:val="0"/>
              <w:keepLines w:val="0"/>
              <w:pageBreakBefore w:val="0"/>
              <w:widowControl w:val="0"/>
              <w:numPr>
                <w:ilvl w:val="0"/>
                <w:numId w:val="13"/>
              </w:numPr>
              <w:kinsoku/>
              <w:wordWrap/>
              <w:overflowPunct/>
              <w:topLinePunct w:val="0"/>
              <w:autoSpaceDE/>
              <w:autoSpaceDN/>
              <w:bidi w:val="0"/>
              <w:adjustRightInd w:val="0"/>
              <w:snapToGrid w:val="0"/>
              <w:spacing w:before="161" w:beforeLines="50" w:line="360" w:lineRule="auto"/>
              <w:textAlignment w:val="auto"/>
              <w:rPr>
                <w:b/>
                <w:bCs/>
                <w:color w:val="auto"/>
                <w:sz w:val="24"/>
                <w:szCs w:val="32"/>
              </w:rPr>
            </w:pPr>
            <w:r>
              <w:rPr>
                <w:b/>
                <w:bCs/>
                <w:color w:val="auto"/>
                <w:kern w:val="0"/>
                <w:sz w:val="24"/>
              </w:rPr>
              <w:t>地下水</w:t>
            </w:r>
            <w:r>
              <w:rPr>
                <w:b/>
                <w:bCs/>
                <w:color w:val="auto"/>
              </w:rPr>
              <w:t>、土壤</w:t>
            </w:r>
            <w:r>
              <w:rPr>
                <w:b/>
                <w:bCs/>
                <w:color w:val="auto"/>
                <w:kern w:val="0"/>
                <w:sz w:val="24"/>
              </w:rPr>
              <w:t>环境</w:t>
            </w:r>
          </w:p>
          <w:p>
            <w:pPr>
              <w:pStyle w:val="23"/>
              <w:autoSpaceDE w:val="0"/>
              <w:autoSpaceDN w:val="0"/>
              <w:adjustRightInd w:val="0"/>
              <w:snapToGrid w:val="0"/>
              <w:spacing w:before="0" w:beforeAutospacing="0" w:after="0" w:afterAutospacing="0" w:line="360" w:lineRule="auto"/>
              <w:ind w:firstLine="480" w:firstLineChars="200"/>
              <w:jc w:val="both"/>
              <w:rPr>
                <w:rFonts w:ascii="Times New Roman" w:hAnsi="Times New Roman"/>
                <w:color w:val="auto"/>
                <w:szCs w:val="24"/>
              </w:rPr>
            </w:pPr>
            <w:r>
              <w:rPr>
                <w:rFonts w:ascii="Times New Roman" w:hAnsi="Times New Roman"/>
                <w:color w:val="auto"/>
                <w:szCs w:val="24"/>
              </w:rPr>
              <w:t>本项目周边无地下水、土壤环境保护目标。正常运营工况下无地下水、土壤污染途径，不开展地下水、土壤环境现状调查。</w:t>
            </w:r>
          </w:p>
          <w:p>
            <w:pPr>
              <w:pStyle w:val="23"/>
              <w:autoSpaceDE w:val="0"/>
              <w:autoSpaceDN w:val="0"/>
              <w:adjustRightInd w:val="0"/>
              <w:snapToGrid w:val="0"/>
              <w:spacing w:before="0" w:beforeAutospacing="0" w:after="0" w:afterAutospacing="0" w:line="360" w:lineRule="auto"/>
              <w:rPr>
                <w:rFonts w:ascii="Times New Roman" w:hAnsi="Times New Roman"/>
                <w:b/>
                <w:bCs/>
                <w:color w:val="auto"/>
                <w:szCs w:val="24"/>
              </w:rPr>
            </w:pPr>
            <w:r>
              <w:rPr>
                <w:rFonts w:ascii="Times New Roman" w:hAnsi="Times New Roman"/>
                <w:b/>
                <w:bCs/>
                <w:color w:val="auto"/>
                <w:szCs w:val="24"/>
              </w:rPr>
              <w:t>5、生态环境</w:t>
            </w:r>
          </w:p>
          <w:p>
            <w:pPr>
              <w:pStyle w:val="2"/>
              <w:spacing w:before="0" w:after="0" w:line="360" w:lineRule="auto"/>
              <w:ind w:right="0" w:firstLine="480" w:firstLineChars="200"/>
              <w:rPr>
                <w:color w:val="auto"/>
              </w:rPr>
            </w:pPr>
            <w:r>
              <w:rPr>
                <w:color w:val="auto"/>
                <w:sz w:val="24"/>
                <w:szCs w:val="24"/>
              </w:rPr>
              <w:t>本项目位于无锡市新吴区</w:t>
            </w:r>
            <w:r>
              <w:rPr>
                <w:rFonts w:hint="eastAsia"/>
                <w:color w:val="auto"/>
                <w:sz w:val="24"/>
                <w:szCs w:val="24"/>
              </w:rPr>
              <w:t>新风路</w:t>
            </w:r>
            <w:r>
              <w:rPr>
                <w:color w:val="auto"/>
                <w:sz w:val="24"/>
                <w:szCs w:val="24"/>
              </w:rPr>
              <w:t>6</w:t>
            </w:r>
            <w:r>
              <w:rPr>
                <w:rFonts w:hint="eastAsia"/>
                <w:color w:val="auto"/>
                <w:sz w:val="24"/>
                <w:szCs w:val="24"/>
              </w:rPr>
              <w:t>9</w:t>
            </w:r>
            <w:r>
              <w:rPr>
                <w:color w:val="auto"/>
                <w:sz w:val="24"/>
                <w:szCs w:val="24"/>
              </w:rPr>
              <w:t>号，根据</w:t>
            </w:r>
            <w:r>
              <w:rPr>
                <w:color w:val="auto"/>
                <w:sz w:val="24"/>
                <w:szCs w:val="24"/>
                <w:lang w:val="zh-CN"/>
              </w:rPr>
              <w:t>《省政府关于印发江苏省国家级生态保护红线规划的通知》（苏政发[2018]74号）中《江苏省国家级生态保护红线规划》及《省政府关于印发江苏省生态空间管控区域规划的通知》（苏政发</w:t>
            </w:r>
            <w:r>
              <w:rPr>
                <w:color w:val="auto"/>
                <w:sz w:val="24"/>
                <w:szCs w:val="24"/>
              </w:rPr>
              <w:t>[2</w:t>
            </w:r>
            <w:r>
              <w:rPr>
                <w:color w:val="auto"/>
                <w:sz w:val="24"/>
                <w:szCs w:val="24"/>
                <w:lang w:val="zh-CN"/>
              </w:rPr>
              <w:t>020</w:t>
            </w:r>
            <w:r>
              <w:rPr>
                <w:color w:val="auto"/>
                <w:sz w:val="24"/>
                <w:szCs w:val="24"/>
              </w:rPr>
              <w:t>]</w:t>
            </w:r>
            <w:r>
              <w:rPr>
                <w:color w:val="auto"/>
                <w:sz w:val="24"/>
                <w:szCs w:val="24"/>
                <w:lang w:val="zh-CN"/>
              </w:rPr>
              <w:t>1号）中《江苏省生态空间管控区域规划》中“无锡市生态空间保护区域名录”，项目</w:t>
            </w:r>
            <w:r>
              <w:rPr>
                <w:rFonts w:hint="eastAsia"/>
                <w:color w:val="auto"/>
                <w:sz w:val="24"/>
                <w:szCs w:val="24"/>
                <w:lang w:val="zh-CN"/>
              </w:rPr>
              <w:t>距离最近的生态空间管控区域-无锡宛山荡省级湿地公园9.4km，距离最近的国家级生态红线-无锡宛山荡省级湿地公园9.3km</w:t>
            </w:r>
            <w:r>
              <w:rPr>
                <w:color w:val="auto"/>
                <w:sz w:val="24"/>
                <w:szCs w:val="24"/>
                <w:lang w:val="zh-CN"/>
              </w:rPr>
              <w:t>。</w:t>
            </w:r>
          </w:p>
          <w:p>
            <w:pPr>
              <w:numPr>
                <w:ilvl w:val="0"/>
                <w:numId w:val="11"/>
              </w:numPr>
              <w:snapToGrid w:val="0"/>
              <w:jc w:val="center"/>
              <w:rPr>
                <w:b/>
                <w:bCs/>
                <w:color w:val="auto"/>
                <w:sz w:val="24"/>
              </w:rPr>
            </w:pPr>
            <w:r>
              <w:rPr>
                <w:b/>
                <w:color w:val="auto"/>
                <w:sz w:val="24"/>
              </w:rPr>
              <w:t>主要环境</w:t>
            </w:r>
            <w:r>
              <w:rPr>
                <w:b/>
                <w:bCs/>
                <w:color w:val="auto"/>
                <w:sz w:val="24"/>
              </w:rPr>
              <w:t>保护</w:t>
            </w:r>
            <w:r>
              <w:rPr>
                <w:b/>
                <w:color w:val="auto"/>
                <w:sz w:val="24"/>
              </w:rPr>
              <w:t>目标</w:t>
            </w:r>
          </w:p>
          <w:tbl>
            <w:tblPr>
              <w:tblStyle w:val="26"/>
              <w:tblW w:w="79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647"/>
              <w:gridCol w:w="660"/>
              <w:gridCol w:w="885"/>
              <w:gridCol w:w="1095"/>
              <w:gridCol w:w="29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op w:val="single" w:color="auto" w:sz="12" w:space="0"/>
                    <w:left w:val="nil"/>
                    <w:bottom w:val="single" w:color="auto" w:sz="4" w:space="0"/>
                    <w:right w:val="single" w:color="auto" w:sz="4" w:space="0"/>
                  </w:tcBorders>
                  <w:vAlign w:val="center"/>
                </w:tcPr>
                <w:p>
                  <w:pPr>
                    <w:jc w:val="center"/>
                    <w:rPr>
                      <w:b/>
                      <w:bCs/>
                      <w:color w:val="auto"/>
                    </w:rPr>
                  </w:pPr>
                  <w:r>
                    <w:rPr>
                      <w:b/>
                      <w:bCs/>
                      <w:color w:val="auto"/>
                    </w:rPr>
                    <w:t>环境要素</w:t>
                  </w:r>
                </w:p>
              </w:tc>
              <w:tc>
                <w:tcPr>
                  <w:tcW w:w="1037" w:type="pct"/>
                  <w:tcBorders>
                    <w:top w:val="single" w:color="auto" w:sz="12" w:space="0"/>
                    <w:left w:val="single" w:color="auto" w:sz="4" w:space="0"/>
                    <w:bottom w:val="single" w:color="auto" w:sz="4" w:space="0"/>
                    <w:right w:val="single" w:color="auto" w:sz="4" w:space="0"/>
                  </w:tcBorders>
                  <w:vAlign w:val="center"/>
                </w:tcPr>
                <w:p>
                  <w:pPr>
                    <w:jc w:val="center"/>
                    <w:rPr>
                      <w:b/>
                      <w:bCs/>
                      <w:color w:val="auto"/>
                    </w:rPr>
                  </w:pPr>
                  <w:r>
                    <w:rPr>
                      <w:b/>
                      <w:bCs/>
                      <w:color w:val="auto"/>
                    </w:rPr>
                    <w:t>环境保护对象名称</w:t>
                  </w:r>
                </w:p>
              </w:tc>
              <w:tc>
                <w:tcPr>
                  <w:tcW w:w="415" w:type="pct"/>
                  <w:tcBorders>
                    <w:top w:val="single" w:color="auto" w:sz="12" w:space="0"/>
                    <w:left w:val="single" w:color="auto" w:sz="4" w:space="0"/>
                    <w:bottom w:val="single" w:color="auto" w:sz="4" w:space="0"/>
                    <w:right w:val="single" w:color="auto" w:sz="4" w:space="0"/>
                  </w:tcBorders>
                  <w:vAlign w:val="center"/>
                </w:tcPr>
                <w:p>
                  <w:pPr>
                    <w:jc w:val="center"/>
                    <w:rPr>
                      <w:b/>
                      <w:bCs/>
                      <w:color w:val="auto"/>
                    </w:rPr>
                  </w:pPr>
                  <w:r>
                    <w:rPr>
                      <w:b/>
                      <w:bCs/>
                      <w:color w:val="auto"/>
                    </w:rPr>
                    <w:t>方位</w:t>
                  </w:r>
                </w:p>
              </w:tc>
              <w:tc>
                <w:tcPr>
                  <w:tcW w:w="557" w:type="pct"/>
                  <w:tcBorders>
                    <w:top w:val="single" w:color="auto" w:sz="12" w:space="0"/>
                    <w:left w:val="single" w:color="auto" w:sz="4" w:space="0"/>
                    <w:bottom w:val="single" w:color="auto" w:sz="4" w:space="0"/>
                    <w:right w:val="single" w:color="auto" w:sz="4" w:space="0"/>
                  </w:tcBorders>
                  <w:vAlign w:val="center"/>
                </w:tcPr>
                <w:p>
                  <w:pPr>
                    <w:jc w:val="center"/>
                    <w:rPr>
                      <w:b/>
                      <w:bCs/>
                      <w:color w:val="auto"/>
                    </w:rPr>
                  </w:pPr>
                  <w:r>
                    <w:rPr>
                      <w:b/>
                      <w:bCs/>
                      <w:color w:val="auto"/>
                    </w:rPr>
                    <w:t>距离</w:t>
                  </w:r>
                </w:p>
              </w:tc>
              <w:tc>
                <w:tcPr>
                  <w:tcW w:w="689" w:type="pct"/>
                  <w:tcBorders>
                    <w:top w:val="single" w:color="auto" w:sz="12" w:space="0"/>
                    <w:left w:val="single" w:color="auto" w:sz="4" w:space="0"/>
                    <w:bottom w:val="single" w:color="auto" w:sz="4" w:space="0"/>
                    <w:right w:val="single" w:color="auto" w:sz="4" w:space="0"/>
                  </w:tcBorders>
                  <w:vAlign w:val="center"/>
                </w:tcPr>
                <w:p>
                  <w:pPr>
                    <w:jc w:val="center"/>
                    <w:rPr>
                      <w:b/>
                      <w:bCs/>
                      <w:color w:val="auto"/>
                    </w:rPr>
                  </w:pPr>
                  <w:r>
                    <w:rPr>
                      <w:b/>
                      <w:bCs/>
                      <w:color w:val="auto"/>
                    </w:rPr>
                    <w:t>规模</w:t>
                  </w:r>
                </w:p>
              </w:tc>
              <w:tc>
                <w:tcPr>
                  <w:tcW w:w="1867" w:type="pct"/>
                  <w:tcBorders>
                    <w:top w:val="single" w:color="auto" w:sz="12" w:space="0"/>
                    <w:left w:val="single" w:color="auto" w:sz="4" w:space="0"/>
                    <w:bottom w:val="single" w:color="auto" w:sz="4" w:space="0"/>
                    <w:right w:val="nil"/>
                  </w:tcBorders>
                  <w:vAlign w:val="center"/>
                </w:tcPr>
                <w:p>
                  <w:pPr>
                    <w:jc w:val="center"/>
                    <w:rPr>
                      <w:b/>
                      <w:bCs/>
                      <w:color w:val="auto"/>
                    </w:rPr>
                  </w:pPr>
                  <w:r>
                    <w:rPr>
                      <w:b/>
                      <w:bCs/>
                      <w:color w:val="auto"/>
                    </w:rPr>
                    <w:t>执行环境标准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Merge w:val="restart"/>
                  <w:tcBorders>
                    <w:top w:val="single" w:color="auto" w:sz="4" w:space="0"/>
                    <w:left w:val="nil"/>
                    <w:right w:val="single" w:color="auto" w:sz="4" w:space="0"/>
                  </w:tcBorders>
                  <w:vAlign w:val="center"/>
                </w:tcPr>
                <w:p>
                  <w:pPr>
                    <w:adjustRightInd w:val="0"/>
                    <w:snapToGrid w:val="0"/>
                    <w:jc w:val="center"/>
                    <w:rPr>
                      <w:color w:val="auto"/>
                      <w:szCs w:val="21"/>
                    </w:rPr>
                  </w:pPr>
                  <w:r>
                    <w:rPr>
                      <w:color w:val="auto"/>
                      <w:szCs w:val="21"/>
                    </w:rPr>
                    <w:t>声环境</w:t>
                  </w:r>
                </w:p>
              </w:tc>
              <w:tc>
                <w:tcPr>
                  <w:tcW w:w="103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厂界</w:t>
                  </w:r>
                </w:p>
              </w:tc>
              <w:tc>
                <w:tcPr>
                  <w:tcW w:w="4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w:t>
                  </w:r>
                </w:p>
              </w:tc>
              <w:tc>
                <w:tcPr>
                  <w:tcW w:w="5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w:t>
                  </w:r>
                </w:p>
              </w:tc>
              <w:tc>
                <w:tcPr>
                  <w:tcW w:w="1867" w:type="pct"/>
                  <w:tcBorders>
                    <w:top w:val="single" w:color="auto" w:sz="4" w:space="0"/>
                    <w:left w:val="single" w:color="auto" w:sz="4" w:space="0"/>
                    <w:bottom w:val="single" w:color="auto" w:sz="4" w:space="0"/>
                    <w:right w:val="nil"/>
                  </w:tcBorders>
                  <w:vAlign w:val="center"/>
                </w:tcPr>
                <w:p>
                  <w:pPr>
                    <w:adjustRightInd w:val="0"/>
                    <w:snapToGrid w:val="0"/>
                    <w:jc w:val="center"/>
                    <w:rPr>
                      <w:color w:val="auto"/>
                      <w:szCs w:val="21"/>
                      <w:lang w:val="zh-CN"/>
                    </w:rPr>
                  </w:pPr>
                  <w:r>
                    <w:rPr>
                      <w:color w:val="auto"/>
                      <w:szCs w:val="21"/>
                    </w:rPr>
                    <w:t>《声环境质量标准》（GB3096-2008）中的3类标准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vMerge w:val="continue"/>
                  <w:tcBorders>
                    <w:left w:val="nil"/>
                    <w:right w:val="single" w:color="auto" w:sz="4" w:space="0"/>
                  </w:tcBorders>
                  <w:vAlign w:val="center"/>
                </w:tcPr>
                <w:p>
                  <w:pPr>
                    <w:adjustRightInd w:val="0"/>
                    <w:snapToGrid w:val="0"/>
                    <w:jc w:val="center"/>
                    <w:rPr>
                      <w:color w:val="auto"/>
                      <w:szCs w:val="21"/>
                    </w:rPr>
                  </w:pPr>
                </w:p>
              </w:tc>
              <w:tc>
                <w:tcPr>
                  <w:tcW w:w="103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新风公寓</w:t>
                  </w:r>
                </w:p>
              </w:tc>
              <w:tc>
                <w:tcPr>
                  <w:tcW w:w="4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SE</w:t>
                  </w:r>
                </w:p>
              </w:tc>
              <w:tc>
                <w:tcPr>
                  <w:tcW w:w="5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43m</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830人</w:t>
                  </w:r>
                </w:p>
              </w:tc>
              <w:tc>
                <w:tcPr>
                  <w:tcW w:w="1867" w:type="pct"/>
                  <w:tcBorders>
                    <w:top w:val="single" w:color="auto" w:sz="4" w:space="0"/>
                    <w:left w:val="single" w:color="auto" w:sz="4" w:space="0"/>
                    <w:bottom w:val="single" w:color="auto" w:sz="4" w:space="0"/>
                    <w:right w:val="nil"/>
                  </w:tcBorders>
                  <w:vAlign w:val="center"/>
                </w:tcPr>
                <w:p>
                  <w:pPr>
                    <w:adjustRightInd w:val="0"/>
                    <w:snapToGrid w:val="0"/>
                    <w:jc w:val="center"/>
                    <w:rPr>
                      <w:color w:val="auto"/>
                      <w:szCs w:val="21"/>
                    </w:rPr>
                  </w:pPr>
                  <w:r>
                    <w:rPr>
                      <w:color w:val="auto"/>
                      <w:szCs w:val="21"/>
                    </w:rPr>
                    <w:t>《声环境质量标准》（GB3096-2008）中的</w:t>
                  </w:r>
                  <w:r>
                    <w:rPr>
                      <w:rFonts w:hint="eastAsia"/>
                      <w:color w:val="auto"/>
                      <w:szCs w:val="21"/>
                    </w:rPr>
                    <w:t>2</w:t>
                  </w:r>
                  <w:r>
                    <w:rPr>
                      <w:color w:val="auto"/>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433" w:type="pct"/>
                  <w:vMerge w:val="restart"/>
                  <w:tcBorders>
                    <w:top w:val="single" w:color="auto" w:sz="4" w:space="0"/>
                    <w:left w:val="nil"/>
                    <w:right w:val="single" w:color="auto" w:sz="4" w:space="0"/>
                  </w:tcBorders>
                  <w:vAlign w:val="center"/>
                </w:tcPr>
                <w:p>
                  <w:pPr>
                    <w:autoSpaceDE w:val="0"/>
                    <w:autoSpaceDN w:val="0"/>
                    <w:adjustRightInd w:val="0"/>
                    <w:jc w:val="center"/>
                    <w:rPr>
                      <w:color w:val="auto"/>
                    </w:rPr>
                  </w:pPr>
                  <w:r>
                    <w:rPr>
                      <w:color w:val="auto"/>
                    </w:rPr>
                    <w:t>生态</w:t>
                  </w:r>
                </w:p>
                <w:p>
                  <w:pPr>
                    <w:autoSpaceDE w:val="0"/>
                    <w:autoSpaceDN w:val="0"/>
                    <w:adjustRightInd w:val="0"/>
                    <w:jc w:val="center"/>
                    <w:rPr>
                      <w:color w:val="auto"/>
                    </w:rPr>
                  </w:pPr>
                  <w:r>
                    <w:rPr>
                      <w:color w:val="auto"/>
                    </w:rPr>
                    <w:t>环境</w:t>
                  </w:r>
                </w:p>
              </w:tc>
              <w:tc>
                <w:tcPr>
                  <w:tcW w:w="1037" w:type="pct"/>
                  <w:vMerge w:val="restart"/>
                  <w:tcBorders>
                    <w:top w:val="single" w:color="auto" w:sz="4" w:space="0"/>
                    <w:left w:val="single" w:color="auto" w:sz="4" w:space="0"/>
                    <w:right w:val="single" w:color="auto" w:sz="4" w:space="0"/>
                  </w:tcBorders>
                  <w:vAlign w:val="center"/>
                </w:tcPr>
                <w:p>
                  <w:pPr>
                    <w:jc w:val="center"/>
                    <w:rPr>
                      <w:color w:val="auto"/>
                    </w:rPr>
                  </w:pPr>
                  <w:r>
                    <w:rPr>
                      <w:color w:val="auto"/>
                      <w:kern w:val="0"/>
                      <w:szCs w:val="21"/>
                    </w:rPr>
                    <w:t>无锡宛山荡省级湿地公园</w:t>
                  </w:r>
                </w:p>
              </w:tc>
              <w:tc>
                <w:tcPr>
                  <w:tcW w:w="415" w:type="pct"/>
                  <w:tcBorders>
                    <w:top w:val="single" w:color="auto" w:sz="4" w:space="0"/>
                    <w:left w:val="single" w:color="auto" w:sz="4" w:space="0"/>
                    <w:bottom w:val="single" w:color="000000" w:sz="4" w:space="0"/>
                    <w:right w:val="single" w:color="auto" w:sz="4" w:space="0"/>
                  </w:tcBorders>
                  <w:vAlign w:val="center"/>
                </w:tcPr>
                <w:p>
                  <w:pPr>
                    <w:autoSpaceDE w:val="0"/>
                    <w:autoSpaceDN w:val="0"/>
                    <w:adjustRightInd w:val="0"/>
                    <w:snapToGrid w:val="0"/>
                    <w:jc w:val="center"/>
                    <w:rPr>
                      <w:color w:val="auto"/>
                    </w:rPr>
                  </w:pPr>
                  <w:r>
                    <w:rPr>
                      <w:color w:val="auto"/>
                    </w:rPr>
                    <w:t>SE</w:t>
                  </w:r>
                </w:p>
              </w:tc>
              <w:tc>
                <w:tcPr>
                  <w:tcW w:w="557" w:type="pct"/>
                  <w:tcBorders>
                    <w:top w:val="single" w:color="auto" w:sz="4" w:space="0"/>
                    <w:left w:val="single" w:color="auto" w:sz="4" w:space="0"/>
                    <w:bottom w:val="single" w:color="000000" w:sz="4" w:space="0"/>
                    <w:right w:val="single" w:color="auto" w:sz="4" w:space="0"/>
                  </w:tcBorders>
                  <w:vAlign w:val="center"/>
                </w:tcPr>
                <w:p>
                  <w:pPr>
                    <w:autoSpaceDE w:val="0"/>
                    <w:autoSpaceDN w:val="0"/>
                    <w:adjustRightInd w:val="0"/>
                    <w:snapToGrid w:val="0"/>
                    <w:jc w:val="center"/>
                    <w:rPr>
                      <w:color w:val="auto"/>
                    </w:rPr>
                  </w:pPr>
                  <w:r>
                    <w:rPr>
                      <w:rFonts w:hint="eastAsia"/>
                      <w:color w:val="auto"/>
                    </w:rPr>
                    <w:t>9.4</w:t>
                  </w:r>
                  <w:r>
                    <w:rPr>
                      <w:color w:val="auto"/>
                    </w:rPr>
                    <w:t>km</w:t>
                  </w:r>
                </w:p>
              </w:tc>
              <w:tc>
                <w:tcPr>
                  <w:tcW w:w="689" w:type="pct"/>
                  <w:tcBorders>
                    <w:top w:val="single" w:color="auto" w:sz="4" w:space="0"/>
                    <w:left w:val="single" w:color="auto" w:sz="4" w:space="0"/>
                    <w:bottom w:val="single" w:color="000000" w:sz="4" w:space="0"/>
                    <w:right w:val="single" w:color="auto" w:sz="4" w:space="0"/>
                  </w:tcBorders>
                  <w:vAlign w:val="center"/>
                </w:tcPr>
                <w:p>
                  <w:pPr>
                    <w:adjustRightInd w:val="0"/>
                    <w:snapToGrid w:val="0"/>
                    <w:jc w:val="center"/>
                    <w:rPr>
                      <w:color w:val="auto"/>
                    </w:rPr>
                  </w:pPr>
                  <w:r>
                    <w:rPr>
                      <w:rFonts w:hint="eastAsia"/>
                      <w:color w:val="auto"/>
                      <w:lang w:val="en-US" w:eastAsia="zh-CN"/>
                    </w:rPr>
                    <w:t>0.34</w:t>
                  </w:r>
                  <w:r>
                    <w:rPr>
                      <w:color w:val="auto"/>
                    </w:rPr>
                    <w:t>km</w:t>
                  </w:r>
                  <w:r>
                    <w:rPr>
                      <w:color w:val="auto"/>
                      <w:vertAlign w:val="superscript"/>
                    </w:rPr>
                    <w:t>2</w:t>
                  </w:r>
                </w:p>
              </w:tc>
              <w:tc>
                <w:tcPr>
                  <w:tcW w:w="1867" w:type="pct"/>
                  <w:vMerge w:val="restart"/>
                  <w:tcBorders>
                    <w:top w:val="single" w:color="auto" w:sz="4" w:space="0"/>
                    <w:left w:val="single" w:color="auto" w:sz="4" w:space="0"/>
                    <w:right w:val="nil"/>
                  </w:tcBorders>
                  <w:vAlign w:val="center"/>
                </w:tcPr>
                <w:p>
                  <w:pPr>
                    <w:autoSpaceDE w:val="0"/>
                    <w:autoSpaceDN w:val="0"/>
                    <w:adjustRightInd w:val="0"/>
                    <w:snapToGrid w:val="0"/>
                    <w:jc w:val="center"/>
                    <w:rPr>
                      <w:color w:val="auto"/>
                    </w:rPr>
                  </w:pPr>
                  <w:r>
                    <w:rPr>
                      <w:color w:val="auto"/>
                      <w:lang w:val="zh-CN"/>
                    </w:rPr>
                    <w:t>《江苏省国家级生态保护红线规划》、《江苏省生态空间管控区域规划》</w:t>
                  </w:r>
                  <w:r>
                    <w:rPr>
                      <w:color w:val="auto"/>
                    </w:rPr>
                    <w:t>湿地生态系统保护区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33" w:type="pct"/>
                  <w:vMerge w:val="continue"/>
                  <w:tcBorders>
                    <w:left w:val="nil"/>
                    <w:right w:val="single" w:color="auto" w:sz="4" w:space="0"/>
                  </w:tcBorders>
                  <w:vAlign w:val="center"/>
                </w:tcPr>
                <w:p>
                  <w:pPr>
                    <w:autoSpaceDE w:val="0"/>
                    <w:autoSpaceDN w:val="0"/>
                    <w:adjustRightInd w:val="0"/>
                    <w:jc w:val="center"/>
                    <w:rPr>
                      <w:color w:val="auto"/>
                    </w:rPr>
                  </w:pPr>
                </w:p>
              </w:tc>
              <w:tc>
                <w:tcPr>
                  <w:tcW w:w="1037" w:type="pct"/>
                  <w:vMerge w:val="continue"/>
                  <w:tcBorders>
                    <w:left w:val="single" w:color="auto" w:sz="4" w:space="0"/>
                    <w:right w:val="single" w:color="auto" w:sz="4" w:space="0"/>
                  </w:tcBorders>
                  <w:vAlign w:val="center"/>
                </w:tcPr>
                <w:p>
                  <w:pPr>
                    <w:jc w:val="center"/>
                    <w:rPr>
                      <w:color w:val="auto"/>
                      <w:kern w:val="0"/>
                      <w:szCs w:val="21"/>
                    </w:rPr>
                  </w:pPr>
                </w:p>
              </w:tc>
              <w:tc>
                <w:tcPr>
                  <w:tcW w:w="415" w:type="pct"/>
                  <w:tcBorders>
                    <w:top w:val="single" w:color="000000" w:sz="4" w:space="0"/>
                    <w:left w:val="single" w:color="auto" w:sz="4" w:space="0"/>
                    <w:right w:val="single" w:color="auto" w:sz="4" w:space="0"/>
                  </w:tcBorders>
                  <w:vAlign w:val="center"/>
                </w:tcPr>
                <w:p>
                  <w:pPr>
                    <w:autoSpaceDE w:val="0"/>
                    <w:autoSpaceDN w:val="0"/>
                    <w:adjustRightInd w:val="0"/>
                    <w:snapToGrid w:val="0"/>
                    <w:jc w:val="center"/>
                    <w:rPr>
                      <w:color w:val="auto"/>
                    </w:rPr>
                  </w:pPr>
                  <w:r>
                    <w:rPr>
                      <w:color w:val="auto"/>
                    </w:rPr>
                    <w:t>SE</w:t>
                  </w:r>
                </w:p>
              </w:tc>
              <w:tc>
                <w:tcPr>
                  <w:tcW w:w="557" w:type="pct"/>
                  <w:tcBorders>
                    <w:top w:val="single" w:color="000000" w:sz="4" w:space="0"/>
                    <w:left w:val="single" w:color="auto" w:sz="4" w:space="0"/>
                    <w:right w:val="single" w:color="auto" w:sz="4" w:space="0"/>
                  </w:tcBorders>
                  <w:vAlign w:val="center"/>
                </w:tcPr>
                <w:p>
                  <w:pPr>
                    <w:autoSpaceDE w:val="0"/>
                    <w:autoSpaceDN w:val="0"/>
                    <w:adjustRightInd w:val="0"/>
                    <w:snapToGrid w:val="0"/>
                    <w:jc w:val="center"/>
                    <w:rPr>
                      <w:rFonts w:hint="default" w:eastAsia="宋体"/>
                      <w:color w:val="auto"/>
                      <w:lang w:val="en-US" w:eastAsia="zh-CN"/>
                    </w:rPr>
                  </w:pPr>
                  <w:r>
                    <w:rPr>
                      <w:rFonts w:hint="eastAsia"/>
                      <w:color w:val="auto"/>
                      <w:lang w:val="en-US" w:eastAsia="zh-CN"/>
                    </w:rPr>
                    <w:t>9.3km</w:t>
                  </w:r>
                </w:p>
              </w:tc>
              <w:tc>
                <w:tcPr>
                  <w:tcW w:w="689" w:type="pct"/>
                  <w:tcBorders>
                    <w:top w:val="single" w:color="000000"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olor w:val="auto"/>
                      <w:lang w:val="en-US" w:eastAsia="zh-CN"/>
                    </w:rPr>
                  </w:pPr>
                  <w:r>
                    <w:rPr>
                      <w:rFonts w:hint="eastAsia"/>
                      <w:color w:val="auto"/>
                      <w:lang w:val="en-US" w:eastAsia="zh-CN"/>
                    </w:rPr>
                    <w:t>2.09</w:t>
                  </w:r>
                  <w:r>
                    <w:rPr>
                      <w:color w:val="auto"/>
                    </w:rPr>
                    <w:t>km</w:t>
                  </w:r>
                  <w:r>
                    <w:rPr>
                      <w:color w:val="auto"/>
                      <w:vertAlign w:val="superscript"/>
                    </w:rPr>
                    <w:t>2</w:t>
                  </w:r>
                </w:p>
              </w:tc>
              <w:tc>
                <w:tcPr>
                  <w:tcW w:w="1867" w:type="pct"/>
                  <w:vMerge w:val="continue"/>
                  <w:tcBorders>
                    <w:left w:val="single" w:color="auto" w:sz="4" w:space="0"/>
                    <w:right w:val="nil"/>
                  </w:tcBorders>
                  <w:vAlign w:val="center"/>
                </w:tcPr>
                <w:p>
                  <w:pPr>
                    <w:autoSpaceDE w:val="0"/>
                    <w:autoSpaceDN w:val="0"/>
                    <w:adjustRightInd w:val="0"/>
                    <w:snapToGrid w:val="0"/>
                    <w:jc w:val="center"/>
                    <w:rPr>
                      <w:color w:val="auto"/>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3" w:type="pct"/>
                  <w:tcBorders>
                    <w:top w:val="single" w:color="auto" w:sz="4" w:space="0"/>
                    <w:left w:val="nil"/>
                    <w:bottom w:val="single" w:color="auto" w:sz="4" w:space="0"/>
                    <w:right w:val="single" w:color="auto" w:sz="4" w:space="0"/>
                  </w:tcBorders>
                  <w:vAlign w:val="center"/>
                </w:tcPr>
                <w:p>
                  <w:pPr>
                    <w:autoSpaceDE w:val="0"/>
                    <w:autoSpaceDN w:val="0"/>
                    <w:adjustRightInd w:val="0"/>
                    <w:jc w:val="center"/>
                    <w:rPr>
                      <w:color w:val="auto"/>
                    </w:rPr>
                  </w:pPr>
                  <w:r>
                    <w:rPr>
                      <w:color w:val="auto"/>
                    </w:rPr>
                    <w:t>地下水</w:t>
                  </w:r>
                </w:p>
              </w:tc>
              <w:tc>
                <w:tcPr>
                  <w:tcW w:w="103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rFonts w:hint="eastAsia"/>
                      <w:color w:val="auto"/>
                    </w:rPr>
                    <w:t>/</w:t>
                  </w:r>
                </w:p>
              </w:tc>
              <w:tc>
                <w:tcPr>
                  <w:tcW w:w="415"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w:t>
                  </w:r>
                </w:p>
              </w:tc>
              <w:tc>
                <w:tcPr>
                  <w:tcW w:w="55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w:t>
                  </w:r>
                </w:p>
              </w:tc>
              <w:tc>
                <w:tcPr>
                  <w:tcW w:w="689"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color w:val="auto"/>
                    </w:rPr>
                    <w:t>/</w:t>
                  </w:r>
                </w:p>
              </w:tc>
              <w:tc>
                <w:tcPr>
                  <w:tcW w:w="1867" w:type="pct"/>
                  <w:tcBorders>
                    <w:top w:val="single" w:color="auto" w:sz="4" w:space="0"/>
                    <w:left w:val="single" w:color="auto" w:sz="4" w:space="0"/>
                    <w:bottom w:val="single" w:color="auto" w:sz="4" w:space="0"/>
                    <w:right w:val="nil"/>
                  </w:tcBorders>
                  <w:vAlign w:val="center"/>
                </w:tcPr>
                <w:p>
                  <w:pPr>
                    <w:autoSpaceDE w:val="0"/>
                    <w:autoSpaceDN w:val="0"/>
                    <w:adjustRightInd w:val="0"/>
                    <w:jc w:val="center"/>
                    <w:rPr>
                      <w:color w:val="auto"/>
                      <w:lang w:val="zh-CN"/>
                    </w:rPr>
                  </w:pPr>
                  <w:r>
                    <w:rPr>
                      <w:color w:val="auto"/>
                    </w:rPr>
                    <w:t>《地下水质量标准》（GB/T 14848-2017）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op w:val="single" w:color="auto" w:sz="4" w:space="0"/>
                    <w:left w:val="nil"/>
                    <w:bottom w:val="single" w:color="auto" w:sz="12" w:space="0"/>
                    <w:right w:val="single" w:color="auto" w:sz="4" w:space="0"/>
                  </w:tcBorders>
                  <w:vAlign w:val="center"/>
                </w:tcPr>
                <w:p>
                  <w:pPr>
                    <w:autoSpaceDE w:val="0"/>
                    <w:autoSpaceDN w:val="0"/>
                    <w:adjustRightInd w:val="0"/>
                    <w:jc w:val="center"/>
                    <w:rPr>
                      <w:color w:val="auto"/>
                    </w:rPr>
                  </w:pPr>
                  <w:r>
                    <w:rPr>
                      <w:color w:val="auto"/>
                    </w:rPr>
                    <w:t>土壤</w:t>
                  </w:r>
                </w:p>
              </w:tc>
              <w:tc>
                <w:tcPr>
                  <w:tcW w:w="1037" w:type="pct"/>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color w:val="auto"/>
                    </w:rPr>
                  </w:pPr>
                  <w:r>
                    <w:rPr>
                      <w:rFonts w:hint="eastAsia"/>
                      <w:color w:val="auto"/>
                    </w:rPr>
                    <w:t>/</w:t>
                  </w:r>
                </w:p>
              </w:tc>
              <w:tc>
                <w:tcPr>
                  <w:tcW w:w="415" w:type="pct"/>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color w:val="auto"/>
                    </w:rPr>
                  </w:pPr>
                  <w:r>
                    <w:rPr>
                      <w:color w:val="auto"/>
                    </w:rPr>
                    <w:t>/</w:t>
                  </w:r>
                </w:p>
              </w:tc>
              <w:tc>
                <w:tcPr>
                  <w:tcW w:w="557" w:type="pct"/>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color w:val="auto"/>
                    </w:rPr>
                  </w:pPr>
                  <w:r>
                    <w:rPr>
                      <w:color w:val="auto"/>
                    </w:rPr>
                    <w:t>/</w:t>
                  </w:r>
                </w:p>
              </w:tc>
              <w:tc>
                <w:tcPr>
                  <w:tcW w:w="689" w:type="pct"/>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color w:val="auto"/>
                    </w:rPr>
                  </w:pPr>
                  <w:r>
                    <w:rPr>
                      <w:color w:val="auto"/>
                    </w:rPr>
                    <w:t>/</w:t>
                  </w:r>
                </w:p>
              </w:tc>
              <w:tc>
                <w:tcPr>
                  <w:tcW w:w="1867" w:type="pct"/>
                  <w:tcBorders>
                    <w:top w:val="single" w:color="auto" w:sz="4" w:space="0"/>
                    <w:left w:val="single" w:color="auto" w:sz="4" w:space="0"/>
                    <w:bottom w:val="single" w:color="auto" w:sz="12" w:space="0"/>
                    <w:right w:val="nil"/>
                  </w:tcBorders>
                  <w:vAlign w:val="center"/>
                </w:tcPr>
                <w:p>
                  <w:pPr>
                    <w:autoSpaceDE w:val="0"/>
                    <w:autoSpaceDN w:val="0"/>
                    <w:adjustRightInd w:val="0"/>
                    <w:jc w:val="center"/>
                    <w:rPr>
                      <w:color w:val="auto"/>
                      <w:lang w:val="zh-CN"/>
                    </w:rPr>
                  </w:pPr>
                  <w:r>
                    <w:rPr>
                      <w:color w:val="auto"/>
                    </w:rPr>
                    <w:t>《土壤环境质量 建设用地土壤污染风险管控标准》（GB 36600-2018）</w:t>
                  </w:r>
                </w:p>
              </w:tc>
            </w:tr>
          </w:tbl>
          <w:p>
            <w:pPr>
              <w:pStyle w:val="23"/>
              <w:autoSpaceDE w:val="0"/>
              <w:autoSpaceDN w:val="0"/>
              <w:adjustRightInd w:val="0"/>
              <w:snapToGrid w:val="0"/>
              <w:spacing w:before="0" w:beforeAutospacing="0" w:after="0" w:afterAutospacing="0" w:line="360" w:lineRule="auto"/>
              <w:jc w:val="both"/>
              <w:rPr>
                <w:rFonts w:ascii="Times New Roman" w:hAnsi="Times New Roman"/>
                <w:color w:val="auto"/>
              </w:rPr>
            </w:pPr>
          </w:p>
          <w:p>
            <w:pPr>
              <w:pStyle w:val="23"/>
              <w:autoSpaceDE w:val="0"/>
              <w:autoSpaceDN w:val="0"/>
              <w:adjustRightInd w:val="0"/>
              <w:snapToGrid w:val="0"/>
              <w:spacing w:before="0" w:beforeAutospacing="0" w:after="0" w:afterAutospacing="0" w:line="360" w:lineRule="auto"/>
              <w:jc w:val="both"/>
              <w:rPr>
                <w:rFonts w:ascii="Times New Roman" w:hAnsi="Times New Roman"/>
                <w:color w:val="auto"/>
              </w:rPr>
            </w:pPr>
          </w:p>
          <w:p>
            <w:pPr>
              <w:pStyle w:val="23"/>
              <w:autoSpaceDE w:val="0"/>
              <w:autoSpaceDN w:val="0"/>
              <w:adjustRightInd w:val="0"/>
              <w:snapToGrid w:val="0"/>
              <w:spacing w:before="0" w:beforeAutospacing="0" w:after="0" w:afterAutospacing="0" w:line="360" w:lineRule="auto"/>
              <w:jc w:val="both"/>
              <w:rPr>
                <w:rFonts w:ascii="Times New Roman" w:hAnsi="Times New Roman"/>
                <w:color w:val="auto"/>
              </w:rPr>
            </w:pPr>
          </w:p>
          <w:p>
            <w:pPr>
              <w:pStyle w:val="23"/>
              <w:autoSpaceDE w:val="0"/>
              <w:autoSpaceDN w:val="0"/>
              <w:adjustRightInd w:val="0"/>
              <w:snapToGrid w:val="0"/>
              <w:spacing w:before="0" w:beforeAutospacing="0" w:after="0" w:afterAutospacing="0" w:line="360" w:lineRule="auto"/>
              <w:jc w:val="both"/>
              <w:rPr>
                <w:rFonts w:ascii="Times New Roman" w:hAnsi="Times New Roman"/>
                <w:color w:val="auto"/>
              </w:rPr>
            </w:pPr>
          </w:p>
          <w:p>
            <w:pPr>
              <w:pStyle w:val="23"/>
              <w:autoSpaceDE w:val="0"/>
              <w:autoSpaceDN w:val="0"/>
              <w:adjustRightInd w:val="0"/>
              <w:snapToGrid w:val="0"/>
              <w:spacing w:before="0" w:beforeAutospacing="0" w:after="0" w:afterAutospacing="0" w:line="360" w:lineRule="auto"/>
              <w:jc w:val="both"/>
              <w:rPr>
                <w:rFonts w:ascii="Times New Roman" w:hAnsi="Times New Roman"/>
                <w:color w:val="auto"/>
              </w:rPr>
            </w:pPr>
          </w:p>
          <w:p>
            <w:pPr>
              <w:pStyle w:val="23"/>
              <w:autoSpaceDE w:val="0"/>
              <w:autoSpaceDN w:val="0"/>
              <w:adjustRightInd w:val="0"/>
              <w:snapToGrid w:val="0"/>
              <w:spacing w:before="0" w:beforeAutospacing="0" w:after="0" w:afterAutospacing="0" w:line="360" w:lineRule="auto"/>
              <w:jc w:val="both"/>
              <w:rPr>
                <w:rFonts w:ascii="Times New Roman" w:hAnsi="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35" w:hRule="atLeast"/>
          <w:jc w:val="center"/>
        </w:trPr>
        <w:tc>
          <w:tcPr>
            <w:tcW w:w="236" w:type="pct"/>
            <w:tcMar>
              <w:left w:w="28" w:type="dxa"/>
              <w:right w:w="28" w:type="dxa"/>
            </w:tcMar>
            <w:vAlign w:val="center"/>
          </w:tcPr>
          <w:p>
            <w:pPr>
              <w:adjustRightInd w:val="0"/>
              <w:snapToGrid w:val="0"/>
              <w:jc w:val="center"/>
              <w:rPr>
                <w:color w:val="auto"/>
                <w:kern w:val="0"/>
                <w:sz w:val="24"/>
              </w:rPr>
            </w:pPr>
          </w:p>
          <w:p>
            <w:pPr>
              <w:adjustRightInd w:val="0"/>
              <w:snapToGrid w:val="0"/>
              <w:jc w:val="center"/>
              <w:rPr>
                <w:color w:val="auto"/>
                <w:kern w:val="0"/>
                <w:sz w:val="24"/>
              </w:rPr>
            </w:pPr>
            <w:r>
              <w:rPr>
                <w:color w:val="auto"/>
                <w:kern w:val="0"/>
                <w:sz w:val="24"/>
              </w:rPr>
              <w:t>污染</w:t>
            </w:r>
          </w:p>
          <w:p>
            <w:pPr>
              <w:adjustRightInd w:val="0"/>
              <w:snapToGrid w:val="0"/>
              <w:jc w:val="center"/>
              <w:rPr>
                <w:color w:val="auto"/>
                <w:kern w:val="0"/>
                <w:sz w:val="24"/>
              </w:rPr>
            </w:pPr>
            <w:r>
              <w:rPr>
                <w:color w:val="auto"/>
                <w:kern w:val="0"/>
                <w:sz w:val="24"/>
              </w:rPr>
              <w:t>物排</w:t>
            </w:r>
          </w:p>
          <w:p>
            <w:pPr>
              <w:adjustRightInd w:val="0"/>
              <w:snapToGrid w:val="0"/>
              <w:jc w:val="center"/>
              <w:rPr>
                <w:color w:val="auto"/>
                <w:kern w:val="0"/>
                <w:sz w:val="24"/>
              </w:rPr>
            </w:pPr>
            <w:r>
              <w:rPr>
                <w:color w:val="auto"/>
                <w:kern w:val="0"/>
                <w:sz w:val="24"/>
              </w:rPr>
              <w:t>放控</w:t>
            </w:r>
          </w:p>
          <w:p>
            <w:pPr>
              <w:adjustRightInd w:val="0"/>
              <w:snapToGrid w:val="0"/>
              <w:jc w:val="center"/>
              <w:rPr>
                <w:color w:val="auto"/>
                <w:kern w:val="0"/>
                <w:sz w:val="24"/>
              </w:rPr>
            </w:pPr>
            <w:r>
              <w:rPr>
                <w:color w:val="auto"/>
                <w:kern w:val="0"/>
                <w:sz w:val="24"/>
              </w:rPr>
              <w:t>制标</w:t>
            </w:r>
          </w:p>
          <w:p>
            <w:pPr>
              <w:adjustRightInd w:val="0"/>
              <w:snapToGrid w:val="0"/>
              <w:jc w:val="center"/>
              <w:rPr>
                <w:color w:val="auto"/>
                <w:kern w:val="0"/>
                <w:szCs w:val="21"/>
              </w:rPr>
            </w:pPr>
            <w:r>
              <w:rPr>
                <w:color w:val="auto"/>
                <w:kern w:val="0"/>
                <w:sz w:val="24"/>
              </w:rPr>
              <w:t>准</w:t>
            </w:r>
          </w:p>
        </w:tc>
        <w:tc>
          <w:tcPr>
            <w:tcW w:w="4763" w:type="pct"/>
            <w:vAlign w:val="center"/>
          </w:tcPr>
          <w:p>
            <w:pPr>
              <w:adjustRightInd w:val="0"/>
              <w:snapToGrid w:val="0"/>
              <w:spacing w:line="360" w:lineRule="auto"/>
              <w:rPr>
                <w:b/>
                <w:bCs/>
                <w:color w:val="auto"/>
                <w:sz w:val="24"/>
              </w:rPr>
            </w:pPr>
            <w:r>
              <w:rPr>
                <w:b/>
                <w:bCs/>
                <w:color w:val="auto"/>
                <w:sz w:val="24"/>
              </w:rPr>
              <w:t>一、环境质量标准</w:t>
            </w:r>
          </w:p>
          <w:p>
            <w:pPr>
              <w:adjustRightInd w:val="0"/>
              <w:snapToGrid w:val="0"/>
              <w:spacing w:line="360" w:lineRule="auto"/>
              <w:ind w:firstLine="482" w:firstLineChars="200"/>
              <w:rPr>
                <w:b/>
                <w:bCs/>
                <w:color w:val="auto"/>
                <w:sz w:val="24"/>
              </w:rPr>
            </w:pPr>
            <w:r>
              <w:rPr>
                <w:b/>
                <w:bCs/>
                <w:color w:val="auto"/>
                <w:sz w:val="24"/>
              </w:rPr>
              <w:t>1、大气环境质量标准</w:t>
            </w:r>
          </w:p>
          <w:p>
            <w:pPr>
              <w:adjustRightInd w:val="0"/>
              <w:snapToGrid w:val="0"/>
              <w:spacing w:line="360" w:lineRule="auto"/>
              <w:ind w:firstLine="480" w:firstLineChars="200"/>
              <w:rPr>
                <w:color w:val="auto"/>
                <w:sz w:val="24"/>
              </w:rPr>
            </w:pPr>
            <w:r>
              <w:rPr>
                <w:snapToGrid w:val="0"/>
                <w:color w:val="auto"/>
                <w:kern w:val="0"/>
                <w:sz w:val="24"/>
              </w:rPr>
              <w:t>根据《市政府办公室关于转发市环保局无锡市环境空气质量功能区划的通知》（锡政办[2011]300号），</w:t>
            </w:r>
            <w:r>
              <w:rPr>
                <w:color w:val="auto"/>
                <w:sz w:val="24"/>
              </w:rPr>
              <w:t>本项目所在地空气质量功能区为二类区。SO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、PM</w:t>
            </w:r>
            <w:r>
              <w:rPr>
                <w:color w:val="auto"/>
                <w:sz w:val="24"/>
                <w:vertAlign w:val="subscript"/>
              </w:rPr>
              <w:t>2.5</w:t>
            </w:r>
            <w:r>
              <w:rPr>
                <w:color w:val="auto"/>
                <w:sz w:val="24"/>
              </w:rPr>
              <w:t>、O</w:t>
            </w:r>
            <w:r>
              <w:rPr>
                <w:color w:val="auto"/>
                <w:sz w:val="24"/>
                <w:vertAlign w:val="subscript"/>
              </w:rPr>
              <w:t>3</w:t>
            </w:r>
            <w:r>
              <w:rPr>
                <w:color w:val="auto"/>
                <w:sz w:val="24"/>
              </w:rPr>
              <w:t>、CO执行《环境空气质量标准》（GB3095-2012）中二级标准；</w:t>
            </w:r>
            <w:r>
              <w:rPr>
                <w:bCs/>
                <w:color w:val="auto"/>
                <w:sz w:val="24"/>
              </w:rPr>
              <w:t>非甲烷总烃</w:t>
            </w:r>
            <w:r>
              <w:rPr>
                <w:bCs/>
                <w:snapToGrid w:val="0"/>
                <w:color w:val="auto"/>
                <w:kern w:val="0"/>
                <w:sz w:val="24"/>
              </w:rPr>
              <w:t>执行《大气污染物综合排放标准详解》中的限值要求</w:t>
            </w:r>
            <w:r>
              <w:rPr>
                <w:color w:val="auto"/>
                <w:sz w:val="24"/>
              </w:rPr>
              <w:t>，具体值见表3-</w:t>
            </w:r>
            <w:r>
              <w:rPr>
                <w:rFonts w:hint="eastAsia"/>
                <w:color w:val="auto"/>
                <w:sz w:val="24"/>
              </w:rPr>
              <w:t>9</w:t>
            </w:r>
            <w:r>
              <w:rPr>
                <w:color w:val="auto"/>
                <w:sz w:val="24"/>
              </w:rPr>
              <w:t>。</w:t>
            </w:r>
          </w:p>
          <w:p>
            <w:pPr>
              <w:numPr>
                <w:ilvl w:val="0"/>
                <w:numId w:val="11"/>
              </w:numPr>
              <w:snapToGrid w:val="0"/>
              <w:jc w:val="center"/>
              <w:rPr>
                <w:b/>
                <w:bCs/>
                <w:color w:val="auto"/>
                <w:sz w:val="24"/>
              </w:rPr>
            </w:pPr>
            <w:r>
              <w:rPr>
                <w:b/>
                <w:bCs/>
                <w:color w:val="auto"/>
                <w:sz w:val="24"/>
              </w:rPr>
              <w:t>环境空气质量标准</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1577"/>
              <w:gridCol w:w="1107"/>
              <w:gridCol w:w="1005"/>
              <w:gridCol w:w="28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Align w:val="center"/>
                </w:tcPr>
                <w:p>
                  <w:pPr>
                    <w:adjustRightInd w:val="0"/>
                    <w:snapToGrid w:val="0"/>
                    <w:jc w:val="center"/>
                    <w:rPr>
                      <w:b/>
                      <w:color w:val="auto"/>
                    </w:rPr>
                  </w:pPr>
                  <w:r>
                    <w:rPr>
                      <w:b/>
                      <w:bCs/>
                      <w:color w:val="auto"/>
                    </w:rPr>
                    <w:t>污染物名称</w:t>
                  </w:r>
                </w:p>
              </w:tc>
              <w:tc>
                <w:tcPr>
                  <w:tcW w:w="997" w:type="pct"/>
                  <w:vAlign w:val="center"/>
                </w:tcPr>
                <w:p>
                  <w:pPr>
                    <w:adjustRightInd w:val="0"/>
                    <w:snapToGrid w:val="0"/>
                    <w:jc w:val="center"/>
                    <w:rPr>
                      <w:b/>
                      <w:color w:val="auto"/>
                    </w:rPr>
                  </w:pPr>
                  <w:r>
                    <w:rPr>
                      <w:b/>
                      <w:bCs/>
                      <w:color w:val="auto"/>
                    </w:rPr>
                    <w:t>取值标准</w:t>
                  </w:r>
                </w:p>
              </w:tc>
              <w:tc>
                <w:tcPr>
                  <w:tcW w:w="700" w:type="pct"/>
                  <w:vAlign w:val="center"/>
                </w:tcPr>
                <w:p>
                  <w:pPr>
                    <w:adjustRightInd w:val="0"/>
                    <w:snapToGrid w:val="0"/>
                    <w:jc w:val="center"/>
                    <w:rPr>
                      <w:b/>
                      <w:color w:val="auto"/>
                    </w:rPr>
                  </w:pPr>
                  <w:r>
                    <w:rPr>
                      <w:b/>
                      <w:bCs/>
                      <w:color w:val="auto"/>
                    </w:rPr>
                    <w:t>浓度限值</w:t>
                  </w:r>
                </w:p>
              </w:tc>
              <w:tc>
                <w:tcPr>
                  <w:tcW w:w="636" w:type="pct"/>
                  <w:vAlign w:val="center"/>
                </w:tcPr>
                <w:p>
                  <w:pPr>
                    <w:adjustRightInd w:val="0"/>
                    <w:snapToGrid w:val="0"/>
                    <w:jc w:val="center"/>
                    <w:rPr>
                      <w:b/>
                      <w:color w:val="auto"/>
                    </w:rPr>
                  </w:pPr>
                  <w:r>
                    <w:rPr>
                      <w:b/>
                      <w:color w:val="auto"/>
                    </w:rPr>
                    <w:t>单位</w:t>
                  </w:r>
                </w:p>
              </w:tc>
              <w:tc>
                <w:tcPr>
                  <w:tcW w:w="1777" w:type="pct"/>
                  <w:vAlign w:val="center"/>
                </w:tcPr>
                <w:p>
                  <w:pPr>
                    <w:adjustRightInd w:val="0"/>
                    <w:snapToGrid w:val="0"/>
                    <w:jc w:val="center"/>
                    <w:rPr>
                      <w:b/>
                      <w:color w:val="auto"/>
                    </w:rPr>
                  </w:pPr>
                  <w:r>
                    <w:rPr>
                      <w:b/>
                      <w:color w:val="auto"/>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restart"/>
                  <w:vAlign w:val="center"/>
                </w:tcPr>
                <w:p>
                  <w:pPr>
                    <w:adjustRightInd w:val="0"/>
                    <w:snapToGrid w:val="0"/>
                    <w:jc w:val="center"/>
                    <w:rPr>
                      <w:color w:val="auto"/>
                    </w:rPr>
                  </w:pPr>
                  <w:r>
                    <w:rPr>
                      <w:color w:val="auto"/>
                    </w:rPr>
                    <w:t>SO</w:t>
                  </w:r>
                  <w:r>
                    <w:rPr>
                      <w:color w:val="auto"/>
                      <w:vertAlign w:val="subscript"/>
                    </w:rPr>
                    <w:t>2</w:t>
                  </w:r>
                </w:p>
              </w:tc>
              <w:tc>
                <w:tcPr>
                  <w:tcW w:w="997" w:type="pct"/>
                  <w:vAlign w:val="center"/>
                </w:tcPr>
                <w:p>
                  <w:pPr>
                    <w:adjustRightInd w:val="0"/>
                    <w:snapToGrid w:val="0"/>
                    <w:jc w:val="center"/>
                    <w:rPr>
                      <w:color w:val="auto"/>
                    </w:rPr>
                  </w:pPr>
                  <w:r>
                    <w:rPr>
                      <w:color w:val="auto"/>
                    </w:rPr>
                    <w:t>年平均</w:t>
                  </w:r>
                </w:p>
              </w:tc>
              <w:tc>
                <w:tcPr>
                  <w:tcW w:w="700" w:type="pct"/>
                  <w:vAlign w:val="center"/>
                </w:tcPr>
                <w:p>
                  <w:pPr>
                    <w:adjustRightInd w:val="0"/>
                    <w:snapToGrid w:val="0"/>
                    <w:jc w:val="center"/>
                    <w:rPr>
                      <w:color w:val="auto"/>
                    </w:rPr>
                  </w:pPr>
                  <w:r>
                    <w:rPr>
                      <w:color w:val="auto"/>
                    </w:rPr>
                    <w:t>60</w:t>
                  </w:r>
                </w:p>
              </w:tc>
              <w:tc>
                <w:tcPr>
                  <w:tcW w:w="636" w:type="pct"/>
                  <w:vMerge w:val="restart"/>
                  <w:vAlign w:val="center"/>
                </w:tcPr>
                <w:p>
                  <w:pPr>
                    <w:adjustRightInd w:val="0"/>
                    <w:snapToGrid w:val="0"/>
                    <w:jc w:val="center"/>
                    <w:rPr>
                      <w:color w:val="auto"/>
                    </w:rPr>
                  </w:pPr>
                  <w:r>
                    <w:rPr>
                      <w:color w:val="auto"/>
                    </w:rPr>
                    <w:t>μg/m</w:t>
                  </w:r>
                  <w:r>
                    <w:rPr>
                      <w:color w:val="auto"/>
                      <w:vertAlign w:val="superscript"/>
                    </w:rPr>
                    <w:t>3</w:t>
                  </w:r>
                </w:p>
              </w:tc>
              <w:tc>
                <w:tcPr>
                  <w:tcW w:w="1777" w:type="pct"/>
                  <w:vMerge w:val="restart"/>
                  <w:vAlign w:val="center"/>
                </w:tcPr>
                <w:p>
                  <w:pPr>
                    <w:adjustRightInd w:val="0"/>
                    <w:snapToGrid w:val="0"/>
                    <w:jc w:val="center"/>
                    <w:rPr>
                      <w:color w:val="auto"/>
                    </w:rPr>
                  </w:pPr>
                  <w:r>
                    <w:rPr>
                      <w:color w:val="auto"/>
                    </w:rPr>
                    <w:t>《环境空气质量标准》（GB3095-2012）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continue"/>
                  <w:vAlign w:val="center"/>
                </w:tcPr>
                <w:p>
                  <w:pPr>
                    <w:adjustRightInd w:val="0"/>
                    <w:snapToGrid w:val="0"/>
                    <w:jc w:val="center"/>
                    <w:rPr>
                      <w:color w:val="auto"/>
                    </w:rPr>
                  </w:pPr>
                </w:p>
              </w:tc>
              <w:tc>
                <w:tcPr>
                  <w:tcW w:w="997" w:type="pct"/>
                  <w:vAlign w:val="center"/>
                </w:tcPr>
                <w:p>
                  <w:pPr>
                    <w:adjustRightInd w:val="0"/>
                    <w:snapToGrid w:val="0"/>
                    <w:jc w:val="center"/>
                    <w:rPr>
                      <w:color w:val="auto"/>
                    </w:rPr>
                  </w:pPr>
                  <w:r>
                    <w:rPr>
                      <w:color w:val="auto"/>
                    </w:rPr>
                    <w:t>24小时平均</w:t>
                  </w:r>
                </w:p>
              </w:tc>
              <w:tc>
                <w:tcPr>
                  <w:tcW w:w="700" w:type="pct"/>
                  <w:vAlign w:val="center"/>
                </w:tcPr>
                <w:p>
                  <w:pPr>
                    <w:adjustRightInd w:val="0"/>
                    <w:snapToGrid w:val="0"/>
                    <w:jc w:val="center"/>
                    <w:rPr>
                      <w:color w:val="auto"/>
                    </w:rPr>
                  </w:pPr>
                  <w:r>
                    <w:rPr>
                      <w:color w:val="auto"/>
                    </w:rPr>
                    <w:t>150</w:t>
                  </w:r>
                </w:p>
              </w:tc>
              <w:tc>
                <w:tcPr>
                  <w:tcW w:w="636" w:type="pct"/>
                  <w:vMerge w:val="continue"/>
                  <w:vAlign w:val="center"/>
                </w:tcPr>
                <w:p>
                  <w:pPr>
                    <w:adjustRightInd w:val="0"/>
                    <w:snapToGrid w:val="0"/>
                    <w:jc w:val="center"/>
                    <w:rPr>
                      <w:color w:val="auto"/>
                    </w:rPr>
                  </w:pPr>
                </w:p>
              </w:tc>
              <w:tc>
                <w:tcPr>
                  <w:tcW w:w="1777" w:type="pct"/>
                  <w:vMerge w:val="continue"/>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continue"/>
                  <w:vAlign w:val="center"/>
                </w:tcPr>
                <w:p>
                  <w:pPr>
                    <w:adjustRightInd w:val="0"/>
                    <w:snapToGrid w:val="0"/>
                    <w:jc w:val="center"/>
                    <w:rPr>
                      <w:color w:val="auto"/>
                    </w:rPr>
                  </w:pPr>
                </w:p>
              </w:tc>
              <w:tc>
                <w:tcPr>
                  <w:tcW w:w="997" w:type="pct"/>
                  <w:vAlign w:val="center"/>
                </w:tcPr>
                <w:p>
                  <w:pPr>
                    <w:adjustRightInd w:val="0"/>
                    <w:snapToGrid w:val="0"/>
                    <w:jc w:val="center"/>
                    <w:rPr>
                      <w:color w:val="auto"/>
                    </w:rPr>
                  </w:pPr>
                  <w:r>
                    <w:rPr>
                      <w:color w:val="auto"/>
                    </w:rPr>
                    <w:t>1小时平均</w:t>
                  </w:r>
                </w:p>
              </w:tc>
              <w:tc>
                <w:tcPr>
                  <w:tcW w:w="700" w:type="pct"/>
                  <w:vAlign w:val="center"/>
                </w:tcPr>
                <w:p>
                  <w:pPr>
                    <w:adjustRightInd w:val="0"/>
                    <w:snapToGrid w:val="0"/>
                    <w:jc w:val="center"/>
                    <w:rPr>
                      <w:color w:val="auto"/>
                    </w:rPr>
                  </w:pPr>
                  <w:r>
                    <w:rPr>
                      <w:color w:val="auto"/>
                    </w:rPr>
                    <w:t>500</w:t>
                  </w:r>
                </w:p>
              </w:tc>
              <w:tc>
                <w:tcPr>
                  <w:tcW w:w="636" w:type="pct"/>
                  <w:vMerge w:val="continue"/>
                  <w:vAlign w:val="center"/>
                </w:tcPr>
                <w:p>
                  <w:pPr>
                    <w:adjustRightInd w:val="0"/>
                    <w:snapToGrid w:val="0"/>
                    <w:jc w:val="center"/>
                    <w:rPr>
                      <w:color w:val="auto"/>
                    </w:rPr>
                  </w:pPr>
                </w:p>
              </w:tc>
              <w:tc>
                <w:tcPr>
                  <w:tcW w:w="1777" w:type="pct"/>
                  <w:vMerge w:val="continue"/>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restart"/>
                  <w:vAlign w:val="center"/>
                </w:tcPr>
                <w:p>
                  <w:pPr>
                    <w:adjustRightInd w:val="0"/>
                    <w:snapToGrid w:val="0"/>
                    <w:jc w:val="center"/>
                    <w:rPr>
                      <w:color w:val="auto"/>
                    </w:rPr>
                  </w:pPr>
                  <w:r>
                    <w:rPr>
                      <w:color w:val="auto"/>
                    </w:rPr>
                    <w:t>NO</w:t>
                  </w:r>
                  <w:r>
                    <w:rPr>
                      <w:color w:val="auto"/>
                      <w:vertAlign w:val="subscript"/>
                    </w:rPr>
                    <w:t>2</w:t>
                  </w:r>
                </w:p>
              </w:tc>
              <w:tc>
                <w:tcPr>
                  <w:tcW w:w="997" w:type="pct"/>
                  <w:vAlign w:val="center"/>
                </w:tcPr>
                <w:p>
                  <w:pPr>
                    <w:adjustRightInd w:val="0"/>
                    <w:snapToGrid w:val="0"/>
                    <w:jc w:val="center"/>
                    <w:rPr>
                      <w:color w:val="auto"/>
                    </w:rPr>
                  </w:pPr>
                  <w:r>
                    <w:rPr>
                      <w:color w:val="auto"/>
                    </w:rPr>
                    <w:t>年平均</w:t>
                  </w:r>
                </w:p>
              </w:tc>
              <w:tc>
                <w:tcPr>
                  <w:tcW w:w="700" w:type="pct"/>
                  <w:vAlign w:val="center"/>
                </w:tcPr>
                <w:p>
                  <w:pPr>
                    <w:adjustRightInd w:val="0"/>
                    <w:snapToGrid w:val="0"/>
                    <w:jc w:val="center"/>
                    <w:rPr>
                      <w:color w:val="auto"/>
                    </w:rPr>
                  </w:pPr>
                  <w:r>
                    <w:rPr>
                      <w:color w:val="auto"/>
                    </w:rPr>
                    <w:t>40</w:t>
                  </w:r>
                </w:p>
              </w:tc>
              <w:tc>
                <w:tcPr>
                  <w:tcW w:w="636" w:type="pct"/>
                  <w:vMerge w:val="continue"/>
                  <w:vAlign w:val="center"/>
                </w:tcPr>
                <w:p>
                  <w:pPr>
                    <w:adjustRightInd w:val="0"/>
                    <w:snapToGrid w:val="0"/>
                    <w:jc w:val="center"/>
                    <w:rPr>
                      <w:color w:val="auto"/>
                    </w:rPr>
                  </w:pPr>
                </w:p>
              </w:tc>
              <w:tc>
                <w:tcPr>
                  <w:tcW w:w="1777" w:type="pct"/>
                  <w:vMerge w:val="continue"/>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continue"/>
                  <w:vAlign w:val="center"/>
                </w:tcPr>
                <w:p>
                  <w:pPr>
                    <w:adjustRightInd w:val="0"/>
                    <w:snapToGrid w:val="0"/>
                    <w:jc w:val="center"/>
                    <w:rPr>
                      <w:color w:val="auto"/>
                    </w:rPr>
                  </w:pPr>
                </w:p>
              </w:tc>
              <w:tc>
                <w:tcPr>
                  <w:tcW w:w="997" w:type="pct"/>
                  <w:vAlign w:val="center"/>
                </w:tcPr>
                <w:p>
                  <w:pPr>
                    <w:adjustRightInd w:val="0"/>
                    <w:snapToGrid w:val="0"/>
                    <w:jc w:val="center"/>
                    <w:rPr>
                      <w:color w:val="auto"/>
                    </w:rPr>
                  </w:pPr>
                  <w:r>
                    <w:rPr>
                      <w:color w:val="auto"/>
                    </w:rPr>
                    <w:t>24小时平均</w:t>
                  </w:r>
                </w:p>
              </w:tc>
              <w:tc>
                <w:tcPr>
                  <w:tcW w:w="700" w:type="pct"/>
                  <w:vAlign w:val="center"/>
                </w:tcPr>
                <w:p>
                  <w:pPr>
                    <w:adjustRightInd w:val="0"/>
                    <w:snapToGrid w:val="0"/>
                    <w:jc w:val="center"/>
                    <w:rPr>
                      <w:color w:val="auto"/>
                    </w:rPr>
                  </w:pPr>
                  <w:r>
                    <w:rPr>
                      <w:color w:val="auto"/>
                    </w:rPr>
                    <w:t>80</w:t>
                  </w:r>
                </w:p>
              </w:tc>
              <w:tc>
                <w:tcPr>
                  <w:tcW w:w="636" w:type="pct"/>
                  <w:vMerge w:val="continue"/>
                  <w:vAlign w:val="center"/>
                </w:tcPr>
                <w:p>
                  <w:pPr>
                    <w:adjustRightInd w:val="0"/>
                    <w:snapToGrid w:val="0"/>
                    <w:jc w:val="center"/>
                    <w:rPr>
                      <w:color w:val="auto"/>
                    </w:rPr>
                  </w:pPr>
                </w:p>
              </w:tc>
              <w:tc>
                <w:tcPr>
                  <w:tcW w:w="1777" w:type="pct"/>
                  <w:vMerge w:val="continue"/>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continue"/>
                  <w:vAlign w:val="center"/>
                </w:tcPr>
                <w:p>
                  <w:pPr>
                    <w:adjustRightInd w:val="0"/>
                    <w:snapToGrid w:val="0"/>
                    <w:jc w:val="center"/>
                    <w:rPr>
                      <w:color w:val="auto"/>
                    </w:rPr>
                  </w:pPr>
                </w:p>
              </w:tc>
              <w:tc>
                <w:tcPr>
                  <w:tcW w:w="997" w:type="pct"/>
                  <w:vAlign w:val="center"/>
                </w:tcPr>
                <w:p>
                  <w:pPr>
                    <w:adjustRightInd w:val="0"/>
                    <w:snapToGrid w:val="0"/>
                    <w:jc w:val="center"/>
                    <w:rPr>
                      <w:color w:val="auto"/>
                    </w:rPr>
                  </w:pPr>
                  <w:r>
                    <w:rPr>
                      <w:color w:val="auto"/>
                    </w:rPr>
                    <w:t>1小时平均</w:t>
                  </w:r>
                </w:p>
              </w:tc>
              <w:tc>
                <w:tcPr>
                  <w:tcW w:w="700" w:type="pct"/>
                  <w:vAlign w:val="center"/>
                </w:tcPr>
                <w:p>
                  <w:pPr>
                    <w:adjustRightInd w:val="0"/>
                    <w:snapToGrid w:val="0"/>
                    <w:jc w:val="center"/>
                    <w:rPr>
                      <w:color w:val="auto"/>
                    </w:rPr>
                  </w:pPr>
                  <w:r>
                    <w:rPr>
                      <w:color w:val="auto"/>
                    </w:rPr>
                    <w:t>200</w:t>
                  </w:r>
                </w:p>
              </w:tc>
              <w:tc>
                <w:tcPr>
                  <w:tcW w:w="636" w:type="pct"/>
                  <w:vMerge w:val="continue"/>
                  <w:vAlign w:val="center"/>
                </w:tcPr>
                <w:p>
                  <w:pPr>
                    <w:adjustRightInd w:val="0"/>
                    <w:snapToGrid w:val="0"/>
                    <w:jc w:val="center"/>
                    <w:rPr>
                      <w:color w:val="auto"/>
                    </w:rPr>
                  </w:pPr>
                </w:p>
              </w:tc>
              <w:tc>
                <w:tcPr>
                  <w:tcW w:w="1777" w:type="pct"/>
                  <w:vMerge w:val="continue"/>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restart"/>
                  <w:vAlign w:val="center"/>
                </w:tcPr>
                <w:p>
                  <w:pPr>
                    <w:adjustRightInd w:val="0"/>
                    <w:snapToGrid w:val="0"/>
                    <w:jc w:val="center"/>
                    <w:rPr>
                      <w:color w:val="auto"/>
                    </w:rPr>
                  </w:pPr>
                  <w:r>
                    <w:rPr>
                      <w:color w:val="auto"/>
                    </w:rPr>
                    <w:t>PM</w:t>
                  </w:r>
                  <w:r>
                    <w:rPr>
                      <w:color w:val="auto"/>
                      <w:vertAlign w:val="subscript"/>
                    </w:rPr>
                    <w:t>10</w:t>
                  </w:r>
                </w:p>
              </w:tc>
              <w:tc>
                <w:tcPr>
                  <w:tcW w:w="997" w:type="pct"/>
                  <w:vAlign w:val="center"/>
                </w:tcPr>
                <w:p>
                  <w:pPr>
                    <w:adjustRightInd w:val="0"/>
                    <w:snapToGrid w:val="0"/>
                    <w:jc w:val="center"/>
                    <w:rPr>
                      <w:color w:val="auto"/>
                    </w:rPr>
                  </w:pPr>
                  <w:r>
                    <w:rPr>
                      <w:color w:val="auto"/>
                    </w:rPr>
                    <w:t>年平均</w:t>
                  </w:r>
                </w:p>
              </w:tc>
              <w:tc>
                <w:tcPr>
                  <w:tcW w:w="700" w:type="pct"/>
                  <w:vAlign w:val="center"/>
                </w:tcPr>
                <w:p>
                  <w:pPr>
                    <w:adjustRightInd w:val="0"/>
                    <w:snapToGrid w:val="0"/>
                    <w:jc w:val="center"/>
                    <w:rPr>
                      <w:color w:val="auto"/>
                    </w:rPr>
                  </w:pPr>
                  <w:r>
                    <w:rPr>
                      <w:color w:val="auto"/>
                    </w:rPr>
                    <w:t>70</w:t>
                  </w:r>
                </w:p>
              </w:tc>
              <w:tc>
                <w:tcPr>
                  <w:tcW w:w="636" w:type="pct"/>
                  <w:vMerge w:val="continue"/>
                  <w:vAlign w:val="center"/>
                </w:tcPr>
                <w:p>
                  <w:pPr>
                    <w:adjustRightInd w:val="0"/>
                    <w:snapToGrid w:val="0"/>
                    <w:jc w:val="center"/>
                    <w:rPr>
                      <w:color w:val="auto"/>
                    </w:rPr>
                  </w:pPr>
                </w:p>
              </w:tc>
              <w:tc>
                <w:tcPr>
                  <w:tcW w:w="1777" w:type="pct"/>
                  <w:vMerge w:val="continue"/>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continue"/>
                  <w:vAlign w:val="center"/>
                </w:tcPr>
                <w:p>
                  <w:pPr>
                    <w:adjustRightInd w:val="0"/>
                    <w:snapToGrid w:val="0"/>
                    <w:jc w:val="center"/>
                    <w:rPr>
                      <w:color w:val="auto"/>
                    </w:rPr>
                  </w:pPr>
                </w:p>
              </w:tc>
              <w:tc>
                <w:tcPr>
                  <w:tcW w:w="997" w:type="pct"/>
                  <w:vAlign w:val="center"/>
                </w:tcPr>
                <w:p>
                  <w:pPr>
                    <w:adjustRightInd w:val="0"/>
                    <w:snapToGrid w:val="0"/>
                    <w:jc w:val="center"/>
                    <w:rPr>
                      <w:color w:val="auto"/>
                    </w:rPr>
                  </w:pPr>
                  <w:r>
                    <w:rPr>
                      <w:color w:val="auto"/>
                    </w:rPr>
                    <w:t>24小时平均</w:t>
                  </w:r>
                </w:p>
              </w:tc>
              <w:tc>
                <w:tcPr>
                  <w:tcW w:w="700" w:type="pct"/>
                  <w:vAlign w:val="center"/>
                </w:tcPr>
                <w:p>
                  <w:pPr>
                    <w:adjustRightInd w:val="0"/>
                    <w:snapToGrid w:val="0"/>
                    <w:jc w:val="center"/>
                    <w:rPr>
                      <w:color w:val="auto"/>
                    </w:rPr>
                  </w:pPr>
                  <w:r>
                    <w:rPr>
                      <w:color w:val="auto"/>
                    </w:rPr>
                    <w:t>150</w:t>
                  </w:r>
                </w:p>
              </w:tc>
              <w:tc>
                <w:tcPr>
                  <w:tcW w:w="636" w:type="pct"/>
                  <w:vMerge w:val="continue"/>
                  <w:vAlign w:val="center"/>
                </w:tcPr>
                <w:p>
                  <w:pPr>
                    <w:adjustRightInd w:val="0"/>
                    <w:snapToGrid w:val="0"/>
                    <w:jc w:val="center"/>
                    <w:rPr>
                      <w:color w:val="auto"/>
                    </w:rPr>
                  </w:pPr>
                </w:p>
              </w:tc>
              <w:tc>
                <w:tcPr>
                  <w:tcW w:w="1777" w:type="pct"/>
                  <w:vMerge w:val="continue"/>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continue"/>
                  <w:vAlign w:val="center"/>
                </w:tcPr>
                <w:p>
                  <w:pPr>
                    <w:adjustRightInd w:val="0"/>
                    <w:snapToGrid w:val="0"/>
                    <w:jc w:val="center"/>
                    <w:rPr>
                      <w:color w:val="auto"/>
                    </w:rPr>
                  </w:pPr>
                </w:p>
              </w:tc>
              <w:tc>
                <w:tcPr>
                  <w:tcW w:w="997" w:type="pct"/>
                  <w:vAlign w:val="center"/>
                </w:tcPr>
                <w:p>
                  <w:pPr>
                    <w:adjustRightInd w:val="0"/>
                    <w:snapToGrid w:val="0"/>
                    <w:jc w:val="center"/>
                    <w:rPr>
                      <w:color w:val="auto"/>
                    </w:rPr>
                  </w:pPr>
                  <w:r>
                    <w:rPr>
                      <w:color w:val="auto"/>
                    </w:rPr>
                    <w:t>1小时平均</w:t>
                  </w:r>
                </w:p>
              </w:tc>
              <w:tc>
                <w:tcPr>
                  <w:tcW w:w="700" w:type="pct"/>
                  <w:vAlign w:val="center"/>
                </w:tcPr>
                <w:p>
                  <w:pPr>
                    <w:adjustRightInd w:val="0"/>
                    <w:snapToGrid w:val="0"/>
                    <w:jc w:val="center"/>
                    <w:rPr>
                      <w:color w:val="auto"/>
                    </w:rPr>
                  </w:pPr>
                  <w:r>
                    <w:rPr>
                      <w:color w:val="auto"/>
                    </w:rPr>
                    <w:t>450</w:t>
                  </w:r>
                  <w:r>
                    <w:rPr>
                      <w:color w:val="auto"/>
                      <w:szCs w:val="21"/>
                    </w:rPr>
                    <w:t>*</w:t>
                  </w:r>
                </w:p>
              </w:tc>
              <w:tc>
                <w:tcPr>
                  <w:tcW w:w="636" w:type="pct"/>
                  <w:vMerge w:val="continue"/>
                  <w:vAlign w:val="center"/>
                </w:tcPr>
                <w:p>
                  <w:pPr>
                    <w:adjustRightInd w:val="0"/>
                    <w:snapToGrid w:val="0"/>
                    <w:jc w:val="center"/>
                    <w:rPr>
                      <w:color w:val="auto"/>
                    </w:rPr>
                  </w:pPr>
                </w:p>
              </w:tc>
              <w:tc>
                <w:tcPr>
                  <w:tcW w:w="1777" w:type="pct"/>
                  <w:vMerge w:val="continue"/>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restart"/>
                  <w:vAlign w:val="center"/>
                </w:tcPr>
                <w:p>
                  <w:pPr>
                    <w:pStyle w:val="38"/>
                    <w:adjustRightInd w:val="0"/>
                    <w:snapToGrid w:val="0"/>
                    <w:rPr>
                      <w:color w:val="auto"/>
                    </w:rPr>
                  </w:pPr>
                  <w:r>
                    <w:rPr>
                      <w:color w:val="auto"/>
                      <w:sz w:val="21"/>
                      <w:szCs w:val="21"/>
                    </w:rPr>
                    <w:t>PM</w:t>
                  </w:r>
                  <w:r>
                    <w:rPr>
                      <w:color w:val="auto"/>
                      <w:sz w:val="21"/>
                      <w:szCs w:val="21"/>
                      <w:vertAlign w:val="subscript"/>
                    </w:rPr>
                    <w:t>2.5</w:t>
                  </w:r>
                </w:p>
              </w:tc>
              <w:tc>
                <w:tcPr>
                  <w:tcW w:w="997" w:type="pct"/>
                  <w:vAlign w:val="center"/>
                </w:tcPr>
                <w:p>
                  <w:pPr>
                    <w:adjustRightInd w:val="0"/>
                    <w:snapToGrid w:val="0"/>
                    <w:jc w:val="center"/>
                    <w:rPr>
                      <w:color w:val="auto"/>
                    </w:rPr>
                  </w:pPr>
                  <w:r>
                    <w:rPr>
                      <w:color w:val="auto"/>
                    </w:rPr>
                    <w:t>年平均</w:t>
                  </w:r>
                </w:p>
              </w:tc>
              <w:tc>
                <w:tcPr>
                  <w:tcW w:w="700" w:type="pct"/>
                  <w:vAlign w:val="center"/>
                </w:tcPr>
                <w:p>
                  <w:pPr>
                    <w:adjustRightInd w:val="0"/>
                    <w:snapToGrid w:val="0"/>
                    <w:jc w:val="center"/>
                    <w:rPr>
                      <w:color w:val="auto"/>
                    </w:rPr>
                  </w:pPr>
                  <w:r>
                    <w:rPr>
                      <w:color w:val="auto"/>
                    </w:rPr>
                    <w:t>35</w:t>
                  </w:r>
                </w:p>
              </w:tc>
              <w:tc>
                <w:tcPr>
                  <w:tcW w:w="636" w:type="pct"/>
                  <w:vMerge w:val="continue"/>
                  <w:vAlign w:val="center"/>
                </w:tcPr>
                <w:p>
                  <w:pPr>
                    <w:adjustRightInd w:val="0"/>
                    <w:snapToGrid w:val="0"/>
                    <w:jc w:val="center"/>
                    <w:rPr>
                      <w:color w:val="auto"/>
                    </w:rPr>
                  </w:pPr>
                </w:p>
              </w:tc>
              <w:tc>
                <w:tcPr>
                  <w:tcW w:w="1777" w:type="pct"/>
                  <w:vMerge w:val="continue"/>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continue"/>
                  <w:vAlign w:val="center"/>
                </w:tcPr>
                <w:p>
                  <w:pPr>
                    <w:adjustRightInd w:val="0"/>
                    <w:snapToGrid w:val="0"/>
                    <w:jc w:val="center"/>
                    <w:rPr>
                      <w:color w:val="auto"/>
                    </w:rPr>
                  </w:pPr>
                </w:p>
              </w:tc>
              <w:tc>
                <w:tcPr>
                  <w:tcW w:w="997" w:type="pct"/>
                  <w:vAlign w:val="center"/>
                </w:tcPr>
                <w:p>
                  <w:pPr>
                    <w:adjustRightInd w:val="0"/>
                    <w:snapToGrid w:val="0"/>
                    <w:jc w:val="center"/>
                    <w:rPr>
                      <w:color w:val="auto"/>
                    </w:rPr>
                  </w:pPr>
                  <w:r>
                    <w:rPr>
                      <w:color w:val="auto"/>
                    </w:rPr>
                    <w:t>24小时平均</w:t>
                  </w:r>
                </w:p>
              </w:tc>
              <w:tc>
                <w:tcPr>
                  <w:tcW w:w="700" w:type="pct"/>
                  <w:vAlign w:val="center"/>
                </w:tcPr>
                <w:p>
                  <w:pPr>
                    <w:adjustRightInd w:val="0"/>
                    <w:snapToGrid w:val="0"/>
                    <w:jc w:val="center"/>
                    <w:rPr>
                      <w:color w:val="auto"/>
                    </w:rPr>
                  </w:pPr>
                  <w:r>
                    <w:rPr>
                      <w:color w:val="auto"/>
                    </w:rPr>
                    <w:t>75</w:t>
                  </w:r>
                </w:p>
              </w:tc>
              <w:tc>
                <w:tcPr>
                  <w:tcW w:w="636" w:type="pct"/>
                  <w:vMerge w:val="continue"/>
                  <w:vAlign w:val="center"/>
                </w:tcPr>
                <w:p>
                  <w:pPr>
                    <w:adjustRightInd w:val="0"/>
                    <w:snapToGrid w:val="0"/>
                    <w:jc w:val="center"/>
                    <w:rPr>
                      <w:color w:val="auto"/>
                    </w:rPr>
                  </w:pPr>
                </w:p>
              </w:tc>
              <w:tc>
                <w:tcPr>
                  <w:tcW w:w="1777" w:type="pct"/>
                  <w:vMerge w:val="continue"/>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restart"/>
                  <w:vAlign w:val="center"/>
                </w:tcPr>
                <w:p>
                  <w:pPr>
                    <w:widowControl/>
                    <w:adjustRightInd w:val="0"/>
                    <w:snapToGrid w:val="0"/>
                    <w:jc w:val="center"/>
                    <w:rPr>
                      <w:color w:val="auto"/>
                    </w:rPr>
                  </w:pPr>
                  <w:r>
                    <w:rPr>
                      <w:bCs/>
                      <w:color w:val="auto"/>
                    </w:rPr>
                    <w:t>O</w:t>
                  </w:r>
                  <w:r>
                    <w:rPr>
                      <w:bCs/>
                      <w:color w:val="auto"/>
                      <w:vertAlign w:val="subscript"/>
                    </w:rPr>
                    <w:t>3</w:t>
                  </w:r>
                </w:p>
              </w:tc>
              <w:tc>
                <w:tcPr>
                  <w:tcW w:w="997" w:type="pct"/>
                  <w:vAlign w:val="center"/>
                </w:tcPr>
                <w:p>
                  <w:pPr>
                    <w:adjustRightInd w:val="0"/>
                    <w:snapToGrid w:val="0"/>
                    <w:jc w:val="center"/>
                    <w:rPr>
                      <w:color w:val="auto"/>
                    </w:rPr>
                  </w:pPr>
                  <w:r>
                    <w:rPr>
                      <w:color w:val="auto"/>
                    </w:rPr>
                    <w:t>日最大8小时平均</w:t>
                  </w:r>
                </w:p>
              </w:tc>
              <w:tc>
                <w:tcPr>
                  <w:tcW w:w="700" w:type="pct"/>
                  <w:vAlign w:val="center"/>
                </w:tcPr>
                <w:p>
                  <w:pPr>
                    <w:adjustRightInd w:val="0"/>
                    <w:snapToGrid w:val="0"/>
                    <w:jc w:val="center"/>
                    <w:rPr>
                      <w:color w:val="auto"/>
                    </w:rPr>
                  </w:pPr>
                  <w:r>
                    <w:rPr>
                      <w:color w:val="auto"/>
                    </w:rPr>
                    <w:t>160</w:t>
                  </w:r>
                </w:p>
              </w:tc>
              <w:tc>
                <w:tcPr>
                  <w:tcW w:w="636" w:type="pct"/>
                  <w:vMerge w:val="continue"/>
                  <w:vAlign w:val="center"/>
                </w:tcPr>
                <w:p>
                  <w:pPr>
                    <w:adjustRightInd w:val="0"/>
                    <w:snapToGrid w:val="0"/>
                    <w:jc w:val="center"/>
                    <w:rPr>
                      <w:color w:val="auto"/>
                    </w:rPr>
                  </w:pPr>
                </w:p>
              </w:tc>
              <w:tc>
                <w:tcPr>
                  <w:tcW w:w="1777" w:type="pct"/>
                  <w:vMerge w:val="continue"/>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continue"/>
                  <w:vAlign w:val="center"/>
                </w:tcPr>
                <w:p>
                  <w:pPr>
                    <w:adjustRightInd w:val="0"/>
                    <w:snapToGrid w:val="0"/>
                    <w:jc w:val="center"/>
                    <w:rPr>
                      <w:color w:val="auto"/>
                    </w:rPr>
                  </w:pPr>
                </w:p>
              </w:tc>
              <w:tc>
                <w:tcPr>
                  <w:tcW w:w="997" w:type="pct"/>
                  <w:vAlign w:val="center"/>
                </w:tcPr>
                <w:p>
                  <w:pPr>
                    <w:adjustRightInd w:val="0"/>
                    <w:snapToGrid w:val="0"/>
                    <w:jc w:val="center"/>
                    <w:rPr>
                      <w:color w:val="auto"/>
                    </w:rPr>
                  </w:pPr>
                  <w:r>
                    <w:rPr>
                      <w:color w:val="auto"/>
                    </w:rPr>
                    <w:t>1小时平均</w:t>
                  </w:r>
                </w:p>
              </w:tc>
              <w:tc>
                <w:tcPr>
                  <w:tcW w:w="700" w:type="pct"/>
                  <w:vAlign w:val="center"/>
                </w:tcPr>
                <w:p>
                  <w:pPr>
                    <w:adjustRightInd w:val="0"/>
                    <w:snapToGrid w:val="0"/>
                    <w:jc w:val="center"/>
                    <w:rPr>
                      <w:color w:val="auto"/>
                    </w:rPr>
                  </w:pPr>
                  <w:r>
                    <w:rPr>
                      <w:color w:val="auto"/>
                    </w:rPr>
                    <w:t>200</w:t>
                  </w:r>
                </w:p>
              </w:tc>
              <w:tc>
                <w:tcPr>
                  <w:tcW w:w="636" w:type="pct"/>
                  <w:vMerge w:val="continue"/>
                  <w:vAlign w:val="center"/>
                </w:tcPr>
                <w:p>
                  <w:pPr>
                    <w:adjustRightInd w:val="0"/>
                    <w:snapToGrid w:val="0"/>
                    <w:jc w:val="center"/>
                    <w:rPr>
                      <w:color w:val="auto"/>
                    </w:rPr>
                  </w:pPr>
                </w:p>
              </w:tc>
              <w:tc>
                <w:tcPr>
                  <w:tcW w:w="1777" w:type="pct"/>
                  <w:vMerge w:val="continue"/>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restart"/>
                  <w:vAlign w:val="center"/>
                </w:tcPr>
                <w:p>
                  <w:pPr>
                    <w:widowControl/>
                    <w:adjustRightInd w:val="0"/>
                    <w:snapToGrid w:val="0"/>
                    <w:jc w:val="center"/>
                    <w:rPr>
                      <w:color w:val="auto"/>
                    </w:rPr>
                  </w:pPr>
                  <w:r>
                    <w:rPr>
                      <w:bCs/>
                      <w:color w:val="auto"/>
                    </w:rPr>
                    <w:t>CO</w:t>
                  </w:r>
                </w:p>
              </w:tc>
              <w:tc>
                <w:tcPr>
                  <w:tcW w:w="997" w:type="pct"/>
                  <w:vAlign w:val="center"/>
                </w:tcPr>
                <w:p>
                  <w:pPr>
                    <w:adjustRightInd w:val="0"/>
                    <w:snapToGrid w:val="0"/>
                    <w:jc w:val="center"/>
                    <w:rPr>
                      <w:color w:val="auto"/>
                    </w:rPr>
                  </w:pPr>
                  <w:r>
                    <w:rPr>
                      <w:color w:val="auto"/>
                    </w:rPr>
                    <w:t>24小时平均</w:t>
                  </w:r>
                </w:p>
              </w:tc>
              <w:tc>
                <w:tcPr>
                  <w:tcW w:w="700" w:type="pct"/>
                  <w:vAlign w:val="center"/>
                </w:tcPr>
                <w:p>
                  <w:pPr>
                    <w:adjustRightInd w:val="0"/>
                    <w:snapToGrid w:val="0"/>
                    <w:jc w:val="center"/>
                    <w:rPr>
                      <w:color w:val="auto"/>
                    </w:rPr>
                  </w:pPr>
                  <w:r>
                    <w:rPr>
                      <w:color w:val="auto"/>
                    </w:rPr>
                    <w:t>4</w:t>
                  </w:r>
                </w:p>
              </w:tc>
              <w:tc>
                <w:tcPr>
                  <w:tcW w:w="636" w:type="pct"/>
                  <w:vMerge w:val="restart"/>
                  <w:vAlign w:val="center"/>
                </w:tcPr>
                <w:p>
                  <w:pPr>
                    <w:adjustRightInd w:val="0"/>
                    <w:snapToGrid w:val="0"/>
                    <w:jc w:val="center"/>
                    <w:rPr>
                      <w:color w:val="auto"/>
                    </w:rPr>
                  </w:pPr>
                  <w:r>
                    <w:rPr>
                      <w:color w:val="auto"/>
                    </w:rPr>
                    <w:t>mg/Nm</w:t>
                  </w:r>
                  <w:r>
                    <w:rPr>
                      <w:color w:val="auto"/>
                      <w:vertAlign w:val="superscript"/>
                    </w:rPr>
                    <w:t>3</w:t>
                  </w:r>
                </w:p>
              </w:tc>
              <w:tc>
                <w:tcPr>
                  <w:tcW w:w="1777" w:type="pct"/>
                  <w:vMerge w:val="continue"/>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7" w:type="pct"/>
                  <w:vMerge w:val="continue"/>
                  <w:vAlign w:val="center"/>
                </w:tcPr>
                <w:p>
                  <w:pPr>
                    <w:adjustRightInd w:val="0"/>
                    <w:snapToGrid w:val="0"/>
                    <w:jc w:val="center"/>
                    <w:rPr>
                      <w:color w:val="auto"/>
                    </w:rPr>
                  </w:pPr>
                </w:p>
              </w:tc>
              <w:tc>
                <w:tcPr>
                  <w:tcW w:w="997" w:type="pct"/>
                  <w:vAlign w:val="center"/>
                </w:tcPr>
                <w:p>
                  <w:pPr>
                    <w:adjustRightInd w:val="0"/>
                    <w:snapToGrid w:val="0"/>
                    <w:jc w:val="center"/>
                    <w:rPr>
                      <w:color w:val="auto"/>
                    </w:rPr>
                  </w:pPr>
                  <w:r>
                    <w:rPr>
                      <w:color w:val="auto"/>
                    </w:rPr>
                    <w:t>1小时平均</w:t>
                  </w:r>
                </w:p>
              </w:tc>
              <w:tc>
                <w:tcPr>
                  <w:tcW w:w="700" w:type="pct"/>
                  <w:vAlign w:val="center"/>
                </w:tcPr>
                <w:p>
                  <w:pPr>
                    <w:adjustRightInd w:val="0"/>
                    <w:snapToGrid w:val="0"/>
                    <w:jc w:val="center"/>
                    <w:rPr>
                      <w:color w:val="auto"/>
                    </w:rPr>
                  </w:pPr>
                  <w:r>
                    <w:rPr>
                      <w:color w:val="auto"/>
                    </w:rPr>
                    <w:t>10</w:t>
                  </w:r>
                </w:p>
              </w:tc>
              <w:tc>
                <w:tcPr>
                  <w:tcW w:w="636" w:type="pct"/>
                  <w:vMerge w:val="continue"/>
                  <w:vAlign w:val="center"/>
                </w:tcPr>
                <w:p>
                  <w:pPr>
                    <w:adjustRightInd w:val="0"/>
                    <w:snapToGrid w:val="0"/>
                    <w:jc w:val="center"/>
                    <w:rPr>
                      <w:color w:val="auto"/>
                    </w:rPr>
                  </w:pPr>
                </w:p>
              </w:tc>
              <w:tc>
                <w:tcPr>
                  <w:tcW w:w="1777" w:type="pct"/>
                  <w:vMerge w:val="continue"/>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restart"/>
                  <w:vAlign w:val="center"/>
                </w:tcPr>
                <w:p>
                  <w:pPr>
                    <w:adjustRightInd w:val="0"/>
                    <w:snapToGrid w:val="0"/>
                    <w:jc w:val="center"/>
                    <w:rPr>
                      <w:color w:val="auto"/>
                    </w:rPr>
                  </w:pPr>
                  <w:r>
                    <w:rPr>
                      <w:color w:val="auto"/>
                    </w:rPr>
                    <w:t>NOx</w:t>
                  </w:r>
                </w:p>
              </w:tc>
              <w:tc>
                <w:tcPr>
                  <w:tcW w:w="997" w:type="pct"/>
                  <w:vAlign w:val="center"/>
                </w:tcPr>
                <w:p>
                  <w:pPr>
                    <w:adjustRightInd w:val="0"/>
                    <w:snapToGrid w:val="0"/>
                    <w:jc w:val="center"/>
                    <w:rPr>
                      <w:color w:val="auto"/>
                    </w:rPr>
                  </w:pPr>
                  <w:r>
                    <w:rPr>
                      <w:color w:val="auto"/>
                    </w:rPr>
                    <w:t>年平均</w:t>
                  </w:r>
                </w:p>
              </w:tc>
              <w:tc>
                <w:tcPr>
                  <w:tcW w:w="700" w:type="pct"/>
                  <w:vAlign w:val="center"/>
                </w:tcPr>
                <w:p>
                  <w:pPr>
                    <w:adjustRightInd w:val="0"/>
                    <w:snapToGrid w:val="0"/>
                    <w:jc w:val="center"/>
                    <w:rPr>
                      <w:color w:val="auto"/>
                    </w:rPr>
                  </w:pPr>
                  <w:r>
                    <w:rPr>
                      <w:color w:val="auto"/>
                    </w:rPr>
                    <w:t>0.05</w:t>
                  </w:r>
                </w:p>
              </w:tc>
              <w:tc>
                <w:tcPr>
                  <w:tcW w:w="636" w:type="pct"/>
                  <w:vMerge w:val="continue"/>
                  <w:vAlign w:val="center"/>
                </w:tcPr>
                <w:p>
                  <w:pPr>
                    <w:adjustRightInd w:val="0"/>
                    <w:snapToGrid w:val="0"/>
                    <w:jc w:val="center"/>
                    <w:rPr>
                      <w:color w:val="auto"/>
                    </w:rPr>
                  </w:pPr>
                </w:p>
              </w:tc>
              <w:tc>
                <w:tcPr>
                  <w:tcW w:w="1777" w:type="pct"/>
                  <w:vMerge w:val="continue"/>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continue"/>
                  <w:vAlign w:val="center"/>
                </w:tcPr>
                <w:p>
                  <w:pPr>
                    <w:adjustRightInd w:val="0"/>
                    <w:snapToGrid w:val="0"/>
                    <w:jc w:val="center"/>
                    <w:rPr>
                      <w:color w:val="auto"/>
                    </w:rPr>
                  </w:pPr>
                </w:p>
              </w:tc>
              <w:tc>
                <w:tcPr>
                  <w:tcW w:w="997" w:type="pct"/>
                  <w:vAlign w:val="center"/>
                </w:tcPr>
                <w:p>
                  <w:pPr>
                    <w:adjustRightInd w:val="0"/>
                    <w:snapToGrid w:val="0"/>
                    <w:jc w:val="center"/>
                    <w:rPr>
                      <w:color w:val="auto"/>
                    </w:rPr>
                  </w:pPr>
                  <w:r>
                    <w:rPr>
                      <w:color w:val="auto"/>
                    </w:rPr>
                    <w:t>24小时平均</w:t>
                  </w:r>
                </w:p>
              </w:tc>
              <w:tc>
                <w:tcPr>
                  <w:tcW w:w="700" w:type="pct"/>
                  <w:vAlign w:val="center"/>
                </w:tcPr>
                <w:p>
                  <w:pPr>
                    <w:adjustRightInd w:val="0"/>
                    <w:snapToGrid w:val="0"/>
                    <w:jc w:val="center"/>
                    <w:rPr>
                      <w:color w:val="auto"/>
                    </w:rPr>
                  </w:pPr>
                  <w:r>
                    <w:rPr>
                      <w:color w:val="auto"/>
                    </w:rPr>
                    <w:t>0.1</w:t>
                  </w:r>
                </w:p>
              </w:tc>
              <w:tc>
                <w:tcPr>
                  <w:tcW w:w="636" w:type="pct"/>
                  <w:vMerge w:val="continue"/>
                  <w:vAlign w:val="center"/>
                </w:tcPr>
                <w:p>
                  <w:pPr>
                    <w:adjustRightInd w:val="0"/>
                    <w:snapToGrid w:val="0"/>
                    <w:jc w:val="center"/>
                    <w:rPr>
                      <w:color w:val="auto"/>
                    </w:rPr>
                  </w:pPr>
                </w:p>
              </w:tc>
              <w:tc>
                <w:tcPr>
                  <w:tcW w:w="1777" w:type="pct"/>
                  <w:vMerge w:val="continue"/>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Merge w:val="continue"/>
                  <w:vAlign w:val="center"/>
                </w:tcPr>
                <w:p>
                  <w:pPr>
                    <w:adjustRightInd w:val="0"/>
                    <w:snapToGrid w:val="0"/>
                    <w:jc w:val="center"/>
                    <w:rPr>
                      <w:color w:val="auto"/>
                    </w:rPr>
                  </w:pPr>
                </w:p>
              </w:tc>
              <w:tc>
                <w:tcPr>
                  <w:tcW w:w="997" w:type="pct"/>
                  <w:vAlign w:val="center"/>
                </w:tcPr>
                <w:p>
                  <w:pPr>
                    <w:adjustRightInd w:val="0"/>
                    <w:snapToGrid w:val="0"/>
                    <w:jc w:val="center"/>
                    <w:rPr>
                      <w:color w:val="auto"/>
                    </w:rPr>
                  </w:pPr>
                  <w:r>
                    <w:rPr>
                      <w:color w:val="auto"/>
                    </w:rPr>
                    <w:t>1小时平均</w:t>
                  </w:r>
                </w:p>
              </w:tc>
              <w:tc>
                <w:tcPr>
                  <w:tcW w:w="700" w:type="pct"/>
                  <w:vAlign w:val="center"/>
                </w:tcPr>
                <w:p>
                  <w:pPr>
                    <w:adjustRightInd w:val="0"/>
                    <w:snapToGrid w:val="0"/>
                    <w:jc w:val="center"/>
                    <w:rPr>
                      <w:color w:val="auto"/>
                    </w:rPr>
                  </w:pPr>
                  <w:r>
                    <w:rPr>
                      <w:color w:val="auto"/>
                    </w:rPr>
                    <w:t>0.25</w:t>
                  </w:r>
                </w:p>
              </w:tc>
              <w:tc>
                <w:tcPr>
                  <w:tcW w:w="636" w:type="pct"/>
                  <w:vMerge w:val="continue"/>
                  <w:vAlign w:val="center"/>
                </w:tcPr>
                <w:p>
                  <w:pPr>
                    <w:adjustRightInd w:val="0"/>
                    <w:snapToGrid w:val="0"/>
                    <w:jc w:val="center"/>
                    <w:rPr>
                      <w:color w:val="auto"/>
                    </w:rPr>
                  </w:pPr>
                </w:p>
              </w:tc>
              <w:tc>
                <w:tcPr>
                  <w:tcW w:w="1777" w:type="pct"/>
                  <w:vMerge w:val="continue"/>
                  <w:vAlign w:val="center"/>
                </w:tcPr>
                <w:p>
                  <w:pPr>
                    <w:adjustRightInd w:val="0"/>
                    <w:snapToGrid w:val="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7" w:type="pct"/>
                  <w:vAlign w:val="center"/>
                </w:tcPr>
                <w:p>
                  <w:pPr>
                    <w:adjustRightInd w:val="0"/>
                    <w:snapToGrid w:val="0"/>
                    <w:jc w:val="center"/>
                    <w:rPr>
                      <w:color w:val="auto"/>
                    </w:rPr>
                  </w:pPr>
                  <w:r>
                    <w:rPr>
                      <w:color w:val="auto"/>
                    </w:rPr>
                    <w:t>非甲烷总烃</w:t>
                  </w:r>
                </w:p>
              </w:tc>
              <w:tc>
                <w:tcPr>
                  <w:tcW w:w="997" w:type="pct"/>
                  <w:vAlign w:val="center"/>
                </w:tcPr>
                <w:p>
                  <w:pPr>
                    <w:snapToGrid w:val="0"/>
                    <w:jc w:val="center"/>
                    <w:rPr>
                      <w:color w:val="auto"/>
                    </w:rPr>
                  </w:pPr>
                  <w:r>
                    <w:rPr>
                      <w:color w:val="auto"/>
                      <w:szCs w:val="21"/>
                    </w:rPr>
                    <w:t>1小时平均</w:t>
                  </w:r>
                </w:p>
              </w:tc>
              <w:tc>
                <w:tcPr>
                  <w:tcW w:w="700" w:type="pct"/>
                  <w:vAlign w:val="center"/>
                </w:tcPr>
                <w:p>
                  <w:pPr>
                    <w:snapToGrid w:val="0"/>
                    <w:jc w:val="center"/>
                    <w:rPr>
                      <w:color w:val="auto"/>
                    </w:rPr>
                  </w:pPr>
                  <w:r>
                    <w:rPr>
                      <w:color w:val="auto"/>
                    </w:rPr>
                    <w:t>2.0</w:t>
                  </w:r>
                </w:p>
              </w:tc>
              <w:tc>
                <w:tcPr>
                  <w:tcW w:w="636" w:type="pct"/>
                  <w:vMerge w:val="continue"/>
                  <w:vAlign w:val="center"/>
                </w:tcPr>
                <w:p>
                  <w:pPr>
                    <w:adjustRightInd w:val="0"/>
                    <w:snapToGrid w:val="0"/>
                    <w:jc w:val="center"/>
                    <w:rPr>
                      <w:color w:val="auto"/>
                    </w:rPr>
                  </w:pPr>
                </w:p>
              </w:tc>
              <w:tc>
                <w:tcPr>
                  <w:tcW w:w="1777" w:type="pct"/>
                  <w:vAlign w:val="center"/>
                </w:tcPr>
                <w:p>
                  <w:pPr>
                    <w:adjustRightInd w:val="0"/>
                    <w:snapToGrid w:val="0"/>
                    <w:jc w:val="center"/>
                    <w:rPr>
                      <w:bCs/>
                      <w:color w:val="auto"/>
                    </w:rPr>
                  </w:pPr>
                  <w:r>
                    <w:rPr>
                      <w:color w:val="auto"/>
                    </w:rPr>
                    <w:t>《大气污染物综合排放标准详解》标准</w:t>
                  </w:r>
                </w:p>
              </w:tc>
            </w:tr>
          </w:tbl>
          <w:p>
            <w:pPr>
              <w:adjustRightInd w:val="0"/>
              <w:snapToGrid w:val="0"/>
              <w:ind w:firstLine="420" w:firstLineChars="200"/>
              <w:rPr>
                <w:b/>
                <w:bCs/>
                <w:color w:val="auto"/>
                <w:sz w:val="24"/>
              </w:rPr>
            </w:pPr>
            <w:r>
              <w:rPr>
                <w:bCs/>
                <w:color w:val="auto"/>
                <w:szCs w:val="21"/>
              </w:rPr>
              <w:t>*注：</w:t>
            </w:r>
            <w:r>
              <w:rPr>
                <w:bCs/>
                <w:color w:val="auto"/>
                <w:kern w:val="0"/>
                <w:szCs w:val="21"/>
              </w:rPr>
              <w:t>根据《环境影响评价技术导则 大气环境》（HJ2.2-2018），对8小时平均浓度、24小时平均浓度的，分别按2倍、3倍折算为1小时平均浓度</w:t>
            </w:r>
            <w:r>
              <w:rPr>
                <w:bCs/>
                <w:color w:val="auto"/>
                <w:szCs w:val="21"/>
              </w:rPr>
              <w:t>。</w:t>
            </w:r>
          </w:p>
          <w:p>
            <w:pPr>
              <w:spacing w:line="360" w:lineRule="auto"/>
              <w:ind w:firstLine="482" w:firstLineChars="200"/>
              <w:rPr>
                <w:rFonts w:hint="eastAsia" w:eastAsia="宋体"/>
                <w:b/>
                <w:bCs/>
                <w:color w:val="auto"/>
                <w:sz w:val="24"/>
                <w:lang w:val="en-US" w:eastAsia="zh-CN"/>
              </w:rPr>
            </w:pPr>
            <w:r>
              <w:rPr>
                <w:b/>
                <w:bCs/>
                <w:color w:val="auto"/>
                <w:sz w:val="24"/>
              </w:rPr>
              <w:t>2、地表水环境</w:t>
            </w:r>
            <w:r>
              <w:rPr>
                <w:rFonts w:hint="eastAsia"/>
                <w:b/>
                <w:bCs/>
                <w:color w:val="auto"/>
                <w:sz w:val="24"/>
                <w:lang w:val="en-US" w:eastAsia="zh-CN"/>
              </w:rPr>
              <w:t>质量标准</w:t>
            </w:r>
          </w:p>
          <w:p>
            <w:pPr>
              <w:spacing w:line="360" w:lineRule="auto"/>
              <w:ind w:firstLine="480" w:firstLineChars="200"/>
              <w:rPr>
                <w:b/>
                <w:bCs/>
                <w:color w:val="auto"/>
                <w:sz w:val="24"/>
              </w:rPr>
            </w:pPr>
            <w:r>
              <w:rPr>
                <w:color w:val="auto"/>
                <w:sz w:val="24"/>
              </w:rPr>
              <w:t>本项目</w:t>
            </w:r>
            <w:r>
              <w:rPr>
                <w:rFonts w:hint="eastAsia"/>
                <w:color w:val="auto"/>
                <w:sz w:val="24"/>
              </w:rPr>
              <w:t>生产废水经污水处理系统</w:t>
            </w:r>
            <w:r>
              <w:rPr>
                <w:color w:val="auto"/>
                <w:sz w:val="24"/>
              </w:rPr>
              <w:t>处理后回用，不外排。</w:t>
            </w:r>
            <w:r>
              <w:rPr>
                <w:rFonts w:hint="eastAsia"/>
                <w:color w:val="auto"/>
                <w:sz w:val="24"/>
                <w:lang w:val="en-US" w:eastAsia="zh-CN"/>
              </w:rPr>
              <w:t>0</w:t>
            </w:r>
            <w:r>
              <w:rPr>
                <w:color w:val="auto"/>
                <w:sz w:val="24"/>
              </w:rPr>
              <w:t>纯水制备浓水、</w:t>
            </w:r>
            <w:r>
              <w:rPr>
                <w:rFonts w:hint="eastAsia"/>
                <w:color w:val="auto"/>
                <w:sz w:val="24"/>
              </w:rPr>
              <w:t>纯水设备</w:t>
            </w:r>
            <w:r>
              <w:rPr>
                <w:color w:val="auto"/>
                <w:sz w:val="24"/>
              </w:rPr>
              <w:t>反冲洗废水一同接入梅村水处理厂集中处理</w:t>
            </w:r>
            <w:r>
              <w:rPr>
                <w:rFonts w:hint="eastAsia"/>
                <w:color w:val="auto"/>
                <w:sz w:val="24"/>
              </w:rPr>
              <w:t>后，尾水排入梅花港，</w:t>
            </w:r>
            <w:r>
              <w:rPr>
                <w:color w:val="auto"/>
                <w:sz w:val="24"/>
              </w:rPr>
              <w:t>最终进入江南运河；</w:t>
            </w:r>
            <w:r>
              <w:rPr>
                <w:snapToGrid w:val="0"/>
                <w:color w:val="auto"/>
                <w:kern w:val="0"/>
                <w:sz w:val="24"/>
              </w:rPr>
              <w:t>梅花港</w:t>
            </w:r>
            <w:r>
              <w:rPr>
                <w:rFonts w:hint="eastAsia"/>
                <w:snapToGrid w:val="0"/>
                <w:color w:val="auto"/>
                <w:kern w:val="0"/>
                <w:sz w:val="24"/>
              </w:rPr>
              <w:t>、伯渎港</w:t>
            </w:r>
            <w:r>
              <w:rPr>
                <w:snapToGrid w:val="0"/>
                <w:color w:val="auto"/>
                <w:kern w:val="0"/>
                <w:sz w:val="24"/>
              </w:rPr>
              <w:t>水域环境质量执行《地表水环境质量标准》（GB3838-2002）中的</w:t>
            </w:r>
            <w:r>
              <w:rPr>
                <w:color w:val="auto"/>
                <w:sz w:val="24"/>
              </w:rPr>
              <w:t>Ⅲ</w:t>
            </w:r>
            <w:r>
              <w:rPr>
                <w:color w:val="auto"/>
                <w:spacing w:val="6"/>
                <w:sz w:val="24"/>
              </w:rPr>
              <w:t>类</w:t>
            </w:r>
            <w:r>
              <w:rPr>
                <w:snapToGrid w:val="0"/>
                <w:color w:val="auto"/>
                <w:kern w:val="0"/>
                <w:sz w:val="24"/>
              </w:rPr>
              <w:t>水质标准，具体数值见表详见表3-</w:t>
            </w:r>
            <w:r>
              <w:rPr>
                <w:rFonts w:hint="eastAsia"/>
                <w:snapToGrid w:val="0"/>
                <w:color w:val="auto"/>
                <w:kern w:val="0"/>
                <w:sz w:val="24"/>
              </w:rPr>
              <w:t>10</w:t>
            </w:r>
            <w:r>
              <w:rPr>
                <w:snapToGrid w:val="0"/>
                <w:color w:val="auto"/>
                <w:kern w:val="0"/>
                <w:sz w:val="24"/>
              </w:rPr>
              <w:t>。</w:t>
            </w:r>
          </w:p>
          <w:p>
            <w:pPr>
              <w:numPr>
                <w:ilvl w:val="0"/>
                <w:numId w:val="11"/>
              </w:numPr>
              <w:snapToGrid w:val="0"/>
              <w:jc w:val="center"/>
              <w:rPr>
                <w:b/>
                <w:bCs/>
                <w:color w:val="auto"/>
                <w:sz w:val="24"/>
              </w:rPr>
            </w:pPr>
            <w:r>
              <w:rPr>
                <w:b/>
                <w:bCs/>
                <w:color w:val="auto"/>
                <w:sz w:val="24"/>
              </w:rPr>
              <w:t>地表水环境质量标准</w:t>
            </w:r>
            <w:r>
              <w:rPr>
                <w:rFonts w:hint="eastAsia"/>
                <w:b/>
                <w:bCs/>
                <w:color w:val="auto"/>
                <w:sz w:val="24"/>
              </w:rPr>
              <w:t xml:space="preserve">  </w:t>
            </w:r>
            <w:r>
              <w:rPr>
                <w:b/>
                <w:bCs/>
                <w:color w:val="auto"/>
                <w:sz w:val="24"/>
              </w:rPr>
              <w:t>单位：mg/L</w:t>
            </w:r>
          </w:p>
          <w:tbl>
            <w:tblPr>
              <w:tblStyle w:val="26"/>
              <w:tblW w:w="78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00"/>
              <w:gridCol w:w="1665"/>
              <w:gridCol w:w="1050"/>
              <w:gridCol w:w="32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75" w:type="dxa"/>
                  <w:tcBorders>
                    <w:tl2br w:val="nil"/>
                    <w:tr2bl w:val="nil"/>
                  </w:tcBorders>
                  <w:vAlign w:val="center"/>
                </w:tcPr>
                <w:p>
                  <w:pPr>
                    <w:adjustRightInd w:val="0"/>
                    <w:snapToGrid w:val="0"/>
                    <w:jc w:val="center"/>
                    <w:rPr>
                      <w:b/>
                      <w:bCs/>
                      <w:color w:val="auto"/>
                      <w:szCs w:val="21"/>
                    </w:rPr>
                  </w:pPr>
                  <w:r>
                    <w:rPr>
                      <w:b/>
                      <w:bCs/>
                      <w:color w:val="auto"/>
                      <w:szCs w:val="21"/>
                    </w:rPr>
                    <w:t>序号</w:t>
                  </w:r>
                </w:p>
              </w:tc>
              <w:tc>
                <w:tcPr>
                  <w:tcW w:w="1200" w:type="dxa"/>
                  <w:tcBorders>
                    <w:tl2br w:val="nil"/>
                    <w:tr2bl w:val="nil"/>
                  </w:tcBorders>
                  <w:vAlign w:val="center"/>
                </w:tcPr>
                <w:p>
                  <w:pPr>
                    <w:adjustRightInd w:val="0"/>
                    <w:snapToGrid w:val="0"/>
                    <w:jc w:val="center"/>
                    <w:rPr>
                      <w:b/>
                      <w:bCs/>
                      <w:color w:val="auto"/>
                      <w:szCs w:val="21"/>
                    </w:rPr>
                  </w:pPr>
                  <w:r>
                    <w:rPr>
                      <w:b/>
                      <w:bCs/>
                      <w:color w:val="auto"/>
                      <w:szCs w:val="21"/>
                    </w:rPr>
                    <w:t>评价因子</w:t>
                  </w:r>
                </w:p>
              </w:tc>
              <w:tc>
                <w:tcPr>
                  <w:tcW w:w="1665" w:type="dxa"/>
                  <w:tcBorders>
                    <w:tl2br w:val="nil"/>
                    <w:tr2bl w:val="nil"/>
                  </w:tcBorders>
                  <w:vAlign w:val="center"/>
                </w:tcPr>
                <w:p>
                  <w:pPr>
                    <w:adjustRightInd w:val="0"/>
                    <w:snapToGrid w:val="0"/>
                    <w:jc w:val="center"/>
                    <w:rPr>
                      <w:b/>
                      <w:bCs/>
                      <w:color w:val="auto"/>
                      <w:szCs w:val="21"/>
                    </w:rPr>
                  </w:pPr>
                  <w:r>
                    <w:rPr>
                      <w:b/>
                      <w:bCs/>
                      <w:color w:val="auto"/>
                      <w:szCs w:val="22"/>
                    </w:rPr>
                    <w:t>Ⅲ</w:t>
                  </w:r>
                  <w:r>
                    <w:rPr>
                      <w:b/>
                      <w:bCs/>
                      <w:color w:val="auto"/>
                      <w:spacing w:val="-20"/>
                      <w:szCs w:val="21"/>
                    </w:rPr>
                    <w:t>类功能水域标准</w:t>
                  </w:r>
                </w:p>
              </w:tc>
              <w:tc>
                <w:tcPr>
                  <w:tcW w:w="1050" w:type="dxa"/>
                  <w:tcBorders>
                    <w:tl2br w:val="nil"/>
                    <w:tr2bl w:val="nil"/>
                  </w:tcBorders>
                  <w:vAlign w:val="center"/>
                </w:tcPr>
                <w:p>
                  <w:pPr>
                    <w:adjustRightInd w:val="0"/>
                    <w:snapToGrid w:val="0"/>
                    <w:jc w:val="center"/>
                    <w:rPr>
                      <w:b/>
                      <w:bCs/>
                      <w:color w:val="auto"/>
                      <w:szCs w:val="21"/>
                    </w:rPr>
                  </w:pPr>
                  <w:r>
                    <w:rPr>
                      <w:b/>
                      <w:bCs/>
                      <w:color w:val="auto"/>
                      <w:szCs w:val="21"/>
                    </w:rPr>
                    <w:t>单位</w:t>
                  </w:r>
                </w:p>
              </w:tc>
              <w:tc>
                <w:tcPr>
                  <w:tcW w:w="3211" w:type="dxa"/>
                  <w:tcBorders>
                    <w:tl2br w:val="nil"/>
                    <w:tr2bl w:val="nil"/>
                  </w:tcBorders>
                  <w:vAlign w:val="center"/>
                </w:tcPr>
                <w:p>
                  <w:pPr>
                    <w:adjustRightInd w:val="0"/>
                    <w:snapToGrid w:val="0"/>
                    <w:jc w:val="center"/>
                    <w:rPr>
                      <w:b/>
                      <w:bCs/>
                      <w:color w:val="auto"/>
                      <w:szCs w:val="21"/>
                    </w:rPr>
                  </w:pPr>
                  <w:r>
                    <w:rPr>
                      <w:b/>
                      <w:bCs/>
                      <w:color w:val="auto"/>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75" w:type="dxa"/>
                  <w:tcBorders>
                    <w:tl2br w:val="nil"/>
                    <w:tr2bl w:val="nil"/>
                  </w:tcBorders>
                  <w:vAlign w:val="center"/>
                </w:tcPr>
                <w:p>
                  <w:pPr>
                    <w:adjustRightInd w:val="0"/>
                    <w:snapToGrid w:val="0"/>
                    <w:jc w:val="center"/>
                    <w:rPr>
                      <w:color w:val="auto"/>
                      <w:szCs w:val="21"/>
                    </w:rPr>
                  </w:pPr>
                  <w:r>
                    <w:rPr>
                      <w:color w:val="auto"/>
                      <w:szCs w:val="21"/>
                    </w:rPr>
                    <w:t>1</w:t>
                  </w:r>
                </w:p>
              </w:tc>
              <w:tc>
                <w:tcPr>
                  <w:tcW w:w="1200" w:type="dxa"/>
                  <w:tcBorders>
                    <w:tl2br w:val="nil"/>
                    <w:tr2bl w:val="nil"/>
                  </w:tcBorders>
                  <w:vAlign w:val="center"/>
                </w:tcPr>
                <w:p>
                  <w:pPr>
                    <w:adjustRightInd w:val="0"/>
                    <w:snapToGrid w:val="0"/>
                    <w:jc w:val="center"/>
                    <w:rPr>
                      <w:color w:val="auto"/>
                      <w:szCs w:val="21"/>
                    </w:rPr>
                  </w:pPr>
                  <w:r>
                    <w:rPr>
                      <w:color w:val="auto"/>
                      <w:szCs w:val="21"/>
                    </w:rPr>
                    <w:t>pH</w:t>
                  </w:r>
                </w:p>
              </w:tc>
              <w:tc>
                <w:tcPr>
                  <w:tcW w:w="1665" w:type="dxa"/>
                  <w:tcBorders>
                    <w:tl2br w:val="nil"/>
                    <w:tr2bl w:val="nil"/>
                  </w:tcBorders>
                  <w:vAlign w:val="center"/>
                </w:tcPr>
                <w:p>
                  <w:pPr>
                    <w:adjustRightInd w:val="0"/>
                    <w:snapToGrid w:val="0"/>
                    <w:jc w:val="center"/>
                    <w:rPr>
                      <w:color w:val="auto"/>
                      <w:szCs w:val="21"/>
                    </w:rPr>
                  </w:pPr>
                  <w:r>
                    <w:rPr>
                      <w:color w:val="auto"/>
                      <w:szCs w:val="21"/>
                    </w:rPr>
                    <w:t>6～9</w:t>
                  </w:r>
                </w:p>
              </w:tc>
              <w:tc>
                <w:tcPr>
                  <w:tcW w:w="1050" w:type="dxa"/>
                  <w:tcBorders>
                    <w:tl2br w:val="nil"/>
                    <w:tr2bl w:val="nil"/>
                  </w:tcBorders>
                  <w:vAlign w:val="center"/>
                </w:tcPr>
                <w:p>
                  <w:pPr>
                    <w:adjustRightInd w:val="0"/>
                    <w:snapToGrid w:val="0"/>
                    <w:jc w:val="center"/>
                    <w:rPr>
                      <w:color w:val="auto"/>
                      <w:szCs w:val="21"/>
                    </w:rPr>
                  </w:pPr>
                  <w:r>
                    <w:rPr>
                      <w:color w:val="auto"/>
                      <w:szCs w:val="21"/>
                    </w:rPr>
                    <w:t>/</w:t>
                  </w:r>
                </w:p>
              </w:tc>
              <w:tc>
                <w:tcPr>
                  <w:tcW w:w="3211" w:type="dxa"/>
                  <w:vMerge w:val="restart"/>
                  <w:tcBorders>
                    <w:tl2br w:val="nil"/>
                    <w:tr2bl w:val="nil"/>
                  </w:tcBorders>
                  <w:vAlign w:val="center"/>
                </w:tcPr>
                <w:p>
                  <w:pPr>
                    <w:adjustRightInd w:val="0"/>
                    <w:snapToGrid w:val="0"/>
                    <w:jc w:val="center"/>
                    <w:rPr>
                      <w:color w:val="auto"/>
                      <w:szCs w:val="21"/>
                    </w:rPr>
                  </w:pPr>
                  <w:r>
                    <w:rPr>
                      <w:snapToGrid w:val="0"/>
                      <w:color w:val="auto"/>
                      <w:kern w:val="0"/>
                      <w:szCs w:val="21"/>
                    </w:rPr>
                    <w:t>《地表水环境质量标准》（GB3838-2002）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75" w:type="dxa"/>
                  <w:tcBorders>
                    <w:tl2br w:val="nil"/>
                    <w:tr2bl w:val="nil"/>
                  </w:tcBorders>
                  <w:vAlign w:val="center"/>
                </w:tcPr>
                <w:p>
                  <w:pPr>
                    <w:adjustRightInd w:val="0"/>
                    <w:snapToGrid w:val="0"/>
                    <w:jc w:val="center"/>
                    <w:rPr>
                      <w:color w:val="auto"/>
                      <w:szCs w:val="21"/>
                    </w:rPr>
                  </w:pPr>
                  <w:r>
                    <w:rPr>
                      <w:color w:val="auto"/>
                      <w:szCs w:val="21"/>
                    </w:rPr>
                    <w:t>2</w:t>
                  </w:r>
                </w:p>
              </w:tc>
              <w:tc>
                <w:tcPr>
                  <w:tcW w:w="1200" w:type="dxa"/>
                  <w:tcBorders>
                    <w:tl2br w:val="nil"/>
                    <w:tr2bl w:val="nil"/>
                  </w:tcBorders>
                  <w:vAlign w:val="center"/>
                </w:tcPr>
                <w:p>
                  <w:pPr>
                    <w:adjustRightInd w:val="0"/>
                    <w:snapToGrid w:val="0"/>
                    <w:jc w:val="center"/>
                    <w:rPr>
                      <w:color w:val="auto"/>
                      <w:szCs w:val="21"/>
                    </w:rPr>
                  </w:pPr>
                  <w:r>
                    <w:rPr>
                      <w:snapToGrid w:val="0"/>
                      <w:color w:val="auto"/>
                      <w:szCs w:val="21"/>
                    </w:rPr>
                    <w:t>COD</w:t>
                  </w:r>
                  <w:r>
                    <w:rPr>
                      <w:snapToGrid w:val="0"/>
                      <w:color w:val="auto"/>
                      <w:szCs w:val="21"/>
                      <w:vertAlign w:val="subscript"/>
                    </w:rPr>
                    <w:t>Cr</w:t>
                  </w:r>
                </w:p>
              </w:tc>
              <w:tc>
                <w:tcPr>
                  <w:tcW w:w="1665" w:type="dxa"/>
                  <w:tcBorders>
                    <w:tl2br w:val="nil"/>
                    <w:tr2bl w:val="nil"/>
                  </w:tcBorders>
                  <w:vAlign w:val="center"/>
                </w:tcPr>
                <w:p>
                  <w:pPr>
                    <w:adjustRightInd w:val="0"/>
                    <w:snapToGrid w:val="0"/>
                    <w:jc w:val="center"/>
                    <w:rPr>
                      <w:color w:val="auto"/>
                      <w:szCs w:val="21"/>
                    </w:rPr>
                  </w:pPr>
                  <w:r>
                    <w:rPr>
                      <w:color w:val="auto"/>
                      <w:szCs w:val="21"/>
                    </w:rPr>
                    <w:t>≤</w:t>
                  </w:r>
                  <w:r>
                    <w:rPr>
                      <w:rFonts w:hint="eastAsia"/>
                      <w:color w:val="auto"/>
                      <w:szCs w:val="21"/>
                    </w:rPr>
                    <w:t>20</w:t>
                  </w:r>
                </w:p>
              </w:tc>
              <w:tc>
                <w:tcPr>
                  <w:tcW w:w="1050" w:type="dxa"/>
                  <w:vMerge w:val="restart"/>
                  <w:tcBorders>
                    <w:tl2br w:val="nil"/>
                    <w:tr2bl w:val="nil"/>
                  </w:tcBorders>
                  <w:vAlign w:val="center"/>
                </w:tcPr>
                <w:p>
                  <w:pPr>
                    <w:adjustRightInd w:val="0"/>
                    <w:snapToGrid w:val="0"/>
                    <w:jc w:val="center"/>
                    <w:rPr>
                      <w:color w:val="auto"/>
                      <w:szCs w:val="21"/>
                    </w:rPr>
                  </w:pPr>
                  <w:r>
                    <w:rPr>
                      <w:color w:val="auto"/>
                      <w:szCs w:val="21"/>
                    </w:rPr>
                    <w:t>mg/L</w:t>
                  </w:r>
                </w:p>
              </w:tc>
              <w:tc>
                <w:tcPr>
                  <w:tcW w:w="3211" w:type="dxa"/>
                  <w:vMerge w:val="continue"/>
                  <w:tcBorders>
                    <w:tl2br w:val="nil"/>
                    <w:tr2bl w:val="nil"/>
                  </w:tcBorders>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75" w:type="dxa"/>
                  <w:tcBorders>
                    <w:tl2br w:val="nil"/>
                    <w:tr2bl w:val="nil"/>
                  </w:tcBorders>
                  <w:vAlign w:val="center"/>
                </w:tcPr>
                <w:p>
                  <w:pPr>
                    <w:adjustRightInd w:val="0"/>
                    <w:snapToGrid w:val="0"/>
                    <w:jc w:val="center"/>
                    <w:rPr>
                      <w:color w:val="auto"/>
                      <w:szCs w:val="21"/>
                    </w:rPr>
                  </w:pPr>
                  <w:r>
                    <w:rPr>
                      <w:color w:val="auto"/>
                      <w:szCs w:val="21"/>
                    </w:rPr>
                    <w:t>3</w:t>
                  </w:r>
                </w:p>
              </w:tc>
              <w:tc>
                <w:tcPr>
                  <w:tcW w:w="1200" w:type="dxa"/>
                  <w:tcBorders>
                    <w:tl2br w:val="nil"/>
                    <w:tr2bl w:val="nil"/>
                  </w:tcBorders>
                  <w:vAlign w:val="center"/>
                </w:tcPr>
                <w:p>
                  <w:pPr>
                    <w:adjustRightInd w:val="0"/>
                    <w:snapToGrid w:val="0"/>
                    <w:jc w:val="center"/>
                    <w:rPr>
                      <w:color w:val="auto"/>
                      <w:szCs w:val="21"/>
                    </w:rPr>
                  </w:pPr>
                  <w:r>
                    <w:rPr>
                      <w:snapToGrid w:val="0"/>
                      <w:color w:val="auto"/>
                      <w:szCs w:val="21"/>
                    </w:rPr>
                    <w:t>NH</w:t>
                  </w:r>
                  <w:r>
                    <w:rPr>
                      <w:snapToGrid w:val="0"/>
                      <w:color w:val="auto"/>
                      <w:szCs w:val="21"/>
                      <w:vertAlign w:val="subscript"/>
                    </w:rPr>
                    <w:t>3</w:t>
                  </w:r>
                  <w:r>
                    <w:rPr>
                      <w:snapToGrid w:val="0"/>
                      <w:color w:val="auto"/>
                      <w:szCs w:val="21"/>
                    </w:rPr>
                    <w:t>-N</w:t>
                  </w:r>
                </w:p>
              </w:tc>
              <w:tc>
                <w:tcPr>
                  <w:tcW w:w="1665" w:type="dxa"/>
                  <w:tcBorders>
                    <w:tl2br w:val="nil"/>
                    <w:tr2bl w:val="nil"/>
                  </w:tcBorders>
                  <w:vAlign w:val="center"/>
                </w:tcPr>
                <w:p>
                  <w:pPr>
                    <w:adjustRightInd w:val="0"/>
                    <w:snapToGrid w:val="0"/>
                    <w:jc w:val="center"/>
                    <w:rPr>
                      <w:color w:val="auto"/>
                      <w:szCs w:val="21"/>
                    </w:rPr>
                  </w:pPr>
                  <w:r>
                    <w:rPr>
                      <w:color w:val="auto"/>
                      <w:szCs w:val="21"/>
                    </w:rPr>
                    <w:t>≤1</w:t>
                  </w:r>
                  <w:r>
                    <w:rPr>
                      <w:rFonts w:hint="eastAsia"/>
                      <w:color w:val="auto"/>
                      <w:szCs w:val="21"/>
                    </w:rPr>
                    <w:t>.0</w:t>
                  </w:r>
                </w:p>
              </w:tc>
              <w:tc>
                <w:tcPr>
                  <w:tcW w:w="1050" w:type="dxa"/>
                  <w:vMerge w:val="continue"/>
                  <w:tcBorders>
                    <w:tl2br w:val="nil"/>
                    <w:tr2bl w:val="nil"/>
                  </w:tcBorders>
                  <w:vAlign w:val="center"/>
                </w:tcPr>
                <w:p>
                  <w:pPr>
                    <w:adjustRightInd w:val="0"/>
                    <w:snapToGrid w:val="0"/>
                    <w:jc w:val="center"/>
                    <w:rPr>
                      <w:color w:val="auto"/>
                      <w:szCs w:val="21"/>
                    </w:rPr>
                  </w:pPr>
                </w:p>
              </w:tc>
              <w:tc>
                <w:tcPr>
                  <w:tcW w:w="3211" w:type="dxa"/>
                  <w:vMerge w:val="continue"/>
                  <w:tcBorders>
                    <w:tl2br w:val="nil"/>
                    <w:tr2bl w:val="nil"/>
                  </w:tcBorders>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75" w:type="dxa"/>
                  <w:tcBorders>
                    <w:tl2br w:val="nil"/>
                    <w:tr2bl w:val="nil"/>
                  </w:tcBorders>
                  <w:vAlign w:val="center"/>
                </w:tcPr>
                <w:p>
                  <w:pPr>
                    <w:adjustRightInd w:val="0"/>
                    <w:snapToGrid w:val="0"/>
                    <w:jc w:val="center"/>
                    <w:rPr>
                      <w:color w:val="auto"/>
                      <w:szCs w:val="21"/>
                    </w:rPr>
                  </w:pPr>
                  <w:r>
                    <w:rPr>
                      <w:color w:val="auto"/>
                      <w:szCs w:val="21"/>
                    </w:rPr>
                    <w:t>4</w:t>
                  </w:r>
                </w:p>
              </w:tc>
              <w:tc>
                <w:tcPr>
                  <w:tcW w:w="1200" w:type="dxa"/>
                  <w:tcBorders>
                    <w:tl2br w:val="nil"/>
                    <w:tr2bl w:val="nil"/>
                  </w:tcBorders>
                  <w:vAlign w:val="center"/>
                </w:tcPr>
                <w:p>
                  <w:pPr>
                    <w:adjustRightInd w:val="0"/>
                    <w:snapToGrid w:val="0"/>
                    <w:jc w:val="center"/>
                    <w:rPr>
                      <w:color w:val="auto"/>
                      <w:szCs w:val="21"/>
                    </w:rPr>
                  </w:pPr>
                  <w:r>
                    <w:rPr>
                      <w:color w:val="auto"/>
                      <w:szCs w:val="21"/>
                    </w:rPr>
                    <w:t>TN</w:t>
                  </w:r>
                </w:p>
              </w:tc>
              <w:tc>
                <w:tcPr>
                  <w:tcW w:w="1665" w:type="dxa"/>
                  <w:tcBorders>
                    <w:tl2br w:val="nil"/>
                    <w:tr2bl w:val="nil"/>
                  </w:tcBorders>
                  <w:vAlign w:val="center"/>
                </w:tcPr>
                <w:p>
                  <w:pPr>
                    <w:adjustRightInd w:val="0"/>
                    <w:snapToGrid w:val="0"/>
                    <w:jc w:val="center"/>
                    <w:rPr>
                      <w:color w:val="auto"/>
                      <w:szCs w:val="21"/>
                    </w:rPr>
                  </w:pPr>
                  <w:r>
                    <w:rPr>
                      <w:color w:val="auto"/>
                      <w:szCs w:val="21"/>
                    </w:rPr>
                    <w:t>≤1.</w:t>
                  </w:r>
                  <w:r>
                    <w:rPr>
                      <w:rFonts w:hint="eastAsia"/>
                      <w:color w:val="auto"/>
                      <w:szCs w:val="21"/>
                    </w:rPr>
                    <w:t>0</w:t>
                  </w:r>
                </w:p>
              </w:tc>
              <w:tc>
                <w:tcPr>
                  <w:tcW w:w="1050" w:type="dxa"/>
                  <w:vMerge w:val="continue"/>
                  <w:tcBorders>
                    <w:tl2br w:val="nil"/>
                    <w:tr2bl w:val="nil"/>
                  </w:tcBorders>
                  <w:vAlign w:val="center"/>
                </w:tcPr>
                <w:p>
                  <w:pPr>
                    <w:adjustRightInd w:val="0"/>
                    <w:snapToGrid w:val="0"/>
                    <w:jc w:val="center"/>
                    <w:rPr>
                      <w:color w:val="auto"/>
                      <w:szCs w:val="21"/>
                    </w:rPr>
                  </w:pPr>
                </w:p>
              </w:tc>
              <w:tc>
                <w:tcPr>
                  <w:tcW w:w="3211" w:type="dxa"/>
                  <w:vMerge w:val="continue"/>
                  <w:tcBorders>
                    <w:tl2br w:val="nil"/>
                    <w:tr2bl w:val="nil"/>
                  </w:tcBorders>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75" w:type="dxa"/>
                  <w:tcBorders>
                    <w:tl2br w:val="nil"/>
                    <w:tr2bl w:val="nil"/>
                  </w:tcBorders>
                  <w:vAlign w:val="center"/>
                </w:tcPr>
                <w:p>
                  <w:pPr>
                    <w:adjustRightInd w:val="0"/>
                    <w:snapToGrid w:val="0"/>
                    <w:jc w:val="center"/>
                    <w:rPr>
                      <w:color w:val="auto"/>
                      <w:szCs w:val="21"/>
                    </w:rPr>
                  </w:pPr>
                  <w:r>
                    <w:rPr>
                      <w:color w:val="auto"/>
                      <w:szCs w:val="21"/>
                    </w:rPr>
                    <w:t>5</w:t>
                  </w:r>
                </w:p>
              </w:tc>
              <w:tc>
                <w:tcPr>
                  <w:tcW w:w="1200" w:type="dxa"/>
                  <w:tcBorders>
                    <w:tl2br w:val="nil"/>
                    <w:tr2bl w:val="nil"/>
                  </w:tcBorders>
                  <w:vAlign w:val="center"/>
                </w:tcPr>
                <w:p>
                  <w:pPr>
                    <w:adjustRightInd w:val="0"/>
                    <w:snapToGrid w:val="0"/>
                    <w:jc w:val="center"/>
                    <w:rPr>
                      <w:color w:val="auto"/>
                      <w:szCs w:val="21"/>
                    </w:rPr>
                  </w:pPr>
                  <w:r>
                    <w:rPr>
                      <w:snapToGrid w:val="0"/>
                      <w:color w:val="auto"/>
                      <w:szCs w:val="21"/>
                    </w:rPr>
                    <w:t>TP</w:t>
                  </w:r>
                </w:p>
              </w:tc>
              <w:tc>
                <w:tcPr>
                  <w:tcW w:w="1665" w:type="dxa"/>
                  <w:tcBorders>
                    <w:tl2br w:val="nil"/>
                    <w:tr2bl w:val="nil"/>
                  </w:tcBorders>
                  <w:vAlign w:val="center"/>
                </w:tcPr>
                <w:p>
                  <w:pPr>
                    <w:adjustRightInd w:val="0"/>
                    <w:snapToGrid w:val="0"/>
                    <w:jc w:val="center"/>
                    <w:rPr>
                      <w:color w:val="auto"/>
                      <w:szCs w:val="21"/>
                    </w:rPr>
                  </w:pPr>
                  <w:r>
                    <w:rPr>
                      <w:color w:val="auto"/>
                      <w:szCs w:val="21"/>
                    </w:rPr>
                    <w:t>≤</w:t>
                  </w:r>
                  <w:r>
                    <w:rPr>
                      <w:color w:val="auto"/>
                      <w:spacing w:val="-20"/>
                      <w:szCs w:val="21"/>
                    </w:rPr>
                    <w:t>0.</w:t>
                  </w:r>
                  <w:r>
                    <w:rPr>
                      <w:rFonts w:hint="eastAsia"/>
                      <w:color w:val="auto"/>
                      <w:spacing w:val="-20"/>
                      <w:szCs w:val="21"/>
                    </w:rPr>
                    <w:t>2</w:t>
                  </w:r>
                </w:p>
              </w:tc>
              <w:tc>
                <w:tcPr>
                  <w:tcW w:w="1050" w:type="dxa"/>
                  <w:vMerge w:val="continue"/>
                  <w:tcBorders>
                    <w:tl2br w:val="nil"/>
                    <w:tr2bl w:val="nil"/>
                  </w:tcBorders>
                  <w:vAlign w:val="center"/>
                </w:tcPr>
                <w:p>
                  <w:pPr>
                    <w:adjustRightInd w:val="0"/>
                    <w:snapToGrid w:val="0"/>
                    <w:jc w:val="center"/>
                    <w:rPr>
                      <w:color w:val="auto"/>
                      <w:szCs w:val="21"/>
                    </w:rPr>
                  </w:pPr>
                </w:p>
              </w:tc>
              <w:tc>
                <w:tcPr>
                  <w:tcW w:w="3211" w:type="dxa"/>
                  <w:vMerge w:val="continue"/>
                  <w:tcBorders>
                    <w:tl2br w:val="nil"/>
                    <w:tr2bl w:val="nil"/>
                  </w:tcBorders>
                  <w:vAlign w:val="center"/>
                </w:tcPr>
                <w:p>
                  <w:pPr>
                    <w:adjustRightInd w:val="0"/>
                    <w:snapToGrid w:val="0"/>
                    <w:jc w:val="center"/>
                    <w:rPr>
                      <w:color w:val="auto"/>
                      <w:szCs w:val="21"/>
                    </w:rPr>
                  </w:pPr>
                </w:p>
              </w:tc>
            </w:tr>
          </w:tbl>
          <w:p>
            <w:pPr>
              <w:adjustRightInd w:val="0"/>
              <w:snapToGrid w:val="0"/>
              <w:spacing w:before="159" w:beforeLines="50" w:line="360" w:lineRule="auto"/>
              <w:ind w:firstLine="482" w:firstLineChars="200"/>
              <w:rPr>
                <w:rFonts w:hint="eastAsia" w:eastAsia="宋体"/>
                <w:b/>
                <w:bCs/>
                <w:color w:val="auto"/>
                <w:sz w:val="24"/>
                <w:szCs w:val="21"/>
                <w:lang w:val="en-US" w:eastAsia="zh-CN"/>
              </w:rPr>
            </w:pPr>
            <w:r>
              <w:rPr>
                <w:b/>
                <w:bCs/>
                <w:color w:val="auto"/>
                <w:sz w:val="24"/>
              </w:rPr>
              <w:t>3、声环境</w:t>
            </w:r>
            <w:r>
              <w:rPr>
                <w:rFonts w:hint="eastAsia"/>
                <w:b/>
                <w:bCs/>
                <w:color w:val="auto"/>
                <w:sz w:val="24"/>
                <w:lang w:val="en-US" w:eastAsia="zh-CN"/>
              </w:rPr>
              <w:t>质量标准</w:t>
            </w:r>
          </w:p>
          <w:p>
            <w:pPr>
              <w:adjustRightInd w:val="0"/>
              <w:snapToGrid w:val="0"/>
              <w:spacing w:line="360" w:lineRule="auto"/>
              <w:ind w:firstLine="480" w:firstLineChars="200"/>
              <w:rPr>
                <w:color w:val="auto"/>
                <w:sz w:val="24"/>
              </w:rPr>
            </w:pPr>
            <w:r>
              <w:rPr>
                <w:color w:val="auto"/>
                <w:sz w:val="24"/>
              </w:rPr>
              <w:t>根据《市政府办公室关于印发无锡市区声环境功能区划分调整方案的通知》（锡政办发[2018]157号），该区域为3类声功能区，故项目所在地环境噪声执行《声环境质量标准》(GB 3096-2008)3类声环境功能区环境噪声限值，敏感目标执行2类声环境功能区环境噪声限值。具体标准见表3-11。</w:t>
            </w:r>
          </w:p>
          <w:p>
            <w:pPr>
              <w:numPr>
                <w:ilvl w:val="0"/>
                <w:numId w:val="11"/>
              </w:numPr>
              <w:snapToGrid w:val="0"/>
              <w:jc w:val="center"/>
              <w:rPr>
                <w:b/>
                <w:bCs/>
                <w:color w:val="auto"/>
                <w:sz w:val="24"/>
              </w:rPr>
            </w:pPr>
            <w:r>
              <w:rPr>
                <w:b/>
                <w:bCs/>
                <w:color w:val="auto"/>
                <w:sz w:val="24"/>
              </w:rPr>
              <w:t>环境噪声限值  单位：dB（A）</w:t>
            </w:r>
          </w:p>
          <w:tbl>
            <w:tblPr>
              <w:tblStyle w:val="26"/>
              <w:tblW w:w="78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12"/>
              <w:gridCol w:w="2928"/>
              <w:gridCol w:w="29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10" w:hRule="atLeast"/>
                <w:jc w:val="center"/>
              </w:trPr>
              <w:tc>
                <w:tcPr>
                  <w:tcW w:w="1912" w:type="dxa"/>
                  <w:tcBorders>
                    <w:tl2br w:val="nil"/>
                    <w:tr2bl w:val="nil"/>
                  </w:tcBorders>
                  <w:vAlign w:val="center"/>
                </w:tcPr>
                <w:p>
                  <w:pPr>
                    <w:jc w:val="center"/>
                    <w:rPr>
                      <w:b/>
                      <w:color w:val="auto"/>
                      <w:szCs w:val="21"/>
                    </w:rPr>
                  </w:pPr>
                  <w:r>
                    <w:rPr>
                      <w:b/>
                      <w:color w:val="auto"/>
                      <w:szCs w:val="21"/>
                    </w:rPr>
                    <w:t>类别</w:t>
                  </w:r>
                </w:p>
              </w:tc>
              <w:tc>
                <w:tcPr>
                  <w:tcW w:w="2928" w:type="dxa"/>
                  <w:tcBorders>
                    <w:tl2br w:val="nil"/>
                    <w:tr2bl w:val="nil"/>
                  </w:tcBorders>
                  <w:vAlign w:val="center"/>
                </w:tcPr>
                <w:p>
                  <w:pPr>
                    <w:jc w:val="center"/>
                    <w:rPr>
                      <w:b/>
                      <w:color w:val="auto"/>
                      <w:szCs w:val="21"/>
                    </w:rPr>
                  </w:pPr>
                  <w:r>
                    <w:rPr>
                      <w:b/>
                      <w:color w:val="auto"/>
                      <w:szCs w:val="21"/>
                    </w:rPr>
                    <w:t>昼间</w:t>
                  </w:r>
                </w:p>
              </w:tc>
              <w:tc>
                <w:tcPr>
                  <w:tcW w:w="2999" w:type="dxa"/>
                  <w:tcBorders>
                    <w:tl2br w:val="nil"/>
                    <w:tr2bl w:val="nil"/>
                  </w:tcBorders>
                  <w:vAlign w:val="center"/>
                </w:tcPr>
                <w:p>
                  <w:pPr>
                    <w:jc w:val="center"/>
                    <w:rPr>
                      <w:b/>
                      <w:color w:val="auto"/>
                      <w:szCs w:val="21"/>
                    </w:rPr>
                  </w:pPr>
                  <w:r>
                    <w:rPr>
                      <w:b/>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912" w:type="dxa"/>
                  <w:tcBorders>
                    <w:tl2br w:val="nil"/>
                    <w:tr2bl w:val="nil"/>
                  </w:tcBorders>
                  <w:vAlign w:val="center"/>
                </w:tcPr>
                <w:p>
                  <w:pPr>
                    <w:jc w:val="center"/>
                    <w:rPr>
                      <w:color w:val="auto"/>
                      <w:szCs w:val="21"/>
                    </w:rPr>
                  </w:pPr>
                  <w:r>
                    <w:rPr>
                      <w:color w:val="auto"/>
                      <w:szCs w:val="21"/>
                    </w:rPr>
                    <w:t>3类</w:t>
                  </w:r>
                  <w:r>
                    <w:rPr>
                      <w:rFonts w:hint="eastAsia"/>
                      <w:color w:val="auto"/>
                      <w:szCs w:val="21"/>
                    </w:rPr>
                    <w:t>功能区</w:t>
                  </w:r>
                </w:p>
              </w:tc>
              <w:tc>
                <w:tcPr>
                  <w:tcW w:w="2928" w:type="dxa"/>
                  <w:tcBorders>
                    <w:tl2br w:val="nil"/>
                    <w:tr2bl w:val="nil"/>
                  </w:tcBorders>
                  <w:vAlign w:val="center"/>
                </w:tcPr>
                <w:p>
                  <w:pPr>
                    <w:jc w:val="center"/>
                    <w:rPr>
                      <w:color w:val="auto"/>
                      <w:szCs w:val="21"/>
                    </w:rPr>
                  </w:pPr>
                  <w:r>
                    <w:rPr>
                      <w:color w:val="auto"/>
                      <w:szCs w:val="21"/>
                    </w:rPr>
                    <w:t>65</w:t>
                  </w:r>
                </w:p>
              </w:tc>
              <w:tc>
                <w:tcPr>
                  <w:tcW w:w="2999" w:type="dxa"/>
                  <w:tcBorders>
                    <w:tl2br w:val="nil"/>
                    <w:tr2bl w:val="nil"/>
                  </w:tcBorders>
                  <w:vAlign w:val="center"/>
                </w:tcPr>
                <w:p>
                  <w:pPr>
                    <w:jc w:val="center"/>
                    <w:rPr>
                      <w:color w:val="auto"/>
                      <w:szCs w:val="21"/>
                    </w:rPr>
                  </w:pPr>
                  <w:r>
                    <w:rPr>
                      <w:color w:val="auto"/>
                      <w:szCs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912" w:type="dxa"/>
                  <w:tcBorders>
                    <w:tl2br w:val="nil"/>
                    <w:tr2bl w:val="nil"/>
                  </w:tcBorders>
                  <w:vAlign w:val="center"/>
                </w:tcPr>
                <w:p>
                  <w:pPr>
                    <w:jc w:val="center"/>
                    <w:rPr>
                      <w:color w:val="auto"/>
                      <w:szCs w:val="21"/>
                    </w:rPr>
                  </w:pPr>
                  <w:r>
                    <w:rPr>
                      <w:rFonts w:hint="eastAsia"/>
                      <w:color w:val="auto"/>
                      <w:szCs w:val="21"/>
                    </w:rPr>
                    <w:t>2</w:t>
                  </w:r>
                  <w:r>
                    <w:rPr>
                      <w:color w:val="auto"/>
                      <w:szCs w:val="21"/>
                    </w:rPr>
                    <w:t>类功能区</w:t>
                  </w:r>
                </w:p>
              </w:tc>
              <w:tc>
                <w:tcPr>
                  <w:tcW w:w="2928" w:type="dxa"/>
                  <w:tcBorders>
                    <w:tl2br w:val="nil"/>
                    <w:tr2bl w:val="nil"/>
                  </w:tcBorders>
                  <w:vAlign w:val="center"/>
                </w:tcPr>
                <w:p>
                  <w:pPr>
                    <w:jc w:val="center"/>
                    <w:rPr>
                      <w:color w:val="auto"/>
                      <w:szCs w:val="21"/>
                    </w:rPr>
                  </w:pPr>
                  <w:r>
                    <w:rPr>
                      <w:color w:val="auto"/>
                      <w:szCs w:val="21"/>
                    </w:rPr>
                    <w:t>6</w:t>
                  </w:r>
                  <w:r>
                    <w:rPr>
                      <w:rFonts w:hint="eastAsia"/>
                      <w:color w:val="auto"/>
                      <w:szCs w:val="21"/>
                    </w:rPr>
                    <w:t>0</w:t>
                  </w:r>
                </w:p>
              </w:tc>
              <w:tc>
                <w:tcPr>
                  <w:tcW w:w="2999" w:type="dxa"/>
                  <w:tcBorders>
                    <w:tl2br w:val="nil"/>
                    <w:tr2bl w:val="nil"/>
                  </w:tcBorders>
                  <w:vAlign w:val="center"/>
                </w:tcPr>
                <w:p>
                  <w:pPr>
                    <w:jc w:val="center"/>
                    <w:rPr>
                      <w:color w:val="auto"/>
                      <w:szCs w:val="21"/>
                    </w:rPr>
                  </w:pPr>
                  <w:r>
                    <w:rPr>
                      <w:color w:val="auto"/>
                      <w:szCs w:val="21"/>
                    </w:rPr>
                    <w:t>5</w:t>
                  </w:r>
                  <w:r>
                    <w:rPr>
                      <w:rFonts w:hint="eastAsia"/>
                      <w:color w:val="auto"/>
                      <w:szCs w:val="21"/>
                    </w:rPr>
                    <w:t>0</w:t>
                  </w:r>
                </w:p>
              </w:tc>
            </w:tr>
          </w:tbl>
          <w:p>
            <w:pPr>
              <w:keepNext w:val="0"/>
              <w:keepLines w:val="0"/>
              <w:pageBreakBefore w:val="0"/>
              <w:widowControl w:val="0"/>
              <w:tabs>
                <w:tab w:val="left" w:pos="5142"/>
              </w:tabs>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snapToGrid w:val="0"/>
                <w:color w:val="auto"/>
                <w:kern w:val="0"/>
                <w:sz w:val="24"/>
                <w:szCs w:val="24"/>
                <w:lang w:val="en-US" w:eastAsia="zh-CN"/>
              </w:rPr>
            </w:pPr>
            <w:r>
              <w:rPr>
                <w:rFonts w:hint="eastAsia" w:ascii="Times New Roman" w:hAnsi="Times New Roman" w:eastAsia="宋体" w:cs="Times New Roman"/>
                <w:b/>
                <w:snapToGrid w:val="0"/>
                <w:color w:val="auto"/>
                <w:kern w:val="0"/>
                <w:sz w:val="24"/>
                <w:szCs w:val="24"/>
                <w:lang w:val="en-US" w:eastAsia="zh-CN"/>
              </w:rPr>
              <w:t>4、振动质量标准</w:t>
            </w:r>
          </w:p>
          <w:p>
            <w:pPr>
              <w:keepNext w:val="0"/>
              <w:keepLines w:val="0"/>
              <w:pageBreakBefore w:val="0"/>
              <w:widowControl w:val="0"/>
              <w:tabs>
                <w:tab w:val="left" w:pos="5142"/>
              </w:tabs>
              <w:kinsoku/>
              <w:wordWrap/>
              <w:overflowPunct/>
              <w:topLinePunct w:val="0"/>
              <w:autoSpaceDE/>
              <w:autoSpaceDN/>
              <w:bidi w:val="0"/>
              <w:adjustRightInd/>
              <w:snapToGrid/>
              <w:spacing w:line="360" w:lineRule="auto"/>
              <w:ind w:firstLine="480" w:firstLineChars="200"/>
              <w:jc w:val="left"/>
              <w:textAlignment w:val="auto"/>
              <w:rPr>
                <w:b/>
                <w:color w:val="auto"/>
                <w:sz w:val="24"/>
              </w:rPr>
            </w:pPr>
            <w:r>
              <w:rPr>
                <w:rFonts w:hint="eastAsia" w:ascii="Times New Roman" w:hAnsi="Times New Roman"/>
                <w:color w:val="auto"/>
                <w:sz w:val="24"/>
                <w:szCs w:val="24"/>
              </w:rPr>
              <w:t>本项目振动质量标准执行</w:t>
            </w:r>
            <w:r>
              <w:rPr>
                <w:rFonts w:ascii="Times New Roman" w:hAnsi="Times New Roman"/>
                <w:color w:val="auto"/>
                <w:sz w:val="24"/>
                <w:szCs w:val="24"/>
              </w:rPr>
              <w:t>《</w:t>
            </w:r>
            <w:r>
              <w:rPr>
                <w:rStyle w:val="29"/>
                <w:rFonts w:ascii="Times New Roman" w:hAnsi="Times New Roman"/>
                <w:b w:val="0"/>
                <w:color w:val="auto"/>
                <w:sz w:val="24"/>
                <w:szCs w:val="24"/>
              </w:rPr>
              <w:t>城市区域环境振动标准》</w:t>
            </w:r>
            <w:r>
              <w:rPr>
                <w:rFonts w:hint="eastAsia" w:ascii="Times New Roman" w:hAnsi="Times New Roman"/>
                <w:color w:val="auto"/>
                <w:sz w:val="24"/>
                <w:szCs w:val="24"/>
                <w:lang w:eastAsia="zh-CN"/>
              </w:rPr>
              <w:t>（</w:t>
            </w:r>
            <w:r>
              <w:rPr>
                <w:rFonts w:ascii="Times New Roman" w:hAnsi="Times New Roman"/>
                <w:color w:val="auto"/>
                <w:sz w:val="24"/>
                <w:szCs w:val="24"/>
              </w:rPr>
              <w:t>GB10070-88</w:t>
            </w:r>
            <w:r>
              <w:rPr>
                <w:rFonts w:hint="eastAsia" w:ascii="Times New Roman" w:hAnsi="Times New Roman"/>
                <w:color w:val="auto"/>
                <w:sz w:val="24"/>
                <w:szCs w:val="24"/>
                <w:lang w:eastAsia="zh-CN"/>
              </w:rPr>
              <w:t>）</w:t>
            </w:r>
            <w:r>
              <w:rPr>
                <w:rFonts w:ascii="Times New Roman" w:hAnsi="Times New Roman"/>
                <w:color w:val="auto"/>
                <w:sz w:val="24"/>
                <w:szCs w:val="24"/>
              </w:rPr>
              <w:t>：工业集中区铅垂向Z振级标准值昼间≤75dB</w:t>
            </w:r>
            <w:r>
              <w:rPr>
                <w:rFonts w:ascii="Times New Roman" w:hAnsi="Times New Roman"/>
                <w:snapToGrid w:val="0"/>
                <w:color w:val="auto"/>
                <w:kern w:val="0"/>
                <w:sz w:val="24"/>
                <w:szCs w:val="24"/>
              </w:rPr>
              <w:t>、夜间≤72dB</w:t>
            </w:r>
            <w:r>
              <w:rPr>
                <w:rFonts w:ascii="Times New Roman" w:hAnsi="Times New Roman"/>
                <w:color w:val="auto"/>
                <w:sz w:val="24"/>
                <w:szCs w:val="24"/>
              </w:rPr>
              <w:t>。</w:t>
            </w:r>
          </w:p>
          <w:p>
            <w:pPr>
              <w:keepNext w:val="0"/>
              <w:keepLines w:val="0"/>
              <w:pageBreakBefore w:val="0"/>
              <w:widowControl w:val="0"/>
              <w:tabs>
                <w:tab w:val="left" w:pos="180"/>
              </w:tabs>
              <w:kinsoku/>
              <w:wordWrap/>
              <w:overflowPunct/>
              <w:topLinePunct w:val="0"/>
              <w:autoSpaceDE/>
              <w:autoSpaceDN/>
              <w:bidi w:val="0"/>
              <w:adjustRightInd/>
              <w:snapToGrid/>
              <w:spacing w:line="360" w:lineRule="auto"/>
              <w:jc w:val="left"/>
              <w:textAlignment w:val="auto"/>
              <w:rPr>
                <w:b/>
                <w:color w:val="auto"/>
                <w:sz w:val="24"/>
              </w:rPr>
            </w:pPr>
            <w:r>
              <w:rPr>
                <w:b/>
                <w:color w:val="auto"/>
                <w:sz w:val="24"/>
              </w:rPr>
              <w:t>二、污染物排放标准</w:t>
            </w:r>
          </w:p>
          <w:p>
            <w:pPr>
              <w:keepNext w:val="0"/>
              <w:keepLines w:val="0"/>
              <w:pageBreakBefore w:val="0"/>
              <w:tabs>
                <w:tab w:val="left" w:pos="180"/>
              </w:tabs>
              <w:kinsoku/>
              <w:wordWrap/>
              <w:overflowPunct/>
              <w:topLinePunct w:val="0"/>
              <w:autoSpaceDE/>
              <w:autoSpaceDN/>
              <w:bidi w:val="0"/>
              <w:adjustRightInd/>
              <w:snapToGrid/>
              <w:spacing w:line="360" w:lineRule="auto"/>
              <w:jc w:val="left"/>
              <w:textAlignment w:val="auto"/>
              <w:rPr>
                <w:b/>
                <w:color w:val="auto"/>
                <w:sz w:val="24"/>
              </w:rPr>
            </w:pPr>
            <w:r>
              <w:rPr>
                <w:b/>
                <w:color w:val="auto"/>
                <w:sz w:val="24"/>
              </w:rPr>
              <w:t>1、废气排放标准：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bCs/>
                <w:color w:val="auto"/>
                <w:sz w:val="24"/>
              </w:rPr>
              <w:t>项目排放的废气主要为</w:t>
            </w:r>
            <w:r>
              <w:rPr>
                <w:color w:val="auto"/>
                <w:kern w:val="0"/>
                <w:sz w:val="24"/>
                <w:lang w:bidi="ar"/>
              </w:rPr>
              <w:t>为</w:t>
            </w:r>
            <w:r>
              <w:rPr>
                <w:rFonts w:hint="eastAsia"/>
                <w:color w:val="auto"/>
                <w:kern w:val="0"/>
                <w:sz w:val="24"/>
                <w:lang w:bidi="ar"/>
              </w:rPr>
              <w:t>天然气燃烧过程排放的</w:t>
            </w:r>
            <w:r>
              <w:rPr>
                <w:color w:val="auto"/>
                <w:kern w:val="0"/>
                <w:sz w:val="24"/>
                <w:lang w:bidi="ar"/>
              </w:rPr>
              <w:t>SO</w:t>
            </w:r>
            <w:r>
              <w:rPr>
                <w:color w:val="auto"/>
                <w:kern w:val="0"/>
                <w:sz w:val="24"/>
                <w:vertAlign w:val="subscript"/>
                <w:lang w:bidi="ar"/>
              </w:rPr>
              <w:t>2</w:t>
            </w:r>
            <w:r>
              <w:rPr>
                <w:color w:val="auto"/>
                <w:kern w:val="0"/>
                <w:sz w:val="24"/>
                <w:lang w:bidi="ar"/>
              </w:rPr>
              <w:t>、NOx、颗粒物</w:t>
            </w:r>
            <w:r>
              <w:rPr>
                <w:rFonts w:hint="eastAsia"/>
                <w:color w:val="auto"/>
                <w:kern w:val="0"/>
                <w:sz w:val="24"/>
                <w:lang w:bidi="ar"/>
              </w:rPr>
              <w:t>，执行江苏省地方标准《工业炉窑大气污染物排放标准》（DB 32/3728-2020）表1标准，冲压件检验工序打磨产生颗粒物，执行</w:t>
            </w:r>
            <w:r>
              <w:rPr>
                <w:rFonts w:hint="default" w:ascii="Times New Roman" w:hAnsi="Times New Roman" w:eastAsia="宋体" w:cs="Times New Roman"/>
                <w:color w:val="auto"/>
                <w:sz w:val="24"/>
                <w:szCs w:val="24"/>
              </w:rPr>
              <w:t>江苏省地方标准《大气污染物综合排放标准》（DB32/4041-2021）表3标准，粉末固化过程产生的非甲烷总烃以及喷粉工序产生的颗粒物，有组织执行江苏省地方标准《表面涂装（工程机械和钢结构行业）大气污染物排放标准》（DB32/4147-2021）表1标准；无组织执行江苏省地方标准《大气污染物综合排放标准》（DB32/4041-2021）表3标准，危废仓库产生的非甲烷总烃，执行江苏省地方标准《大气污染物综合排放标准》（DB32/4041-2021）表3标准。</w:t>
            </w:r>
          </w:p>
          <w:p>
            <w:pPr>
              <w:widowControl/>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厂区内非甲烷总烃无组织排放监控点浓度执行</w:t>
            </w:r>
            <w:r>
              <w:rPr>
                <w:rFonts w:hint="default" w:ascii="Times New Roman" w:hAnsi="Times New Roman" w:eastAsia="宋体" w:cs="Times New Roman"/>
                <w:color w:val="auto"/>
                <w:sz w:val="24"/>
                <w:szCs w:val="24"/>
              </w:rPr>
              <w:t>江苏省地方标准《表面涂</w:t>
            </w:r>
          </w:p>
          <w:p>
            <w:pPr>
              <w:widowControl/>
              <w:spacing w:line="360" w:lineRule="auto"/>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装（工程机械和钢结构行业）大气污染物排放标准》（DB32/4147-2021）表3排放限值</w:t>
            </w:r>
            <w:r>
              <w:rPr>
                <w:rFonts w:hint="default" w:ascii="Times New Roman" w:hAnsi="Times New Roman" w:eastAsia="宋体" w:cs="Times New Roman"/>
                <w:bCs/>
                <w:color w:val="auto"/>
                <w:sz w:val="24"/>
                <w:szCs w:val="24"/>
              </w:rPr>
              <w:t>。具体</w:t>
            </w:r>
            <w:r>
              <w:rPr>
                <w:rFonts w:hint="default" w:ascii="Times New Roman" w:hAnsi="Times New Roman" w:eastAsia="宋体" w:cs="Times New Roman"/>
                <w:color w:val="auto"/>
                <w:sz w:val="24"/>
                <w:szCs w:val="24"/>
              </w:rPr>
              <w:t>废气排放标准见表3-12及表3-13。</w:t>
            </w:r>
          </w:p>
          <w:p>
            <w:pPr>
              <w:numPr>
                <w:ilvl w:val="0"/>
                <w:numId w:val="11"/>
              </w:numPr>
              <w:snapToGrid w:val="0"/>
              <w:jc w:val="center"/>
              <w:rPr>
                <w:b/>
                <w:bCs/>
                <w:color w:val="auto"/>
                <w:szCs w:val="21"/>
              </w:rPr>
            </w:pPr>
            <w:r>
              <w:rPr>
                <w:b/>
                <w:bCs/>
                <w:color w:val="auto"/>
                <w:sz w:val="24"/>
              </w:rPr>
              <w:t>大气污染物排放标准限值表</w:t>
            </w:r>
          </w:p>
          <w:tbl>
            <w:tblPr>
              <w:tblStyle w:val="26"/>
              <w:tblW w:w="80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0"/>
              <w:gridCol w:w="956"/>
              <w:gridCol w:w="995"/>
              <w:gridCol w:w="981"/>
              <w:gridCol w:w="907"/>
              <w:gridCol w:w="1124"/>
              <w:gridCol w:w="21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2" w:type="pct"/>
                  <w:tcBorders>
                    <w:tl2br w:val="nil"/>
                    <w:tr2bl w:val="nil"/>
                  </w:tcBorders>
                  <w:vAlign w:val="center"/>
                </w:tcPr>
                <w:p>
                  <w:pPr>
                    <w:adjustRightInd w:val="0"/>
                    <w:snapToGrid w:val="0"/>
                    <w:jc w:val="center"/>
                    <w:rPr>
                      <w:b/>
                      <w:bCs/>
                      <w:color w:val="auto"/>
                      <w:szCs w:val="21"/>
                    </w:rPr>
                  </w:pPr>
                  <w:r>
                    <w:rPr>
                      <w:b/>
                      <w:bCs/>
                      <w:color w:val="auto"/>
                      <w:szCs w:val="21"/>
                    </w:rPr>
                    <w:t>产污工序</w:t>
                  </w:r>
                </w:p>
              </w:tc>
              <w:tc>
                <w:tcPr>
                  <w:tcW w:w="596" w:type="pct"/>
                  <w:tcBorders>
                    <w:tl2br w:val="nil"/>
                    <w:tr2bl w:val="nil"/>
                  </w:tcBorders>
                  <w:vAlign w:val="center"/>
                </w:tcPr>
                <w:p>
                  <w:pPr>
                    <w:adjustRightInd w:val="0"/>
                    <w:snapToGrid w:val="0"/>
                    <w:jc w:val="center"/>
                    <w:rPr>
                      <w:b/>
                      <w:bCs/>
                      <w:color w:val="auto"/>
                      <w:szCs w:val="21"/>
                    </w:rPr>
                  </w:pPr>
                  <w:r>
                    <w:rPr>
                      <w:b/>
                      <w:bCs/>
                      <w:color w:val="auto"/>
                      <w:szCs w:val="21"/>
                    </w:rPr>
                    <w:t>污染物名称</w:t>
                  </w:r>
                </w:p>
              </w:tc>
              <w:tc>
                <w:tcPr>
                  <w:tcW w:w="620" w:type="pct"/>
                  <w:tcBorders>
                    <w:tl2br w:val="nil"/>
                    <w:tr2bl w:val="nil"/>
                  </w:tcBorders>
                  <w:vAlign w:val="center"/>
                </w:tcPr>
                <w:p>
                  <w:pPr>
                    <w:adjustRightInd w:val="0"/>
                    <w:snapToGrid w:val="0"/>
                    <w:jc w:val="center"/>
                    <w:rPr>
                      <w:b/>
                      <w:bCs/>
                      <w:color w:val="auto"/>
                      <w:szCs w:val="21"/>
                    </w:rPr>
                  </w:pPr>
                  <w:r>
                    <w:rPr>
                      <w:b/>
                      <w:bCs/>
                      <w:color w:val="auto"/>
                      <w:szCs w:val="21"/>
                    </w:rPr>
                    <w:t>最高容许排放浓度</w:t>
                  </w:r>
                </w:p>
                <w:p>
                  <w:pPr>
                    <w:adjustRightInd w:val="0"/>
                    <w:snapToGrid w:val="0"/>
                    <w:jc w:val="center"/>
                    <w:rPr>
                      <w:b/>
                      <w:bCs/>
                      <w:color w:val="auto"/>
                      <w:szCs w:val="21"/>
                    </w:rPr>
                  </w:pPr>
                  <w:r>
                    <w:rPr>
                      <w:b/>
                      <w:bCs/>
                      <w:color w:val="auto"/>
                      <w:szCs w:val="21"/>
                    </w:rPr>
                    <w:t>（mg/m</w:t>
                  </w:r>
                  <w:r>
                    <w:rPr>
                      <w:b/>
                      <w:bCs/>
                      <w:color w:val="auto"/>
                      <w:szCs w:val="21"/>
                      <w:vertAlign w:val="superscript"/>
                    </w:rPr>
                    <w:t>3</w:t>
                  </w:r>
                  <w:r>
                    <w:rPr>
                      <w:b/>
                      <w:bCs/>
                      <w:color w:val="auto"/>
                      <w:szCs w:val="21"/>
                    </w:rPr>
                    <w:t>）</w:t>
                  </w:r>
                </w:p>
              </w:tc>
              <w:tc>
                <w:tcPr>
                  <w:tcW w:w="612" w:type="pct"/>
                  <w:tcBorders>
                    <w:tl2br w:val="nil"/>
                    <w:tr2bl w:val="nil"/>
                  </w:tcBorders>
                  <w:vAlign w:val="center"/>
                </w:tcPr>
                <w:p>
                  <w:pPr>
                    <w:adjustRightInd w:val="0"/>
                    <w:snapToGrid w:val="0"/>
                    <w:jc w:val="center"/>
                    <w:rPr>
                      <w:b/>
                      <w:bCs/>
                      <w:color w:val="auto"/>
                      <w:szCs w:val="21"/>
                    </w:rPr>
                  </w:pPr>
                  <w:r>
                    <w:rPr>
                      <w:b/>
                      <w:bCs/>
                      <w:color w:val="auto"/>
                      <w:szCs w:val="21"/>
                    </w:rPr>
                    <w:t>排放</w:t>
                  </w:r>
                </w:p>
                <w:p>
                  <w:pPr>
                    <w:adjustRightInd w:val="0"/>
                    <w:snapToGrid w:val="0"/>
                    <w:jc w:val="center"/>
                    <w:rPr>
                      <w:b/>
                      <w:bCs/>
                      <w:color w:val="auto"/>
                      <w:szCs w:val="21"/>
                    </w:rPr>
                  </w:pPr>
                  <w:r>
                    <w:rPr>
                      <w:b/>
                      <w:bCs/>
                      <w:color w:val="auto"/>
                      <w:szCs w:val="21"/>
                    </w:rPr>
                    <w:t>速率（kg/h）</w:t>
                  </w:r>
                </w:p>
              </w:tc>
              <w:tc>
                <w:tcPr>
                  <w:tcW w:w="565" w:type="pct"/>
                  <w:tcBorders>
                    <w:tl2br w:val="nil"/>
                    <w:tr2bl w:val="nil"/>
                  </w:tcBorders>
                  <w:vAlign w:val="center"/>
                </w:tcPr>
                <w:p>
                  <w:pPr>
                    <w:adjustRightInd w:val="0"/>
                    <w:snapToGrid w:val="0"/>
                    <w:jc w:val="center"/>
                    <w:rPr>
                      <w:b/>
                      <w:bCs/>
                      <w:color w:val="auto"/>
                      <w:szCs w:val="21"/>
                    </w:rPr>
                  </w:pPr>
                  <w:r>
                    <w:rPr>
                      <w:b/>
                      <w:bCs/>
                      <w:color w:val="auto"/>
                      <w:szCs w:val="21"/>
                    </w:rPr>
                    <w:t>监控位置</w:t>
                  </w:r>
                </w:p>
              </w:tc>
              <w:tc>
                <w:tcPr>
                  <w:tcW w:w="701" w:type="pct"/>
                  <w:tcBorders>
                    <w:tl2br w:val="nil"/>
                    <w:tr2bl w:val="nil"/>
                  </w:tcBorders>
                  <w:vAlign w:val="center"/>
                </w:tcPr>
                <w:p>
                  <w:pPr>
                    <w:adjustRightInd w:val="0"/>
                    <w:snapToGrid w:val="0"/>
                    <w:jc w:val="center"/>
                    <w:rPr>
                      <w:b/>
                      <w:bCs/>
                      <w:color w:val="auto"/>
                      <w:szCs w:val="21"/>
                    </w:rPr>
                  </w:pPr>
                  <w:r>
                    <w:rPr>
                      <w:b/>
                      <w:bCs/>
                      <w:color w:val="auto"/>
                      <w:szCs w:val="21"/>
                    </w:rPr>
                    <w:t>无组织监控浓度限值（mg/m</w:t>
                  </w:r>
                  <w:r>
                    <w:rPr>
                      <w:b/>
                      <w:bCs/>
                      <w:color w:val="auto"/>
                      <w:szCs w:val="21"/>
                      <w:vertAlign w:val="superscript"/>
                    </w:rPr>
                    <w:t>3</w:t>
                  </w:r>
                  <w:r>
                    <w:rPr>
                      <w:b/>
                      <w:bCs/>
                      <w:color w:val="auto"/>
                      <w:szCs w:val="21"/>
                    </w:rPr>
                    <w:t>）</w:t>
                  </w:r>
                </w:p>
              </w:tc>
              <w:tc>
                <w:tcPr>
                  <w:tcW w:w="1310" w:type="pct"/>
                  <w:tcBorders>
                    <w:tl2br w:val="nil"/>
                    <w:tr2bl w:val="nil"/>
                  </w:tcBorders>
                  <w:vAlign w:val="center"/>
                </w:tcPr>
                <w:p>
                  <w:pPr>
                    <w:adjustRightInd w:val="0"/>
                    <w:snapToGrid w:val="0"/>
                    <w:jc w:val="center"/>
                    <w:rPr>
                      <w:b/>
                      <w:bCs/>
                      <w:color w:val="auto"/>
                      <w:szCs w:val="21"/>
                    </w:rPr>
                  </w:pPr>
                  <w:r>
                    <w:rPr>
                      <w:b/>
                      <w:bCs/>
                      <w:color w:val="auto"/>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592" w:type="pct"/>
                  <w:vMerge w:val="restart"/>
                  <w:tcBorders>
                    <w:tl2br w:val="nil"/>
                    <w:tr2bl w:val="nil"/>
                  </w:tcBorders>
                  <w:vAlign w:val="center"/>
                </w:tcPr>
                <w:p>
                  <w:pPr>
                    <w:adjustRightInd w:val="0"/>
                    <w:snapToGrid w:val="0"/>
                    <w:jc w:val="center"/>
                    <w:rPr>
                      <w:color w:val="auto"/>
                      <w:szCs w:val="21"/>
                    </w:rPr>
                  </w:pPr>
                  <w:r>
                    <w:rPr>
                      <w:color w:val="auto"/>
                      <w:szCs w:val="21"/>
                    </w:rPr>
                    <w:t>天然气燃烧</w:t>
                  </w:r>
                </w:p>
              </w:tc>
              <w:tc>
                <w:tcPr>
                  <w:tcW w:w="596" w:type="pct"/>
                  <w:tcBorders>
                    <w:tl2br w:val="nil"/>
                    <w:tr2bl w:val="nil"/>
                  </w:tcBorders>
                  <w:vAlign w:val="center"/>
                </w:tcPr>
                <w:p>
                  <w:pPr>
                    <w:adjustRightInd w:val="0"/>
                    <w:snapToGrid w:val="0"/>
                    <w:jc w:val="center"/>
                    <w:rPr>
                      <w:color w:val="auto"/>
                      <w:szCs w:val="21"/>
                    </w:rPr>
                  </w:pPr>
                  <w:r>
                    <w:rPr>
                      <w:color w:val="auto"/>
                      <w:szCs w:val="21"/>
                    </w:rPr>
                    <w:t>颗粒物</w:t>
                  </w:r>
                </w:p>
              </w:tc>
              <w:tc>
                <w:tcPr>
                  <w:tcW w:w="620" w:type="pct"/>
                  <w:tcBorders>
                    <w:tl2br w:val="nil"/>
                    <w:tr2bl w:val="nil"/>
                  </w:tcBorders>
                  <w:vAlign w:val="center"/>
                </w:tcPr>
                <w:p>
                  <w:pPr>
                    <w:snapToGrid w:val="0"/>
                    <w:jc w:val="center"/>
                    <w:rPr>
                      <w:color w:val="auto"/>
                      <w:szCs w:val="21"/>
                    </w:rPr>
                  </w:pPr>
                  <w:r>
                    <w:rPr>
                      <w:rFonts w:hint="eastAsia"/>
                      <w:color w:val="auto"/>
                      <w:szCs w:val="21"/>
                    </w:rPr>
                    <w:t>20</w:t>
                  </w:r>
                </w:p>
              </w:tc>
              <w:tc>
                <w:tcPr>
                  <w:tcW w:w="612" w:type="pct"/>
                  <w:tcBorders>
                    <w:tl2br w:val="nil"/>
                    <w:tr2bl w:val="nil"/>
                  </w:tcBorders>
                  <w:vAlign w:val="center"/>
                </w:tcPr>
                <w:p>
                  <w:pPr>
                    <w:adjustRightInd w:val="0"/>
                    <w:snapToGrid w:val="0"/>
                    <w:jc w:val="center"/>
                    <w:rPr>
                      <w:color w:val="auto"/>
                      <w:szCs w:val="21"/>
                    </w:rPr>
                  </w:pPr>
                  <w:r>
                    <w:rPr>
                      <w:color w:val="auto"/>
                      <w:szCs w:val="21"/>
                    </w:rPr>
                    <w:t>—</w:t>
                  </w:r>
                </w:p>
              </w:tc>
              <w:tc>
                <w:tcPr>
                  <w:tcW w:w="565" w:type="pct"/>
                  <w:vMerge w:val="restart"/>
                  <w:tcBorders>
                    <w:tl2br w:val="nil"/>
                    <w:tr2bl w:val="nil"/>
                  </w:tcBorders>
                  <w:vAlign w:val="center"/>
                </w:tcPr>
                <w:p>
                  <w:pPr>
                    <w:adjustRightInd w:val="0"/>
                    <w:snapToGrid w:val="0"/>
                    <w:jc w:val="center"/>
                    <w:rPr>
                      <w:color w:val="auto"/>
                      <w:szCs w:val="21"/>
                    </w:rPr>
                  </w:pPr>
                  <w:r>
                    <w:rPr>
                      <w:color w:val="auto"/>
                      <w:szCs w:val="21"/>
                    </w:rPr>
                    <w:t>车间</w:t>
                  </w:r>
                  <w:r>
                    <w:rPr>
                      <w:rFonts w:hint="eastAsia"/>
                      <w:color w:val="auto"/>
                      <w:szCs w:val="21"/>
                    </w:rPr>
                    <w:t>排气筒出口</w:t>
                  </w:r>
                  <w:r>
                    <w:rPr>
                      <w:color w:val="auto"/>
                      <w:szCs w:val="21"/>
                    </w:rPr>
                    <w:t>或生产设施排气筒</w:t>
                  </w:r>
                  <w:r>
                    <w:rPr>
                      <w:rFonts w:hint="eastAsia"/>
                      <w:color w:val="auto"/>
                      <w:szCs w:val="21"/>
                    </w:rPr>
                    <w:t>出口</w:t>
                  </w:r>
                </w:p>
              </w:tc>
              <w:tc>
                <w:tcPr>
                  <w:tcW w:w="701" w:type="pct"/>
                  <w:tcBorders>
                    <w:tl2br w:val="nil"/>
                    <w:tr2bl w:val="nil"/>
                  </w:tcBorders>
                  <w:vAlign w:val="center"/>
                </w:tcPr>
                <w:p>
                  <w:pPr>
                    <w:adjustRightInd w:val="0"/>
                    <w:snapToGrid w:val="0"/>
                    <w:jc w:val="center"/>
                    <w:rPr>
                      <w:color w:val="auto"/>
                      <w:szCs w:val="21"/>
                    </w:rPr>
                  </w:pPr>
                  <w:r>
                    <w:rPr>
                      <w:color w:val="auto"/>
                      <w:szCs w:val="21"/>
                    </w:rPr>
                    <w:t>—</w:t>
                  </w:r>
                </w:p>
              </w:tc>
              <w:tc>
                <w:tcPr>
                  <w:tcW w:w="1310" w:type="pct"/>
                  <w:vMerge w:val="restart"/>
                  <w:tcBorders>
                    <w:tl2br w:val="nil"/>
                    <w:tr2bl w:val="nil"/>
                  </w:tcBorders>
                  <w:vAlign w:val="center"/>
                </w:tcPr>
                <w:p>
                  <w:pPr>
                    <w:wordWrap w:val="0"/>
                    <w:adjustRightInd w:val="0"/>
                    <w:snapToGrid w:val="0"/>
                    <w:jc w:val="center"/>
                  </w:pPr>
                  <w:r>
                    <w:rPr>
                      <w:rFonts w:hint="eastAsia"/>
                      <w:color w:val="auto"/>
                      <w:szCs w:val="21"/>
                    </w:rPr>
                    <w:t>江苏省地方标准《工业炉窑大气污染物排放标准》（DB 32/3728-2020）表1标准</w:t>
                  </w:r>
                  <w:r>
                    <w:rPr>
                      <w:rFonts w:hint="default" w:ascii="Times New Roman" w:hAnsi="Times New Roman" w:cs="Times New Roman"/>
                      <w:color w:val="auto"/>
                      <w:szCs w:val="21"/>
                      <w:highlight w:val="none"/>
                    </w:rPr>
                    <w:t>及表5标准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592" w:type="pct"/>
                  <w:vMerge w:val="continue"/>
                  <w:tcBorders>
                    <w:tl2br w:val="nil"/>
                    <w:tr2bl w:val="nil"/>
                  </w:tcBorders>
                  <w:vAlign w:val="center"/>
                </w:tcPr>
                <w:p>
                  <w:pPr>
                    <w:adjustRightInd w:val="0"/>
                    <w:snapToGrid w:val="0"/>
                    <w:jc w:val="center"/>
                    <w:rPr>
                      <w:color w:val="auto"/>
                      <w:szCs w:val="21"/>
                    </w:rPr>
                  </w:pPr>
                </w:p>
              </w:tc>
              <w:tc>
                <w:tcPr>
                  <w:tcW w:w="596" w:type="pct"/>
                  <w:tcBorders>
                    <w:tl2br w:val="nil"/>
                    <w:tr2bl w:val="nil"/>
                  </w:tcBorders>
                  <w:vAlign w:val="center"/>
                </w:tcPr>
                <w:p>
                  <w:pPr>
                    <w:adjustRightInd w:val="0"/>
                    <w:snapToGrid w:val="0"/>
                    <w:jc w:val="center"/>
                    <w:rPr>
                      <w:color w:val="auto"/>
                      <w:szCs w:val="21"/>
                    </w:rPr>
                  </w:pPr>
                  <w:r>
                    <w:rPr>
                      <w:color w:val="auto"/>
                      <w:szCs w:val="21"/>
                    </w:rPr>
                    <w:t>SO</w:t>
                  </w:r>
                  <w:r>
                    <w:rPr>
                      <w:color w:val="auto"/>
                      <w:szCs w:val="21"/>
                      <w:vertAlign w:val="subscript"/>
                    </w:rPr>
                    <w:t>2</w:t>
                  </w:r>
                </w:p>
              </w:tc>
              <w:tc>
                <w:tcPr>
                  <w:tcW w:w="620" w:type="pct"/>
                  <w:tcBorders>
                    <w:tl2br w:val="nil"/>
                    <w:tr2bl w:val="nil"/>
                  </w:tcBorders>
                  <w:vAlign w:val="center"/>
                </w:tcPr>
                <w:p>
                  <w:pPr>
                    <w:snapToGrid w:val="0"/>
                    <w:jc w:val="center"/>
                    <w:rPr>
                      <w:color w:val="auto"/>
                      <w:szCs w:val="21"/>
                    </w:rPr>
                  </w:pPr>
                  <w:r>
                    <w:rPr>
                      <w:rFonts w:hint="eastAsia"/>
                      <w:color w:val="auto"/>
                      <w:szCs w:val="21"/>
                    </w:rPr>
                    <w:t>80</w:t>
                  </w:r>
                </w:p>
              </w:tc>
              <w:tc>
                <w:tcPr>
                  <w:tcW w:w="612" w:type="pct"/>
                  <w:tcBorders>
                    <w:tl2br w:val="nil"/>
                    <w:tr2bl w:val="nil"/>
                  </w:tcBorders>
                  <w:vAlign w:val="center"/>
                </w:tcPr>
                <w:p>
                  <w:pPr>
                    <w:adjustRightInd w:val="0"/>
                    <w:snapToGrid w:val="0"/>
                    <w:jc w:val="center"/>
                    <w:rPr>
                      <w:color w:val="auto"/>
                      <w:szCs w:val="21"/>
                    </w:rPr>
                  </w:pPr>
                  <w:r>
                    <w:rPr>
                      <w:color w:val="auto"/>
                      <w:szCs w:val="21"/>
                    </w:rPr>
                    <w:t>—</w:t>
                  </w:r>
                </w:p>
              </w:tc>
              <w:tc>
                <w:tcPr>
                  <w:tcW w:w="565" w:type="pct"/>
                  <w:vMerge w:val="continue"/>
                  <w:tcBorders>
                    <w:tl2br w:val="nil"/>
                    <w:tr2bl w:val="nil"/>
                  </w:tcBorders>
                  <w:vAlign w:val="center"/>
                </w:tcPr>
                <w:p>
                  <w:pPr>
                    <w:adjustRightInd w:val="0"/>
                    <w:snapToGrid w:val="0"/>
                    <w:jc w:val="center"/>
                    <w:rPr>
                      <w:color w:val="auto"/>
                      <w:szCs w:val="21"/>
                    </w:rPr>
                  </w:pPr>
                </w:p>
              </w:tc>
              <w:tc>
                <w:tcPr>
                  <w:tcW w:w="701" w:type="pct"/>
                  <w:tcBorders>
                    <w:tl2br w:val="nil"/>
                    <w:tr2bl w:val="nil"/>
                  </w:tcBorders>
                  <w:vAlign w:val="center"/>
                </w:tcPr>
                <w:p>
                  <w:pPr>
                    <w:adjustRightInd w:val="0"/>
                    <w:snapToGrid w:val="0"/>
                    <w:jc w:val="center"/>
                    <w:rPr>
                      <w:color w:val="auto"/>
                      <w:szCs w:val="21"/>
                    </w:rPr>
                  </w:pPr>
                  <w:r>
                    <w:rPr>
                      <w:color w:val="auto"/>
                      <w:szCs w:val="21"/>
                    </w:rPr>
                    <w:t>—</w:t>
                  </w:r>
                </w:p>
              </w:tc>
              <w:tc>
                <w:tcPr>
                  <w:tcW w:w="1310" w:type="pct"/>
                  <w:vMerge w:val="continue"/>
                  <w:tcBorders>
                    <w:tl2br w:val="nil"/>
                    <w:tr2bl w:val="nil"/>
                  </w:tcBorders>
                  <w:vAlign w:val="center"/>
                </w:tcPr>
                <w:p>
                  <w:pPr>
                    <w:wordWrap w:val="0"/>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592" w:type="pct"/>
                  <w:vMerge w:val="continue"/>
                  <w:tcBorders>
                    <w:tl2br w:val="nil"/>
                    <w:tr2bl w:val="nil"/>
                  </w:tcBorders>
                  <w:vAlign w:val="center"/>
                </w:tcPr>
                <w:p>
                  <w:pPr>
                    <w:adjustRightInd w:val="0"/>
                    <w:snapToGrid w:val="0"/>
                    <w:jc w:val="center"/>
                    <w:rPr>
                      <w:color w:val="auto"/>
                      <w:szCs w:val="21"/>
                    </w:rPr>
                  </w:pPr>
                </w:p>
              </w:tc>
              <w:tc>
                <w:tcPr>
                  <w:tcW w:w="596" w:type="pct"/>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N</w:t>
                  </w:r>
                  <w:r>
                    <w:rPr>
                      <w:color w:val="auto"/>
                    </w:rPr>
                    <w:commentReference w:id="16"/>
                  </w:r>
                  <w:r>
                    <w:rPr>
                      <w:color w:val="auto"/>
                      <w:szCs w:val="21"/>
                    </w:rPr>
                    <w:t>O</w:t>
                  </w:r>
                  <w:r>
                    <w:rPr>
                      <w:color w:val="auto"/>
                      <w:szCs w:val="21"/>
                      <w:vertAlign w:val="subscript"/>
                    </w:rPr>
                    <w:t>x</w:t>
                  </w:r>
                </w:p>
              </w:tc>
              <w:tc>
                <w:tcPr>
                  <w:tcW w:w="620" w:type="pct"/>
                  <w:tcBorders>
                    <w:tl2br w:val="nil"/>
                    <w:tr2bl w:val="nil"/>
                  </w:tcBorders>
                  <w:vAlign w:val="center"/>
                </w:tcPr>
                <w:p>
                  <w:pPr>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180</w:t>
                  </w:r>
                </w:p>
              </w:tc>
              <w:tc>
                <w:tcPr>
                  <w:tcW w:w="612" w:type="pct"/>
                  <w:tcBorders>
                    <w:tl2br w:val="nil"/>
                    <w:tr2bl w:val="nil"/>
                  </w:tcBorders>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color w:val="auto"/>
                      <w:szCs w:val="21"/>
                    </w:rPr>
                    <w:t>—</w:t>
                  </w:r>
                </w:p>
              </w:tc>
              <w:tc>
                <w:tcPr>
                  <w:tcW w:w="565" w:type="pct"/>
                  <w:vMerge w:val="continue"/>
                  <w:tcBorders>
                    <w:tl2br w:val="nil"/>
                    <w:tr2bl w:val="nil"/>
                  </w:tcBorders>
                  <w:vAlign w:val="center"/>
                </w:tcPr>
                <w:p>
                  <w:pPr>
                    <w:adjustRightInd w:val="0"/>
                    <w:snapToGrid w:val="0"/>
                    <w:jc w:val="center"/>
                    <w:rPr>
                      <w:color w:val="auto"/>
                      <w:szCs w:val="21"/>
                    </w:rPr>
                  </w:pPr>
                </w:p>
              </w:tc>
              <w:tc>
                <w:tcPr>
                  <w:tcW w:w="701" w:type="pct"/>
                  <w:tcBorders>
                    <w:tl2br w:val="nil"/>
                    <w:tr2bl w:val="nil"/>
                  </w:tcBorders>
                  <w:vAlign w:val="center"/>
                </w:tcPr>
                <w:p>
                  <w:pPr>
                    <w:adjustRightInd w:val="0"/>
                    <w:snapToGrid w:val="0"/>
                    <w:jc w:val="center"/>
                    <w:rPr>
                      <w:color w:val="auto"/>
                      <w:szCs w:val="21"/>
                    </w:rPr>
                  </w:pPr>
                  <w:r>
                    <w:rPr>
                      <w:color w:val="auto"/>
                      <w:szCs w:val="21"/>
                    </w:rPr>
                    <w:t>—</w:t>
                  </w:r>
                </w:p>
              </w:tc>
              <w:tc>
                <w:tcPr>
                  <w:tcW w:w="1310" w:type="pct"/>
                  <w:vMerge w:val="continue"/>
                  <w:tcBorders>
                    <w:tl2br w:val="nil"/>
                    <w:tr2bl w:val="nil"/>
                  </w:tcBorders>
                  <w:vAlign w:val="center"/>
                </w:tcPr>
                <w:p>
                  <w:pPr>
                    <w:wordWrap w:val="0"/>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592" w:type="pct"/>
                  <w:vMerge w:val="continue"/>
                  <w:tcBorders>
                    <w:tl2br w:val="nil"/>
                    <w:tr2bl w:val="nil"/>
                  </w:tcBorders>
                  <w:vAlign w:val="center"/>
                </w:tcPr>
                <w:p>
                  <w:pPr>
                    <w:adjustRightInd w:val="0"/>
                    <w:snapToGrid w:val="0"/>
                    <w:jc w:val="center"/>
                    <w:rPr>
                      <w:color w:val="auto"/>
                      <w:szCs w:val="21"/>
                    </w:rPr>
                  </w:pPr>
                </w:p>
              </w:tc>
              <w:tc>
                <w:tcPr>
                  <w:tcW w:w="596" w:type="pct"/>
                  <w:tcBorders>
                    <w:tl2br w:val="nil"/>
                    <w:tr2bl w:val="nil"/>
                  </w:tcBorders>
                  <w:vAlign w:val="center"/>
                </w:tcPr>
                <w:p>
                  <w:pPr>
                    <w:adjustRightInd w:val="0"/>
                    <w:snapToGrid w:val="0"/>
                    <w:jc w:val="center"/>
                    <w:rPr>
                      <w:color w:val="auto"/>
                      <w:szCs w:val="21"/>
                    </w:rPr>
                  </w:pPr>
                  <w:r>
                    <w:rPr>
                      <w:rFonts w:hint="default" w:ascii="Times New Roman" w:hAnsi="Times New Roman" w:cs="Times New Roman"/>
                      <w:color w:val="auto"/>
                      <w:szCs w:val="21"/>
                      <w:highlight w:val="none"/>
                    </w:rPr>
                    <w:t>基准氧含量</w:t>
                  </w:r>
                </w:p>
              </w:tc>
              <w:tc>
                <w:tcPr>
                  <w:tcW w:w="1232" w:type="pct"/>
                  <w:gridSpan w:val="2"/>
                  <w:tcBorders>
                    <w:tl2br w:val="nil"/>
                    <w:tr2bl w:val="nil"/>
                  </w:tcBorders>
                  <w:vAlign w:val="center"/>
                </w:tcPr>
                <w:p>
                  <w:pPr>
                    <w:adjustRightInd w:val="0"/>
                    <w:snapToGrid w:val="0"/>
                    <w:jc w:val="center"/>
                    <w:rPr>
                      <w:color w:val="auto"/>
                      <w:szCs w:val="21"/>
                    </w:rPr>
                  </w:pPr>
                  <w:r>
                    <w:rPr>
                      <w:rFonts w:hint="default" w:ascii="Times New Roman" w:hAnsi="Times New Roman" w:cs="Times New Roman"/>
                      <w:color w:val="auto"/>
                      <w:szCs w:val="21"/>
                      <w:highlight w:val="none"/>
                    </w:rPr>
                    <w:t>干烟气基准氧含量9%</w:t>
                  </w:r>
                </w:p>
              </w:tc>
              <w:tc>
                <w:tcPr>
                  <w:tcW w:w="565" w:type="pct"/>
                  <w:vMerge w:val="continue"/>
                  <w:tcBorders>
                    <w:tl2br w:val="nil"/>
                    <w:tr2bl w:val="nil"/>
                  </w:tcBorders>
                  <w:vAlign w:val="center"/>
                </w:tcPr>
                <w:p>
                  <w:pPr>
                    <w:adjustRightInd w:val="0"/>
                    <w:snapToGrid w:val="0"/>
                    <w:jc w:val="center"/>
                    <w:rPr>
                      <w:color w:val="auto"/>
                      <w:szCs w:val="21"/>
                    </w:rPr>
                  </w:pPr>
                </w:p>
              </w:tc>
              <w:tc>
                <w:tcPr>
                  <w:tcW w:w="701" w:type="pct"/>
                  <w:tcBorders>
                    <w:tl2br w:val="nil"/>
                    <w:tr2bl w:val="nil"/>
                  </w:tcBorders>
                  <w:vAlign w:val="center"/>
                </w:tcPr>
                <w:p>
                  <w:pPr>
                    <w:adjustRightInd w:val="0"/>
                    <w:snapToGrid w:val="0"/>
                    <w:jc w:val="center"/>
                    <w:rPr>
                      <w:color w:val="auto"/>
                      <w:szCs w:val="21"/>
                    </w:rPr>
                  </w:pPr>
                  <w:r>
                    <w:rPr>
                      <w:color w:val="auto"/>
                      <w:szCs w:val="21"/>
                    </w:rPr>
                    <w:t>—</w:t>
                  </w:r>
                </w:p>
              </w:tc>
              <w:tc>
                <w:tcPr>
                  <w:tcW w:w="1310" w:type="pct"/>
                  <w:vMerge w:val="continue"/>
                  <w:tcBorders>
                    <w:tl2br w:val="nil"/>
                    <w:tr2bl w:val="nil"/>
                  </w:tcBorders>
                  <w:vAlign w:val="center"/>
                </w:tcPr>
                <w:p>
                  <w:pPr>
                    <w:wordWrap w:val="0"/>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2" w:type="pct"/>
                  <w:tcBorders>
                    <w:tl2br w:val="nil"/>
                    <w:tr2bl w:val="nil"/>
                  </w:tcBorders>
                  <w:vAlign w:val="center"/>
                </w:tcPr>
                <w:p>
                  <w:pPr>
                    <w:adjustRightInd w:val="0"/>
                    <w:snapToGrid w:val="0"/>
                    <w:jc w:val="center"/>
                    <w:rPr>
                      <w:color w:val="auto"/>
                      <w:szCs w:val="21"/>
                    </w:rPr>
                  </w:pPr>
                  <w:r>
                    <w:rPr>
                      <w:rFonts w:hint="eastAsia"/>
                      <w:color w:val="auto"/>
                      <w:szCs w:val="21"/>
                    </w:rPr>
                    <w:t>冲压件检验工序打磨</w:t>
                  </w:r>
                </w:p>
              </w:tc>
              <w:tc>
                <w:tcPr>
                  <w:tcW w:w="596" w:type="pct"/>
                  <w:tcBorders>
                    <w:tl2br w:val="nil"/>
                    <w:tr2bl w:val="nil"/>
                  </w:tcBorders>
                  <w:vAlign w:val="center"/>
                </w:tcPr>
                <w:p>
                  <w:pPr>
                    <w:adjustRightInd w:val="0"/>
                    <w:snapToGrid w:val="0"/>
                    <w:jc w:val="center"/>
                    <w:rPr>
                      <w:color w:val="auto"/>
                      <w:szCs w:val="21"/>
                    </w:rPr>
                  </w:pPr>
                  <w:r>
                    <w:rPr>
                      <w:color w:val="auto"/>
                      <w:szCs w:val="21"/>
                    </w:rPr>
                    <w:t>颗粒物</w:t>
                  </w:r>
                </w:p>
              </w:tc>
              <w:tc>
                <w:tcPr>
                  <w:tcW w:w="620" w:type="pct"/>
                  <w:tcBorders>
                    <w:tl2br w:val="nil"/>
                    <w:tr2bl w:val="nil"/>
                  </w:tcBorders>
                  <w:vAlign w:val="center"/>
                </w:tcPr>
                <w:p>
                  <w:pPr>
                    <w:snapToGrid w:val="0"/>
                    <w:jc w:val="center"/>
                    <w:rPr>
                      <w:rFonts w:hint="eastAsia" w:eastAsia="宋体"/>
                      <w:color w:val="auto"/>
                      <w:szCs w:val="21"/>
                      <w:lang w:eastAsia="zh-CN"/>
                    </w:rPr>
                  </w:pPr>
                  <w:r>
                    <w:rPr>
                      <w:color w:val="auto"/>
                      <w:szCs w:val="21"/>
                    </w:rPr>
                    <w:t>—</w:t>
                  </w:r>
                </w:p>
              </w:tc>
              <w:tc>
                <w:tcPr>
                  <w:tcW w:w="612" w:type="pct"/>
                  <w:tcBorders>
                    <w:tl2br w:val="nil"/>
                    <w:tr2bl w:val="nil"/>
                  </w:tcBorders>
                  <w:vAlign w:val="center"/>
                </w:tcPr>
                <w:p>
                  <w:pPr>
                    <w:snapToGrid w:val="0"/>
                    <w:jc w:val="center"/>
                    <w:rPr>
                      <w:color w:val="auto"/>
                      <w:szCs w:val="21"/>
                    </w:rPr>
                  </w:pPr>
                  <w:r>
                    <w:rPr>
                      <w:color w:val="auto"/>
                      <w:szCs w:val="21"/>
                    </w:rPr>
                    <w:t>—</w:t>
                  </w:r>
                </w:p>
              </w:tc>
              <w:tc>
                <w:tcPr>
                  <w:tcW w:w="565" w:type="pct"/>
                  <w:tcBorders>
                    <w:tl2br w:val="nil"/>
                    <w:tr2bl w:val="nil"/>
                  </w:tcBorders>
                  <w:vAlign w:val="center"/>
                </w:tcPr>
                <w:p>
                  <w:pPr>
                    <w:adjustRightInd w:val="0"/>
                    <w:snapToGrid w:val="0"/>
                    <w:jc w:val="center"/>
                    <w:rPr>
                      <w:color w:val="auto"/>
                      <w:szCs w:val="21"/>
                    </w:rPr>
                  </w:pPr>
                  <w:r>
                    <w:rPr>
                      <w:color w:val="auto"/>
                      <w:szCs w:val="21"/>
                    </w:rPr>
                    <w:t>—</w:t>
                  </w:r>
                </w:p>
              </w:tc>
              <w:tc>
                <w:tcPr>
                  <w:tcW w:w="701" w:type="pct"/>
                  <w:tcBorders>
                    <w:tl2br w:val="nil"/>
                    <w:tr2bl w:val="nil"/>
                  </w:tcBorders>
                  <w:vAlign w:val="center"/>
                </w:tcPr>
                <w:p>
                  <w:pPr>
                    <w:adjustRightInd w:val="0"/>
                    <w:snapToGrid w:val="0"/>
                    <w:jc w:val="center"/>
                    <w:rPr>
                      <w:color w:val="auto"/>
                      <w:szCs w:val="21"/>
                    </w:rPr>
                  </w:pPr>
                  <w:r>
                    <w:rPr>
                      <w:rFonts w:hint="eastAsia"/>
                      <w:color w:val="auto"/>
                      <w:szCs w:val="21"/>
                    </w:rPr>
                    <w:t>0.5</w:t>
                  </w:r>
                </w:p>
              </w:tc>
              <w:tc>
                <w:tcPr>
                  <w:tcW w:w="1310" w:type="pct"/>
                  <w:tcBorders>
                    <w:tl2br w:val="nil"/>
                    <w:tr2bl w:val="nil"/>
                  </w:tcBorders>
                  <w:vAlign w:val="center"/>
                </w:tcPr>
                <w:p>
                  <w:pPr>
                    <w:wordWrap w:val="0"/>
                    <w:adjustRightInd w:val="0"/>
                    <w:snapToGrid w:val="0"/>
                    <w:jc w:val="center"/>
                    <w:rPr>
                      <w:color w:val="auto"/>
                      <w:szCs w:val="21"/>
                    </w:rPr>
                  </w:pPr>
                  <w:r>
                    <w:rPr>
                      <w:rFonts w:hint="eastAsia"/>
                      <w:color w:val="auto"/>
                      <w:szCs w:val="21"/>
                    </w:rPr>
                    <w:t>江苏省地方标准《大气污染物综合排放标准》（DB32/4041-2021）表3标准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252" w:hRule="atLeast"/>
                <w:jc w:val="center"/>
              </w:trPr>
              <w:tc>
                <w:tcPr>
                  <w:tcW w:w="592" w:type="pct"/>
                  <w:tcBorders>
                    <w:tl2br w:val="nil"/>
                    <w:tr2bl w:val="nil"/>
                  </w:tcBorders>
                  <w:vAlign w:val="center"/>
                </w:tcPr>
                <w:p>
                  <w:pPr>
                    <w:adjustRightInd w:val="0"/>
                    <w:snapToGrid w:val="0"/>
                    <w:jc w:val="center"/>
                    <w:rPr>
                      <w:color w:val="auto"/>
                      <w:szCs w:val="21"/>
                    </w:rPr>
                  </w:pPr>
                  <w:r>
                    <w:rPr>
                      <w:rFonts w:hint="eastAsia"/>
                      <w:color w:val="auto"/>
                      <w:szCs w:val="21"/>
                    </w:rPr>
                    <w:t>粉末固化</w:t>
                  </w:r>
                </w:p>
              </w:tc>
              <w:tc>
                <w:tcPr>
                  <w:tcW w:w="596" w:type="pct"/>
                  <w:tcBorders>
                    <w:tl2br w:val="nil"/>
                    <w:tr2bl w:val="nil"/>
                  </w:tcBorders>
                  <w:vAlign w:val="center"/>
                </w:tcPr>
                <w:p>
                  <w:pPr>
                    <w:adjustRightInd w:val="0"/>
                    <w:snapToGrid w:val="0"/>
                    <w:jc w:val="center"/>
                    <w:rPr>
                      <w:color w:val="auto"/>
                      <w:szCs w:val="21"/>
                    </w:rPr>
                  </w:pPr>
                  <w:r>
                    <w:rPr>
                      <w:color w:val="auto"/>
                      <w:szCs w:val="21"/>
                    </w:rPr>
                    <w:t>非甲烷总烃</w:t>
                  </w:r>
                </w:p>
              </w:tc>
              <w:tc>
                <w:tcPr>
                  <w:tcW w:w="620" w:type="pct"/>
                  <w:tcBorders>
                    <w:tl2br w:val="nil"/>
                    <w:tr2bl w:val="nil"/>
                  </w:tcBorders>
                  <w:vAlign w:val="center"/>
                </w:tcPr>
                <w:p>
                  <w:pPr>
                    <w:snapToGrid w:val="0"/>
                    <w:jc w:val="center"/>
                    <w:rPr>
                      <w:color w:val="auto"/>
                      <w:szCs w:val="21"/>
                    </w:rPr>
                  </w:pPr>
                  <w:r>
                    <w:rPr>
                      <w:rFonts w:hint="eastAsia"/>
                      <w:color w:val="auto"/>
                      <w:szCs w:val="21"/>
                    </w:rPr>
                    <w:t>50</w:t>
                  </w:r>
                </w:p>
              </w:tc>
              <w:tc>
                <w:tcPr>
                  <w:tcW w:w="612" w:type="pct"/>
                  <w:tcBorders>
                    <w:tl2br w:val="nil"/>
                    <w:tr2bl w:val="nil"/>
                  </w:tcBorders>
                  <w:vAlign w:val="center"/>
                </w:tcPr>
                <w:p>
                  <w:pPr>
                    <w:snapToGrid w:val="0"/>
                    <w:jc w:val="center"/>
                    <w:rPr>
                      <w:color w:val="auto"/>
                      <w:szCs w:val="21"/>
                    </w:rPr>
                  </w:pPr>
                  <w:r>
                    <w:rPr>
                      <w:rFonts w:hint="eastAsia"/>
                      <w:color w:val="auto"/>
                      <w:szCs w:val="21"/>
                    </w:rPr>
                    <w:t>1.8</w:t>
                  </w:r>
                </w:p>
              </w:tc>
              <w:tc>
                <w:tcPr>
                  <w:tcW w:w="565" w:type="pct"/>
                  <w:vMerge w:val="restart"/>
                  <w:tcBorders>
                    <w:tl2br w:val="nil"/>
                    <w:tr2bl w:val="nil"/>
                  </w:tcBorders>
                  <w:vAlign w:val="center"/>
                </w:tcPr>
                <w:p>
                  <w:pPr>
                    <w:adjustRightInd w:val="0"/>
                    <w:snapToGrid w:val="0"/>
                    <w:jc w:val="center"/>
                    <w:rPr>
                      <w:color w:val="auto"/>
                      <w:szCs w:val="21"/>
                    </w:rPr>
                  </w:pPr>
                  <w:r>
                    <w:rPr>
                      <w:color w:val="auto"/>
                      <w:szCs w:val="21"/>
                    </w:rPr>
                    <w:t>车间排气筒出口或生产设施排气筒</w:t>
                  </w:r>
                  <w:r>
                    <w:rPr>
                      <w:rFonts w:hint="eastAsia"/>
                      <w:color w:val="auto"/>
                      <w:szCs w:val="21"/>
                    </w:rPr>
                    <w:t>出口</w:t>
                  </w:r>
                </w:p>
              </w:tc>
              <w:tc>
                <w:tcPr>
                  <w:tcW w:w="701" w:type="pct"/>
                  <w:tcBorders>
                    <w:tl2br w:val="nil"/>
                    <w:tr2bl w:val="nil"/>
                  </w:tcBorders>
                  <w:vAlign w:val="center"/>
                </w:tcPr>
                <w:p>
                  <w:pPr>
                    <w:adjustRightInd w:val="0"/>
                    <w:snapToGrid w:val="0"/>
                    <w:jc w:val="center"/>
                    <w:rPr>
                      <w:color w:val="auto"/>
                      <w:szCs w:val="21"/>
                    </w:rPr>
                  </w:pPr>
                  <w:r>
                    <w:rPr>
                      <w:rFonts w:hint="eastAsia"/>
                      <w:color w:val="auto"/>
                      <w:szCs w:val="21"/>
                    </w:rPr>
                    <w:t>4.0</w:t>
                  </w:r>
                </w:p>
              </w:tc>
              <w:tc>
                <w:tcPr>
                  <w:tcW w:w="1310" w:type="pct"/>
                  <w:vMerge w:val="restart"/>
                  <w:tcBorders>
                    <w:tl2br w:val="nil"/>
                    <w:tr2bl w:val="nil"/>
                  </w:tcBorders>
                  <w:vAlign w:val="center"/>
                </w:tcPr>
                <w:p>
                  <w:pPr>
                    <w:wordWrap w:val="0"/>
                    <w:adjustRightInd w:val="0"/>
                    <w:snapToGrid w:val="0"/>
                    <w:jc w:val="center"/>
                    <w:rPr>
                      <w:color w:val="auto"/>
                      <w:szCs w:val="21"/>
                    </w:rPr>
                  </w:pPr>
                  <w:r>
                    <w:rPr>
                      <w:rFonts w:hint="eastAsia"/>
                      <w:color w:val="auto"/>
                      <w:szCs w:val="21"/>
                    </w:rPr>
                    <w:t>有组织：江苏省地方标准《表面涂装（工程机械和钢结构行业）大气污染物排放标准》（DB32/4147-2021）表1标准；无组织：江苏省地方标准《大气污染物综合排放标准》（DB32/4041-2021）表3标准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2" w:type="pct"/>
                  <w:tcBorders>
                    <w:tl2br w:val="nil"/>
                    <w:tr2bl w:val="nil"/>
                  </w:tcBorders>
                  <w:vAlign w:val="center"/>
                </w:tcPr>
                <w:p>
                  <w:pPr>
                    <w:adjustRightInd w:val="0"/>
                    <w:snapToGrid w:val="0"/>
                    <w:jc w:val="center"/>
                    <w:rPr>
                      <w:color w:val="auto"/>
                      <w:szCs w:val="21"/>
                    </w:rPr>
                  </w:pPr>
                  <w:r>
                    <w:rPr>
                      <w:rFonts w:hint="eastAsia"/>
                      <w:color w:val="auto"/>
                      <w:szCs w:val="21"/>
                    </w:rPr>
                    <w:t>喷粉工序</w:t>
                  </w:r>
                </w:p>
              </w:tc>
              <w:tc>
                <w:tcPr>
                  <w:tcW w:w="596" w:type="pct"/>
                  <w:tcBorders>
                    <w:tl2br w:val="nil"/>
                    <w:tr2bl w:val="nil"/>
                  </w:tcBorders>
                  <w:vAlign w:val="center"/>
                </w:tcPr>
                <w:p>
                  <w:pPr>
                    <w:adjustRightInd w:val="0"/>
                    <w:snapToGrid w:val="0"/>
                    <w:jc w:val="center"/>
                    <w:rPr>
                      <w:color w:val="auto"/>
                      <w:szCs w:val="21"/>
                    </w:rPr>
                  </w:pPr>
                  <w:r>
                    <w:rPr>
                      <w:color w:val="auto"/>
                      <w:szCs w:val="21"/>
                    </w:rPr>
                    <w:t>颗粒物</w:t>
                  </w:r>
                </w:p>
              </w:tc>
              <w:tc>
                <w:tcPr>
                  <w:tcW w:w="620" w:type="pct"/>
                  <w:tcBorders>
                    <w:tl2br w:val="nil"/>
                    <w:tr2bl w:val="nil"/>
                  </w:tcBorders>
                  <w:vAlign w:val="center"/>
                </w:tcPr>
                <w:p>
                  <w:pPr>
                    <w:snapToGrid w:val="0"/>
                    <w:jc w:val="center"/>
                    <w:rPr>
                      <w:color w:val="auto"/>
                      <w:szCs w:val="21"/>
                    </w:rPr>
                  </w:pPr>
                  <w:r>
                    <w:rPr>
                      <w:rFonts w:hint="eastAsia"/>
                      <w:color w:val="auto"/>
                      <w:szCs w:val="21"/>
                    </w:rPr>
                    <w:t>10</w:t>
                  </w:r>
                </w:p>
              </w:tc>
              <w:tc>
                <w:tcPr>
                  <w:tcW w:w="612" w:type="pct"/>
                  <w:tcBorders>
                    <w:tl2br w:val="nil"/>
                    <w:tr2bl w:val="nil"/>
                  </w:tcBorders>
                  <w:vAlign w:val="center"/>
                </w:tcPr>
                <w:p>
                  <w:pPr>
                    <w:snapToGrid w:val="0"/>
                    <w:jc w:val="center"/>
                    <w:rPr>
                      <w:color w:val="auto"/>
                      <w:szCs w:val="21"/>
                    </w:rPr>
                  </w:pPr>
                  <w:r>
                    <w:rPr>
                      <w:rFonts w:hint="eastAsia"/>
                      <w:color w:val="auto"/>
                      <w:szCs w:val="21"/>
                    </w:rPr>
                    <w:t>0.6</w:t>
                  </w:r>
                </w:p>
              </w:tc>
              <w:tc>
                <w:tcPr>
                  <w:tcW w:w="565" w:type="pct"/>
                  <w:vMerge w:val="continue"/>
                  <w:tcBorders>
                    <w:tl2br w:val="nil"/>
                    <w:tr2bl w:val="nil"/>
                  </w:tcBorders>
                  <w:vAlign w:val="center"/>
                </w:tcPr>
                <w:p>
                  <w:pPr>
                    <w:adjustRightInd w:val="0"/>
                    <w:snapToGrid w:val="0"/>
                    <w:jc w:val="center"/>
                    <w:rPr>
                      <w:color w:val="auto"/>
                      <w:szCs w:val="21"/>
                    </w:rPr>
                  </w:pPr>
                </w:p>
              </w:tc>
              <w:tc>
                <w:tcPr>
                  <w:tcW w:w="701" w:type="pct"/>
                  <w:tcBorders>
                    <w:tl2br w:val="nil"/>
                    <w:tr2bl w:val="nil"/>
                  </w:tcBorders>
                  <w:vAlign w:val="center"/>
                </w:tcPr>
                <w:p>
                  <w:pPr>
                    <w:adjustRightInd w:val="0"/>
                    <w:snapToGrid w:val="0"/>
                    <w:jc w:val="center"/>
                    <w:rPr>
                      <w:rFonts w:hint="default"/>
                      <w:color w:val="auto"/>
                      <w:szCs w:val="21"/>
                      <w:lang w:val="en-US"/>
                    </w:rPr>
                  </w:pPr>
                  <w:r>
                    <w:rPr>
                      <w:rFonts w:hint="eastAsia"/>
                      <w:color w:val="auto"/>
                      <w:szCs w:val="21"/>
                      <w:lang w:val="en-US" w:eastAsia="zh-CN"/>
                    </w:rPr>
                    <w:t>0.5</w:t>
                  </w:r>
                </w:p>
              </w:tc>
              <w:tc>
                <w:tcPr>
                  <w:tcW w:w="1310" w:type="pct"/>
                  <w:vMerge w:val="continue"/>
                  <w:tcBorders>
                    <w:tl2br w:val="nil"/>
                    <w:tr2bl w:val="nil"/>
                  </w:tcBorders>
                  <w:vAlign w:val="center"/>
                </w:tcPr>
                <w:p>
                  <w:pPr>
                    <w:wordWrap w:val="0"/>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2" w:type="pct"/>
                  <w:tcBorders>
                    <w:tl2br w:val="nil"/>
                    <w:tr2bl w:val="nil"/>
                  </w:tcBorders>
                  <w:vAlign w:val="center"/>
                </w:tcPr>
                <w:p>
                  <w:pPr>
                    <w:adjustRightInd w:val="0"/>
                    <w:snapToGrid w:val="0"/>
                    <w:jc w:val="center"/>
                    <w:rPr>
                      <w:color w:val="auto"/>
                      <w:szCs w:val="21"/>
                    </w:rPr>
                  </w:pPr>
                  <w:r>
                    <w:rPr>
                      <w:rFonts w:hint="eastAsia"/>
                      <w:color w:val="auto"/>
                      <w:szCs w:val="21"/>
                    </w:rPr>
                    <w:t>危废仓库</w:t>
                  </w:r>
                </w:p>
              </w:tc>
              <w:tc>
                <w:tcPr>
                  <w:tcW w:w="596" w:type="pct"/>
                  <w:tcBorders>
                    <w:tl2br w:val="nil"/>
                    <w:tr2bl w:val="nil"/>
                  </w:tcBorders>
                  <w:vAlign w:val="center"/>
                </w:tcPr>
                <w:p>
                  <w:pPr>
                    <w:adjustRightInd w:val="0"/>
                    <w:snapToGrid w:val="0"/>
                    <w:jc w:val="center"/>
                    <w:rPr>
                      <w:color w:val="auto"/>
                      <w:szCs w:val="21"/>
                    </w:rPr>
                  </w:pPr>
                  <w:r>
                    <w:rPr>
                      <w:color w:val="auto"/>
                      <w:szCs w:val="21"/>
                    </w:rPr>
                    <w:t>非甲烷总烃</w:t>
                  </w:r>
                </w:p>
              </w:tc>
              <w:tc>
                <w:tcPr>
                  <w:tcW w:w="620" w:type="pct"/>
                  <w:tcBorders>
                    <w:tl2br w:val="nil"/>
                    <w:tr2bl w:val="nil"/>
                  </w:tcBorders>
                  <w:vAlign w:val="center"/>
                </w:tcPr>
                <w:p>
                  <w:pPr>
                    <w:adjustRightInd w:val="0"/>
                    <w:snapToGrid w:val="0"/>
                    <w:jc w:val="center"/>
                    <w:rPr>
                      <w:color w:val="auto"/>
                      <w:szCs w:val="21"/>
                    </w:rPr>
                  </w:pPr>
                  <w:r>
                    <w:rPr>
                      <w:color w:val="auto"/>
                      <w:szCs w:val="21"/>
                    </w:rPr>
                    <w:t>—</w:t>
                  </w:r>
                </w:p>
              </w:tc>
              <w:tc>
                <w:tcPr>
                  <w:tcW w:w="612" w:type="pct"/>
                  <w:tcBorders>
                    <w:tl2br w:val="nil"/>
                    <w:tr2bl w:val="nil"/>
                  </w:tcBorders>
                  <w:vAlign w:val="center"/>
                </w:tcPr>
                <w:p>
                  <w:pPr>
                    <w:adjustRightInd w:val="0"/>
                    <w:snapToGrid w:val="0"/>
                    <w:jc w:val="center"/>
                    <w:rPr>
                      <w:color w:val="auto"/>
                      <w:szCs w:val="21"/>
                    </w:rPr>
                  </w:pPr>
                  <w:r>
                    <w:rPr>
                      <w:color w:val="auto"/>
                      <w:szCs w:val="21"/>
                    </w:rPr>
                    <w:t>—</w:t>
                  </w:r>
                </w:p>
              </w:tc>
              <w:tc>
                <w:tcPr>
                  <w:tcW w:w="565" w:type="pct"/>
                  <w:tcBorders>
                    <w:tl2br w:val="nil"/>
                    <w:tr2bl w:val="nil"/>
                  </w:tcBorders>
                  <w:vAlign w:val="center"/>
                </w:tcPr>
                <w:p>
                  <w:pPr>
                    <w:adjustRightInd w:val="0"/>
                    <w:snapToGrid w:val="0"/>
                    <w:jc w:val="center"/>
                    <w:rPr>
                      <w:color w:val="auto"/>
                      <w:szCs w:val="21"/>
                    </w:rPr>
                  </w:pPr>
                  <w:r>
                    <w:rPr>
                      <w:color w:val="auto"/>
                      <w:szCs w:val="21"/>
                    </w:rPr>
                    <w:t>—</w:t>
                  </w:r>
                </w:p>
              </w:tc>
              <w:tc>
                <w:tcPr>
                  <w:tcW w:w="701" w:type="pct"/>
                  <w:tcBorders>
                    <w:tl2br w:val="nil"/>
                    <w:tr2bl w:val="nil"/>
                  </w:tcBorders>
                  <w:vAlign w:val="center"/>
                </w:tcPr>
                <w:p>
                  <w:pPr>
                    <w:adjustRightInd w:val="0"/>
                    <w:snapToGrid w:val="0"/>
                    <w:jc w:val="center"/>
                    <w:rPr>
                      <w:color w:val="auto"/>
                      <w:szCs w:val="21"/>
                    </w:rPr>
                  </w:pPr>
                  <w:r>
                    <w:rPr>
                      <w:rFonts w:hint="eastAsia"/>
                      <w:color w:val="auto"/>
                      <w:szCs w:val="21"/>
                    </w:rPr>
                    <w:t>4.0</w:t>
                  </w:r>
                </w:p>
              </w:tc>
              <w:tc>
                <w:tcPr>
                  <w:tcW w:w="1310" w:type="pct"/>
                  <w:tcBorders>
                    <w:tl2br w:val="nil"/>
                    <w:tr2bl w:val="nil"/>
                  </w:tcBorders>
                  <w:vAlign w:val="center"/>
                </w:tcPr>
                <w:p>
                  <w:pPr>
                    <w:wordWrap w:val="0"/>
                    <w:adjustRightInd w:val="0"/>
                    <w:snapToGrid w:val="0"/>
                    <w:jc w:val="center"/>
                    <w:rPr>
                      <w:color w:val="auto"/>
                      <w:szCs w:val="21"/>
                    </w:rPr>
                  </w:pPr>
                  <w:r>
                    <w:rPr>
                      <w:rFonts w:hint="eastAsia"/>
                      <w:color w:val="auto"/>
                      <w:szCs w:val="21"/>
                    </w:rPr>
                    <w:t>江苏省地方标准《大气污染物综合排放标准》（DB32/4041-2021）表3标准</w:t>
                  </w:r>
                </w:p>
              </w:tc>
            </w:tr>
          </w:tbl>
          <w:p>
            <w:pPr>
              <w:numPr>
                <w:ilvl w:val="0"/>
                <w:numId w:val="11"/>
              </w:numPr>
              <w:snapToGrid w:val="0"/>
              <w:jc w:val="center"/>
              <w:rPr>
                <w:b/>
                <w:bCs/>
                <w:color w:val="auto"/>
                <w:sz w:val="24"/>
              </w:rPr>
            </w:pPr>
            <w:r>
              <w:rPr>
                <w:rFonts w:hint="eastAsia"/>
                <w:b/>
                <w:bCs/>
                <w:color w:val="auto"/>
                <w:sz w:val="24"/>
              </w:rPr>
              <w:t xml:space="preserve"> </w:t>
            </w:r>
            <w:r>
              <w:rPr>
                <w:b/>
                <w:bCs/>
                <w:color w:val="auto"/>
                <w:sz w:val="24"/>
              </w:rPr>
              <w:t>厂区内VOCs无组织排放限值</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60"/>
              <w:gridCol w:w="2316"/>
              <w:gridCol w:w="1133"/>
              <w:gridCol w:w="24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31" w:type="pct"/>
                  <w:tcMar>
                    <w:left w:w="0" w:type="dxa"/>
                    <w:right w:w="0" w:type="dxa"/>
                  </w:tcMar>
                  <w:vAlign w:val="center"/>
                </w:tcPr>
                <w:p>
                  <w:pPr>
                    <w:tabs>
                      <w:tab w:val="left" w:pos="5142"/>
                    </w:tabs>
                    <w:snapToGrid w:val="0"/>
                    <w:jc w:val="center"/>
                    <w:rPr>
                      <w:b/>
                      <w:color w:val="auto"/>
                      <w:szCs w:val="21"/>
                    </w:rPr>
                  </w:pPr>
                  <w:r>
                    <w:rPr>
                      <w:b/>
                      <w:color w:val="auto"/>
                      <w:szCs w:val="21"/>
                    </w:rPr>
                    <w:t>污染物</w:t>
                  </w:r>
                </w:p>
              </w:tc>
              <w:tc>
                <w:tcPr>
                  <w:tcW w:w="734" w:type="pct"/>
                  <w:tcMar>
                    <w:left w:w="0" w:type="dxa"/>
                    <w:right w:w="0" w:type="dxa"/>
                  </w:tcMar>
                  <w:vAlign w:val="center"/>
                </w:tcPr>
                <w:p>
                  <w:pPr>
                    <w:tabs>
                      <w:tab w:val="left" w:pos="5142"/>
                    </w:tabs>
                    <w:snapToGrid w:val="0"/>
                    <w:jc w:val="center"/>
                    <w:rPr>
                      <w:b/>
                      <w:color w:val="auto"/>
                      <w:szCs w:val="21"/>
                    </w:rPr>
                  </w:pPr>
                  <w:r>
                    <w:rPr>
                      <w:b/>
                      <w:color w:val="auto"/>
                      <w:szCs w:val="21"/>
                    </w:rPr>
                    <w:t>特别排放限值(mg/m</w:t>
                  </w:r>
                  <w:r>
                    <w:rPr>
                      <w:b/>
                      <w:color w:val="auto"/>
                      <w:szCs w:val="21"/>
                      <w:vertAlign w:val="superscript"/>
                    </w:rPr>
                    <w:t>3</w:t>
                  </w:r>
                  <w:r>
                    <w:rPr>
                      <w:b/>
                      <w:color w:val="auto"/>
                      <w:szCs w:val="21"/>
                    </w:rPr>
                    <w:t>)</w:t>
                  </w:r>
                </w:p>
              </w:tc>
              <w:tc>
                <w:tcPr>
                  <w:tcW w:w="1464" w:type="pct"/>
                  <w:tcMar>
                    <w:left w:w="0" w:type="dxa"/>
                    <w:right w:w="0" w:type="dxa"/>
                  </w:tcMar>
                  <w:vAlign w:val="center"/>
                </w:tcPr>
                <w:p>
                  <w:pPr>
                    <w:tabs>
                      <w:tab w:val="left" w:pos="5142"/>
                    </w:tabs>
                    <w:snapToGrid w:val="0"/>
                    <w:jc w:val="center"/>
                    <w:rPr>
                      <w:b/>
                      <w:color w:val="auto"/>
                      <w:szCs w:val="21"/>
                    </w:rPr>
                  </w:pPr>
                  <w:r>
                    <w:rPr>
                      <w:b/>
                      <w:color w:val="auto"/>
                      <w:szCs w:val="21"/>
                    </w:rPr>
                    <w:t>限值含义</w:t>
                  </w:r>
                </w:p>
              </w:tc>
              <w:tc>
                <w:tcPr>
                  <w:tcW w:w="717" w:type="pct"/>
                  <w:tcMar>
                    <w:left w:w="0" w:type="dxa"/>
                    <w:right w:w="0" w:type="dxa"/>
                  </w:tcMar>
                  <w:vAlign w:val="center"/>
                </w:tcPr>
                <w:p>
                  <w:pPr>
                    <w:tabs>
                      <w:tab w:val="left" w:pos="5142"/>
                    </w:tabs>
                    <w:snapToGrid w:val="0"/>
                    <w:jc w:val="center"/>
                    <w:rPr>
                      <w:b/>
                      <w:color w:val="auto"/>
                      <w:szCs w:val="21"/>
                    </w:rPr>
                  </w:pPr>
                  <w:r>
                    <w:rPr>
                      <w:b/>
                      <w:color w:val="auto"/>
                      <w:szCs w:val="21"/>
                    </w:rPr>
                    <w:t>无组织排放监控位置</w:t>
                  </w:r>
                </w:p>
              </w:tc>
              <w:tc>
                <w:tcPr>
                  <w:tcW w:w="1551" w:type="pct"/>
                  <w:tcMar>
                    <w:left w:w="0" w:type="dxa"/>
                    <w:right w:w="0" w:type="dxa"/>
                  </w:tcMar>
                  <w:vAlign w:val="center"/>
                </w:tcPr>
                <w:p>
                  <w:pPr>
                    <w:tabs>
                      <w:tab w:val="left" w:pos="5142"/>
                    </w:tabs>
                    <w:snapToGrid w:val="0"/>
                    <w:jc w:val="center"/>
                    <w:rPr>
                      <w:b/>
                      <w:color w:val="auto"/>
                      <w:szCs w:val="21"/>
                    </w:rPr>
                  </w:pPr>
                  <w:r>
                    <w:rPr>
                      <w:b/>
                      <w:color w:val="auto"/>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531" w:type="pct"/>
                  <w:vMerge w:val="restart"/>
                  <w:tcMar>
                    <w:left w:w="0" w:type="dxa"/>
                    <w:right w:w="0" w:type="dxa"/>
                  </w:tcMar>
                  <w:vAlign w:val="center"/>
                </w:tcPr>
                <w:p>
                  <w:pPr>
                    <w:ind w:firstLine="105" w:firstLineChars="50"/>
                    <w:jc w:val="center"/>
                    <w:rPr>
                      <w:color w:val="auto"/>
                      <w:szCs w:val="21"/>
                    </w:rPr>
                  </w:pPr>
                  <w:r>
                    <w:rPr>
                      <w:rFonts w:hint="eastAsia"/>
                      <w:color w:val="auto"/>
                      <w:szCs w:val="21"/>
                    </w:rPr>
                    <w:t>非甲烷总烃</w:t>
                  </w:r>
                </w:p>
              </w:tc>
              <w:tc>
                <w:tcPr>
                  <w:tcW w:w="734" w:type="pct"/>
                  <w:tcMar>
                    <w:left w:w="0" w:type="dxa"/>
                    <w:right w:w="0" w:type="dxa"/>
                  </w:tcMar>
                  <w:vAlign w:val="center"/>
                </w:tcPr>
                <w:p>
                  <w:pPr>
                    <w:jc w:val="center"/>
                    <w:rPr>
                      <w:color w:val="auto"/>
                      <w:szCs w:val="21"/>
                    </w:rPr>
                  </w:pPr>
                  <w:r>
                    <w:rPr>
                      <w:color w:val="auto"/>
                      <w:szCs w:val="21"/>
                    </w:rPr>
                    <w:t>6</w:t>
                  </w:r>
                </w:p>
              </w:tc>
              <w:tc>
                <w:tcPr>
                  <w:tcW w:w="1464" w:type="pct"/>
                  <w:tcMar>
                    <w:left w:w="0" w:type="dxa"/>
                    <w:right w:w="0" w:type="dxa"/>
                  </w:tcMar>
                  <w:vAlign w:val="center"/>
                </w:tcPr>
                <w:p>
                  <w:pPr>
                    <w:jc w:val="center"/>
                    <w:rPr>
                      <w:color w:val="auto"/>
                      <w:szCs w:val="21"/>
                    </w:rPr>
                  </w:pPr>
                  <w:r>
                    <w:rPr>
                      <w:color w:val="auto"/>
                      <w:szCs w:val="21"/>
                    </w:rPr>
                    <w:t>监控点处1h平均浓度值</w:t>
                  </w:r>
                </w:p>
              </w:tc>
              <w:tc>
                <w:tcPr>
                  <w:tcW w:w="717" w:type="pct"/>
                  <w:vMerge w:val="restart"/>
                  <w:tcMar>
                    <w:left w:w="0" w:type="dxa"/>
                    <w:right w:w="0" w:type="dxa"/>
                  </w:tcMar>
                  <w:vAlign w:val="center"/>
                </w:tcPr>
                <w:p>
                  <w:pPr>
                    <w:jc w:val="center"/>
                    <w:rPr>
                      <w:color w:val="auto"/>
                      <w:szCs w:val="21"/>
                    </w:rPr>
                  </w:pPr>
                  <w:r>
                    <w:rPr>
                      <w:color w:val="auto"/>
                      <w:szCs w:val="21"/>
                    </w:rPr>
                    <w:t>在厂房外设置监控点</w:t>
                  </w:r>
                </w:p>
              </w:tc>
              <w:tc>
                <w:tcPr>
                  <w:tcW w:w="1551" w:type="pct"/>
                  <w:vMerge w:val="restart"/>
                  <w:tcMar>
                    <w:left w:w="0" w:type="dxa"/>
                    <w:right w:w="0" w:type="dxa"/>
                  </w:tcMar>
                  <w:vAlign w:val="center"/>
                </w:tcPr>
                <w:p>
                  <w:pPr>
                    <w:wordWrap w:val="0"/>
                    <w:jc w:val="center"/>
                    <w:rPr>
                      <w:color w:val="auto"/>
                      <w:szCs w:val="21"/>
                    </w:rPr>
                  </w:pPr>
                  <w:r>
                    <w:rPr>
                      <w:rFonts w:hint="eastAsia"/>
                      <w:color w:val="auto"/>
                      <w:szCs w:val="21"/>
                    </w:rPr>
                    <w:t>江苏省地方标准《表面涂装（工程机械和钢结构行业）大气污染物排放标准》（DB32/4147-2021）表3</w:t>
                  </w:r>
                  <w:r>
                    <w:rPr>
                      <w:bCs/>
                      <w:color w:val="auto"/>
                      <w:szCs w:val="21"/>
                    </w:rPr>
                    <w:t>排放限值</w:t>
                  </w:r>
                  <w:r>
                    <w:rPr>
                      <w:rFonts w:hint="eastAsia"/>
                      <w:bCs/>
                      <w:color w:val="auto"/>
                      <w:szCs w:val="21"/>
                    </w:rPr>
                    <w:t>以及</w:t>
                  </w:r>
                  <w:r>
                    <w:rPr>
                      <w:rFonts w:hint="eastAsia"/>
                      <w:color w:val="auto"/>
                      <w:szCs w:val="21"/>
                    </w:rPr>
                    <w:t>江苏省地方标准《大气污染物综合排放标准》（DB32/4041-2021）表2标准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31" w:type="pct"/>
                  <w:vMerge w:val="continue"/>
                  <w:tcMar>
                    <w:left w:w="0" w:type="dxa"/>
                    <w:right w:w="0" w:type="dxa"/>
                  </w:tcMar>
                  <w:vAlign w:val="center"/>
                </w:tcPr>
                <w:p>
                  <w:pPr>
                    <w:ind w:firstLine="105" w:firstLineChars="50"/>
                    <w:jc w:val="center"/>
                    <w:rPr>
                      <w:color w:val="auto"/>
                      <w:szCs w:val="21"/>
                    </w:rPr>
                  </w:pPr>
                </w:p>
              </w:tc>
              <w:tc>
                <w:tcPr>
                  <w:tcW w:w="734" w:type="pct"/>
                  <w:tcMar>
                    <w:left w:w="0" w:type="dxa"/>
                    <w:right w:w="0" w:type="dxa"/>
                  </w:tcMar>
                  <w:vAlign w:val="center"/>
                </w:tcPr>
                <w:p>
                  <w:pPr>
                    <w:jc w:val="center"/>
                    <w:rPr>
                      <w:color w:val="auto"/>
                      <w:szCs w:val="21"/>
                    </w:rPr>
                  </w:pPr>
                  <w:r>
                    <w:rPr>
                      <w:color w:val="auto"/>
                      <w:szCs w:val="21"/>
                    </w:rPr>
                    <w:t>20</w:t>
                  </w:r>
                </w:p>
              </w:tc>
              <w:tc>
                <w:tcPr>
                  <w:tcW w:w="1464" w:type="pct"/>
                  <w:tcMar>
                    <w:left w:w="0" w:type="dxa"/>
                    <w:right w:w="0" w:type="dxa"/>
                  </w:tcMar>
                  <w:vAlign w:val="center"/>
                </w:tcPr>
                <w:p>
                  <w:pPr>
                    <w:jc w:val="center"/>
                    <w:rPr>
                      <w:color w:val="auto"/>
                      <w:szCs w:val="21"/>
                    </w:rPr>
                  </w:pPr>
                  <w:r>
                    <w:rPr>
                      <w:color w:val="auto"/>
                      <w:szCs w:val="21"/>
                    </w:rPr>
                    <w:t>监控点处任意一次浓度值</w:t>
                  </w:r>
                </w:p>
              </w:tc>
              <w:tc>
                <w:tcPr>
                  <w:tcW w:w="717" w:type="pct"/>
                  <w:vMerge w:val="continue"/>
                  <w:tcMar>
                    <w:left w:w="0" w:type="dxa"/>
                    <w:right w:w="0" w:type="dxa"/>
                  </w:tcMar>
                  <w:vAlign w:val="center"/>
                </w:tcPr>
                <w:p>
                  <w:pPr>
                    <w:jc w:val="center"/>
                    <w:rPr>
                      <w:color w:val="auto"/>
                      <w:szCs w:val="21"/>
                    </w:rPr>
                  </w:pPr>
                </w:p>
              </w:tc>
              <w:tc>
                <w:tcPr>
                  <w:tcW w:w="1551" w:type="pct"/>
                  <w:vMerge w:val="continue"/>
                  <w:tcMar>
                    <w:left w:w="0" w:type="dxa"/>
                    <w:right w:w="0" w:type="dxa"/>
                  </w:tcMar>
                  <w:vAlign w:val="center"/>
                </w:tcPr>
                <w:p>
                  <w:pPr>
                    <w:jc w:val="center"/>
                    <w:rPr>
                      <w:bCs/>
                      <w:color w:val="auto"/>
                      <w:szCs w:val="21"/>
                    </w:rPr>
                  </w:pPr>
                </w:p>
              </w:tc>
            </w:tr>
          </w:tbl>
          <w:p>
            <w:pPr>
              <w:tabs>
                <w:tab w:val="left" w:pos="180"/>
              </w:tabs>
              <w:spacing w:line="360" w:lineRule="auto"/>
              <w:jc w:val="left"/>
              <w:rPr>
                <w:b/>
                <w:color w:val="auto"/>
                <w:sz w:val="24"/>
              </w:rPr>
            </w:pPr>
            <w:r>
              <w:rPr>
                <w:b/>
                <w:color w:val="auto"/>
                <w:sz w:val="24"/>
              </w:rPr>
              <w:t>2、废水排放标准：</w:t>
            </w:r>
          </w:p>
          <w:p>
            <w:pPr>
              <w:pStyle w:val="75"/>
              <w:adjustRightInd w:val="0"/>
              <w:snapToGrid w:val="0"/>
              <w:spacing w:line="360" w:lineRule="auto"/>
              <w:ind w:firstLine="480" w:firstLineChars="200"/>
              <w:jc w:val="both"/>
              <w:rPr>
                <w:rFonts w:eastAsia="宋体"/>
                <w:color w:val="auto"/>
                <w:kern w:val="2"/>
                <w:szCs w:val="21"/>
              </w:rPr>
            </w:pPr>
            <w:r>
              <w:rPr>
                <w:rFonts w:eastAsia="宋体"/>
                <w:color w:val="auto"/>
                <w:kern w:val="2"/>
                <w:szCs w:val="24"/>
              </w:rPr>
              <w:t>本项目废水主要为</w:t>
            </w:r>
            <w:r>
              <w:rPr>
                <w:rFonts w:hint="eastAsia" w:eastAsia="宋体"/>
                <w:color w:val="auto"/>
                <w:kern w:val="2"/>
                <w:szCs w:val="24"/>
              </w:rPr>
              <w:t>生活污水</w:t>
            </w:r>
            <w:r>
              <w:rPr>
                <w:rFonts w:eastAsia="宋体"/>
                <w:color w:val="auto"/>
                <w:kern w:val="2"/>
                <w:szCs w:val="24"/>
              </w:rPr>
              <w:t>、纯水制备浓水、</w:t>
            </w:r>
            <w:r>
              <w:rPr>
                <w:rFonts w:hint="eastAsia" w:eastAsia="宋体"/>
                <w:color w:val="auto"/>
                <w:kern w:val="2"/>
                <w:szCs w:val="24"/>
              </w:rPr>
              <w:t>纯水设备</w:t>
            </w:r>
            <w:r>
              <w:rPr>
                <w:rFonts w:eastAsia="宋体"/>
                <w:color w:val="auto"/>
                <w:kern w:val="2"/>
                <w:szCs w:val="24"/>
              </w:rPr>
              <w:t>反冲洗废水</w:t>
            </w:r>
            <w:r>
              <w:rPr>
                <w:rFonts w:hint="eastAsia" w:eastAsia="宋体"/>
                <w:color w:val="auto"/>
                <w:kern w:val="2"/>
                <w:szCs w:val="24"/>
              </w:rPr>
              <w:t>、喷粉生产线清槽废水、水洗水</w:t>
            </w:r>
            <w:r>
              <w:rPr>
                <w:rFonts w:eastAsia="宋体"/>
                <w:color w:val="auto"/>
                <w:kern w:val="2"/>
                <w:szCs w:val="24"/>
              </w:rPr>
              <w:t>，其中</w:t>
            </w:r>
            <w:r>
              <w:rPr>
                <w:rFonts w:hint="eastAsia" w:eastAsia="宋体"/>
                <w:color w:val="auto"/>
                <w:kern w:val="2"/>
                <w:szCs w:val="24"/>
              </w:rPr>
              <w:t>喷粉生产线清槽废水与水洗水接管进入厂内污水处理系统，处理后回用于生产，不外排。生活污水经化粪池处理后</w:t>
            </w:r>
            <w:r>
              <w:rPr>
                <w:rFonts w:eastAsia="宋体"/>
                <w:color w:val="auto"/>
                <w:kern w:val="2"/>
                <w:szCs w:val="24"/>
              </w:rPr>
              <w:t>通过DW001</w:t>
            </w:r>
            <w:r>
              <w:rPr>
                <w:rFonts w:hint="eastAsia" w:eastAsia="宋体"/>
                <w:color w:val="auto"/>
                <w:kern w:val="2"/>
                <w:szCs w:val="24"/>
              </w:rPr>
              <w:t>接管梅村水处理厂集中处理，纯水制备浓水与纯水设备反冲洗水</w:t>
            </w:r>
            <w:r>
              <w:rPr>
                <w:rFonts w:eastAsia="宋体"/>
                <w:color w:val="auto"/>
                <w:kern w:val="2"/>
                <w:szCs w:val="24"/>
              </w:rPr>
              <w:t>通过DW001</w:t>
            </w:r>
            <w:r>
              <w:rPr>
                <w:rFonts w:hint="eastAsia" w:eastAsia="宋体"/>
                <w:color w:val="auto"/>
                <w:kern w:val="2"/>
                <w:szCs w:val="24"/>
              </w:rPr>
              <w:t>接管梅村水处理厂集中处理，</w:t>
            </w:r>
            <w:r>
              <w:rPr>
                <w:rFonts w:eastAsia="宋体"/>
                <w:color w:val="auto"/>
                <w:kern w:val="2"/>
                <w:szCs w:val="24"/>
              </w:rPr>
              <w:t>尾水排入梅花港，最终汇入江南运河。</w:t>
            </w:r>
            <w:r>
              <w:rPr>
                <w:rFonts w:eastAsia="宋体"/>
                <w:color w:val="auto"/>
                <w:szCs w:val="24"/>
              </w:rPr>
              <w:t>厂区接管污水中pH值、COD、SS执行《污水综合排放标准》（GB8978-1996）表4中三级标准，氨氮、总磷、总氮参考执行《污水排</w:t>
            </w:r>
            <w:r>
              <w:rPr>
                <w:rFonts w:eastAsia="宋体"/>
                <w:color w:val="auto"/>
                <w:kern w:val="2"/>
                <w:szCs w:val="24"/>
              </w:rPr>
              <w:t>入城镇下水道水质标准》（GB/T31962-2015）表1中A级标准。</w:t>
            </w:r>
            <w:r>
              <w:rPr>
                <w:rFonts w:eastAsia="宋体"/>
                <w:color w:val="auto"/>
                <w:szCs w:val="21"/>
              </w:rPr>
              <w:t>具体数值见下表：</w:t>
            </w:r>
          </w:p>
          <w:p>
            <w:pPr>
              <w:numPr>
                <w:ilvl w:val="0"/>
                <w:numId w:val="11"/>
              </w:numPr>
              <w:snapToGrid w:val="0"/>
              <w:jc w:val="center"/>
              <w:rPr>
                <w:b/>
                <w:color w:val="auto"/>
                <w:sz w:val="24"/>
              </w:rPr>
            </w:pPr>
            <w:r>
              <w:rPr>
                <w:b/>
                <w:color w:val="auto"/>
                <w:sz w:val="24"/>
              </w:rPr>
              <w:t>废水污染物排放执行标准表（接管标准）</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27"/>
              <w:gridCol w:w="1148"/>
              <w:gridCol w:w="2211"/>
              <w:gridCol w:w="28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vMerge w:val="restart"/>
                  <w:vAlign w:val="center"/>
                </w:tcPr>
                <w:p>
                  <w:pPr>
                    <w:adjustRightInd w:val="0"/>
                    <w:snapToGrid w:val="0"/>
                    <w:jc w:val="center"/>
                    <w:rPr>
                      <w:b/>
                      <w:color w:val="auto"/>
                      <w:szCs w:val="21"/>
                    </w:rPr>
                  </w:pPr>
                  <w:r>
                    <w:rPr>
                      <w:b/>
                      <w:color w:val="auto"/>
                      <w:szCs w:val="21"/>
                    </w:rPr>
                    <w:t>序号</w:t>
                  </w:r>
                </w:p>
              </w:tc>
              <w:tc>
                <w:tcPr>
                  <w:tcW w:w="587" w:type="pct"/>
                  <w:vMerge w:val="restart"/>
                  <w:vAlign w:val="center"/>
                </w:tcPr>
                <w:p>
                  <w:pPr>
                    <w:adjustRightInd w:val="0"/>
                    <w:snapToGrid w:val="0"/>
                    <w:jc w:val="center"/>
                    <w:rPr>
                      <w:b/>
                      <w:color w:val="auto"/>
                      <w:szCs w:val="21"/>
                    </w:rPr>
                  </w:pPr>
                  <w:r>
                    <w:rPr>
                      <w:b/>
                      <w:color w:val="auto"/>
                      <w:szCs w:val="21"/>
                    </w:rPr>
                    <w:t>排放口编号</w:t>
                  </w:r>
                </w:p>
              </w:tc>
              <w:tc>
                <w:tcPr>
                  <w:tcW w:w="726" w:type="pct"/>
                  <w:vMerge w:val="restart"/>
                  <w:vAlign w:val="center"/>
                </w:tcPr>
                <w:p>
                  <w:pPr>
                    <w:adjustRightInd w:val="0"/>
                    <w:snapToGrid w:val="0"/>
                    <w:jc w:val="center"/>
                    <w:rPr>
                      <w:b/>
                      <w:color w:val="auto"/>
                      <w:szCs w:val="21"/>
                    </w:rPr>
                  </w:pPr>
                  <w:r>
                    <w:rPr>
                      <w:b/>
                      <w:color w:val="auto"/>
                      <w:szCs w:val="21"/>
                    </w:rPr>
                    <w:t>污染物种类</w:t>
                  </w:r>
                </w:p>
              </w:tc>
              <w:tc>
                <w:tcPr>
                  <w:tcW w:w="3227" w:type="pct"/>
                  <w:gridSpan w:val="2"/>
                  <w:vAlign w:val="center"/>
                </w:tcPr>
                <w:p>
                  <w:pPr>
                    <w:adjustRightInd w:val="0"/>
                    <w:snapToGrid w:val="0"/>
                    <w:jc w:val="center"/>
                    <w:rPr>
                      <w:b/>
                      <w:color w:val="auto"/>
                      <w:szCs w:val="21"/>
                    </w:rPr>
                  </w:pPr>
                  <w:r>
                    <w:rPr>
                      <w:b/>
                      <w:color w:val="auto"/>
                      <w:szCs w:val="21"/>
                    </w:rPr>
                    <w:t>国家或地方污染物排放标准及其他按规定商定的排放协议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vMerge w:val="continue"/>
                  <w:vAlign w:val="center"/>
                </w:tcPr>
                <w:p>
                  <w:pPr>
                    <w:adjustRightInd w:val="0"/>
                    <w:snapToGrid w:val="0"/>
                    <w:jc w:val="center"/>
                    <w:rPr>
                      <w:b/>
                      <w:color w:val="auto"/>
                      <w:szCs w:val="21"/>
                    </w:rPr>
                  </w:pPr>
                </w:p>
              </w:tc>
              <w:tc>
                <w:tcPr>
                  <w:tcW w:w="587" w:type="pct"/>
                  <w:vMerge w:val="continue"/>
                  <w:vAlign w:val="center"/>
                </w:tcPr>
                <w:p>
                  <w:pPr>
                    <w:adjustRightInd w:val="0"/>
                    <w:snapToGrid w:val="0"/>
                    <w:jc w:val="center"/>
                    <w:rPr>
                      <w:b/>
                      <w:color w:val="auto"/>
                      <w:szCs w:val="21"/>
                    </w:rPr>
                  </w:pPr>
                </w:p>
              </w:tc>
              <w:tc>
                <w:tcPr>
                  <w:tcW w:w="726" w:type="pct"/>
                  <w:vMerge w:val="continue"/>
                  <w:vAlign w:val="center"/>
                </w:tcPr>
                <w:p>
                  <w:pPr>
                    <w:adjustRightInd w:val="0"/>
                    <w:snapToGrid w:val="0"/>
                    <w:jc w:val="center"/>
                    <w:rPr>
                      <w:b/>
                      <w:color w:val="auto"/>
                      <w:szCs w:val="21"/>
                    </w:rPr>
                  </w:pPr>
                </w:p>
              </w:tc>
              <w:tc>
                <w:tcPr>
                  <w:tcW w:w="1399" w:type="pct"/>
                  <w:vAlign w:val="center"/>
                </w:tcPr>
                <w:p>
                  <w:pPr>
                    <w:adjustRightInd w:val="0"/>
                    <w:snapToGrid w:val="0"/>
                    <w:jc w:val="center"/>
                    <w:rPr>
                      <w:b/>
                      <w:color w:val="auto"/>
                      <w:szCs w:val="21"/>
                    </w:rPr>
                  </w:pPr>
                  <w:r>
                    <w:rPr>
                      <w:b/>
                      <w:color w:val="auto"/>
                      <w:szCs w:val="21"/>
                    </w:rPr>
                    <w:t>名称</w:t>
                  </w:r>
                </w:p>
              </w:tc>
              <w:tc>
                <w:tcPr>
                  <w:tcW w:w="1828" w:type="pct"/>
                  <w:vAlign w:val="center"/>
                </w:tcPr>
                <w:p>
                  <w:pPr>
                    <w:adjustRightInd w:val="0"/>
                    <w:snapToGrid w:val="0"/>
                    <w:jc w:val="center"/>
                    <w:rPr>
                      <w:b/>
                      <w:color w:val="auto"/>
                      <w:szCs w:val="21"/>
                    </w:rPr>
                  </w:pPr>
                  <w:r>
                    <w:rPr>
                      <w:b/>
                      <w:color w:val="auto"/>
                      <w:szCs w:val="21"/>
                    </w:rPr>
                    <w:t>浓度限值（mg/L，pH无量纲）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vAlign w:val="center"/>
                </w:tcPr>
                <w:p>
                  <w:pPr>
                    <w:adjustRightInd w:val="0"/>
                    <w:snapToGrid w:val="0"/>
                    <w:jc w:val="center"/>
                    <w:rPr>
                      <w:color w:val="auto"/>
                      <w:szCs w:val="21"/>
                    </w:rPr>
                  </w:pPr>
                  <w:r>
                    <w:rPr>
                      <w:color w:val="auto"/>
                      <w:szCs w:val="21"/>
                    </w:rPr>
                    <w:t>1</w:t>
                  </w:r>
                </w:p>
              </w:tc>
              <w:tc>
                <w:tcPr>
                  <w:tcW w:w="587" w:type="pct"/>
                  <w:vMerge w:val="restart"/>
                  <w:vAlign w:val="center"/>
                </w:tcPr>
                <w:p>
                  <w:pPr>
                    <w:adjustRightInd w:val="0"/>
                    <w:snapToGrid w:val="0"/>
                    <w:jc w:val="center"/>
                    <w:rPr>
                      <w:color w:val="auto"/>
                      <w:szCs w:val="21"/>
                    </w:rPr>
                  </w:pPr>
                  <w:r>
                    <w:rPr>
                      <w:color w:val="auto"/>
                      <w:szCs w:val="21"/>
                    </w:rPr>
                    <w:t>DW001</w:t>
                  </w:r>
                </w:p>
              </w:tc>
              <w:tc>
                <w:tcPr>
                  <w:tcW w:w="726" w:type="pct"/>
                  <w:vAlign w:val="center"/>
                </w:tcPr>
                <w:p>
                  <w:pPr>
                    <w:pStyle w:val="38"/>
                    <w:rPr>
                      <w:color w:val="auto"/>
                      <w:sz w:val="21"/>
                      <w:szCs w:val="21"/>
                    </w:rPr>
                  </w:pPr>
                  <w:r>
                    <w:rPr>
                      <w:color w:val="auto"/>
                      <w:sz w:val="21"/>
                      <w:szCs w:val="21"/>
                    </w:rPr>
                    <w:t>pH</w:t>
                  </w:r>
                </w:p>
              </w:tc>
              <w:tc>
                <w:tcPr>
                  <w:tcW w:w="1399" w:type="pct"/>
                  <w:vMerge w:val="restart"/>
                  <w:vAlign w:val="center"/>
                </w:tcPr>
                <w:p>
                  <w:pPr>
                    <w:adjustRightInd w:val="0"/>
                    <w:snapToGrid w:val="0"/>
                    <w:jc w:val="center"/>
                    <w:rPr>
                      <w:color w:val="auto"/>
                      <w:szCs w:val="21"/>
                    </w:rPr>
                  </w:pPr>
                  <w:r>
                    <w:rPr>
                      <w:color w:val="auto"/>
                      <w:szCs w:val="21"/>
                    </w:rPr>
                    <w:t>《污水综合排放标准》（GB8978-1996）表4中三级标准</w:t>
                  </w:r>
                </w:p>
              </w:tc>
              <w:tc>
                <w:tcPr>
                  <w:tcW w:w="1828" w:type="pct"/>
                  <w:vAlign w:val="center"/>
                </w:tcPr>
                <w:p>
                  <w:pPr>
                    <w:pStyle w:val="38"/>
                    <w:rPr>
                      <w:color w:val="auto"/>
                      <w:sz w:val="21"/>
                      <w:szCs w:val="21"/>
                    </w:rPr>
                  </w:pPr>
                  <w:r>
                    <w:rPr>
                      <w:color w:val="auto"/>
                      <w:sz w:val="21"/>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vAlign w:val="center"/>
                </w:tcPr>
                <w:p>
                  <w:pPr>
                    <w:adjustRightInd w:val="0"/>
                    <w:snapToGrid w:val="0"/>
                    <w:jc w:val="center"/>
                    <w:rPr>
                      <w:color w:val="auto"/>
                      <w:szCs w:val="21"/>
                    </w:rPr>
                  </w:pPr>
                  <w:r>
                    <w:rPr>
                      <w:color w:val="auto"/>
                      <w:szCs w:val="21"/>
                    </w:rPr>
                    <w:t>2</w:t>
                  </w:r>
                </w:p>
              </w:tc>
              <w:tc>
                <w:tcPr>
                  <w:tcW w:w="587" w:type="pct"/>
                  <w:vMerge w:val="continue"/>
                  <w:vAlign w:val="center"/>
                </w:tcPr>
                <w:p>
                  <w:pPr>
                    <w:adjustRightInd w:val="0"/>
                    <w:snapToGrid w:val="0"/>
                    <w:jc w:val="center"/>
                    <w:rPr>
                      <w:color w:val="auto"/>
                      <w:szCs w:val="21"/>
                    </w:rPr>
                  </w:pPr>
                </w:p>
              </w:tc>
              <w:tc>
                <w:tcPr>
                  <w:tcW w:w="726" w:type="pct"/>
                  <w:vAlign w:val="center"/>
                </w:tcPr>
                <w:p>
                  <w:pPr>
                    <w:pStyle w:val="38"/>
                    <w:rPr>
                      <w:color w:val="auto"/>
                      <w:sz w:val="21"/>
                      <w:szCs w:val="21"/>
                    </w:rPr>
                  </w:pPr>
                  <w:r>
                    <w:rPr>
                      <w:color w:val="auto"/>
                      <w:sz w:val="21"/>
                      <w:szCs w:val="21"/>
                    </w:rPr>
                    <w:t>COD</w:t>
                  </w:r>
                </w:p>
              </w:tc>
              <w:tc>
                <w:tcPr>
                  <w:tcW w:w="1399" w:type="pct"/>
                  <w:vMerge w:val="continue"/>
                  <w:vAlign w:val="center"/>
                </w:tcPr>
                <w:p>
                  <w:pPr>
                    <w:adjustRightInd w:val="0"/>
                    <w:snapToGrid w:val="0"/>
                    <w:jc w:val="center"/>
                    <w:rPr>
                      <w:color w:val="auto"/>
                      <w:szCs w:val="21"/>
                    </w:rPr>
                  </w:pPr>
                </w:p>
              </w:tc>
              <w:tc>
                <w:tcPr>
                  <w:tcW w:w="1828" w:type="pct"/>
                  <w:vAlign w:val="center"/>
                </w:tcPr>
                <w:p>
                  <w:pPr>
                    <w:pStyle w:val="38"/>
                    <w:rPr>
                      <w:color w:val="auto"/>
                      <w:sz w:val="21"/>
                      <w:szCs w:val="21"/>
                    </w:rPr>
                  </w:pPr>
                  <w:r>
                    <w:rPr>
                      <w:color w:val="auto"/>
                      <w:sz w:val="21"/>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vAlign w:val="center"/>
                </w:tcPr>
                <w:p>
                  <w:pPr>
                    <w:adjustRightInd w:val="0"/>
                    <w:snapToGrid w:val="0"/>
                    <w:jc w:val="center"/>
                    <w:rPr>
                      <w:color w:val="auto"/>
                      <w:szCs w:val="21"/>
                    </w:rPr>
                  </w:pPr>
                  <w:r>
                    <w:rPr>
                      <w:color w:val="auto"/>
                      <w:szCs w:val="21"/>
                    </w:rPr>
                    <w:t>3</w:t>
                  </w:r>
                </w:p>
              </w:tc>
              <w:tc>
                <w:tcPr>
                  <w:tcW w:w="587" w:type="pct"/>
                  <w:vMerge w:val="continue"/>
                  <w:vAlign w:val="center"/>
                </w:tcPr>
                <w:p>
                  <w:pPr>
                    <w:adjustRightInd w:val="0"/>
                    <w:snapToGrid w:val="0"/>
                    <w:jc w:val="center"/>
                    <w:rPr>
                      <w:color w:val="auto"/>
                      <w:szCs w:val="21"/>
                    </w:rPr>
                  </w:pPr>
                </w:p>
              </w:tc>
              <w:tc>
                <w:tcPr>
                  <w:tcW w:w="726" w:type="pct"/>
                  <w:vAlign w:val="center"/>
                </w:tcPr>
                <w:p>
                  <w:pPr>
                    <w:pStyle w:val="38"/>
                    <w:rPr>
                      <w:color w:val="auto"/>
                      <w:sz w:val="21"/>
                      <w:szCs w:val="21"/>
                    </w:rPr>
                  </w:pPr>
                  <w:r>
                    <w:rPr>
                      <w:color w:val="auto"/>
                      <w:sz w:val="21"/>
                      <w:szCs w:val="21"/>
                    </w:rPr>
                    <w:t>SS</w:t>
                  </w:r>
                </w:p>
              </w:tc>
              <w:tc>
                <w:tcPr>
                  <w:tcW w:w="1399" w:type="pct"/>
                  <w:vMerge w:val="continue"/>
                  <w:vAlign w:val="center"/>
                </w:tcPr>
                <w:p>
                  <w:pPr>
                    <w:adjustRightInd w:val="0"/>
                    <w:snapToGrid w:val="0"/>
                    <w:jc w:val="center"/>
                    <w:rPr>
                      <w:color w:val="auto"/>
                      <w:szCs w:val="21"/>
                    </w:rPr>
                  </w:pPr>
                </w:p>
              </w:tc>
              <w:tc>
                <w:tcPr>
                  <w:tcW w:w="1828" w:type="pct"/>
                  <w:vAlign w:val="center"/>
                </w:tcPr>
                <w:p>
                  <w:pPr>
                    <w:pStyle w:val="38"/>
                    <w:rPr>
                      <w:color w:val="auto"/>
                      <w:sz w:val="21"/>
                      <w:szCs w:val="21"/>
                    </w:rPr>
                  </w:pPr>
                  <w:r>
                    <w:rPr>
                      <w:color w:val="auto"/>
                      <w:sz w:val="21"/>
                      <w:szCs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vAlign w:val="center"/>
                </w:tcPr>
                <w:p>
                  <w:pPr>
                    <w:adjustRightInd w:val="0"/>
                    <w:snapToGrid w:val="0"/>
                    <w:jc w:val="center"/>
                    <w:rPr>
                      <w:color w:val="auto"/>
                      <w:szCs w:val="21"/>
                    </w:rPr>
                  </w:pPr>
                  <w:r>
                    <w:rPr>
                      <w:rFonts w:hint="eastAsia"/>
                      <w:color w:val="auto"/>
                      <w:szCs w:val="21"/>
                    </w:rPr>
                    <w:t>4</w:t>
                  </w:r>
                </w:p>
              </w:tc>
              <w:tc>
                <w:tcPr>
                  <w:tcW w:w="587" w:type="pct"/>
                  <w:vMerge w:val="continue"/>
                  <w:vAlign w:val="center"/>
                </w:tcPr>
                <w:p>
                  <w:pPr>
                    <w:adjustRightInd w:val="0"/>
                    <w:snapToGrid w:val="0"/>
                    <w:jc w:val="center"/>
                    <w:rPr>
                      <w:color w:val="auto"/>
                      <w:szCs w:val="21"/>
                    </w:rPr>
                  </w:pPr>
                </w:p>
              </w:tc>
              <w:tc>
                <w:tcPr>
                  <w:tcW w:w="726" w:type="pct"/>
                  <w:vAlign w:val="center"/>
                </w:tcPr>
                <w:p>
                  <w:pPr>
                    <w:pStyle w:val="38"/>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1399" w:type="pct"/>
                  <w:vMerge w:val="restart"/>
                  <w:vAlign w:val="center"/>
                </w:tcPr>
                <w:p>
                  <w:pPr>
                    <w:adjustRightInd w:val="0"/>
                    <w:snapToGrid w:val="0"/>
                    <w:jc w:val="center"/>
                    <w:rPr>
                      <w:color w:val="auto"/>
                      <w:szCs w:val="21"/>
                    </w:rPr>
                  </w:pPr>
                  <w:r>
                    <w:rPr>
                      <w:color w:val="auto"/>
                      <w:szCs w:val="21"/>
                    </w:rPr>
                    <w:t>《污水排入城镇下水道水质标准》（GB/T31962-2015）表1中A级标准</w:t>
                  </w:r>
                </w:p>
              </w:tc>
              <w:tc>
                <w:tcPr>
                  <w:tcW w:w="1828" w:type="pct"/>
                  <w:vAlign w:val="center"/>
                </w:tcPr>
                <w:p>
                  <w:pPr>
                    <w:pStyle w:val="38"/>
                    <w:rPr>
                      <w:color w:val="auto"/>
                      <w:sz w:val="21"/>
                      <w:szCs w:val="21"/>
                    </w:rPr>
                  </w:pPr>
                  <w:r>
                    <w:rPr>
                      <w:color w:val="auto"/>
                      <w:sz w:val="21"/>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vAlign w:val="center"/>
                </w:tcPr>
                <w:p>
                  <w:pPr>
                    <w:adjustRightInd w:val="0"/>
                    <w:snapToGrid w:val="0"/>
                    <w:jc w:val="center"/>
                    <w:rPr>
                      <w:color w:val="auto"/>
                      <w:szCs w:val="21"/>
                    </w:rPr>
                  </w:pPr>
                  <w:r>
                    <w:rPr>
                      <w:rFonts w:hint="eastAsia"/>
                      <w:color w:val="auto"/>
                      <w:szCs w:val="21"/>
                    </w:rPr>
                    <w:t>5</w:t>
                  </w:r>
                </w:p>
              </w:tc>
              <w:tc>
                <w:tcPr>
                  <w:tcW w:w="587" w:type="pct"/>
                  <w:vMerge w:val="continue"/>
                  <w:vAlign w:val="center"/>
                </w:tcPr>
                <w:p>
                  <w:pPr>
                    <w:adjustRightInd w:val="0"/>
                    <w:snapToGrid w:val="0"/>
                    <w:jc w:val="center"/>
                    <w:rPr>
                      <w:color w:val="auto"/>
                      <w:szCs w:val="21"/>
                    </w:rPr>
                  </w:pPr>
                </w:p>
              </w:tc>
              <w:tc>
                <w:tcPr>
                  <w:tcW w:w="726" w:type="pct"/>
                  <w:vAlign w:val="center"/>
                </w:tcPr>
                <w:p>
                  <w:pPr>
                    <w:pStyle w:val="38"/>
                    <w:rPr>
                      <w:color w:val="auto"/>
                      <w:sz w:val="21"/>
                      <w:szCs w:val="21"/>
                    </w:rPr>
                  </w:pPr>
                  <w:r>
                    <w:rPr>
                      <w:color w:val="auto"/>
                      <w:sz w:val="21"/>
                      <w:szCs w:val="21"/>
                    </w:rPr>
                    <w:t>TN</w:t>
                  </w:r>
                </w:p>
              </w:tc>
              <w:tc>
                <w:tcPr>
                  <w:tcW w:w="1399" w:type="pct"/>
                  <w:vMerge w:val="continue"/>
                  <w:vAlign w:val="center"/>
                </w:tcPr>
                <w:p>
                  <w:pPr>
                    <w:adjustRightInd w:val="0"/>
                    <w:snapToGrid w:val="0"/>
                    <w:jc w:val="center"/>
                    <w:rPr>
                      <w:color w:val="auto"/>
                      <w:szCs w:val="21"/>
                    </w:rPr>
                  </w:pPr>
                </w:p>
              </w:tc>
              <w:tc>
                <w:tcPr>
                  <w:tcW w:w="1828" w:type="pct"/>
                  <w:vAlign w:val="center"/>
                </w:tcPr>
                <w:p>
                  <w:pPr>
                    <w:pStyle w:val="38"/>
                    <w:rPr>
                      <w:color w:val="auto"/>
                      <w:sz w:val="21"/>
                      <w:szCs w:val="21"/>
                    </w:rPr>
                  </w:pPr>
                  <w:r>
                    <w:rPr>
                      <w:color w:val="auto"/>
                      <w:sz w:val="21"/>
                      <w:szCs w:val="21"/>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vAlign w:val="center"/>
                </w:tcPr>
                <w:p>
                  <w:pPr>
                    <w:adjustRightInd w:val="0"/>
                    <w:snapToGrid w:val="0"/>
                    <w:jc w:val="center"/>
                    <w:rPr>
                      <w:color w:val="auto"/>
                      <w:szCs w:val="21"/>
                    </w:rPr>
                  </w:pPr>
                  <w:r>
                    <w:rPr>
                      <w:rFonts w:hint="eastAsia"/>
                      <w:color w:val="auto"/>
                      <w:szCs w:val="21"/>
                    </w:rPr>
                    <w:t>6</w:t>
                  </w:r>
                </w:p>
              </w:tc>
              <w:tc>
                <w:tcPr>
                  <w:tcW w:w="587" w:type="pct"/>
                  <w:vMerge w:val="continue"/>
                  <w:vAlign w:val="center"/>
                </w:tcPr>
                <w:p>
                  <w:pPr>
                    <w:adjustRightInd w:val="0"/>
                    <w:snapToGrid w:val="0"/>
                    <w:jc w:val="center"/>
                    <w:rPr>
                      <w:color w:val="auto"/>
                      <w:szCs w:val="21"/>
                    </w:rPr>
                  </w:pPr>
                </w:p>
              </w:tc>
              <w:tc>
                <w:tcPr>
                  <w:tcW w:w="726" w:type="pct"/>
                  <w:vAlign w:val="center"/>
                </w:tcPr>
                <w:p>
                  <w:pPr>
                    <w:pStyle w:val="38"/>
                    <w:rPr>
                      <w:color w:val="auto"/>
                      <w:sz w:val="21"/>
                      <w:szCs w:val="21"/>
                    </w:rPr>
                  </w:pPr>
                  <w:r>
                    <w:rPr>
                      <w:color w:val="auto"/>
                      <w:sz w:val="21"/>
                      <w:szCs w:val="21"/>
                    </w:rPr>
                    <w:t>TP</w:t>
                  </w:r>
                </w:p>
              </w:tc>
              <w:tc>
                <w:tcPr>
                  <w:tcW w:w="1399" w:type="pct"/>
                  <w:vMerge w:val="continue"/>
                  <w:vAlign w:val="center"/>
                </w:tcPr>
                <w:p>
                  <w:pPr>
                    <w:adjustRightInd w:val="0"/>
                    <w:snapToGrid w:val="0"/>
                    <w:jc w:val="center"/>
                    <w:rPr>
                      <w:color w:val="auto"/>
                      <w:szCs w:val="21"/>
                    </w:rPr>
                  </w:pPr>
                </w:p>
              </w:tc>
              <w:tc>
                <w:tcPr>
                  <w:tcW w:w="1828" w:type="pct"/>
                  <w:vAlign w:val="center"/>
                </w:tcPr>
                <w:p>
                  <w:pPr>
                    <w:pStyle w:val="38"/>
                    <w:rPr>
                      <w:color w:val="auto"/>
                      <w:sz w:val="21"/>
                      <w:szCs w:val="21"/>
                    </w:rPr>
                  </w:pPr>
                  <w:r>
                    <w:rPr>
                      <w:color w:val="auto"/>
                      <w:sz w:val="21"/>
                      <w:szCs w:val="21"/>
                    </w:rPr>
                    <w:t>8</w:t>
                  </w:r>
                </w:p>
              </w:tc>
            </w:tr>
          </w:tbl>
          <w:p>
            <w:pPr>
              <w:pStyle w:val="75"/>
              <w:spacing w:line="360" w:lineRule="auto"/>
              <w:ind w:firstLine="482" w:firstLineChars="200"/>
              <w:jc w:val="both"/>
              <w:rPr>
                <w:rFonts w:eastAsia="宋体"/>
                <w:color w:val="auto"/>
                <w:kern w:val="2"/>
                <w:szCs w:val="24"/>
              </w:rPr>
            </w:pPr>
            <w:r>
              <w:rPr>
                <w:b/>
                <w:color w:val="auto"/>
              </w:rPr>
              <w:t xml:space="preserve"> </w:t>
            </w:r>
            <w:r>
              <w:rPr>
                <w:rFonts w:eastAsia="宋体"/>
                <w:color w:val="auto"/>
                <w:kern w:val="2"/>
                <w:szCs w:val="24"/>
                <w:lang w:val="zh-CN"/>
              </w:rPr>
              <w:t>回用水</w:t>
            </w:r>
            <w:r>
              <w:rPr>
                <w:rFonts w:hint="eastAsia" w:eastAsia="宋体"/>
                <w:color w:val="auto"/>
                <w:kern w:val="2"/>
                <w:szCs w:val="24"/>
              </w:rPr>
              <w:t>标准</w:t>
            </w:r>
            <w:r>
              <w:rPr>
                <w:rFonts w:eastAsia="宋体"/>
                <w:color w:val="auto"/>
                <w:kern w:val="2"/>
                <w:szCs w:val="24"/>
                <w:lang w:val="zh-CN"/>
              </w:rPr>
              <w:t>执行《城市污水再生利用</w:t>
            </w:r>
            <w:r>
              <w:rPr>
                <w:rFonts w:eastAsia="宋体"/>
                <w:color w:val="auto"/>
                <w:kern w:val="2"/>
                <w:szCs w:val="24"/>
              </w:rPr>
              <w:t xml:space="preserve"> 工业用水水质</w:t>
            </w:r>
            <w:r>
              <w:rPr>
                <w:rFonts w:eastAsia="宋体"/>
                <w:color w:val="auto"/>
                <w:kern w:val="2"/>
                <w:szCs w:val="24"/>
                <w:lang w:val="zh-CN"/>
              </w:rPr>
              <w:t>》（</w:t>
            </w:r>
            <w:r>
              <w:rPr>
                <w:rFonts w:eastAsia="宋体"/>
                <w:color w:val="auto"/>
                <w:kern w:val="2"/>
                <w:szCs w:val="24"/>
              </w:rPr>
              <w:t>GB/T 19923-2005</w:t>
            </w:r>
            <w:r>
              <w:rPr>
                <w:rFonts w:eastAsia="宋体"/>
                <w:color w:val="auto"/>
                <w:kern w:val="2"/>
                <w:szCs w:val="24"/>
                <w:lang w:val="zh-CN"/>
              </w:rPr>
              <w:t>）表</w:t>
            </w:r>
            <w:r>
              <w:rPr>
                <w:rFonts w:eastAsia="宋体"/>
                <w:color w:val="auto"/>
                <w:kern w:val="2"/>
                <w:szCs w:val="24"/>
              </w:rPr>
              <w:t>1中</w:t>
            </w:r>
            <w:r>
              <w:rPr>
                <w:rFonts w:hint="eastAsia" w:eastAsia="宋体"/>
                <w:color w:val="auto"/>
                <w:kern w:val="2"/>
                <w:szCs w:val="24"/>
              </w:rPr>
              <w:t>“</w:t>
            </w:r>
            <w:r>
              <w:rPr>
                <w:rFonts w:hint="default" w:ascii="Times New Roman" w:hAnsi="Times New Roman" w:eastAsia="宋体" w:cs="Times New Roman"/>
                <w:color w:val="auto"/>
                <w:lang w:val="en-US" w:eastAsia="zh-CN"/>
              </w:rPr>
              <w:t>洗涤用水、</w:t>
            </w:r>
            <w:r>
              <w:rPr>
                <w:rFonts w:eastAsia="宋体"/>
                <w:color w:val="auto"/>
                <w:kern w:val="2"/>
                <w:szCs w:val="24"/>
              </w:rPr>
              <w:t>工艺与产品用水</w:t>
            </w:r>
            <w:r>
              <w:rPr>
                <w:rFonts w:hint="eastAsia" w:eastAsia="宋体"/>
                <w:color w:val="auto"/>
                <w:kern w:val="2"/>
                <w:szCs w:val="24"/>
              </w:rPr>
              <w:t>”</w:t>
            </w:r>
            <w:r>
              <w:rPr>
                <w:rFonts w:eastAsia="宋体"/>
                <w:color w:val="auto"/>
                <w:kern w:val="2"/>
                <w:szCs w:val="24"/>
              </w:rPr>
              <w:t>水质标准，具体标准值见表3-1</w:t>
            </w:r>
            <w:r>
              <w:rPr>
                <w:rFonts w:hint="eastAsia" w:eastAsia="宋体"/>
                <w:color w:val="auto"/>
                <w:kern w:val="2"/>
                <w:szCs w:val="24"/>
                <w:lang w:val="en-US" w:eastAsia="zh-CN"/>
              </w:rPr>
              <w:t>5</w:t>
            </w:r>
            <w:r>
              <w:rPr>
                <w:rFonts w:eastAsia="宋体"/>
                <w:color w:val="auto"/>
                <w:kern w:val="2"/>
                <w:szCs w:val="24"/>
              </w:rPr>
              <w:t>。</w:t>
            </w:r>
          </w:p>
          <w:p>
            <w:pPr>
              <w:numPr>
                <w:ilvl w:val="0"/>
                <w:numId w:val="11"/>
              </w:numPr>
              <w:snapToGrid w:val="0"/>
              <w:jc w:val="center"/>
              <w:rPr>
                <w:b/>
                <w:color w:val="auto"/>
                <w:sz w:val="24"/>
              </w:rPr>
            </w:pPr>
            <w:r>
              <w:rPr>
                <w:b/>
                <w:color w:val="auto"/>
                <w:sz w:val="24"/>
              </w:rPr>
              <w:t>回用水水质执行标准</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486"/>
              <w:gridCol w:w="2345"/>
              <w:gridCol w:w="32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pct"/>
                  <w:tcBorders>
                    <w:tl2br w:val="nil"/>
                    <w:tr2bl w:val="nil"/>
                  </w:tcBorders>
                  <w:vAlign w:val="center"/>
                </w:tcPr>
                <w:p>
                  <w:pPr>
                    <w:adjustRightInd w:val="0"/>
                    <w:snapToGrid w:val="0"/>
                    <w:jc w:val="center"/>
                    <w:rPr>
                      <w:rFonts w:ascii="Calibri" w:hAnsi="Calibri" w:cs="Calibri"/>
                      <w:b/>
                      <w:bCs/>
                      <w:color w:val="auto"/>
                      <w:szCs w:val="21"/>
                    </w:rPr>
                  </w:pPr>
                  <w:r>
                    <w:rPr>
                      <w:rFonts w:ascii="Calibri" w:hAnsi="Calibri" w:cs="Calibri"/>
                      <w:b/>
                      <w:bCs/>
                      <w:color w:val="auto"/>
                      <w:szCs w:val="21"/>
                    </w:rPr>
                    <w:t>序号</w:t>
                  </w:r>
                </w:p>
              </w:tc>
              <w:tc>
                <w:tcPr>
                  <w:tcW w:w="940" w:type="pct"/>
                  <w:tcBorders>
                    <w:tl2br w:val="nil"/>
                    <w:tr2bl w:val="nil"/>
                  </w:tcBorders>
                  <w:vAlign w:val="center"/>
                </w:tcPr>
                <w:p>
                  <w:pPr>
                    <w:adjustRightInd w:val="0"/>
                    <w:snapToGrid w:val="0"/>
                    <w:jc w:val="center"/>
                    <w:rPr>
                      <w:rFonts w:ascii="Calibri" w:hAnsi="Calibri" w:cs="Calibri"/>
                      <w:b/>
                      <w:bCs/>
                      <w:color w:val="auto"/>
                      <w:szCs w:val="21"/>
                    </w:rPr>
                  </w:pPr>
                  <w:r>
                    <w:rPr>
                      <w:rFonts w:ascii="Calibri" w:hAnsi="Calibri" w:cs="Calibri"/>
                      <w:b/>
                      <w:bCs/>
                      <w:color w:val="auto"/>
                      <w:szCs w:val="21"/>
                    </w:rPr>
                    <w:t>项目</w:t>
                  </w:r>
                </w:p>
              </w:tc>
              <w:tc>
                <w:tcPr>
                  <w:tcW w:w="1482" w:type="pct"/>
                  <w:tcBorders>
                    <w:tl2br w:val="nil"/>
                    <w:tr2bl w:val="nil"/>
                  </w:tcBorders>
                  <w:vAlign w:val="center"/>
                </w:tcPr>
                <w:p>
                  <w:pPr>
                    <w:adjustRightInd w:val="0"/>
                    <w:snapToGrid w:val="0"/>
                    <w:jc w:val="center"/>
                    <w:rPr>
                      <w:rFonts w:ascii="Calibri" w:hAnsi="Calibri" w:cs="Calibri"/>
                      <w:b/>
                      <w:bCs/>
                      <w:color w:val="auto"/>
                      <w:szCs w:val="21"/>
                    </w:rPr>
                  </w:pPr>
                  <w:r>
                    <w:rPr>
                      <w:rFonts w:ascii="Calibri" w:hAnsi="Calibri" w:cs="Calibri"/>
                      <w:b/>
                      <w:bCs/>
                      <w:color w:val="auto"/>
                      <w:szCs w:val="21"/>
                    </w:rPr>
                    <w:t>最高允许排放浓度</w:t>
                  </w:r>
                </w:p>
              </w:tc>
              <w:tc>
                <w:tcPr>
                  <w:tcW w:w="2062" w:type="pct"/>
                  <w:tcBorders>
                    <w:tl2br w:val="nil"/>
                    <w:tr2bl w:val="nil"/>
                  </w:tcBorders>
                  <w:vAlign w:val="center"/>
                </w:tcPr>
                <w:p>
                  <w:pPr>
                    <w:adjustRightInd w:val="0"/>
                    <w:snapToGrid w:val="0"/>
                    <w:jc w:val="center"/>
                    <w:rPr>
                      <w:rFonts w:ascii="Calibri" w:hAnsi="Calibri" w:cs="Calibri"/>
                      <w:b/>
                      <w:bCs/>
                      <w:color w:val="auto"/>
                      <w:szCs w:val="21"/>
                    </w:rPr>
                  </w:pPr>
                  <w:r>
                    <w:rPr>
                      <w:rFonts w:ascii="Calibri" w:hAnsi="Calibri" w:cs="Calibri"/>
                      <w:b/>
                      <w:bCs/>
                      <w:color w:val="auto"/>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pct"/>
                  <w:tcBorders>
                    <w:tl2br w:val="nil"/>
                    <w:tr2bl w:val="nil"/>
                  </w:tcBorders>
                  <w:vAlign w:val="center"/>
                </w:tcPr>
                <w:p>
                  <w:pPr>
                    <w:adjustRightInd w:val="0"/>
                    <w:snapToGrid w:val="0"/>
                    <w:jc w:val="center"/>
                    <w:rPr>
                      <w:rFonts w:ascii="Calibri" w:hAnsi="Calibri" w:cs="Calibri"/>
                      <w:color w:val="auto"/>
                      <w:szCs w:val="21"/>
                    </w:rPr>
                  </w:pPr>
                  <w:r>
                    <w:rPr>
                      <w:rFonts w:ascii="Calibri" w:hAnsi="Calibri" w:cs="Calibri"/>
                      <w:color w:val="auto"/>
                      <w:szCs w:val="21"/>
                    </w:rPr>
                    <w:t>1</w:t>
                  </w:r>
                </w:p>
              </w:tc>
              <w:tc>
                <w:tcPr>
                  <w:tcW w:w="940" w:type="pct"/>
                  <w:tcBorders>
                    <w:tl2br w:val="nil"/>
                    <w:tr2bl w:val="nil"/>
                  </w:tcBorders>
                  <w:vAlign w:val="center"/>
                </w:tcPr>
                <w:p>
                  <w:pPr>
                    <w:adjustRightInd w:val="0"/>
                    <w:snapToGrid w:val="0"/>
                    <w:jc w:val="center"/>
                    <w:rPr>
                      <w:rFonts w:ascii="Calibri" w:hAnsi="Calibri" w:cs="Calibri"/>
                      <w:color w:val="auto"/>
                      <w:szCs w:val="21"/>
                    </w:rPr>
                  </w:pPr>
                  <w:r>
                    <w:rPr>
                      <w:rFonts w:ascii="Calibri" w:hAnsi="Calibri" w:cs="Calibri"/>
                      <w:color w:val="auto"/>
                      <w:szCs w:val="21"/>
                    </w:rPr>
                    <w:t>pH（无量纲）</w:t>
                  </w:r>
                </w:p>
              </w:tc>
              <w:tc>
                <w:tcPr>
                  <w:tcW w:w="1482" w:type="pct"/>
                  <w:tcBorders>
                    <w:tl2br w:val="nil"/>
                    <w:tr2bl w:val="nil"/>
                  </w:tcBorders>
                  <w:vAlign w:val="center"/>
                </w:tcPr>
                <w:p>
                  <w:pPr>
                    <w:adjustRightInd w:val="0"/>
                    <w:snapToGrid w:val="0"/>
                    <w:jc w:val="center"/>
                    <w:rPr>
                      <w:rFonts w:ascii="Calibri" w:hAnsi="Calibri" w:cs="Calibri"/>
                      <w:color w:val="auto"/>
                      <w:szCs w:val="21"/>
                    </w:rPr>
                  </w:pPr>
                  <w:r>
                    <w:rPr>
                      <w:rFonts w:ascii="Calibri" w:hAnsi="Calibri" w:cs="Calibri"/>
                      <w:color w:val="auto"/>
                      <w:szCs w:val="21"/>
                    </w:rPr>
                    <w:t>6.5~8.5</w:t>
                  </w:r>
                </w:p>
              </w:tc>
              <w:tc>
                <w:tcPr>
                  <w:tcW w:w="2062" w:type="pct"/>
                  <w:vMerge w:val="restart"/>
                  <w:tcBorders>
                    <w:tl2br w:val="nil"/>
                    <w:tr2bl w:val="nil"/>
                  </w:tcBorders>
                  <w:vAlign w:val="center"/>
                </w:tcPr>
                <w:p>
                  <w:pPr>
                    <w:adjustRightInd w:val="0"/>
                    <w:snapToGrid w:val="0"/>
                    <w:jc w:val="center"/>
                    <w:rPr>
                      <w:rFonts w:ascii="Calibri" w:hAnsi="Calibri" w:cs="Calibri"/>
                      <w:color w:val="auto"/>
                      <w:szCs w:val="21"/>
                    </w:rPr>
                  </w:pPr>
                  <w:r>
                    <w:rPr>
                      <w:rFonts w:ascii="Calibri" w:hAnsi="Calibri" w:cs="Calibri"/>
                      <w:color w:val="auto"/>
                      <w:szCs w:val="21"/>
                    </w:rPr>
                    <w:t>《城市污水再生利用 工业用水水质》（GB/T 19923-2005）表1中“</w:t>
                  </w:r>
                  <w:r>
                    <w:rPr>
                      <w:rFonts w:hint="eastAsia" w:ascii="Calibri" w:hAnsi="Calibri" w:cs="Calibri"/>
                      <w:color w:val="auto"/>
                      <w:szCs w:val="21"/>
                      <w:lang w:val="en-US" w:eastAsia="zh-CN"/>
                    </w:rPr>
                    <w:t>洗涤用水、</w:t>
                  </w:r>
                  <w:r>
                    <w:rPr>
                      <w:rFonts w:ascii="Calibri" w:hAnsi="Calibri" w:cs="Calibri"/>
                      <w:color w:val="auto"/>
                      <w:szCs w:val="21"/>
                    </w:rPr>
                    <w:t>工艺与产品用水”水质标准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pct"/>
                  <w:tcBorders>
                    <w:tl2br w:val="nil"/>
                    <w:tr2bl w:val="nil"/>
                  </w:tcBorders>
                  <w:vAlign w:val="center"/>
                </w:tcPr>
                <w:p>
                  <w:pPr>
                    <w:adjustRightInd w:val="0"/>
                    <w:snapToGrid w:val="0"/>
                    <w:jc w:val="center"/>
                    <w:rPr>
                      <w:rFonts w:ascii="Calibri" w:hAnsi="Calibri" w:cs="Calibri"/>
                      <w:color w:val="auto"/>
                      <w:szCs w:val="21"/>
                    </w:rPr>
                  </w:pPr>
                  <w:r>
                    <w:rPr>
                      <w:rFonts w:ascii="Calibri" w:hAnsi="Calibri" w:cs="Calibri"/>
                      <w:color w:val="auto"/>
                      <w:szCs w:val="21"/>
                    </w:rPr>
                    <w:t>2</w:t>
                  </w:r>
                </w:p>
              </w:tc>
              <w:tc>
                <w:tcPr>
                  <w:tcW w:w="940" w:type="pct"/>
                  <w:tcBorders>
                    <w:tl2br w:val="nil"/>
                    <w:tr2bl w:val="nil"/>
                  </w:tcBorders>
                  <w:vAlign w:val="center"/>
                </w:tcPr>
                <w:p>
                  <w:pPr>
                    <w:adjustRightInd w:val="0"/>
                    <w:snapToGrid w:val="0"/>
                    <w:jc w:val="center"/>
                    <w:rPr>
                      <w:rFonts w:ascii="Calibri" w:hAnsi="Calibri" w:cs="Calibri"/>
                      <w:color w:val="auto"/>
                      <w:szCs w:val="21"/>
                    </w:rPr>
                  </w:pPr>
                  <w:r>
                    <w:rPr>
                      <w:rFonts w:ascii="Calibri" w:hAnsi="Calibri" w:cs="Calibri"/>
                      <w:color w:val="auto"/>
                      <w:szCs w:val="21"/>
                    </w:rPr>
                    <w:t>COD</w:t>
                  </w:r>
                </w:p>
              </w:tc>
              <w:tc>
                <w:tcPr>
                  <w:tcW w:w="1482" w:type="pct"/>
                  <w:tcBorders>
                    <w:tl2br w:val="nil"/>
                    <w:tr2bl w:val="nil"/>
                  </w:tcBorders>
                  <w:vAlign w:val="center"/>
                </w:tcPr>
                <w:p>
                  <w:pPr>
                    <w:adjustRightInd w:val="0"/>
                    <w:snapToGrid w:val="0"/>
                    <w:jc w:val="center"/>
                    <w:rPr>
                      <w:rFonts w:ascii="Calibri" w:hAnsi="Calibri" w:cs="Calibri"/>
                      <w:color w:val="auto"/>
                      <w:szCs w:val="21"/>
                    </w:rPr>
                  </w:pPr>
                  <w:r>
                    <w:rPr>
                      <w:rFonts w:ascii="Calibri" w:hAnsi="Calibri" w:cs="Calibri"/>
                      <w:color w:val="auto"/>
                      <w:szCs w:val="21"/>
                    </w:rPr>
                    <w:t>≤60</w:t>
                  </w:r>
                </w:p>
              </w:tc>
              <w:tc>
                <w:tcPr>
                  <w:tcW w:w="2062" w:type="pct"/>
                  <w:vMerge w:val="continue"/>
                  <w:tcBorders>
                    <w:tl2br w:val="nil"/>
                    <w:tr2bl w:val="nil"/>
                  </w:tcBorders>
                  <w:vAlign w:val="center"/>
                </w:tcPr>
                <w:p>
                  <w:pPr>
                    <w:adjustRightInd w:val="0"/>
                    <w:snapToGrid w:val="0"/>
                    <w:jc w:val="center"/>
                    <w:rPr>
                      <w:rFonts w:ascii="Calibri" w:hAnsi="Calibri" w:cs="Calibri"/>
                      <w:b/>
                      <w:bCs/>
                      <w:color w:val="auto"/>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pct"/>
                  <w:tcBorders>
                    <w:tl2br w:val="nil"/>
                    <w:tr2bl w:val="nil"/>
                  </w:tcBorders>
                  <w:vAlign w:val="center"/>
                </w:tcPr>
                <w:p>
                  <w:pPr>
                    <w:adjustRightInd w:val="0"/>
                    <w:snapToGrid w:val="0"/>
                    <w:jc w:val="center"/>
                    <w:rPr>
                      <w:rFonts w:ascii="Calibri" w:hAnsi="Calibri" w:cs="Calibri"/>
                      <w:color w:val="auto"/>
                      <w:szCs w:val="21"/>
                    </w:rPr>
                  </w:pPr>
                  <w:r>
                    <w:rPr>
                      <w:rFonts w:ascii="Calibri" w:hAnsi="Calibri" w:cs="Calibri"/>
                      <w:color w:val="auto"/>
                      <w:szCs w:val="21"/>
                    </w:rPr>
                    <w:t>3</w:t>
                  </w:r>
                </w:p>
              </w:tc>
              <w:tc>
                <w:tcPr>
                  <w:tcW w:w="940" w:type="pct"/>
                  <w:tcBorders>
                    <w:tl2br w:val="nil"/>
                    <w:tr2bl w:val="nil"/>
                  </w:tcBorders>
                  <w:vAlign w:val="center"/>
                </w:tcPr>
                <w:p>
                  <w:pPr>
                    <w:adjustRightInd w:val="0"/>
                    <w:snapToGrid w:val="0"/>
                    <w:jc w:val="center"/>
                    <w:rPr>
                      <w:rFonts w:ascii="Calibri" w:hAnsi="Calibri" w:cs="Calibri"/>
                      <w:color w:val="auto"/>
                      <w:szCs w:val="21"/>
                    </w:rPr>
                  </w:pPr>
                  <w:r>
                    <w:rPr>
                      <w:rFonts w:ascii="Calibri" w:hAnsi="Calibri" w:cs="Calibri"/>
                      <w:color w:val="auto"/>
                      <w:szCs w:val="21"/>
                    </w:rPr>
                    <w:t>SS</w:t>
                  </w:r>
                </w:p>
              </w:tc>
              <w:tc>
                <w:tcPr>
                  <w:tcW w:w="1482" w:type="pct"/>
                  <w:tcBorders>
                    <w:tl2br w:val="nil"/>
                    <w:tr2bl w:val="nil"/>
                  </w:tcBorders>
                  <w:vAlign w:val="center"/>
                </w:tcPr>
                <w:p>
                  <w:pPr>
                    <w:adjustRightInd w:val="0"/>
                    <w:snapToGrid w:val="0"/>
                    <w:jc w:val="center"/>
                    <w:rPr>
                      <w:rFonts w:ascii="Calibri" w:hAnsi="Calibri" w:cs="Calibri"/>
                      <w:color w:val="auto"/>
                      <w:szCs w:val="21"/>
                    </w:rPr>
                  </w:pPr>
                  <w:r>
                    <w:rPr>
                      <w:rFonts w:ascii="Calibri" w:hAnsi="Calibri" w:cs="Calibri"/>
                      <w:color w:val="auto"/>
                      <w:szCs w:val="21"/>
                    </w:rPr>
                    <w:t>30</w:t>
                  </w:r>
                </w:p>
              </w:tc>
              <w:tc>
                <w:tcPr>
                  <w:tcW w:w="2062" w:type="pct"/>
                  <w:vMerge w:val="continue"/>
                  <w:tcBorders>
                    <w:tl2br w:val="nil"/>
                    <w:tr2bl w:val="nil"/>
                  </w:tcBorders>
                  <w:vAlign w:val="center"/>
                </w:tcPr>
                <w:p>
                  <w:pPr>
                    <w:adjustRightInd w:val="0"/>
                    <w:snapToGrid w:val="0"/>
                    <w:jc w:val="center"/>
                    <w:rPr>
                      <w:rFonts w:ascii="Calibri" w:hAnsi="Calibri" w:cs="Calibri"/>
                      <w:b/>
                      <w:bCs/>
                      <w:color w:val="auto"/>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pct"/>
                  <w:tcBorders>
                    <w:tl2br w:val="nil"/>
                    <w:tr2bl w:val="nil"/>
                  </w:tcBorders>
                  <w:vAlign w:val="center"/>
                </w:tcPr>
                <w:p>
                  <w:pPr>
                    <w:adjustRightInd w:val="0"/>
                    <w:snapToGrid w:val="0"/>
                    <w:jc w:val="center"/>
                    <w:rPr>
                      <w:rFonts w:ascii="Calibri" w:hAnsi="Calibri" w:cs="Calibri"/>
                      <w:color w:val="auto"/>
                      <w:szCs w:val="21"/>
                    </w:rPr>
                  </w:pPr>
                  <w:r>
                    <w:rPr>
                      <w:rFonts w:ascii="Calibri" w:hAnsi="Calibri" w:cs="Calibri"/>
                      <w:color w:val="auto"/>
                      <w:szCs w:val="21"/>
                    </w:rPr>
                    <w:t>4</w:t>
                  </w:r>
                </w:p>
              </w:tc>
              <w:tc>
                <w:tcPr>
                  <w:tcW w:w="940" w:type="pct"/>
                  <w:tcBorders>
                    <w:tl2br w:val="nil"/>
                    <w:tr2bl w:val="nil"/>
                  </w:tcBorders>
                  <w:vAlign w:val="center"/>
                </w:tcPr>
                <w:p>
                  <w:pPr>
                    <w:adjustRightInd w:val="0"/>
                    <w:snapToGrid w:val="0"/>
                    <w:jc w:val="center"/>
                    <w:rPr>
                      <w:rFonts w:ascii="Calibri" w:hAnsi="Calibri" w:cs="Calibri"/>
                      <w:color w:val="auto"/>
                      <w:szCs w:val="21"/>
                    </w:rPr>
                  </w:pPr>
                  <w:r>
                    <w:rPr>
                      <w:rFonts w:ascii="Calibri" w:hAnsi="Calibri" w:cs="Calibri"/>
                      <w:color w:val="auto"/>
                      <w:szCs w:val="21"/>
                    </w:rPr>
                    <w:t>LAS</w:t>
                  </w:r>
                </w:p>
              </w:tc>
              <w:tc>
                <w:tcPr>
                  <w:tcW w:w="1482" w:type="pct"/>
                  <w:tcBorders>
                    <w:tl2br w:val="nil"/>
                    <w:tr2bl w:val="nil"/>
                  </w:tcBorders>
                  <w:vAlign w:val="center"/>
                </w:tcPr>
                <w:p>
                  <w:pPr>
                    <w:adjustRightInd w:val="0"/>
                    <w:snapToGrid w:val="0"/>
                    <w:jc w:val="center"/>
                    <w:rPr>
                      <w:rFonts w:ascii="Calibri" w:hAnsi="Calibri" w:cs="Calibri"/>
                      <w:color w:val="auto"/>
                      <w:szCs w:val="21"/>
                    </w:rPr>
                  </w:pPr>
                  <w:r>
                    <w:rPr>
                      <w:rFonts w:ascii="Calibri" w:hAnsi="Calibri" w:cs="Calibri"/>
                      <w:color w:val="auto"/>
                      <w:szCs w:val="21"/>
                    </w:rPr>
                    <w:t>0.5</w:t>
                  </w:r>
                </w:p>
              </w:tc>
              <w:tc>
                <w:tcPr>
                  <w:tcW w:w="2062" w:type="pct"/>
                  <w:vMerge w:val="continue"/>
                  <w:tcBorders>
                    <w:tl2br w:val="nil"/>
                    <w:tr2bl w:val="nil"/>
                  </w:tcBorders>
                  <w:vAlign w:val="center"/>
                </w:tcPr>
                <w:p>
                  <w:pPr>
                    <w:adjustRightInd w:val="0"/>
                    <w:snapToGrid w:val="0"/>
                    <w:jc w:val="center"/>
                    <w:rPr>
                      <w:rFonts w:ascii="Calibri" w:hAnsi="Calibri" w:cs="Calibri"/>
                      <w:b/>
                      <w:bCs/>
                      <w:color w:val="auto"/>
                      <w:szCs w:val="2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4" w:type="pct"/>
                  <w:tcBorders>
                    <w:tl2br w:val="nil"/>
                    <w:tr2bl w:val="nil"/>
                  </w:tcBorders>
                  <w:vAlign w:val="center"/>
                </w:tcPr>
                <w:p>
                  <w:pPr>
                    <w:adjustRightInd w:val="0"/>
                    <w:snapToGrid w:val="0"/>
                    <w:jc w:val="center"/>
                    <w:rPr>
                      <w:rFonts w:ascii="Calibri" w:hAnsi="Calibri" w:cs="Calibri"/>
                      <w:color w:val="auto"/>
                      <w:szCs w:val="21"/>
                    </w:rPr>
                  </w:pPr>
                  <w:r>
                    <w:rPr>
                      <w:rFonts w:ascii="Calibri" w:hAnsi="Calibri" w:cs="Calibri"/>
                      <w:color w:val="auto"/>
                      <w:szCs w:val="21"/>
                    </w:rPr>
                    <w:t>5</w:t>
                  </w:r>
                </w:p>
              </w:tc>
              <w:tc>
                <w:tcPr>
                  <w:tcW w:w="940" w:type="pct"/>
                  <w:tcBorders>
                    <w:tl2br w:val="nil"/>
                    <w:tr2bl w:val="nil"/>
                  </w:tcBorders>
                  <w:vAlign w:val="center"/>
                </w:tcPr>
                <w:p>
                  <w:pPr>
                    <w:adjustRightInd w:val="0"/>
                    <w:snapToGrid w:val="0"/>
                    <w:jc w:val="center"/>
                    <w:rPr>
                      <w:rFonts w:ascii="Calibri" w:hAnsi="Calibri" w:cs="Calibri"/>
                      <w:color w:val="auto"/>
                      <w:szCs w:val="21"/>
                    </w:rPr>
                  </w:pPr>
                  <w:r>
                    <w:rPr>
                      <w:rFonts w:ascii="Calibri" w:hAnsi="Calibri" w:cs="Calibri"/>
                      <w:color w:val="auto"/>
                      <w:szCs w:val="21"/>
                    </w:rPr>
                    <w:t>石油类</w:t>
                  </w:r>
                </w:p>
              </w:tc>
              <w:tc>
                <w:tcPr>
                  <w:tcW w:w="1482" w:type="pct"/>
                  <w:tcBorders>
                    <w:tl2br w:val="nil"/>
                    <w:tr2bl w:val="nil"/>
                  </w:tcBorders>
                  <w:vAlign w:val="center"/>
                </w:tcPr>
                <w:p>
                  <w:pPr>
                    <w:adjustRightInd w:val="0"/>
                    <w:snapToGrid w:val="0"/>
                    <w:jc w:val="center"/>
                    <w:rPr>
                      <w:rFonts w:ascii="Calibri" w:hAnsi="Calibri" w:cs="Calibri"/>
                      <w:color w:val="auto"/>
                      <w:szCs w:val="21"/>
                    </w:rPr>
                  </w:pPr>
                  <w:r>
                    <w:rPr>
                      <w:rFonts w:ascii="Calibri" w:hAnsi="Calibri" w:cs="Calibri"/>
                      <w:color w:val="auto"/>
                      <w:szCs w:val="21"/>
                    </w:rPr>
                    <w:t>1</w:t>
                  </w:r>
                </w:p>
              </w:tc>
              <w:tc>
                <w:tcPr>
                  <w:tcW w:w="2062" w:type="pct"/>
                  <w:vMerge w:val="continue"/>
                  <w:tcBorders>
                    <w:tl2br w:val="nil"/>
                    <w:tr2bl w:val="nil"/>
                  </w:tcBorders>
                  <w:vAlign w:val="center"/>
                </w:tcPr>
                <w:p>
                  <w:pPr>
                    <w:adjustRightInd w:val="0"/>
                    <w:snapToGrid w:val="0"/>
                    <w:jc w:val="center"/>
                    <w:rPr>
                      <w:rFonts w:ascii="Calibri" w:hAnsi="Calibri" w:cs="Calibri"/>
                      <w:b/>
                      <w:bCs/>
                      <w:color w:val="auto"/>
                      <w:szCs w:val="28"/>
                    </w:rPr>
                  </w:pPr>
                </w:p>
              </w:tc>
            </w:tr>
          </w:tbl>
          <w:p>
            <w:pPr>
              <w:numPr>
                <w:ilvl w:val="0"/>
                <w:numId w:val="11"/>
              </w:numPr>
              <w:snapToGrid w:val="0"/>
              <w:spacing w:before="159" w:beforeLines="50"/>
              <w:jc w:val="center"/>
              <w:rPr>
                <w:b/>
                <w:bCs/>
                <w:color w:val="auto"/>
                <w:sz w:val="24"/>
              </w:rPr>
            </w:pPr>
            <w:r>
              <w:rPr>
                <w:b/>
                <w:bCs/>
                <w:color w:val="auto"/>
                <w:sz w:val="24"/>
              </w:rPr>
              <w:t>污水处理厂尾水排放标准表</w:t>
            </w:r>
          </w:p>
          <w:tbl>
            <w:tblPr>
              <w:tblStyle w:val="26"/>
              <w:tblW w:w="498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501"/>
              <w:gridCol w:w="1764"/>
              <w:gridCol w:w="38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5" w:type="pct"/>
                  <w:vMerge w:val="restart"/>
                  <w:tcBorders>
                    <w:tl2br w:val="nil"/>
                    <w:tr2bl w:val="nil"/>
                  </w:tcBorders>
                  <w:vAlign w:val="center"/>
                </w:tcPr>
                <w:p>
                  <w:pPr>
                    <w:adjustRightInd w:val="0"/>
                    <w:snapToGrid w:val="0"/>
                    <w:jc w:val="center"/>
                    <w:rPr>
                      <w:b/>
                      <w:bCs/>
                      <w:color w:val="auto"/>
                      <w:szCs w:val="21"/>
                    </w:rPr>
                  </w:pPr>
                  <w:r>
                    <w:rPr>
                      <w:b/>
                      <w:bCs/>
                      <w:color w:val="auto"/>
                      <w:szCs w:val="21"/>
                    </w:rPr>
                    <w:t>序号</w:t>
                  </w:r>
                </w:p>
              </w:tc>
              <w:tc>
                <w:tcPr>
                  <w:tcW w:w="951" w:type="pct"/>
                  <w:vMerge w:val="restart"/>
                  <w:tcBorders>
                    <w:tl2br w:val="nil"/>
                    <w:tr2bl w:val="nil"/>
                  </w:tcBorders>
                  <w:vAlign w:val="center"/>
                </w:tcPr>
                <w:p>
                  <w:pPr>
                    <w:adjustRightInd w:val="0"/>
                    <w:snapToGrid w:val="0"/>
                    <w:jc w:val="center"/>
                    <w:rPr>
                      <w:b/>
                      <w:bCs/>
                      <w:color w:val="auto"/>
                      <w:szCs w:val="21"/>
                    </w:rPr>
                  </w:pPr>
                  <w:r>
                    <w:rPr>
                      <w:b/>
                      <w:bCs/>
                      <w:color w:val="auto"/>
                      <w:szCs w:val="21"/>
                    </w:rPr>
                    <w:t>污染物种类</w:t>
                  </w:r>
                </w:p>
              </w:tc>
              <w:tc>
                <w:tcPr>
                  <w:tcW w:w="3573" w:type="pct"/>
                  <w:gridSpan w:val="2"/>
                  <w:tcBorders>
                    <w:tl2br w:val="nil"/>
                    <w:tr2bl w:val="nil"/>
                  </w:tcBorders>
                  <w:vAlign w:val="center"/>
                </w:tcPr>
                <w:p>
                  <w:pPr>
                    <w:adjustRightInd w:val="0"/>
                    <w:snapToGrid w:val="0"/>
                    <w:jc w:val="center"/>
                    <w:rPr>
                      <w:b/>
                      <w:bCs/>
                      <w:color w:val="auto"/>
                      <w:szCs w:val="21"/>
                    </w:rPr>
                  </w:pPr>
                  <w:r>
                    <w:rPr>
                      <w:b/>
                      <w:bCs/>
                      <w:color w:val="auto"/>
                      <w:szCs w:val="21"/>
                    </w:rPr>
                    <w:t>最终尾水排放标准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475" w:type="pct"/>
                  <w:vMerge w:val="continue"/>
                  <w:tcBorders>
                    <w:tl2br w:val="nil"/>
                    <w:tr2bl w:val="nil"/>
                  </w:tcBorders>
                  <w:vAlign w:val="center"/>
                </w:tcPr>
                <w:p>
                  <w:pPr>
                    <w:adjustRightInd w:val="0"/>
                    <w:snapToGrid w:val="0"/>
                    <w:jc w:val="center"/>
                    <w:rPr>
                      <w:b/>
                      <w:bCs/>
                      <w:color w:val="auto"/>
                      <w:szCs w:val="21"/>
                    </w:rPr>
                  </w:pPr>
                </w:p>
              </w:tc>
              <w:tc>
                <w:tcPr>
                  <w:tcW w:w="951" w:type="pct"/>
                  <w:vMerge w:val="continue"/>
                  <w:tcBorders>
                    <w:tl2br w:val="nil"/>
                    <w:tr2bl w:val="nil"/>
                  </w:tcBorders>
                  <w:vAlign w:val="center"/>
                </w:tcPr>
                <w:p>
                  <w:pPr>
                    <w:adjustRightInd w:val="0"/>
                    <w:snapToGrid w:val="0"/>
                    <w:jc w:val="center"/>
                    <w:rPr>
                      <w:b/>
                      <w:bCs/>
                      <w:color w:val="auto"/>
                      <w:szCs w:val="21"/>
                    </w:rPr>
                  </w:pPr>
                </w:p>
              </w:tc>
              <w:tc>
                <w:tcPr>
                  <w:tcW w:w="1118" w:type="pct"/>
                  <w:tcBorders>
                    <w:tl2br w:val="nil"/>
                    <w:tr2bl w:val="nil"/>
                  </w:tcBorders>
                  <w:vAlign w:val="center"/>
                </w:tcPr>
                <w:p>
                  <w:pPr>
                    <w:adjustRightInd w:val="0"/>
                    <w:snapToGrid w:val="0"/>
                    <w:jc w:val="center"/>
                    <w:rPr>
                      <w:b/>
                      <w:bCs/>
                      <w:color w:val="auto"/>
                      <w:szCs w:val="21"/>
                    </w:rPr>
                  </w:pPr>
                  <w:r>
                    <w:rPr>
                      <w:b/>
                      <w:bCs/>
                      <w:color w:val="auto"/>
                      <w:szCs w:val="21"/>
                    </w:rPr>
                    <w:t>标准浓度（mg/L，pH无量纲）</w:t>
                  </w:r>
                </w:p>
              </w:tc>
              <w:tc>
                <w:tcPr>
                  <w:tcW w:w="2454" w:type="pct"/>
                  <w:tcBorders>
                    <w:tl2br w:val="nil"/>
                    <w:tr2bl w:val="nil"/>
                  </w:tcBorders>
                  <w:vAlign w:val="center"/>
                </w:tcPr>
                <w:p>
                  <w:pPr>
                    <w:adjustRightInd w:val="0"/>
                    <w:snapToGrid w:val="0"/>
                    <w:jc w:val="center"/>
                    <w:rPr>
                      <w:b/>
                      <w:bCs/>
                      <w:color w:val="auto"/>
                      <w:szCs w:val="21"/>
                    </w:rPr>
                  </w:pPr>
                  <w:r>
                    <w:rPr>
                      <w:b/>
                      <w:bCs/>
                      <w:color w:val="auto"/>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5" w:type="pct"/>
                  <w:tcBorders>
                    <w:tl2br w:val="nil"/>
                    <w:tr2bl w:val="nil"/>
                  </w:tcBorders>
                  <w:vAlign w:val="center"/>
                </w:tcPr>
                <w:p>
                  <w:pPr>
                    <w:adjustRightInd w:val="0"/>
                    <w:snapToGrid w:val="0"/>
                    <w:jc w:val="center"/>
                    <w:rPr>
                      <w:color w:val="auto"/>
                      <w:szCs w:val="21"/>
                    </w:rPr>
                  </w:pPr>
                  <w:r>
                    <w:rPr>
                      <w:color w:val="auto"/>
                      <w:szCs w:val="21"/>
                    </w:rPr>
                    <w:t>1</w:t>
                  </w:r>
                </w:p>
              </w:tc>
              <w:tc>
                <w:tcPr>
                  <w:tcW w:w="951" w:type="pct"/>
                  <w:tcBorders>
                    <w:tl2br w:val="nil"/>
                    <w:tr2bl w:val="nil"/>
                  </w:tcBorders>
                  <w:vAlign w:val="center"/>
                </w:tcPr>
                <w:p>
                  <w:pPr>
                    <w:adjustRightInd w:val="0"/>
                    <w:snapToGrid w:val="0"/>
                    <w:jc w:val="center"/>
                    <w:rPr>
                      <w:color w:val="auto"/>
                      <w:szCs w:val="21"/>
                    </w:rPr>
                  </w:pPr>
                  <w:r>
                    <w:rPr>
                      <w:color w:val="auto"/>
                      <w:szCs w:val="21"/>
                    </w:rPr>
                    <w:t>pH</w:t>
                  </w:r>
                </w:p>
              </w:tc>
              <w:tc>
                <w:tcPr>
                  <w:tcW w:w="1118" w:type="pct"/>
                  <w:tcBorders>
                    <w:tl2br w:val="nil"/>
                    <w:tr2bl w:val="nil"/>
                  </w:tcBorders>
                  <w:vAlign w:val="center"/>
                </w:tcPr>
                <w:p>
                  <w:pPr>
                    <w:adjustRightInd w:val="0"/>
                    <w:snapToGrid w:val="0"/>
                    <w:jc w:val="center"/>
                    <w:rPr>
                      <w:color w:val="auto"/>
                      <w:szCs w:val="21"/>
                    </w:rPr>
                  </w:pPr>
                  <w:r>
                    <w:rPr>
                      <w:color w:val="auto"/>
                      <w:szCs w:val="21"/>
                    </w:rPr>
                    <w:t>6-9</w:t>
                  </w:r>
                </w:p>
              </w:tc>
              <w:tc>
                <w:tcPr>
                  <w:tcW w:w="2454" w:type="pct"/>
                  <w:vMerge w:val="restart"/>
                  <w:tcBorders>
                    <w:tl2br w:val="nil"/>
                    <w:tr2bl w:val="nil"/>
                  </w:tcBorders>
                  <w:vAlign w:val="center"/>
                </w:tcPr>
                <w:p>
                  <w:pPr>
                    <w:adjustRightInd w:val="0"/>
                    <w:snapToGrid w:val="0"/>
                    <w:jc w:val="center"/>
                    <w:rPr>
                      <w:color w:val="auto"/>
                      <w:szCs w:val="21"/>
                    </w:rPr>
                  </w:pPr>
                  <w:r>
                    <w:rPr>
                      <w:color w:val="auto"/>
                      <w:szCs w:val="21"/>
                    </w:rPr>
                    <w:t>类比《地表水环境质量标准》（GB3838-2002）Ⅲ类标准（COD20 mg/L、BOD5 4 mg/L、氨氮1 mg/L、总氮1 mg/L、</w:t>
                  </w:r>
                </w:p>
                <w:p>
                  <w:pPr>
                    <w:adjustRightInd w:val="0"/>
                    <w:snapToGrid w:val="0"/>
                    <w:jc w:val="center"/>
                    <w:rPr>
                      <w:color w:val="auto"/>
                      <w:szCs w:val="21"/>
                    </w:rPr>
                  </w:pPr>
                  <w:r>
                    <w:rPr>
                      <w:color w:val="auto"/>
                      <w:szCs w:val="21"/>
                    </w:rPr>
                    <w:t>总磷0.2 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5" w:type="pct"/>
                  <w:tcBorders>
                    <w:tl2br w:val="nil"/>
                    <w:tr2bl w:val="nil"/>
                  </w:tcBorders>
                  <w:vAlign w:val="center"/>
                </w:tcPr>
                <w:p>
                  <w:pPr>
                    <w:adjustRightInd w:val="0"/>
                    <w:snapToGrid w:val="0"/>
                    <w:jc w:val="center"/>
                    <w:rPr>
                      <w:color w:val="auto"/>
                      <w:szCs w:val="21"/>
                    </w:rPr>
                  </w:pPr>
                  <w:r>
                    <w:rPr>
                      <w:color w:val="auto"/>
                      <w:szCs w:val="21"/>
                    </w:rPr>
                    <w:t>2</w:t>
                  </w:r>
                </w:p>
              </w:tc>
              <w:tc>
                <w:tcPr>
                  <w:tcW w:w="951" w:type="pct"/>
                  <w:tcBorders>
                    <w:tl2br w:val="nil"/>
                    <w:tr2bl w:val="nil"/>
                  </w:tcBorders>
                  <w:vAlign w:val="center"/>
                </w:tcPr>
                <w:p>
                  <w:pPr>
                    <w:adjustRightInd w:val="0"/>
                    <w:snapToGrid w:val="0"/>
                    <w:jc w:val="center"/>
                    <w:rPr>
                      <w:color w:val="auto"/>
                      <w:szCs w:val="21"/>
                    </w:rPr>
                  </w:pPr>
                  <w:r>
                    <w:rPr>
                      <w:color w:val="auto"/>
                      <w:szCs w:val="21"/>
                    </w:rPr>
                    <w:t>COD</w:t>
                  </w:r>
                </w:p>
              </w:tc>
              <w:tc>
                <w:tcPr>
                  <w:tcW w:w="1118" w:type="pct"/>
                  <w:tcBorders>
                    <w:tl2br w:val="nil"/>
                    <w:tr2bl w:val="nil"/>
                  </w:tcBorders>
                  <w:vAlign w:val="center"/>
                </w:tcPr>
                <w:p>
                  <w:pPr>
                    <w:adjustRightInd w:val="0"/>
                    <w:snapToGrid w:val="0"/>
                    <w:jc w:val="center"/>
                    <w:rPr>
                      <w:color w:val="auto"/>
                      <w:szCs w:val="21"/>
                    </w:rPr>
                  </w:pPr>
                  <w:r>
                    <w:rPr>
                      <w:color w:val="auto"/>
                      <w:szCs w:val="21"/>
                    </w:rPr>
                    <w:t>20</w:t>
                  </w:r>
                </w:p>
              </w:tc>
              <w:tc>
                <w:tcPr>
                  <w:tcW w:w="2454" w:type="pct"/>
                  <w:vMerge w:val="continue"/>
                  <w:tcBorders>
                    <w:tl2br w:val="nil"/>
                    <w:tr2bl w:val="nil"/>
                  </w:tcBorders>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5" w:type="pct"/>
                  <w:tcBorders>
                    <w:tl2br w:val="nil"/>
                    <w:tr2bl w:val="nil"/>
                  </w:tcBorders>
                  <w:vAlign w:val="center"/>
                </w:tcPr>
                <w:p>
                  <w:pPr>
                    <w:adjustRightInd w:val="0"/>
                    <w:snapToGrid w:val="0"/>
                    <w:jc w:val="center"/>
                    <w:rPr>
                      <w:color w:val="auto"/>
                      <w:szCs w:val="21"/>
                    </w:rPr>
                  </w:pPr>
                  <w:r>
                    <w:rPr>
                      <w:color w:val="auto"/>
                      <w:szCs w:val="21"/>
                    </w:rPr>
                    <w:t>3</w:t>
                  </w:r>
                </w:p>
              </w:tc>
              <w:tc>
                <w:tcPr>
                  <w:tcW w:w="951" w:type="pct"/>
                  <w:tcBorders>
                    <w:tl2br w:val="nil"/>
                    <w:tr2bl w:val="nil"/>
                  </w:tcBorders>
                  <w:vAlign w:val="center"/>
                </w:tcPr>
                <w:p>
                  <w:pPr>
                    <w:adjustRightInd w:val="0"/>
                    <w:snapToGrid w:val="0"/>
                    <w:jc w:val="center"/>
                    <w:rPr>
                      <w:color w:val="auto"/>
                      <w:szCs w:val="21"/>
                    </w:rPr>
                  </w:pPr>
                  <w:r>
                    <w:rPr>
                      <w:color w:val="auto"/>
                      <w:szCs w:val="21"/>
                    </w:rPr>
                    <w:t>氨氮（以N计）</w:t>
                  </w:r>
                </w:p>
              </w:tc>
              <w:tc>
                <w:tcPr>
                  <w:tcW w:w="1118" w:type="pct"/>
                  <w:tcBorders>
                    <w:tl2br w:val="nil"/>
                    <w:tr2bl w:val="nil"/>
                  </w:tcBorders>
                  <w:vAlign w:val="center"/>
                </w:tcPr>
                <w:p>
                  <w:pPr>
                    <w:adjustRightInd w:val="0"/>
                    <w:snapToGrid w:val="0"/>
                    <w:jc w:val="center"/>
                    <w:rPr>
                      <w:color w:val="auto"/>
                      <w:szCs w:val="21"/>
                    </w:rPr>
                  </w:pPr>
                  <w:r>
                    <w:rPr>
                      <w:color w:val="auto"/>
                      <w:szCs w:val="21"/>
                    </w:rPr>
                    <w:t>1（2）</w:t>
                  </w:r>
                </w:p>
              </w:tc>
              <w:tc>
                <w:tcPr>
                  <w:tcW w:w="2454" w:type="pct"/>
                  <w:vMerge w:val="continue"/>
                  <w:tcBorders>
                    <w:tl2br w:val="nil"/>
                    <w:tr2bl w:val="nil"/>
                  </w:tcBorders>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5" w:type="pct"/>
                  <w:tcBorders>
                    <w:tl2br w:val="nil"/>
                    <w:tr2bl w:val="nil"/>
                  </w:tcBorders>
                  <w:vAlign w:val="center"/>
                </w:tcPr>
                <w:p>
                  <w:pPr>
                    <w:adjustRightInd w:val="0"/>
                    <w:snapToGrid w:val="0"/>
                    <w:jc w:val="center"/>
                    <w:rPr>
                      <w:color w:val="auto"/>
                      <w:szCs w:val="21"/>
                    </w:rPr>
                  </w:pPr>
                  <w:r>
                    <w:rPr>
                      <w:color w:val="auto"/>
                      <w:szCs w:val="21"/>
                    </w:rPr>
                    <w:t>4</w:t>
                  </w:r>
                </w:p>
              </w:tc>
              <w:tc>
                <w:tcPr>
                  <w:tcW w:w="951" w:type="pct"/>
                  <w:tcBorders>
                    <w:tl2br w:val="nil"/>
                    <w:tr2bl w:val="nil"/>
                  </w:tcBorders>
                  <w:vAlign w:val="center"/>
                </w:tcPr>
                <w:p>
                  <w:pPr>
                    <w:adjustRightInd w:val="0"/>
                    <w:snapToGrid w:val="0"/>
                    <w:jc w:val="center"/>
                    <w:rPr>
                      <w:color w:val="auto"/>
                      <w:szCs w:val="21"/>
                    </w:rPr>
                  </w:pPr>
                  <w:r>
                    <w:rPr>
                      <w:color w:val="auto"/>
                      <w:szCs w:val="21"/>
                    </w:rPr>
                    <w:t>总氮</w:t>
                  </w:r>
                </w:p>
              </w:tc>
              <w:tc>
                <w:tcPr>
                  <w:tcW w:w="1118" w:type="pct"/>
                  <w:tcBorders>
                    <w:tl2br w:val="nil"/>
                    <w:tr2bl w:val="nil"/>
                  </w:tcBorders>
                  <w:vAlign w:val="center"/>
                </w:tcPr>
                <w:p>
                  <w:pPr>
                    <w:adjustRightInd w:val="0"/>
                    <w:snapToGrid w:val="0"/>
                    <w:jc w:val="center"/>
                    <w:rPr>
                      <w:color w:val="auto"/>
                      <w:szCs w:val="21"/>
                    </w:rPr>
                  </w:pPr>
                  <w:r>
                    <w:rPr>
                      <w:color w:val="auto"/>
                      <w:szCs w:val="21"/>
                    </w:rPr>
                    <w:t>5（7.5）</w:t>
                  </w:r>
                </w:p>
              </w:tc>
              <w:tc>
                <w:tcPr>
                  <w:tcW w:w="2454" w:type="pct"/>
                  <w:vMerge w:val="continue"/>
                  <w:tcBorders>
                    <w:tl2br w:val="nil"/>
                    <w:tr2bl w:val="nil"/>
                  </w:tcBorders>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5" w:type="pct"/>
                  <w:tcBorders>
                    <w:tl2br w:val="nil"/>
                    <w:tr2bl w:val="nil"/>
                  </w:tcBorders>
                  <w:vAlign w:val="center"/>
                </w:tcPr>
                <w:p>
                  <w:pPr>
                    <w:adjustRightInd w:val="0"/>
                    <w:snapToGrid w:val="0"/>
                    <w:jc w:val="center"/>
                    <w:rPr>
                      <w:color w:val="auto"/>
                      <w:szCs w:val="21"/>
                    </w:rPr>
                  </w:pPr>
                  <w:r>
                    <w:rPr>
                      <w:color w:val="auto"/>
                      <w:szCs w:val="21"/>
                    </w:rPr>
                    <w:t>5</w:t>
                  </w:r>
                </w:p>
              </w:tc>
              <w:tc>
                <w:tcPr>
                  <w:tcW w:w="951" w:type="pct"/>
                  <w:tcBorders>
                    <w:tl2br w:val="nil"/>
                    <w:tr2bl w:val="nil"/>
                  </w:tcBorders>
                  <w:vAlign w:val="center"/>
                </w:tcPr>
                <w:p>
                  <w:pPr>
                    <w:adjustRightInd w:val="0"/>
                    <w:snapToGrid w:val="0"/>
                    <w:jc w:val="center"/>
                    <w:rPr>
                      <w:color w:val="auto"/>
                      <w:szCs w:val="21"/>
                    </w:rPr>
                  </w:pPr>
                  <w:r>
                    <w:rPr>
                      <w:color w:val="auto"/>
                      <w:szCs w:val="21"/>
                    </w:rPr>
                    <w:t>总磷</w:t>
                  </w:r>
                </w:p>
              </w:tc>
              <w:tc>
                <w:tcPr>
                  <w:tcW w:w="1118" w:type="pct"/>
                  <w:tcBorders>
                    <w:tl2br w:val="nil"/>
                    <w:tr2bl w:val="nil"/>
                  </w:tcBorders>
                  <w:vAlign w:val="center"/>
                </w:tcPr>
                <w:p>
                  <w:pPr>
                    <w:adjustRightInd w:val="0"/>
                    <w:snapToGrid w:val="0"/>
                    <w:jc w:val="center"/>
                    <w:rPr>
                      <w:color w:val="auto"/>
                      <w:szCs w:val="21"/>
                    </w:rPr>
                  </w:pPr>
                  <w:r>
                    <w:rPr>
                      <w:color w:val="auto"/>
                      <w:szCs w:val="21"/>
                    </w:rPr>
                    <w:t>0.15（0.2）</w:t>
                  </w:r>
                </w:p>
              </w:tc>
              <w:tc>
                <w:tcPr>
                  <w:tcW w:w="2454" w:type="pct"/>
                  <w:vMerge w:val="continue"/>
                  <w:tcBorders>
                    <w:tl2br w:val="nil"/>
                    <w:tr2bl w:val="nil"/>
                  </w:tcBorders>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5" w:type="pct"/>
                  <w:tcBorders>
                    <w:tl2br w:val="nil"/>
                    <w:tr2bl w:val="nil"/>
                  </w:tcBorders>
                  <w:vAlign w:val="center"/>
                </w:tcPr>
                <w:p>
                  <w:pPr>
                    <w:adjustRightInd w:val="0"/>
                    <w:snapToGrid w:val="0"/>
                    <w:jc w:val="center"/>
                    <w:rPr>
                      <w:color w:val="auto"/>
                      <w:szCs w:val="21"/>
                    </w:rPr>
                  </w:pPr>
                  <w:r>
                    <w:rPr>
                      <w:color w:val="auto"/>
                      <w:szCs w:val="21"/>
                    </w:rPr>
                    <w:t>6</w:t>
                  </w:r>
                </w:p>
              </w:tc>
              <w:tc>
                <w:tcPr>
                  <w:tcW w:w="951" w:type="pct"/>
                  <w:tcBorders>
                    <w:tl2br w:val="nil"/>
                    <w:tr2bl w:val="nil"/>
                  </w:tcBorders>
                  <w:vAlign w:val="center"/>
                </w:tcPr>
                <w:p>
                  <w:pPr>
                    <w:adjustRightInd w:val="0"/>
                    <w:snapToGrid w:val="0"/>
                    <w:jc w:val="center"/>
                    <w:rPr>
                      <w:color w:val="auto"/>
                      <w:szCs w:val="21"/>
                    </w:rPr>
                  </w:pPr>
                  <w:r>
                    <w:rPr>
                      <w:color w:val="auto"/>
                      <w:szCs w:val="21"/>
                    </w:rPr>
                    <w:t>SS</w:t>
                  </w:r>
                </w:p>
              </w:tc>
              <w:tc>
                <w:tcPr>
                  <w:tcW w:w="1118" w:type="pct"/>
                  <w:tcBorders>
                    <w:tl2br w:val="nil"/>
                    <w:tr2bl w:val="nil"/>
                  </w:tcBorders>
                  <w:vAlign w:val="center"/>
                </w:tcPr>
                <w:p>
                  <w:pPr>
                    <w:adjustRightInd w:val="0"/>
                    <w:snapToGrid w:val="0"/>
                    <w:jc w:val="center"/>
                    <w:rPr>
                      <w:color w:val="auto"/>
                      <w:szCs w:val="21"/>
                    </w:rPr>
                  </w:pPr>
                  <w:r>
                    <w:rPr>
                      <w:color w:val="auto"/>
                      <w:szCs w:val="21"/>
                    </w:rPr>
                    <w:t>3</w:t>
                  </w:r>
                </w:p>
              </w:tc>
              <w:tc>
                <w:tcPr>
                  <w:tcW w:w="2454" w:type="pct"/>
                  <w:tcBorders>
                    <w:tl2br w:val="nil"/>
                    <w:tr2bl w:val="nil"/>
                  </w:tcBorders>
                  <w:vAlign w:val="center"/>
                </w:tcPr>
                <w:p>
                  <w:pPr>
                    <w:adjustRightInd w:val="0"/>
                    <w:snapToGrid w:val="0"/>
                    <w:jc w:val="center"/>
                    <w:rPr>
                      <w:color w:val="auto"/>
                      <w:szCs w:val="21"/>
                    </w:rPr>
                  </w:pPr>
                  <w:r>
                    <w:rPr>
                      <w:color w:val="auto"/>
                      <w:szCs w:val="21"/>
                    </w:rPr>
                    <w:t>优于《城镇污水处理厂污染物排放标准》（GB18918-2002）表1中的一级A标准（SS10mg/L）</w:t>
                  </w:r>
                </w:p>
              </w:tc>
            </w:tr>
          </w:tbl>
          <w:p>
            <w:pPr>
              <w:autoSpaceDE w:val="0"/>
              <w:autoSpaceDN w:val="0"/>
              <w:adjustRightInd w:val="0"/>
              <w:snapToGrid w:val="0"/>
              <w:spacing w:line="360" w:lineRule="auto"/>
              <w:jc w:val="left"/>
              <w:rPr>
                <w:b/>
                <w:bCs/>
                <w:color w:val="auto"/>
                <w:sz w:val="18"/>
                <w:szCs w:val="18"/>
              </w:rPr>
            </w:pPr>
            <w:r>
              <w:rPr>
                <w:b/>
                <w:bCs/>
                <w:color w:val="auto"/>
                <w:sz w:val="18"/>
                <w:szCs w:val="18"/>
              </w:rPr>
              <w:t>注：括号外数值为水温&gt;12℃ 时的控制指标，括号内数值为水温≤12℃ 时的控制指标。</w:t>
            </w:r>
          </w:p>
          <w:p>
            <w:pPr>
              <w:widowControl/>
              <w:spacing w:line="360" w:lineRule="auto"/>
              <w:jc w:val="left"/>
              <w:rPr>
                <w:color w:val="auto"/>
                <w:sz w:val="24"/>
              </w:rPr>
            </w:pPr>
            <w:r>
              <w:rPr>
                <w:b/>
                <w:color w:val="auto"/>
                <w:sz w:val="24"/>
              </w:rPr>
              <w:t>3、噪声：</w:t>
            </w:r>
          </w:p>
          <w:p>
            <w:pPr>
              <w:autoSpaceDE w:val="0"/>
              <w:autoSpaceDN w:val="0"/>
              <w:adjustRightInd w:val="0"/>
              <w:snapToGrid w:val="0"/>
              <w:spacing w:line="360" w:lineRule="auto"/>
              <w:ind w:firstLine="480" w:firstLineChars="200"/>
              <w:rPr>
                <w:color w:val="auto"/>
              </w:rPr>
            </w:pPr>
            <w:r>
              <w:rPr>
                <w:color w:val="auto"/>
                <w:sz w:val="24"/>
              </w:rPr>
              <w:t>营运期厂界噪声执行《工业企业厂界环境噪声排放标准》（GB12348-2008）中的3类标准。具体标准见表3-1</w:t>
            </w:r>
            <w:r>
              <w:rPr>
                <w:rFonts w:hint="eastAsia"/>
                <w:color w:val="auto"/>
                <w:sz w:val="24"/>
                <w:lang w:val="en-US" w:eastAsia="zh-CN"/>
              </w:rPr>
              <w:t>7</w:t>
            </w:r>
            <w:r>
              <w:rPr>
                <w:color w:val="auto"/>
                <w:sz w:val="24"/>
              </w:rPr>
              <w:t>。</w:t>
            </w:r>
          </w:p>
          <w:p>
            <w:pPr>
              <w:numPr>
                <w:ilvl w:val="0"/>
                <w:numId w:val="11"/>
              </w:numPr>
              <w:snapToGrid w:val="0"/>
              <w:jc w:val="center"/>
              <w:rPr>
                <w:b/>
                <w:color w:val="auto"/>
                <w:sz w:val="24"/>
              </w:rPr>
            </w:pPr>
            <w:r>
              <w:rPr>
                <w:b/>
                <w:color w:val="auto"/>
                <w:sz w:val="24"/>
              </w:rPr>
              <w:t>工业企业厂界环境噪声排放标准  单位：dB（A）</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34"/>
              <w:gridCol w:w="2633"/>
              <w:gridCol w:w="26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666" w:type="pct"/>
                  <w:vAlign w:val="center"/>
                </w:tcPr>
                <w:p>
                  <w:pPr>
                    <w:jc w:val="center"/>
                    <w:rPr>
                      <w:b/>
                      <w:color w:val="auto"/>
                      <w:szCs w:val="21"/>
                    </w:rPr>
                  </w:pPr>
                  <w:r>
                    <w:rPr>
                      <w:b/>
                      <w:color w:val="auto"/>
                      <w:szCs w:val="21"/>
                    </w:rPr>
                    <w:t>类别</w:t>
                  </w:r>
                </w:p>
              </w:tc>
              <w:tc>
                <w:tcPr>
                  <w:tcW w:w="1665" w:type="pct"/>
                  <w:vAlign w:val="center"/>
                </w:tcPr>
                <w:p>
                  <w:pPr>
                    <w:jc w:val="center"/>
                    <w:rPr>
                      <w:b/>
                      <w:color w:val="auto"/>
                      <w:szCs w:val="21"/>
                    </w:rPr>
                  </w:pPr>
                  <w:r>
                    <w:rPr>
                      <w:b/>
                      <w:color w:val="auto"/>
                      <w:szCs w:val="21"/>
                    </w:rPr>
                    <w:t>昼间</w:t>
                  </w:r>
                </w:p>
              </w:tc>
              <w:tc>
                <w:tcPr>
                  <w:tcW w:w="1667" w:type="pct"/>
                  <w:vAlign w:val="center"/>
                </w:tcPr>
                <w:p>
                  <w:pPr>
                    <w:jc w:val="center"/>
                    <w:rPr>
                      <w:b/>
                      <w:color w:val="auto"/>
                      <w:szCs w:val="21"/>
                    </w:rPr>
                  </w:pPr>
                  <w:r>
                    <w:rPr>
                      <w:b/>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jc w:val="center"/>
                    <w:rPr>
                      <w:color w:val="auto"/>
                      <w:szCs w:val="21"/>
                    </w:rPr>
                  </w:pPr>
                  <w:r>
                    <w:rPr>
                      <w:color w:val="auto"/>
                      <w:szCs w:val="21"/>
                    </w:rPr>
                    <w:t>3类</w:t>
                  </w:r>
                </w:p>
              </w:tc>
              <w:tc>
                <w:tcPr>
                  <w:tcW w:w="1665" w:type="pct"/>
                  <w:vAlign w:val="center"/>
                </w:tcPr>
                <w:p>
                  <w:pPr>
                    <w:jc w:val="center"/>
                    <w:rPr>
                      <w:color w:val="auto"/>
                      <w:szCs w:val="21"/>
                    </w:rPr>
                  </w:pPr>
                  <w:r>
                    <w:rPr>
                      <w:color w:val="auto"/>
                      <w:szCs w:val="21"/>
                    </w:rPr>
                    <w:t>65</w:t>
                  </w:r>
                </w:p>
              </w:tc>
              <w:tc>
                <w:tcPr>
                  <w:tcW w:w="1667" w:type="pct"/>
                  <w:vAlign w:val="center"/>
                </w:tcPr>
                <w:p>
                  <w:pPr>
                    <w:jc w:val="center"/>
                    <w:rPr>
                      <w:color w:val="auto"/>
                      <w:szCs w:val="21"/>
                    </w:rPr>
                  </w:pPr>
                  <w:r>
                    <w:rPr>
                      <w:color w:val="auto"/>
                      <w:szCs w:val="21"/>
                    </w:rPr>
                    <w:t>55</w:t>
                  </w:r>
                </w:p>
              </w:tc>
            </w:tr>
          </w:tbl>
          <w:p>
            <w:pPr>
              <w:widowControl/>
              <w:spacing w:line="360" w:lineRule="auto"/>
              <w:jc w:val="left"/>
              <w:rPr>
                <w:b/>
                <w:color w:val="auto"/>
                <w:sz w:val="24"/>
              </w:rPr>
            </w:pPr>
            <w:r>
              <w:rPr>
                <w:rFonts w:hint="eastAsia"/>
                <w:b/>
                <w:color w:val="auto"/>
                <w:sz w:val="24"/>
                <w:lang w:val="en-US" w:eastAsia="zh-CN"/>
              </w:rPr>
              <w:t>4、</w:t>
            </w:r>
            <w:r>
              <w:rPr>
                <w:b/>
                <w:color w:val="auto"/>
                <w:sz w:val="24"/>
              </w:rPr>
              <w:t>固废：</w:t>
            </w:r>
          </w:p>
          <w:p>
            <w:pPr>
              <w:adjustRightInd w:val="0"/>
              <w:snapToGrid w:val="0"/>
              <w:spacing w:line="360" w:lineRule="auto"/>
              <w:ind w:firstLine="480" w:firstLineChars="200"/>
              <w:jc w:val="left"/>
              <w:rPr>
                <w:color w:val="auto"/>
                <w:kern w:val="0"/>
                <w:szCs w:val="21"/>
              </w:rPr>
            </w:pPr>
            <w:r>
              <w:rPr>
                <w:color w:val="auto"/>
                <w:sz w:val="24"/>
              </w:rPr>
              <w:t>生活垃圾贮存、处置执行建设部2007年第157号令《城市生活垃圾管理办法》；</w:t>
            </w:r>
            <w:r>
              <w:rPr>
                <w:color w:val="auto"/>
                <w:kern w:val="0"/>
                <w:sz w:val="24"/>
              </w:rPr>
              <w:t>一般工业固废执行</w:t>
            </w:r>
            <w:r>
              <w:rPr>
                <w:color w:val="auto"/>
                <w:sz w:val="24"/>
              </w:rPr>
              <w:t>《一般工业固体废物贮存和填埋污染控制标准》（GB18599-2020）</w:t>
            </w:r>
            <w:r>
              <w:rPr>
                <w:color w:val="auto"/>
                <w:kern w:val="0"/>
                <w:sz w:val="24"/>
              </w:rPr>
              <w:t>；危险废物执行《危险废物贮存污染控制标准》（GB18597-2001）及2013年修改单（公告2013年第36号）和《省生态环境厅关于进一步加强危险废物污染防治工作的实施意见》（苏环办（2019）327号）</w:t>
            </w:r>
            <w:r>
              <w:rPr>
                <w:color w:val="auto"/>
                <w:sz w:val="24"/>
              </w:rPr>
              <w:t>。</w:t>
            </w:r>
          </w:p>
        </w:tc>
      </w:tr>
    </w:tbl>
    <w:p>
      <w:pPr>
        <w:rPr>
          <w:rFonts w:eastAsia="黑体"/>
          <w:snapToGrid w:val="0"/>
          <w:color w:val="auto"/>
          <w:sz w:val="30"/>
          <w:szCs w:val="30"/>
        </w:rPr>
        <w:sectPr>
          <w:pgSz w:w="11906" w:h="16838"/>
          <w:pgMar w:top="1440" w:right="1797" w:bottom="1440" w:left="1797" w:header="851" w:footer="992" w:gutter="0"/>
          <w:pgBorders>
            <w:top w:val="none" w:sz="0" w:space="0"/>
            <w:left w:val="none" w:sz="0" w:space="0"/>
            <w:bottom w:val="none" w:sz="0" w:space="0"/>
            <w:right w:val="none" w:sz="0" w:space="0"/>
          </w:pgBorders>
          <w:cols w:space="0" w:num="1"/>
          <w:docGrid w:type="lines" w:linePitch="319"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2" w:type="dxa"/>
            <w:vAlign w:val="center"/>
          </w:tcPr>
          <w:p>
            <w:pPr>
              <w:adjustRightInd w:val="0"/>
              <w:snapToGrid w:val="0"/>
              <w:jc w:val="center"/>
              <w:rPr>
                <w:rFonts w:ascii="Calibri" w:hAnsi="Calibri" w:cs="Calibri"/>
                <w:color w:val="auto"/>
                <w:kern w:val="0"/>
                <w:sz w:val="24"/>
              </w:rPr>
            </w:pPr>
            <w:r>
              <w:rPr>
                <w:rFonts w:ascii="Calibri" w:hAnsi="Calibri" w:cs="Calibri"/>
                <w:color w:val="auto"/>
                <w:kern w:val="0"/>
                <w:sz w:val="24"/>
              </w:rPr>
              <w:t>总量</w:t>
            </w:r>
          </w:p>
          <w:p>
            <w:pPr>
              <w:adjustRightInd w:val="0"/>
              <w:snapToGrid w:val="0"/>
              <w:jc w:val="center"/>
              <w:rPr>
                <w:rFonts w:ascii="Calibri" w:hAnsi="Calibri" w:cs="Calibri"/>
                <w:color w:val="auto"/>
                <w:kern w:val="0"/>
                <w:sz w:val="24"/>
              </w:rPr>
            </w:pPr>
            <w:r>
              <w:rPr>
                <w:rFonts w:ascii="Calibri" w:hAnsi="Calibri" w:cs="Calibri"/>
                <w:color w:val="auto"/>
                <w:kern w:val="0"/>
                <w:sz w:val="24"/>
              </w:rPr>
              <w:t>控制</w:t>
            </w:r>
          </w:p>
          <w:p>
            <w:pPr>
              <w:jc w:val="center"/>
              <w:rPr>
                <w:rFonts w:ascii="Calibri" w:hAnsi="Calibri" w:eastAsia="黑体" w:cs="Calibri"/>
                <w:snapToGrid w:val="0"/>
                <w:color w:val="auto"/>
                <w:sz w:val="30"/>
                <w:szCs w:val="30"/>
              </w:rPr>
            </w:pPr>
            <w:r>
              <w:rPr>
                <w:rFonts w:ascii="Calibri" w:hAnsi="Calibri" w:cs="Calibri"/>
                <w:color w:val="auto"/>
                <w:kern w:val="0"/>
                <w:sz w:val="24"/>
              </w:rPr>
              <w:t>指标</w:t>
            </w:r>
          </w:p>
        </w:tc>
        <w:tc>
          <w:tcPr>
            <w:tcW w:w="13752" w:type="dxa"/>
          </w:tcPr>
          <w:p>
            <w:pPr>
              <w:autoSpaceDE w:val="0"/>
              <w:autoSpaceDN w:val="0"/>
              <w:adjustRightInd w:val="0"/>
              <w:snapToGrid w:val="0"/>
              <w:spacing w:line="360" w:lineRule="auto"/>
              <w:ind w:firstLine="420" w:firstLineChars="200"/>
              <w:rPr>
                <w:rFonts w:ascii="Calibri" w:hAnsi="Calibri" w:cs="Calibri"/>
                <w:color w:val="auto"/>
              </w:rPr>
            </w:pPr>
            <w:r>
              <w:rPr>
                <w:rFonts w:ascii="Calibri" w:hAnsi="Calibri" w:cs="Calibri"/>
                <w:color w:val="auto"/>
              </w:rPr>
              <w:t>本项目建议接管考核量及废气排入大气环境总量控制指标见下表。</w:t>
            </w:r>
          </w:p>
          <w:p>
            <w:pPr>
              <w:numPr>
                <w:ilvl w:val="0"/>
                <w:numId w:val="11"/>
              </w:numPr>
              <w:snapToGrid w:val="0"/>
              <w:jc w:val="center"/>
              <w:rPr>
                <w:rFonts w:ascii="Calibri" w:hAnsi="Calibri" w:cs="Calibri"/>
                <w:b/>
                <w:color w:val="auto"/>
                <w:sz w:val="24"/>
              </w:rPr>
            </w:pPr>
            <w:r>
              <w:rPr>
                <w:rFonts w:ascii="Calibri" w:hAnsi="Calibri" w:cs="Calibri"/>
                <w:b/>
                <w:color w:val="auto"/>
                <w:sz w:val="24"/>
              </w:rPr>
              <w:t>本项目污染物排放总量  单位：t/a</w:t>
            </w:r>
          </w:p>
          <w:tbl>
            <w:tblPr>
              <w:tblStyle w:val="26"/>
              <w:tblW w:w="487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73"/>
              <w:gridCol w:w="586"/>
              <w:gridCol w:w="1210"/>
              <w:gridCol w:w="1020"/>
              <w:gridCol w:w="1209"/>
              <w:gridCol w:w="1209"/>
              <w:gridCol w:w="1002"/>
              <w:gridCol w:w="1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11" w:hRule="atLeast"/>
                <w:jc w:val="center"/>
              </w:trPr>
              <w:tc>
                <w:tcPr>
                  <w:tcW w:w="243" w:type="pct"/>
                  <w:tcBorders>
                    <w:tl2br w:val="nil"/>
                    <w:tr2bl w:val="nil"/>
                  </w:tcBorders>
                  <w:vAlign w:val="center"/>
                </w:tcPr>
                <w:p>
                  <w:pPr>
                    <w:adjustRightInd w:val="0"/>
                    <w:snapToGrid w:val="0"/>
                    <w:jc w:val="center"/>
                    <w:rPr>
                      <w:b/>
                      <w:bCs/>
                      <w:color w:val="auto"/>
                      <w:szCs w:val="21"/>
                    </w:rPr>
                  </w:pPr>
                  <w:r>
                    <w:rPr>
                      <w:b/>
                      <w:bCs/>
                      <w:color w:val="auto"/>
                      <w:szCs w:val="21"/>
                    </w:rPr>
                    <w:t>类别</w:t>
                  </w:r>
                </w:p>
              </w:tc>
              <w:tc>
                <w:tcPr>
                  <w:tcW w:w="1171" w:type="pct"/>
                  <w:gridSpan w:val="2"/>
                  <w:tcBorders>
                    <w:tl2br w:val="nil"/>
                    <w:tr2bl w:val="nil"/>
                  </w:tcBorders>
                  <w:vAlign w:val="center"/>
                </w:tcPr>
                <w:p>
                  <w:pPr>
                    <w:adjustRightInd w:val="0"/>
                    <w:snapToGrid w:val="0"/>
                    <w:jc w:val="center"/>
                    <w:rPr>
                      <w:b/>
                      <w:bCs/>
                      <w:color w:val="auto"/>
                      <w:szCs w:val="21"/>
                    </w:rPr>
                  </w:pPr>
                  <w:r>
                    <w:rPr>
                      <w:b/>
                      <w:bCs/>
                      <w:color w:val="auto"/>
                      <w:szCs w:val="21"/>
                    </w:rPr>
                    <w:t>污染物名称</w:t>
                  </w:r>
                </w:p>
              </w:tc>
              <w:tc>
                <w:tcPr>
                  <w:tcW w:w="665" w:type="pct"/>
                  <w:tcBorders>
                    <w:tl2br w:val="nil"/>
                    <w:tr2bl w:val="nil"/>
                  </w:tcBorders>
                  <w:vAlign w:val="center"/>
                </w:tcPr>
                <w:p>
                  <w:pPr>
                    <w:adjustRightInd w:val="0"/>
                    <w:snapToGrid w:val="0"/>
                    <w:jc w:val="center"/>
                    <w:rPr>
                      <w:b/>
                      <w:bCs/>
                      <w:color w:val="auto"/>
                      <w:szCs w:val="21"/>
                    </w:rPr>
                  </w:pPr>
                  <w:r>
                    <w:rPr>
                      <w:b/>
                      <w:bCs/>
                      <w:color w:val="auto"/>
                      <w:szCs w:val="21"/>
                    </w:rPr>
                    <w:t>产生量</w:t>
                  </w:r>
                </w:p>
              </w:tc>
              <w:tc>
                <w:tcPr>
                  <w:tcW w:w="788" w:type="pct"/>
                  <w:tcBorders>
                    <w:tl2br w:val="nil"/>
                    <w:tr2bl w:val="nil"/>
                  </w:tcBorders>
                  <w:vAlign w:val="center"/>
                </w:tcPr>
                <w:p>
                  <w:pPr>
                    <w:adjustRightInd w:val="0"/>
                    <w:snapToGrid w:val="0"/>
                    <w:jc w:val="center"/>
                    <w:rPr>
                      <w:b/>
                      <w:bCs/>
                      <w:color w:val="auto"/>
                      <w:szCs w:val="21"/>
                    </w:rPr>
                  </w:pPr>
                  <w:r>
                    <w:rPr>
                      <w:b/>
                      <w:bCs/>
                      <w:color w:val="auto"/>
                      <w:szCs w:val="21"/>
                    </w:rPr>
                    <w:t>削减量</w:t>
                  </w:r>
                </w:p>
              </w:tc>
              <w:tc>
                <w:tcPr>
                  <w:tcW w:w="788" w:type="pct"/>
                  <w:tcBorders>
                    <w:tl2br w:val="nil"/>
                    <w:tr2bl w:val="nil"/>
                  </w:tcBorders>
                  <w:vAlign w:val="center"/>
                </w:tcPr>
                <w:p>
                  <w:pPr>
                    <w:adjustRightInd w:val="0"/>
                    <w:snapToGrid w:val="0"/>
                    <w:jc w:val="center"/>
                    <w:rPr>
                      <w:b/>
                      <w:bCs/>
                      <w:color w:val="auto"/>
                      <w:szCs w:val="21"/>
                    </w:rPr>
                  </w:pPr>
                  <w:r>
                    <w:rPr>
                      <w:b/>
                      <w:bCs/>
                      <w:color w:val="auto"/>
                      <w:szCs w:val="21"/>
                    </w:rPr>
                    <w:t>预测排放量</w:t>
                  </w:r>
                </w:p>
              </w:tc>
              <w:tc>
                <w:tcPr>
                  <w:tcW w:w="653" w:type="pct"/>
                  <w:tcBorders>
                    <w:tl2br w:val="nil"/>
                    <w:tr2bl w:val="nil"/>
                  </w:tcBorders>
                  <w:vAlign w:val="center"/>
                </w:tcPr>
                <w:p>
                  <w:pPr>
                    <w:adjustRightInd w:val="0"/>
                    <w:snapToGrid w:val="0"/>
                    <w:jc w:val="center"/>
                    <w:rPr>
                      <w:b/>
                      <w:bCs/>
                      <w:color w:val="auto"/>
                      <w:szCs w:val="21"/>
                    </w:rPr>
                  </w:pPr>
                  <w:r>
                    <w:rPr>
                      <w:b/>
                      <w:bCs/>
                      <w:color w:val="auto"/>
                      <w:szCs w:val="21"/>
                    </w:rPr>
                    <w:t>建议总量考核指标</w:t>
                  </w:r>
                </w:p>
              </w:tc>
              <w:tc>
                <w:tcPr>
                  <w:tcW w:w="689" w:type="pct"/>
                  <w:tcBorders>
                    <w:tl2br w:val="nil"/>
                    <w:tr2bl w:val="nil"/>
                  </w:tcBorders>
                  <w:vAlign w:val="center"/>
                </w:tcPr>
                <w:p>
                  <w:pPr>
                    <w:adjustRightInd w:val="0"/>
                    <w:snapToGrid w:val="0"/>
                    <w:jc w:val="center"/>
                    <w:rPr>
                      <w:b/>
                      <w:bCs/>
                      <w:color w:val="auto"/>
                      <w:szCs w:val="21"/>
                    </w:rPr>
                  </w:pPr>
                  <w:r>
                    <w:rPr>
                      <w:b/>
                      <w:bCs/>
                      <w:color w:val="auto"/>
                      <w:szCs w:val="21"/>
                    </w:rPr>
                    <w:t>最终外排量（污水厂尾水）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6" w:hRule="atLeast"/>
                <w:jc w:val="center"/>
              </w:trPr>
              <w:tc>
                <w:tcPr>
                  <w:tcW w:w="243" w:type="pct"/>
                  <w:vMerge w:val="restart"/>
                  <w:tcBorders>
                    <w:tl2br w:val="nil"/>
                    <w:tr2bl w:val="nil"/>
                  </w:tcBorders>
                  <w:vAlign w:val="center"/>
                </w:tcPr>
                <w:p>
                  <w:pPr>
                    <w:jc w:val="center"/>
                    <w:rPr>
                      <w:color w:val="auto"/>
                      <w:szCs w:val="21"/>
                    </w:rPr>
                  </w:pPr>
                  <w:r>
                    <w:rPr>
                      <w:color w:val="auto"/>
                      <w:szCs w:val="21"/>
                    </w:rPr>
                    <w:t>废水</w:t>
                  </w:r>
                </w:p>
              </w:tc>
              <w:tc>
                <w:tcPr>
                  <w:tcW w:w="1171" w:type="pct"/>
                  <w:gridSpan w:val="2"/>
                  <w:tcBorders>
                    <w:tl2br w:val="nil"/>
                    <w:tr2bl w:val="nil"/>
                  </w:tcBorders>
                  <w:vAlign w:val="center"/>
                </w:tcPr>
                <w:p>
                  <w:pPr>
                    <w:jc w:val="center"/>
                    <w:rPr>
                      <w:color w:val="auto"/>
                      <w:szCs w:val="21"/>
                    </w:rPr>
                  </w:pPr>
                  <w:r>
                    <w:rPr>
                      <w:color w:val="auto"/>
                      <w:szCs w:val="21"/>
                    </w:rPr>
                    <w:t>废水量</w:t>
                  </w:r>
                </w:p>
              </w:tc>
              <w:tc>
                <w:tcPr>
                  <w:tcW w:w="665"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2436.3</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88" w:type="pct"/>
                  <w:tcBorders>
                    <w:tl2br w:val="nil"/>
                    <w:tr2bl w:val="nil"/>
                  </w:tcBorders>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2436.3</w:t>
                  </w:r>
                </w:p>
              </w:tc>
              <w:tc>
                <w:tcPr>
                  <w:tcW w:w="653" w:type="pct"/>
                  <w:tcBorders>
                    <w:tl2br w:val="nil"/>
                    <w:tr2bl w:val="nil"/>
                  </w:tcBorders>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2436.3</w:t>
                  </w:r>
                </w:p>
              </w:tc>
              <w:tc>
                <w:tcPr>
                  <w:tcW w:w="689" w:type="pct"/>
                  <w:tcBorders>
                    <w:tl2br w:val="nil"/>
                    <w:tr2bl w:val="nil"/>
                  </w:tcBorders>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2436.3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6" w:hRule="atLeast"/>
                <w:jc w:val="center"/>
              </w:trPr>
              <w:tc>
                <w:tcPr>
                  <w:tcW w:w="243" w:type="pct"/>
                  <w:vMerge w:val="continue"/>
                  <w:tcBorders>
                    <w:tl2br w:val="nil"/>
                    <w:tr2bl w:val="nil"/>
                  </w:tcBorders>
                  <w:vAlign w:val="center"/>
                </w:tcPr>
                <w:p>
                  <w:pPr>
                    <w:jc w:val="center"/>
                    <w:rPr>
                      <w:color w:val="auto"/>
                      <w:szCs w:val="21"/>
                    </w:rPr>
                  </w:pPr>
                </w:p>
              </w:tc>
              <w:tc>
                <w:tcPr>
                  <w:tcW w:w="1171" w:type="pct"/>
                  <w:gridSpan w:val="2"/>
                  <w:tcBorders>
                    <w:tl2br w:val="nil"/>
                    <w:tr2bl w:val="nil"/>
                  </w:tcBorders>
                  <w:vAlign w:val="center"/>
                </w:tcPr>
                <w:p>
                  <w:pPr>
                    <w:jc w:val="center"/>
                    <w:rPr>
                      <w:color w:val="auto"/>
                      <w:szCs w:val="21"/>
                    </w:rPr>
                  </w:pPr>
                  <w:r>
                    <w:rPr>
                      <w:color w:val="auto"/>
                      <w:szCs w:val="21"/>
                    </w:rPr>
                    <w:t>COD</w:t>
                  </w:r>
                </w:p>
              </w:tc>
              <w:tc>
                <w:tcPr>
                  <w:tcW w:w="665"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 xml:space="preserve">0.9051 </w:t>
                  </w:r>
                </w:p>
              </w:tc>
              <w:tc>
                <w:tcPr>
                  <w:tcW w:w="788" w:type="pct"/>
                  <w:tcBorders>
                    <w:tl2br w:val="nil"/>
                    <w:tr2bl w:val="nil"/>
                  </w:tcBorders>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Cs w:val="21"/>
                      <w:lang w:bidi="ar"/>
                    </w:rPr>
                    <w:t>0.</w:t>
                  </w:r>
                  <w:r>
                    <w:rPr>
                      <w:rFonts w:hint="default" w:ascii="Times New Roman" w:hAnsi="Times New Roman" w:cs="Times New Roman"/>
                      <w:color w:val="auto"/>
                      <w:kern w:val="0"/>
                      <w:szCs w:val="21"/>
                      <w:lang w:val="en-US" w:eastAsia="zh-CN" w:bidi="ar"/>
                    </w:rPr>
                    <w:t>0945</w:t>
                  </w:r>
                </w:p>
              </w:tc>
              <w:tc>
                <w:tcPr>
                  <w:tcW w:w="120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0.8106 </w:t>
                  </w:r>
                </w:p>
              </w:tc>
              <w:tc>
                <w:tcPr>
                  <w:tcW w:w="100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0.8106 </w:t>
                  </w:r>
                </w:p>
              </w:tc>
              <w:tc>
                <w:tcPr>
                  <w:tcW w:w="689"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 w:val="22"/>
                      <w:szCs w:val="22"/>
                      <w:lang w:bidi="ar"/>
                    </w:rPr>
                    <w:t>0.0487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6" w:hRule="atLeast"/>
                <w:jc w:val="center"/>
              </w:trPr>
              <w:tc>
                <w:tcPr>
                  <w:tcW w:w="243" w:type="pct"/>
                  <w:vMerge w:val="continue"/>
                  <w:tcBorders>
                    <w:tl2br w:val="nil"/>
                    <w:tr2bl w:val="nil"/>
                  </w:tcBorders>
                  <w:vAlign w:val="center"/>
                </w:tcPr>
                <w:p>
                  <w:pPr>
                    <w:jc w:val="center"/>
                    <w:rPr>
                      <w:color w:val="auto"/>
                      <w:szCs w:val="21"/>
                    </w:rPr>
                  </w:pPr>
                </w:p>
              </w:tc>
              <w:tc>
                <w:tcPr>
                  <w:tcW w:w="1171" w:type="pct"/>
                  <w:gridSpan w:val="2"/>
                  <w:tcBorders>
                    <w:tl2br w:val="nil"/>
                    <w:tr2bl w:val="nil"/>
                  </w:tcBorders>
                  <w:vAlign w:val="center"/>
                </w:tcPr>
                <w:p>
                  <w:pPr>
                    <w:jc w:val="center"/>
                    <w:rPr>
                      <w:color w:val="auto"/>
                      <w:szCs w:val="21"/>
                    </w:rPr>
                  </w:pPr>
                  <w:r>
                    <w:rPr>
                      <w:color w:val="auto"/>
                      <w:szCs w:val="21"/>
                    </w:rPr>
                    <w:t>SS</w:t>
                  </w:r>
                </w:p>
              </w:tc>
              <w:tc>
                <w:tcPr>
                  <w:tcW w:w="665"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 xml:space="preserve">0.8379 </w:t>
                  </w:r>
                </w:p>
              </w:tc>
              <w:tc>
                <w:tcPr>
                  <w:tcW w:w="788" w:type="pct"/>
                  <w:tcBorders>
                    <w:tl2br w:val="nil"/>
                    <w:tr2bl w:val="nil"/>
                  </w:tcBorders>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Cs w:val="21"/>
                      <w:lang w:bidi="ar"/>
                    </w:rPr>
                    <w:t>0.</w:t>
                  </w:r>
                  <w:r>
                    <w:rPr>
                      <w:rFonts w:hint="default" w:ascii="Times New Roman" w:hAnsi="Times New Roman" w:cs="Times New Roman"/>
                      <w:color w:val="auto"/>
                      <w:kern w:val="0"/>
                      <w:szCs w:val="21"/>
                      <w:lang w:val="en-US" w:eastAsia="zh-CN" w:bidi="ar"/>
                    </w:rPr>
                    <w:t>0945</w:t>
                  </w:r>
                </w:p>
              </w:tc>
              <w:tc>
                <w:tcPr>
                  <w:tcW w:w="120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0.7434 </w:t>
                  </w:r>
                </w:p>
              </w:tc>
              <w:tc>
                <w:tcPr>
                  <w:tcW w:w="100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0.7434 </w:t>
                  </w:r>
                </w:p>
              </w:tc>
              <w:tc>
                <w:tcPr>
                  <w:tcW w:w="689"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 w:val="22"/>
                      <w:szCs w:val="22"/>
                      <w:lang w:bidi="ar"/>
                    </w:rPr>
                    <w:t>0.0073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6" w:hRule="atLeast"/>
                <w:jc w:val="center"/>
              </w:trPr>
              <w:tc>
                <w:tcPr>
                  <w:tcW w:w="243" w:type="pct"/>
                  <w:vMerge w:val="continue"/>
                  <w:tcBorders>
                    <w:tl2br w:val="nil"/>
                    <w:tr2bl w:val="nil"/>
                  </w:tcBorders>
                  <w:vAlign w:val="center"/>
                </w:tcPr>
                <w:p>
                  <w:pPr>
                    <w:jc w:val="center"/>
                    <w:rPr>
                      <w:color w:val="auto"/>
                      <w:szCs w:val="21"/>
                    </w:rPr>
                  </w:pPr>
                </w:p>
              </w:tc>
              <w:tc>
                <w:tcPr>
                  <w:tcW w:w="1171" w:type="pct"/>
                  <w:gridSpan w:val="2"/>
                  <w:tcBorders>
                    <w:tl2br w:val="nil"/>
                    <w:tr2bl w:val="nil"/>
                  </w:tcBorders>
                  <w:vAlign w:val="center"/>
                </w:tcPr>
                <w:p>
                  <w:pPr>
                    <w:jc w:val="center"/>
                    <w:rPr>
                      <w:color w:val="auto"/>
                      <w:szCs w:val="21"/>
                    </w:rPr>
                  </w:pPr>
                  <w:r>
                    <w:rPr>
                      <w:color w:val="auto"/>
                      <w:szCs w:val="21"/>
                    </w:rPr>
                    <w:t>氨氮（生活）</w:t>
                  </w:r>
                </w:p>
              </w:tc>
              <w:tc>
                <w:tcPr>
                  <w:tcW w:w="665"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 xml:space="preserve">0.0662 </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20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0.0662 </w:t>
                  </w:r>
                </w:p>
              </w:tc>
              <w:tc>
                <w:tcPr>
                  <w:tcW w:w="100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0.0662 </w:t>
                  </w:r>
                </w:p>
              </w:tc>
              <w:tc>
                <w:tcPr>
                  <w:tcW w:w="689"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 w:val="22"/>
                      <w:szCs w:val="22"/>
                      <w:lang w:bidi="ar"/>
                    </w:rPr>
                    <w:t>0.0024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6" w:hRule="atLeast"/>
                <w:jc w:val="center"/>
              </w:trPr>
              <w:tc>
                <w:tcPr>
                  <w:tcW w:w="243" w:type="pct"/>
                  <w:vMerge w:val="continue"/>
                  <w:tcBorders>
                    <w:tl2br w:val="nil"/>
                    <w:tr2bl w:val="nil"/>
                  </w:tcBorders>
                  <w:vAlign w:val="center"/>
                </w:tcPr>
                <w:p>
                  <w:pPr>
                    <w:jc w:val="center"/>
                    <w:rPr>
                      <w:color w:val="auto"/>
                      <w:szCs w:val="21"/>
                    </w:rPr>
                  </w:pPr>
                </w:p>
              </w:tc>
              <w:tc>
                <w:tcPr>
                  <w:tcW w:w="1171" w:type="pct"/>
                  <w:gridSpan w:val="2"/>
                  <w:tcBorders>
                    <w:tl2br w:val="nil"/>
                    <w:tr2bl w:val="nil"/>
                  </w:tcBorders>
                  <w:vAlign w:val="center"/>
                </w:tcPr>
                <w:p>
                  <w:pPr>
                    <w:jc w:val="center"/>
                    <w:rPr>
                      <w:color w:val="auto"/>
                      <w:szCs w:val="21"/>
                    </w:rPr>
                  </w:pPr>
                  <w:r>
                    <w:rPr>
                      <w:color w:val="auto"/>
                      <w:szCs w:val="21"/>
                    </w:rPr>
                    <w:t>总氮（生活）</w:t>
                  </w:r>
                </w:p>
              </w:tc>
              <w:tc>
                <w:tcPr>
                  <w:tcW w:w="665"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 xml:space="preserve">0.0756 </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20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0.0756 </w:t>
                  </w:r>
                </w:p>
              </w:tc>
              <w:tc>
                <w:tcPr>
                  <w:tcW w:w="100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0.0756 </w:t>
                  </w:r>
                </w:p>
              </w:tc>
              <w:tc>
                <w:tcPr>
                  <w:tcW w:w="689"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 w:val="22"/>
                      <w:szCs w:val="22"/>
                      <w:lang w:bidi="ar"/>
                    </w:rPr>
                    <w:t>0.0122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6" w:hRule="atLeast"/>
                <w:jc w:val="center"/>
              </w:trPr>
              <w:tc>
                <w:tcPr>
                  <w:tcW w:w="243" w:type="pct"/>
                  <w:vMerge w:val="continue"/>
                  <w:tcBorders>
                    <w:tl2br w:val="nil"/>
                    <w:tr2bl w:val="nil"/>
                  </w:tcBorders>
                  <w:vAlign w:val="center"/>
                </w:tcPr>
                <w:p>
                  <w:pPr>
                    <w:jc w:val="center"/>
                    <w:rPr>
                      <w:color w:val="auto"/>
                      <w:szCs w:val="21"/>
                    </w:rPr>
                  </w:pPr>
                </w:p>
              </w:tc>
              <w:tc>
                <w:tcPr>
                  <w:tcW w:w="1171" w:type="pct"/>
                  <w:gridSpan w:val="2"/>
                  <w:tcBorders>
                    <w:tl2br w:val="nil"/>
                    <w:tr2bl w:val="nil"/>
                  </w:tcBorders>
                  <w:vAlign w:val="center"/>
                </w:tcPr>
                <w:p>
                  <w:pPr>
                    <w:jc w:val="center"/>
                    <w:rPr>
                      <w:color w:val="auto"/>
                      <w:szCs w:val="21"/>
                    </w:rPr>
                  </w:pPr>
                  <w:r>
                    <w:rPr>
                      <w:color w:val="auto"/>
                      <w:szCs w:val="21"/>
                    </w:rPr>
                    <w:t>总磷（生活）</w:t>
                  </w:r>
                </w:p>
              </w:tc>
              <w:tc>
                <w:tcPr>
                  <w:tcW w:w="665"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 xml:space="preserve">0.0095 </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20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0.0095 </w:t>
                  </w:r>
                </w:p>
              </w:tc>
              <w:tc>
                <w:tcPr>
                  <w:tcW w:w="100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0.0095 </w:t>
                  </w:r>
                </w:p>
              </w:tc>
              <w:tc>
                <w:tcPr>
                  <w:tcW w:w="689"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 w:val="22"/>
                      <w:szCs w:val="22"/>
                      <w:lang w:bidi="ar"/>
                    </w:rPr>
                    <w:t>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6" w:hRule="atLeast"/>
                <w:jc w:val="center"/>
              </w:trPr>
              <w:tc>
                <w:tcPr>
                  <w:tcW w:w="243" w:type="pct"/>
                  <w:vMerge w:val="restart"/>
                  <w:tcBorders>
                    <w:tl2br w:val="nil"/>
                    <w:tr2bl w:val="nil"/>
                  </w:tcBorders>
                  <w:vAlign w:val="center"/>
                </w:tcPr>
                <w:p>
                  <w:pPr>
                    <w:jc w:val="center"/>
                    <w:rPr>
                      <w:color w:val="auto"/>
                      <w:szCs w:val="21"/>
                    </w:rPr>
                  </w:pPr>
                  <w:r>
                    <w:rPr>
                      <w:color w:val="auto"/>
                      <w:szCs w:val="21"/>
                    </w:rPr>
                    <w:t>废气</w:t>
                  </w:r>
                </w:p>
              </w:tc>
              <w:tc>
                <w:tcPr>
                  <w:tcW w:w="382" w:type="pct"/>
                  <w:vMerge w:val="restart"/>
                  <w:tcBorders>
                    <w:tl2br w:val="nil"/>
                    <w:tr2bl w:val="nil"/>
                  </w:tcBorders>
                  <w:vAlign w:val="center"/>
                </w:tcPr>
                <w:p>
                  <w:pPr>
                    <w:jc w:val="center"/>
                    <w:rPr>
                      <w:color w:val="auto"/>
                      <w:szCs w:val="21"/>
                    </w:rPr>
                  </w:pPr>
                  <w:r>
                    <w:rPr>
                      <w:color w:val="auto"/>
                      <w:szCs w:val="21"/>
                    </w:rPr>
                    <w:t>有组织</w:t>
                  </w:r>
                </w:p>
              </w:tc>
              <w:tc>
                <w:tcPr>
                  <w:tcW w:w="789" w:type="pct"/>
                  <w:tcBorders>
                    <w:tl2br w:val="nil"/>
                    <w:tr2bl w:val="nil"/>
                  </w:tcBorders>
                  <w:vAlign w:val="center"/>
                </w:tcPr>
                <w:p>
                  <w:pPr>
                    <w:widowControl/>
                    <w:jc w:val="center"/>
                    <w:textAlignment w:val="center"/>
                    <w:rPr>
                      <w:color w:val="auto"/>
                      <w:szCs w:val="21"/>
                    </w:rPr>
                  </w:pPr>
                  <w:r>
                    <w:rPr>
                      <w:color w:val="auto"/>
                      <w:szCs w:val="21"/>
                    </w:rPr>
                    <w:t>颗粒物</w:t>
                  </w:r>
                </w:p>
              </w:tc>
              <w:tc>
                <w:tcPr>
                  <w:tcW w:w="665"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5.7515</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5.415</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0.3365</w:t>
                  </w:r>
                </w:p>
              </w:tc>
              <w:tc>
                <w:tcPr>
                  <w:tcW w:w="653" w:type="pct"/>
                  <w:tcBorders>
                    <w:tl2br w:val="nil"/>
                    <w:tr2bl w:val="nil"/>
                  </w:tcBorders>
                  <w:vAlign w:val="center"/>
                </w:tcPr>
                <w:p>
                  <w:pPr>
                    <w:widowControl/>
                    <w:jc w:val="center"/>
                    <w:textAlignment w:val="center"/>
                    <w:rPr>
                      <w:rFonts w:hint="default" w:ascii="Times New Roman" w:hAnsi="Times New Roman" w:eastAsia="宋体" w:cs="Times New Roman"/>
                      <w:color w:val="auto"/>
                      <w:szCs w:val="21"/>
                      <w:highlight w:val="yellow"/>
                      <w:lang w:val="en-US" w:eastAsia="zh-CN"/>
                    </w:rPr>
                  </w:pPr>
                  <w:r>
                    <w:rPr>
                      <w:rFonts w:hint="default" w:ascii="Times New Roman" w:hAnsi="Times New Roman" w:cs="Times New Roman"/>
                      <w:color w:val="auto"/>
                      <w:lang w:val="en-US" w:eastAsia="zh-CN"/>
                    </w:rPr>
                    <w:t>0.3365</w:t>
                  </w:r>
                </w:p>
              </w:tc>
              <w:tc>
                <w:tcPr>
                  <w:tcW w:w="1057" w:type="dxa"/>
                  <w:tcBorders>
                    <w:tl2br w:val="nil"/>
                    <w:tr2bl w:val="nil"/>
                  </w:tcBorders>
                  <w:vAlign w:val="center"/>
                </w:tcPr>
                <w:p>
                  <w:pPr>
                    <w:widowControl/>
                    <w:jc w:val="center"/>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8" w:hRule="atLeast"/>
                <w:jc w:val="center"/>
              </w:trPr>
              <w:tc>
                <w:tcPr>
                  <w:tcW w:w="243" w:type="pct"/>
                  <w:vMerge w:val="continue"/>
                  <w:tcBorders>
                    <w:tl2br w:val="nil"/>
                    <w:tr2bl w:val="nil"/>
                  </w:tcBorders>
                  <w:vAlign w:val="center"/>
                </w:tcPr>
                <w:p>
                  <w:pPr>
                    <w:jc w:val="center"/>
                    <w:rPr>
                      <w:color w:val="auto"/>
                      <w:szCs w:val="21"/>
                    </w:rPr>
                  </w:pPr>
                </w:p>
              </w:tc>
              <w:tc>
                <w:tcPr>
                  <w:tcW w:w="382" w:type="pct"/>
                  <w:vMerge w:val="continue"/>
                  <w:tcBorders>
                    <w:tl2br w:val="nil"/>
                    <w:tr2bl w:val="nil"/>
                  </w:tcBorders>
                  <w:vAlign w:val="center"/>
                </w:tcPr>
                <w:p>
                  <w:pPr>
                    <w:jc w:val="center"/>
                    <w:rPr>
                      <w:color w:val="auto"/>
                      <w:szCs w:val="21"/>
                    </w:rPr>
                  </w:pPr>
                </w:p>
              </w:tc>
              <w:tc>
                <w:tcPr>
                  <w:tcW w:w="789" w:type="pct"/>
                  <w:tcBorders>
                    <w:tl2br w:val="nil"/>
                    <w:tr2bl w:val="nil"/>
                  </w:tcBorders>
                  <w:vAlign w:val="center"/>
                </w:tcPr>
                <w:p>
                  <w:pPr>
                    <w:widowControl/>
                    <w:jc w:val="center"/>
                    <w:textAlignment w:val="center"/>
                    <w:rPr>
                      <w:color w:val="auto"/>
                      <w:szCs w:val="21"/>
                    </w:rPr>
                  </w:pPr>
                  <w:r>
                    <w:rPr>
                      <w:color w:val="auto"/>
                      <w:szCs w:val="21"/>
                    </w:rPr>
                    <w:t>二氧化硫</w:t>
                  </w:r>
                </w:p>
              </w:tc>
              <w:tc>
                <w:tcPr>
                  <w:tcW w:w="665"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0.0072</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0.0072</w:t>
                  </w:r>
                </w:p>
              </w:tc>
              <w:tc>
                <w:tcPr>
                  <w:tcW w:w="653"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0.0072</w:t>
                  </w:r>
                </w:p>
              </w:tc>
              <w:tc>
                <w:tcPr>
                  <w:tcW w:w="1057" w:type="dxa"/>
                  <w:tcBorders>
                    <w:tl2br w:val="nil"/>
                    <w:tr2bl w:val="nil"/>
                  </w:tcBorders>
                  <w:vAlign w:val="center"/>
                </w:tcPr>
                <w:p>
                  <w:pPr>
                    <w:widowControl/>
                    <w:jc w:val="center"/>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8" w:hRule="atLeast"/>
                <w:jc w:val="center"/>
              </w:trPr>
              <w:tc>
                <w:tcPr>
                  <w:tcW w:w="243" w:type="pct"/>
                  <w:vMerge w:val="continue"/>
                  <w:tcBorders>
                    <w:tl2br w:val="nil"/>
                    <w:tr2bl w:val="nil"/>
                  </w:tcBorders>
                  <w:vAlign w:val="center"/>
                </w:tcPr>
                <w:p>
                  <w:pPr>
                    <w:jc w:val="center"/>
                    <w:rPr>
                      <w:color w:val="auto"/>
                      <w:szCs w:val="21"/>
                    </w:rPr>
                  </w:pPr>
                </w:p>
              </w:tc>
              <w:tc>
                <w:tcPr>
                  <w:tcW w:w="382" w:type="pct"/>
                  <w:vMerge w:val="continue"/>
                  <w:tcBorders>
                    <w:tl2br w:val="nil"/>
                    <w:tr2bl w:val="nil"/>
                  </w:tcBorders>
                  <w:vAlign w:val="center"/>
                </w:tcPr>
                <w:p>
                  <w:pPr>
                    <w:jc w:val="center"/>
                    <w:rPr>
                      <w:color w:val="auto"/>
                      <w:szCs w:val="21"/>
                    </w:rPr>
                  </w:pPr>
                </w:p>
              </w:tc>
              <w:tc>
                <w:tcPr>
                  <w:tcW w:w="789" w:type="pct"/>
                  <w:tcBorders>
                    <w:tl2br w:val="nil"/>
                    <w:tr2bl w:val="nil"/>
                  </w:tcBorders>
                  <w:vAlign w:val="center"/>
                </w:tcPr>
                <w:p>
                  <w:pPr>
                    <w:widowControl/>
                    <w:jc w:val="center"/>
                    <w:textAlignment w:val="center"/>
                    <w:rPr>
                      <w:color w:val="auto"/>
                      <w:szCs w:val="21"/>
                    </w:rPr>
                  </w:pPr>
                  <w:r>
                    <w:rPr>
                      <w:color w:val="auto"/>
                      <w:szCs w:val="21"/>
                    </w:rPr>
                    <w:t>氮氧化物</w:t>
                  </w:r>
                </w:p>
              </w:tc>
              <w:tc>
                <w:tcPr>
                  <w:tcW w:w="665"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0.2857</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0.2857</w:t>
                  </w:r>
                </w:p>
              </w:tc>
              <w:tc>
                <w:tcPr>
                  <w:tcW w:w="653"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0.2857</w:t>
                  </w:r>
                </w:p>
              </w:tc>
              <w:tc>
                <w:tcPr>
                  <w:tcW w:w="1057" w:type="dxa"/>
                  <w:tcBorders>
                    <w:tl2br w:val="nil"/>
                    <w:tr2bl w:val="nil"/>
                  </w:tcBorders>
                  <w:vAlign w:val="center"/>
                </w:tcPr>
                <w:p>
                  <w:pPr>
                    <w:widowControl/>
                    <w:jc w:val="center"/>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8" w:hRule="atLeast"/>
                <w:jc w:val="center"/>
              </w:trPr>
              <w:tc>
                <w:tcPr>
                  <w:tcW w:w="243" w:type="pct"/>
                  <w:vMerge w:val="continue"/>
                  <w:tcBorders>
                    <w:tl2br w:val="nil"/>
                    <w:tr2bl w:val="nil"/>
                  </w:tcBorders>
                  <w:vAlign w:val="center"/>
                </w:tcPr>
                <w:p>
                  <w:pPr>
                    <w:jc w:val="center"/>
                    <w:rPr>
                      <w:color w:val="auto"/>
                      <w:szCs w:val="21"/>
                    </w:rPr>
                  </w:pPr>
                </w:p>
              </w:tc>
              <w:tc>
                <w:tcPr>
                  <w:tcW w:w="382" w:type="pct"/>
                  <w:vMerge w:val="continue"/>
                  <w:tcBorders>
                    <w:tl2br w:val="nil"/>
                    <w:tr2bl w:val="nil"/>
                  </w:tcBorders>
                  <w:vAlign w:val="center"/>
                </w:tcPr>
                <w:p>
                  <w:pPr>
                    <w:jc w:val="center"/>
                    <w:rPr>
                      <w:color w:val="auto"/>
                      <w:szCs w:val="21"/>
                    </w:rPr>
                  </w:pPr>
                </w:p>
              </w:tc>
              <w:tc>
                <w:tcPr>
                  <w:tcW w:w="789" w:type="pct"/>
                  <w:tcBorders>
                    <w:tl2br w:val="nil"/>
                    <w:tr2bl w:val="nil"/>
                  </w:tcBorders>
                  <w:vAlign w:val="center"/>
                </w:tcPr>
                <w:p>
                  <w:pPr>
                    <w:widowControl/>
                    <w:jc w:val="center"/>
                    <w:textAlignment w:val="center"/>
                    <w:rPr>
                      <w:color w:val="auto"/>
                      <w:szCs w:val="21"/>
                    </w:rPr>
                  </w:pPr>
                  <w:r>
                    <w:rPr>
                      <w:color w:val="auto"/>
                      <w:szCs w:val="21"/>
                    </w:rPr>
                    <w:t>非甲烷总烃</w:t>
                  </w:r>
                </w:p>
              </w:tc>
              <w:tc>
                <w:tcPr>
                  <w:tcW w:w="665"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0.513</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0.4617</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0.0513</w:t>
                  </w:r>
                </w:p>
              </w:tc>
              <w:tc>
                <w:tcPr>
                  <w:tcW w:w="653"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0.0513</w:t>
                  </w:r>
                </w:p>
              </w:tc>
              <w:tc>
                <w:tcPr>
                  <w:tcW w:w="1057" w:type="dxa"/>
                  <w:tcBorders>
                    <w:tl2br w:val="nil"/>
                    <w:tr2bl w:val="nil"/>
                  </w:tcBorders>
                  <w:vAlign w:val="center"/>
                </w:tcPr>
                <w:p>
                  <w:pPr>
                    <w:widowControl/>
                    <w:jc w:val="center"/>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5" w:hRule="atLeast"/>
                <w:jc w:val="center"/>
              </w:trPr>
              <w:tc>
                <w:tcPr>
                  <w:tcW w:w="243" w:type="pct"/>
                  <w:vMerge w:val="continue"/>
                  <w:tcBorders>
                    <w:tl2br w:val="nil"/>
                    <w:tr2bl w:val="nil"/>
                  </w:tcBorders>
                  <w:vAlign w:val="center"/>
                </w:tcPr>
                <w:p>
                  <w:pPr>
                    <w:jc w:val="center"/>
                    <w:rPr>
                      <w:color w:val="auto"/>
                      <w:szCs w:val="21"/>
                    </w:rPr>
                  </w:pPr>
                </w:p>
              </w:tc>
              <w:tc>
                <w:tcPr>
                  <w:tcW w:w="382" w:type="pct"/>
                  <w:vMerge w:val="restart"/>
                  <w:tcBorders>
                    <w:tl2br w:val="nil"/>
                    <w:tr2bl w:val="nil"/>
                  </w:tcBorders>
                  <w:vAlign w:val="center"/>
                </w:tcPr>
                <w:p>
                  <w:pPr>
                    <w:jc w:val="center"/>
                    <w:rPr>
                      <w:color w:val="auto"/>
                      <w:szCs w:val="21"/>
                    </w:rPr>
                  </w:pPr>
                  <w:r>
                    <w:rPr>
                      <w:color w:val="auto"/>
                      <w:szCs w:val="21"/>
                    </w:rPr>
                    <w:t>无组织</w:t>
                  </w:r>
                </w:p>
              </w:tc>
              <w:tc>
                <w:tcPr>
                  <w:tcW w:w="789" w:type="pct"/>
                  <w:tcBorders>
                    <w:tl2br w:val="nil"/>
                    <w:tr2bl w:val="nil"/>
                  </w:tcBorders>
                  <w:vAlign w:val="center"/>
                </w:tcPr>
                <w:p>
                  <w:pPr>
                    <w:widowControl/>
                    <w:jc w:val="center"/>
                    <w:textAlignment w:val="center"/>
                    <w:rPr>
                      <w:color w:val="auto"/>
                      <w:szCs w:val="21"/>
                    </w:rPr>
                  </w:pPr>
                  <w:r>
                    <w:rPr>
                      <w:color w:val="auto"/>
                      <w:szCs w:val="21"/>
                    </w:rPr>
                    <w:t>颗粒物</w:t>
                  </w:r>
                </w:p>
              </w:tc>
              <w:tc>
                <w:tcPr>
                  <w:tcW w:w="665" w:type="pct"/>
                  <w:tcBorders>
                    <w:tl2br w:val="nil"/>
                    <w:tr2bl w:val="nil"/>
                  </w:tcBorders>
                  <w:vAlign w:val="center"/>
                </w:tcPr>
                <w:p>
                  <w:pPr>
                    <w:pStyle w:val="38"/>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565</w:t>
                  </w:r>
                </w:p>
              </w:tc>
              <w:tc>
                <w:tcPr>
                  <w:tcW w:w="788" w:type="pct"/>
                  <w:tcBorders>
                    <w:tl2br w:val="nil"/>
                    <w:tr2bl w:val="nil"/>
                  </w:tcBorders>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0.0</w:t>
                  </w:r>
                  <w:r>
                    <w:rPr>
                      <w:rFonts w:hint="default" w:ascii="Times New Roman" w:hAnsi="Times New Roman" w:cs="Times New Roman"/>
                      <w:color w:val="auto"/>
                      <w:szCs w:val="21"/>
                      <w:lang w:val="en-US" w:eastAsia="zh-CN"/>
                    </w:rPr>
                    <w:t>483</w:t>
                  </w:r>
                </w:p>
              </w:tc>
              <w:tc>
                <w:tcPr>
                  <w:tcW w:w="788" w:type="pct"/>
                  <w:tcBorders>
                    <w:tl2br w:val="nil"/>
                    <w:tr2bl w:val="nil"/>
                  </w:tcBorders>
                  <w:vAlign w:val="center"/>
                </w:tcPr>
                <w:p>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w:t>
                  </w:r>
                  <w:r>
                    <w:rPr>
                      <w:rFonts w:hint="eastAsia" w:cs="Times New Roman"/>
                      <w:color w:val="auto"/>
                      <w:szCs w:val="21"/>
                      <w:lang w:val="en-US" w:eastAsia="zh-CN"/>
                    </w:rPr>
                    <w:t>3</w:t>
                  </w:r>
                  <w:commentRangeStart w:id="17"/>
                  <w:r>
                    <w:rPr>
                      <w:rFonts w:hint="default" w:ascii="Times New Roman" w:hAnsi="Times New Roman" w:cs="Times New Roman"/>
                      <w:color w:val="auto"/>
                      <w:szCs w:val="21"/>
                      <w:lang w:val="en-US" w:eastAsia="zh-CN"/>
                    </w:rPr>
                    <w:t>082</w:t>
                  </w:r>
                  <w:commentRangeEnd w:id="17"/>
                  <w:r>
                    <w:rPr>
                      <w:color w:val="auto"/>
                    </w:rPr>
                    <w:commentReference w:id="17"/>
                  </w:r>
                </w:p>
              </w:tc>
              <w:tc>
                <w:tcPr>
                  <w:tcW w:w="653" w:type="pct"/>
                  <w:tcBorders>
                    <w:tl2br w:val="nil"/>
                    <w:tr2bl w:val="nil"/>
                  </w:tcBorders>
                  <w:vAlign w:val="center"/>
                </w:tcPr>
                <w:p>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0.3082</w:t>
                  </w:r>
                </w:p>
              </w:tc>
              <w:tc>
                <w:tcPr>
                  <w:tcW w:w="1057" w:type="dxa"/>
                  <w:tcBorders>
                    <w:tl2br w:val="nil"/>
                    <w:tr2bl w:val="nil"/>
                  </w:tcBorders>
                  <w:vAlign w:val="center"/>
                </w:tcPr>
                <w:p>
                  <w:pPr>
                    <w:widowControl/>
                    <w:jc w:val="center"/>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8" w:hRule="atLeast"/>
                <w:jc w:val="center"/>
              </w:trPr>
              <w:tc>
                <w:tcPr>
                  <w:tcW w:w="243" w:type="pct"/>
                  <w:vMerge w:val="continue"/>
                  <w:tcBorders>
                    <w:tl2br w:val="nil"/>
                    <w:tr2bl w:val="nil"/>
                  </w:tcBorders>
                  <w:vAlign w:val="center"/>
                </w:tcPr>
                <w:p>
                  <w:pPr>
                    <w:jc w:val="center"/>
                    <w:rPr>
                      <w:color w:val="auto"/>
                      <w:szCs w:val="21"/>
                    </w:rPr>
                  </w:pPr>
                </w:p>
              </w:tc>
              <w:tc>
                <w:tcPr>
                  <w:tcW w:w="382" w:type="pct"/>
                  <w:vMerge w:val="continue"/>
                  <w:tcBorders>
                    <w:tl2br w:val="nil"/>
                    <w:tr2bl w:val="nil"/>
                  </w:tcBorders>
                  <w:vAlign w:val="center"/>
                </w:tcPr>
                <w:p>
                  <w:pPr>
                    <w:jc w:val="center"/>
                    <w:rPr>
                      <w:color w:val="auto"/>
                      <w:szCs w:val="21"/>
                    </w:rPr>
                  </w:pPr>
                </w:p>
              </w:tc>
              <w:tc>
                <w:tcPr>
                  <w:tcW w:w="789" w:type="pct"/>
                  <w:tcBorders>
                    <w:tl2br w:val="nil"/>
                    <w:tr2bl w:val="nil"/>
                  </w:tcBorders>
                  <w:vAlign w:val="center"/>
                </w:tcPr>
                <w:p>
                  <w:pPr>
                    <w:widowControl/>
                    <w:jc w:val="center"/>
                    <w:textAlignment w:val="center"/>
                    <w:rPr>
                      <w:color w:val="auto"/>
                      <w:szCs w:val="21"/>
                    </w:rPr>
                  </w:pPr>
                  <w:r>
                    <w:rPr>
                      <w:color w:val="auto"/>
                      <w:szCs w:val="21"/>
                    </w:rPr>
                    <w:t>非甲烷总烃</w:t>
                  </w:r>
                </w:p>
              </w:tc>
              <w:tc>
                <w:tcPr>
                  <w:tcW w:w="665" w:type="pct"/>
                  <w:tcBorders>
                    <w:tl2br w:val="nil"/>
                    <w:tr2bl w:val="nil"/>
                  </w:tcBorders>
                  <w:vAlign w:val="center"/>
                </w:tcPr>
                <w:p>
                  <w:pPr>
                    <w:pStyle w:val="38"/>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w:t>
                  </w:r>
                  <w:r>
                    <w:rPr>
                      <w:rFonts w:hint="eastAsia" w:cs="Times New Roman"/>
                      <w:color w:val="auto"/>
                      <w:sz w:val="21"/>
                      <w:szCs w:val="21"/>
                      <w:lang w:val="en-US" w:eastAsia="zh-CN"/>
                    </w:rPr>
                    <w:t>1210</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0.0804</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rPr>
                  </w:pPr>
                  <w:r>
                    <w:rPr>
                      <w:rFonts w:hint="default" w:ascii="Times New Roman" w:hAnsi="Times New Roman" w:cs="Times New Roman"/>
                      <w:color w:val="auto"/>
                    </w:rPr>
                    <w:t>0.0</w:t>
                  </w:r>
                  <w:r>
                    <w:rPr>
                      <w:color w:val="auto"/>
                    </w:rPr>
                    <w:commentReference w:id="18"/>
                  </w:r>
                  <w:r>
                    <w:rPr>
                      <w:rFonts w:hint="eastAsia" w:cs="Times New Roman"/>
                      <w:color w:val="auto"/>
                      <w:lang w:val="en-US" w:eastAsia="zh-CN"/>
                    </w:rPr>
                    <w:t>40</w:t>
                  </w:r>
                  <w:r>
                    <w:rPr>
                      <w:rFonts w:hint="default" w:ascii="Times New Roman" w:hAnsi="Times New Roman" w:cs="Times New Roman"/>
                      <w:color w:val="auto"/>
                    </w:rPr>
                    <w:t>6</w:t>
                  </w:r>
                </w:p>
              </w:tc>
              <w:tc>
                <w:tcPr>
                  <w:tcW w:w="653" w:type="pct"/>
                  <w:tcBorders>
                    <w:tl2br w:val="nil"/>
                    <w:tr2bl w:val="nil"/>
                  </w:tcBorders>
                  <w:vAlign w:val="center"/>
                </w:tcPr>
                <w:p>
                  <w:pPr>
                    <w:widowControl/>
                    <w:jc w:val="center"/>
                    <w:textAlignment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0.0406</w:t>
                  </w:r>
                </w:p>
              </w:tc>
              <w:tc>
                <w:tcPr>
                  <w:tcW w:w="1057" w:type="dxa"/>
                  <w:tcBorders>
                    <w:tl2br w:val="nil"/>
                    <w:tr2bl w:val="nil"/>
                  </w:tcBorders>
                  <w:vAlign w:val="center"/>
                </w:tcPr>
                <w:p>
                  <w:pPr>
                    <w:widowControl/>
                    <w:jc w:val="center"/>
                    <w:textAlignment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7" w:hRule="atLeast"/>
                <w:jc w:val="center"/>
              </w:trPr>
              <w:tc>
                <w:tcPr>
                  <w:tcW w:w="243" w:type="pct"/>
                  <w:vMerge w:val="restart"/>
                  <w:tcBorders>
                    <w:tl2br w:val="nil"/>
                    <w:tr2bl w:val="nil"/>
                  </w:tcBorders>
                  <w:vAlign w:val="center"/>
                </w:tcPr>
                <w:p>
                  <w:pPr>
                    <w:jc w:val="center"/>
                    <w:rPr>
                      <w:color w:val="auto"/>
                      <w:szCs w:val="21"/>
                    </w:rPr>
                  </w:pPr>
                  <w:r>
                    <w:rPr>
                      <w:color w:val="auto"/>
                      <w:szCs w:val="21"/>
                    </w:rPr>
                    <w:t>固废</w:t>
                  </w:r>
                </w:p>
              </w:tc>
              <w:tc>
                <w:tcPr>
                  <w:tcW w:w="1171" w:type="pct"/>
                  <w:gridSpan w:val="2"/>
                  <w:tcBorders>
                    <w:tl2br w:val="nil"/>
                    <w:tr2bl w:val="nil"/>
                  </w:tcBorders>
                  <w:vAlign w:val="center"/>
                </w:tcPr>
                <w:p>
                  <w:pPr>
                    <w:tabs>
                      <w:tab w:val="center" w:pos="949"/>
                      <w:tab w:val="right" w:pos="1778"/>
                    </w:tabs>
                    <w:jc w:val="center"/>
                    <w:rPr>
                      <w:color w:val="auto"/>
                      <w:szCs w:val="21"/>
                    </w:rPr>
                  </w:pPr>
                  <w:r>
                    <w:rPr>
                      <w:color w:val="auto"/>
                      <w:szCs w:val="21"/>
                    </w:rPr>
                    <w:t>一般固废</w:t>
                  </w:r>
                </w:p>
              </w:tc>
              <w:tc>
                <w:tcPr>
                  <w:tcW w:w="665"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653" w:type="pct"/>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689"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color w:val="auto"/>
                    </w:rPr>
                    <w:commentReference w:id="19"/>
                  </w: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6" w:hRule="atLeast"/>
                <w:jc w:val="center"/>
              </w:trPr>
              <w:tc>
                <w:tcPr>
                  <w:tcW w:w="243" w:type="pct"/>
                  <w:vMerge w:val="continue"/>
                  <w:tcBorders>
                    <w:tl2br w:val="nil"/>
                    <w:tr2bl w:val="nil"/>
                  </w:tcBorders>
                  <w:vAlign w:val="center"/>
                </w:tcPr>
                <w:p>
                  <w:pPr>
                    <w:jc w:val="center"/>
                    <w:rPr>
                      <w:color w:val="auto"/>
                      <w:szCs w:val="21"/>
                    </w:rPr>
                  </w:pPr>
                </w:p>
              </w:tc>
              <w:tc>
                <w:tcPr>
                  <w:tcW w:w="1171" w:type="pct"/>
                  <w:gridSpan w:val="2"/>
                  <w:tcBorders>
                    <w:tl2br w:val="nil"/>
                    <w:tr2bl w:val="nil"/>
                  </w:tcBorders>
                  <w:vAlign w:val="center"/>
                </w:tcPr>
                <w:p>
                  <w:pPr>
                    <w:tabs>
                      <w:tab w:val="center" w:pos="949"/>
                      <w:tab w:val="right" w:pos="1778"/>
                    </w:tabs>
                    <w:jc w:val="center"/>
                    <w:rPr>
                      <w:color w:val="auto"/>
                      <w:szCs w:val="21"/>
                    </w:rPr>
                  </w:pPr>
                  <w:r>
                    <w:rPr>
                      <w:color w:val="auto"/>
                      <w:szCs w:val="21"/>
                    </w:rPr>
                    <w:t>危险废物</w:t>
                  </w:r>
                </w:p>
              </w:tc>
              <w:tc>
                <w:tcPr>
                  <w:tcW w:w="665"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653" w:type="pct"/>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689" w:type="pct"/>
                  <w:tcBorders>
                    <w:tl2br w:val="nil"/>
                    <w:tr2bl w:val="nil"/>
                  </w:tcBorders>
                  <w:vAlign w:val="center"/>
                </w:tcPr>
                <w:p>
                  <w:pPr>
                    <w:widowControl/>
                    <w:jc w:val="center"/>
                    <w:textAlignment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9" w:hRule="atLeast"/>
                <w:jc w:val="center"/>
              </w:trPr>
              <w:tc>
                <w:tcPr>
                  <w:tcW w:w="243" w:type="pct"/>
                  <w:vMerge w:val="continue"/>
                  <w:tcBorders>
                    <w:tl2br w:val="nil"/>
                    <w:tr2bl w:val="nil"/>
                  </w:tcBorders>
                  <w:vAlign w:val="center"/>
                </w:tcPr>
                <w:p>
                  <w:pPr>
                    <w:jc w:val="center"/>
                    <w:rPr>
                      <w:color w:val="auto"/>
                      <w:szCs w:val="21"/>
                    </w:rPr>
                  </w:pPr>
                </w:p>
              </w:tc>
              <w:tc>
                <w:tcPr>
                  <w:tcW w:w="1171" w:type="pct"/>
                  <w:gridSpan w:val="2"/>
                  <w:tcBorders>
                    <w:tl2br w:val="nil"/>
                    <w:tr2bl w:val="nil"/>
                  </w:tcBorders>
                  <w:vAlign w:val="center"/>
                </w:tcPr>
                <w:p>
                  <w:pPr>
                    <w:jc w:val="center"/>
                    <w:rPr>
                      <w:color w:val="auto"/>
                      <w:szCs w:val="21"/>
                    </w:rPr>
                  </w:pPr>
                  <w:r>
                    <w:rPr>
                      <w:color w:val="auto"/>
                      <w:szCs w:val="21"/>
                    </w:rPr>
                    <w:t>生活垃圾</w:t>
                  </w:r>
                </w:p>
              </w:tc>
              <w:tc>
                <w:tcPr>
                  <w:tcW w:w="665"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88" w:type="pct"/>
                  <w:tcBorders>
                    <w:tl2br w:val="nil"/>
                    <w:tr2bl w:val="nil"/>
                  </w:tcBorders>
                  <w:vAlign w:val="center"/>
                </w:tcPr>
                <w:p>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653" w:type="pct"/>
                  <w:tcBorders>
                    <w:tl2br w:val="nil"/>
                    <w:tr2bl w:val="nil"/>
                  </w:tcBorders>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w:t>
                  </w:r>
                </w:p>
              </w:tc>
              <w:tc>
                <w:tcPr>
                  <w:tcW w:w="689" w:type="pct"/>
                  <w:tcBorders>
                    <w:tl2br w:val="nil"/>
                    <w:tr2bl w:val="nil"/>
                  </w:tcBorders>
                  <w:vAlign w:val="center"/>
                </w:tcPr>
                <w:p>
                  <w:pPr>
                    <w:widowControl/>
                    <w:jc w:val="center"/>
                    <w:textAlignment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w:t>
                  </w:r>
                </w:p>
              </w:tc>
            </w:tr>
          </w:tbl>
          <w:p>
            <w:pPr>
              <w:adjustRightInd w:val="0"/>
              <w:snapToGrid w:val="0"/>
              <w:spacing w:line="360" w:lineRule="auto"/>
              <w:ind w:firstLine="480" w:firstLineChars="200"/>
              <w:rPr>
                <w:rFonts w:ascii="Calibri" w:hAnsi="Calibri" w:cs="Calibri"/>
                <w:color w:val="auto"/>
                <w:sz w:val="24"/>
              </w:rPr>
            </w:pPr>
            <w:r>
              <w:rPr>
                <w:rFonts w:ascii="Calibri" w:hAnsi="Calibri" w:cs="Calibri"/>
                <w:color w:val="auto"/>
                <w:sz w:val="24"/>
              </w:rPr>
              <w:t>本项目</w:t>
            </w:r>
            <w:r>
              <w:rPr>
                <w:rFonts w:hint="eastAsia" w:ascii="Calibri" w:hAnsi="Calibri" w:cs="Calibri"/>
                <w:color w:val="auto"/>
                <w:sz w:val="24"/>
              </w:rPr>
              <w:t>生产废水不外排，</w:t>
            </w:r>
            <w:r>
              <w:rPr>
                <w:rFonts w:ascii="Calibri" w:hAnsi="Calibri" w:cs="Calibri"/>
                <w:color w:val="auto"/>
                <w:sz w:val="24"/>
              </w:rPr>
              <w:t>生活污水</w:t>
            </w:r>
            <w:r>
              <w:rPr>
                <w:rFonts w:hint="eastAsia" w:ascii="Calibri" w:hAnsi="Calibri" w:cs="Calibri"/>
                <w:color w:val="auto"/>
                <w:sz w:val="24"/>
              </w:rPr>
              <w:t>经化粪池处理后与</w:t>
            </w:r>
            <w:r>
              <w:rPr>
                <w:rFonts w:ascii="Calibri" w:hAnsi="Calibri" w:cs="Calibri"/>
                <w:color w:val="auto"/>
                <w:sz w:val="24"/>
              </w:rPr>
              <w:t>纯水制备浓水、纯水设备反冲洗废水一并通过DW001接管梅村水处理厂集中处理，废水总量已纳入梅村水处理厂的排污总量，可以在梅村水处理厂的污染物排放总量控制指标内进行平衡。</w:t>
            </w:r>
          </w:p>
          <w:p>
            <w:pPr>
              <w:adjustRightInd w:val="0"/>
              <w:snapToGrid w:val="0"/>
              <w:spacing w:line="360" w:lineRule="auto"/>
              <w:ind w:firstLine="480" w:firstLineChars="200"/>
              <w:jc w:val="left"/>
              <w:rPr>
                <w:rFonts w:ascii="Calibri" w:hAnsi="Calibri" w:cs="Calibri"/>
                <w:color w:val="auto"/>
                <w:sz w:val="24"/>
              </w:rPr>
            </w:pPr>
            <w:r>
              <w:rPr>
                <w:rFonts w:ascii="Calibri" w:hAnsi="Calibri" w:cs="Calibri"/>
                <w:color w:val="auto"/>
                <w:sz w:val="24"/>
              </w:rPr>
              <w:t>废气：</w:t>
            </w:r>
            <w:r>
              <w:rPr>
                <w:rFonts w:hint="eastAsia" w:ascii="Calibri" w:hAnsi="Calibri" w:cs="Calibri"/>
                <w:color w:val="auto"/>
                <w:sz w:val="24"/>
                <w:lang w:eastAsia="zh-CN"/>
              </w:rPr>
              <w:t>本项目新增的</w:t>
            </w:r>
            <w:r>
              <w:rPr>
                <w:rFonts w:ascii="Calibri" w:hAnsi="Calibri" w:cs="Calibri"/>
                <w:color w:val="auto"/>
                <w:sz w:val="24"/>
              </w:rPr>
              <w:t>颗粒物、二氧化硫、氮氧化物、非甲烷总烃</w:t>
            </w:r>
            <w:r>
              <w:rPr>
                <w:rFonts w:hint="eastAsia" w:ascii="Calibri" w:hAnsi="Calibri" w:cs="Calibri"/>
                <w:color w:val="auto"/>
                <w:sz w:val="24"/>
                <w:lang w:eastAsia="zh-CN"/>
              </w:rPr>
              <w:t>废气</w:t>
            </w:r>
            <w:r>
              <w:rPr>
                <w:rFonts w:ascii="Calibri" w:hAnsi="Calibri" w:cs="Calibri"/>
                <w:color w:val="auto"/>
                <w:sz w:val="24"/>
              </w:rPr>
              <w:t>在新吴区</w:t>
            </w:r>
            <w:r>
              <w:rPr>
                <w:rFonts w:hint="eastAsia" w:ascii="Calibri" w:hAnsi="Calibri" w:cs="Calibri"/>
                <w:color w:val="auto"/>
                <w:sz w:val="24"/>
                <w:lang w:eastAsia="zh-CN"/>
              </w:rPr>
              <w:t>范围</w:t>
            </w:r>
            <w:r>
              <w:rPr>
                <w:rFonts w:ascii="Calibri" w:hAnsi="Calibri" w:cs="Calibri"/>
                <w:color w:val="auto"/>
                <w:sz w:val="24"/>
              </w:rPr>
              <w:t>内平衡。</w:t>
            </w:r>
          </w:p>
          <w:p>
            <w:pPr>
              <w:adjustRightInd w:val="0"/>
              <w:snapToGrid w:val="0"/>
              <w:spacing w:line="360" w:lineRule="auto"/>
              <w:ind w:firstLine="480" w:firstLineChars="200"/>
              <w:jc w:val="left"/>
              <w:rPr>
                <w:rFonts w:ascii="Calibri" w:hAnsi="Calibri" w:cs="Calibri"/>
                <w:color w:val="auto"/>
                <w:sz w:val="24"/>
              </w:rPr>
            </w:pPr>
            <w:r>
              <w:rPr>
                <w:rFonts w:ascii="Calibri" w:hAnsi="Calibri" w:cs="Calibri"/>
                <w:color w:val="auto"/>
                <w:sz w:val="24"/>
              </w:rPr>
              <w:t>固废：零排放。</w:t>
            </w:r>
          </w:p>
          <w:p>
            <w:pPr>
              <w:pStyle w:val="2"/>
              <w:rPr>
                <w:rFonts w:ascii="Calibri" w:hAnsi="Calibri" w:cs="Calibri"/>
                <w:color w:val="auto"/>
              </w:rPr>
            </w:pPr>
          </w:p>
          <w:p>
            <w:pPr>
              <w:pStyle w:val="3"/>
              <w:numPr>
                <w:ilvl w:val="0"/>
                <w:numId w:val="0"/>
              </w:numPr>
              <w:rPr>
                <w:rFonts w:ascii="Calibri" w:hAnsi="Calibri" w:cs="Calibri"/>
                <w:color w:val="auto"/>
                <w:sz w:val="24"/>
                <w:szCs w:val="32"/>
              </w:rPr>
            </w:pPr>
          </w:p>
          <w:p>
            <w:pPr>
              <w:pStyle w:val="3"/>
              <w:numPr>
                <w:ilvl w:val="0"/>
                <w:numId w:val="0"/>
              </w:numPr>
              <w:rPr>
                <w:rFonts w:ascii="Calibri" w:hAnsi="Calibri" w:cs="Calibri"/>
                <w:color w:val="auto"/>
                <w:sz w:val="24"/>
                <w:szCs w:val="32"/>
              </w:rPr>
            </w:pPr>
          </w:p>
          <w:p>
            <w:pPr>
              <w:pStyle w:val="3"/>
              <w:numPr>
                <w:ilvl w:val="0"/>
                <w:numId w:val="0"/>
              </w:numPr>
              <w:rPr>
                <w:rFonts w:ascii="Calibri" w:hAnsi="Calibri" w:cs="Calibri"/>
                <w:color w:val="auto"/>
                <w:sz w:val="24"/>
                <w:szCs w:val="32"/>
              </w:rPr>
            </w:pPr>
          </w:p>
          <w:p>
            <w:pPr>
              <w:pStyle w:val="3"/>
              <w:numPr>
                <w:ilvl w:val="0"/>
                <w:numId w:val="0"/>
              </w:numPr>
              <w:rPr>
                <w:rFonts w:ascii="Calibri" w:hAnsi="Calibri" w:cs="Calibri"/>
                <w:color w:val="auto"/>
                <w:sz w:val="24"/>
                <w:szCs w:val="32"/>
              </w:rPr>
            </w:pPr>
          </w:p>
          <w:p>
            <w:pPr>
              <w:pStyle w:val="3"/>
              <w:numPr>
                <w:ilvl w:val="0"/>
                <w:numId w:val="0"/>
              </w:numPr>
              <w:rPr>
                <w:rFonts w:ascii="Calibri" w:hAnsi="Calibri" w:cs="Calibri"/>
                <w:color w:val="auto"/>
                <w:sz w:val="24"/>
                <w:szCs w:val="32"/>
              </w:rPr>
            </w:pPr>
          </w:p>
          <w:p>
            <w:pPr>
              <w:pStyle w:val="3"/>
              <w:numPr>
                <w:ilvl w:val="0"/>
                <w:numId w:val="0"/>
              </w:numPr>
              <w:rPr>
                <w:rFonts w:ascii="Calibri" w:hAnsi="Calibri" w:cs="Calibri"/>
                <w:color w:val="auto"/>
                <w:sz w:val="24"/>
                <w:szCs w:val="32"/>
              </w:rPr>
            </w:pPr>
          </w:p>
        </w:tc>
      </w:tr>
    </w:tbl>
    <w:p>
      <w:pPr>
        <w:rPr>
          <w:rFonts w:eastAsia="黑体"/>
          <w:snapToGrid w:val="0"/>
          <w:color w:val="auto"/>
          <w:sz w:val="30"/>
          <w:szCs w:val="30"/>
        </w:rPr>
        <w:sectPr>
          <w:pgSz w:w="11906" w:h="16838"/>
          <w:pgMar w:top="1440" w:right="1797" w:bottom="1440" w:left="1797" w:header="851" w:footer="992" w:gutter="0"/>
          <w:pgBorders>
            <w:top w:val="none" w:sz="0" w:space="0"/>
            <w:left w:val="none" w:sz="0" w:space="0"/>
            <w:bottom w:val="none" w:sz="0" w:space="0"/>
            <w:right w:val="none" w:sz="0" w:space="0"/>
          </w:pgBorders>
          <w:cols w:space="0" w:num="1"/>
          <w:docGrid w:type="lines" w:linePitch="319" w:charSpace="0"/>
        </w:sectPr>
      </w:pPr>
    </w:p>
    <w:p>
      <w:pPr>
        <w:pStyle w:val="23"/>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四、主要环境影响和保护措施</w:t>
      </w:r>
    </w:p>
    <w:tbl>
      <w:tblPr>
        <w:tblStyle w:val="2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49"/>
        <w:gridCol w:w="80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9" w:hRule="atLeast"/>
          <w:jc w:val="center"/>
        </w:trPr>
        <w:tc>
          <w:tcPr>
            <w:tcW w:w="207" w:type="pct"/>
            <w:tcMar>
              <w:left w:w="28" w:type="dxa"/>
              <w:right w:w="28" w:type="dxa"/>
            </w:tcMar>
            <w:vAlign w:val="center"/>
          </w:tcPr>
          <w:p>
            <w:pPr>
              <w:pStyle w:val="23"/>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施工</w:t>
            </w:r>
          </w:p>
          <w:p>
            <w:pPr>
              <w:pStyle w:val="23"/>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pPr>
              <w:pStyle w:val="23"/>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境保</w:t>
            </w:r>
          </w:p>
          <w:p>
            <w:pPr>
              <w:pStyle w:val="23"/>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护措</w:t>
            </w:r>
          </w:p>
          <w:p>
            <w:pPr>
              <w:pStyle w:val="23"/>
              <w:adjustRightInd w:val="0"/>
              <w:snapToGrid w:val="0"/>
              <w:spacing w:before="0" w:beforeAutospacing="0" w:after="0" w:afterAutospacing="0"/>
              <w:jc w:val="center"/>
              <w:rPr>
                <w:rFonts w:ascii="Times New Roman" w:hAnsi="Times New Roman"/>
                <w:bCs/>
                <w:color w:val="auto"/>
                <w:kern w:val="2"/>
                <w:szCs w:val="24"/>
              </w:rPr>
            </w:pPr>
            <w:r>
              <w:rPr>
                <w:rFonts w:ascii="Times New Roman" w:hAnsi="Times New Roman"/>
                <w:color w:val="auto"/>
                <w:kern w:val="2"/>
                <w:szCs w:val="24"/>
              </w:rPr>
              <w:t>施</w:t>
            </w:r>
          </w:p>
        </w:tc>
        <w:tc>
          <w:tcPr>
            <w:tcW w:w="4792" w:type="pct"/>
          </w:tcPr>
          <w:p>
            <w:pPr>
              <w:widowControl/>
              <w:spacing w:line="360" w:lineRule="auto"/>
              <w:ind w:firstLine="480" w:firstLineChars="200"/>
              <w:jc w:val="left"/>
              <w:rPr>
                <w:bCs/>
                <w:color w:val="auto"/>
                <w:sz w:val="24"/>
              </w:rPr>
            </w:pPr>
            <w:r>
              <w:rPr>
                <w:color w:val="auto"/>
                <w:sz w:val="24"/>
              </w:rPr>
              <w:t>丰科金属制品有限公司</w:t>
            </w:r>
            <w:r>
              <w:rPr>
                <w:rFonts w:hint="eastAsia"/>
                <w:color w:val="auto"/>
                <w:sz w:val="24"/>
              </w:rPr>
              <w:t>迁建至</w:t>
            </w:r>
            <w:r>
              <w:rPr>
                <w:color w:val="auto"/>
                <w:sz w:val="24"/>
              </w:rPr>
              <w:t>江苏省无锡市新吴区新风路69号，租用无锡迪润工贸有限公司厂房11584.97平方米，</w:t>
            </w:r>
            <w:r>
              <w:rPr>
                <w:color w:val="auto"/>
                <w:kern w:val="0"/>
                <w:sz w:val="24"/>
                <w:lang w:bidi="ar"/>
              </w:rPr>
              <w:t>购置切割机、剪板机、压力机、液压机、喷涂线（含前处理）、车床、钻床、磨床、铣床、焊机、机器人、起重机等设备，建设年产洗衣机冲压件200万件、热水器冲压件300万件、模具40副项目。</w:t>
            </w:r>
            <w:r>
              <w:rPr>
                <w:bCs/>
                <w:color w:val="auto"/>
                <w:sz w:val="24"/>
              </w:rPr>
              <w:t>不新建建筑</w:t>
            </w:r>
            <w:r>
              <w:rPr>
                <w:rFonts w:hint="eastAsia"/>
                <w:bCs/>
                <w:color w:val="auto"/>
                <w:sz w:val="24"/>
              </w:rPr>
              <w:t>、</w:t>
            </w:r>
            <w:r>
              <w:rPr>
                <w:bCs/>
                <w:color w:val="auto"/>
                <w:sz w:val="24"/>
              </w:rPr>
              <w:t>不含土方工程，项目建设过程只是在厂房内进行设备安装和调试</w:t>
            </w:r>
            <w:r>
              <w:rPr>
                <w:rFonts w:hint="eastAsia"/>
                <w:bCs/>
                <w:color w:val="auto"/>
                <w:sz w:val="24"/>
              </w:rPr>
              <w:t>，</w:t>
            </w:r>
            <w:r>
              <w:rPr>
                <w:bCs/>
                <w:color w:val="auto"/>
                <w:sz w:val="24"/>
              </w:rPr>
              <w:t>在施工期对周围环境产生的影响主要是安装和调试期间产生的废气、噪声和少量建筑垃圾。废气主要来源于运输车辆所排放的废气及少量扬尘；噪声主要是运输机械和安装设备产生的噪声；固体废弃物主要为少量建筑垃圾和设备包装箱等。设备的安装调试的噪声影响为短期的，不会对周围环境产生明显影响。</w:t>
            </w:r>
          </w:p>
          <w:p>
            <w:pPr>
              <w:spacing w:line="360" w:lineRule="auto"/>
              <w:ind w:firstLine="480" w:firstLineChars="200"/>
              <w:rPr>
                <w:bCs/>
                <w:color w:val="auto"/>
                <w:sz w:val="24"/>
              </w:rPr>
            </w:pPr>
            <w:r>
              <w:rPr>
                <w:bCs/>
                <w:color w:val="auto"/>
                <w:sz w:val="24"/>
              </w:rPr>
              <w:t>为防止建设项目在建设期间发生上述环境污染的现象，使建设项目在建设期间对周围环境的影响尽可能小，建议采取以下的污染防治措施：</w:t>
            </w:r>
          </w:p>
          <w:p>
            <w:pPr>
              <w:spacing w:line="360" w:lineRule="auto"/>
              <w:ind w:firstLine="480" w:firstLineChars="200"/>
              <w:rPr>
                <w:bCs/>
                <w:color w:val="auto"/>
                <w:sz w:val="24"/>
              </w:rPr>
            </w:pPr>
            <w:r>
              <w:rPr>
                <w:bCs/>
                <w:color w:val="auto"/>
                <w:sz w:val="24"/>
              </w:rPr>
              <w:t>1、合理安排设施的使用，减少噪声设备的使用时间。</w:t>
            </w:r>
          </w:p>
          <w:p>
            <w:pPr>
              <w:spacing w:line="360" w:lineRule="auto"/>
              <w:ind w:firstLine="480" w:firstLineChars="200"/>
              <w:rPr>
                <w:bCs/>
                <w:color w:val="auto"/>
                <w:sz w:val="24"/>
              </w:rPr>
            </w:pPr>
            <w:r>
              <w:rPr>
                <w:bCs/>
                <w:color w:val="auto"/>
                <w:sz w:val="24"/>
              </w:rPr>
              <w:t>2、对施工产生的固体废物，应尽可能利用或及时运走。</w:t>
            </w:r>
          </w:p>
          <w:p>
            <w:pPr>
              <w:spacing w:line="360" w:lineRule="auto"/>
              <w:ind w:firstLine="480" w:firstLineChars="200"/>
              <w:rPr>
                <w:bCs/>
                <w:color w:val="auto"/>
                <w:sz w:val="24"/>
              </w:rPr>
            </w:pPr>
            <w:r>
              <w:rPr>
                <w:bCs/>
                <w:color w:val="auto"/>
                <w:sz w:val="24"/>
              </w:rPr>
              <w:t>3、注意清洁运输，防止在装卸、运输过程中的撒漏、扬尘及噪声。</w:t>
            </w:r>
          </w:p>
          <w:p>
            <w:pPr>
              <w:spacing w:line="360" w:lineRule="auto"/>
              <w:ind w:firstLine="480" w:firstLineChars="200"/>
              <w:rPr>
                <w:bCs/>
                <w:color w:val="auto"/>
                <w:sz w:val="24"/>
              </w:rPr>
            </w:pPr>
            <w:r>
              <w:rPr>
                <w:bCs/>
                <w:color w:val="auto"/>
                <w:sz w:val="24"/>
              </w:rPr>
              <w:t>4、建设单位应做好施工期管理工作，以减</w:t>
            </w:r>
            <w:r>
              <w:rPr>
                <w:rFonts w:hint="eastAsia"/>
                <w:bCs/>
                <w:color w:val="auto"/>
                <w:sz w:val="24"/>
                <w:lang w:val="en-US" w:eastAsia="zh-CN"/>
              </w:rPr>
              <w:t>少</w:t>
            </w:r>
            <w:r>
              <w:rPr>
                <w:bCs/>
                <w:color w:val="auto"/>
                <w:sz w:val="24"/>
              </w:rPr>
              <w:t>对周围环境的影响。</w:t>
            </w:r>
          </w:p>
          <w:p>
            <w:pPr>
              <w:pStyle w:val="2"/>
              <w:rPr>
                <w:bCs/>
                <w:color w:val="auto"/>
                <w:sz w:val="24"/>
                <w:szCs w:val="24"/>
              </w:rPr>
            </w:pPr>
          </w:p>
          <w:p>
            <w:pPr>
              <w:pStyle w:val="3"/>
              <w:numPr>
                <w:ilvl w:val="0"/>
                <w:numId w:val="0"/>
              </w:numPr>
              <w:rPr>
                <w:bCs/>
                <w:color w:val="auto"/>
                <w:sz w:val="24"/>
              </w:rPr>
            </w:pPr>
          </w:p>
          <w:p>
            <w:pPr>
              <w:pStyle w:val="3"/>
              <w:numPr>
                <w:ilvl w:val="0"/>
                <w:numId w:val="0"/>
              </w:numPr>
              <w:rPr>
                <w:bCs/>
                <w:color w:val="auto"/>
                <w:sz w:val="24"/>
              </w:rPr>
            </w:pPr>
          </w:p>
          <w:p>
            <w:pPr>
              <w:pStyle w:val="3"/>
              <w:numPr>
                <w:ilvl w:val="0"/>
                <w:numId w:val="0"/>
              </w:numPr>
              <w:rPr>
                <w:bCs/>
                <w:color w:val="auto"/>
                <w:sz w:val="24"/>
              </w:rPr>
            </w:pPr>
          </w:p>
          <w:p>
            <w:pPr>
              <w:pStyle w:val="3"/>
              <w:numPr>
                <w:ilvl w:val="0"/>
                <w:numId w:val="0"/>
              </w:numPr>
              <w:rPr>
                <w:bCs/>
                <w:color w:val="auto"/>
                <w:sz w:val="24"/>
              </w:rPr>
            </w:pPr>
          </w:p>
          <w:p>
            <w:pPr>
              <w:pStyle w:val="3"/>
              <w:numPr>
                <w:ilvl w:val="0"/>
                <w:numId w:val="0"/>
              </w:numPr>
              <w:rPr>
                <w:bCs/>
                <w:color w:val="auto"/>
                <w:sz w:val="24"/>
              </w:rPr>
            </w:pPr>
          </w:p>
          <w:p>
            <w:pPr>
              <w:pStyle w:val="3"/>
              <w:numPr>
                <w:ilvl w:val="0"/>
                <w:numId w:val="0"/>
              </w:numPr>
              <w:rPr>
                <w:bCs/>
                <w:color w:val="auto"/>
                <w:sz w:val="24"/>
              </w:rPr>
            </w:pPr>
          </w:p>
          <w:p>
            <w:pPr>
              <w:pStyle w:val="3"/>
              <w:numPr>
                <w:ilvl w:val="0"/>
                <w:numId w:val="0"/>
              </w:numPr>
              <w:rPr>
                <w:bCs/>
                <w:color w:val="auto"/>
                <w:sz w:val="24"/>
              </w:rPr>
            </w:pPr>
          </w:p>
          <w:p>
            <w:pPr>
              <w:pStyle w:val="3"/>
              <w:numPr>
                <w:ilvl w:val="0"/>
                <w:numId w:val="0"/>
              </w:numPr>
              <w:rPr>
                <w:bCs/>
                <w:color w:val="auto"/>
                <w:sz w:val="24"/>
              </w:rPr>
            </w:pPr>
          </w:p>
          <w:p>
            <w:pPr>
              <w:pStyle w:val="3"/>
              <w:numPr>
                <w:ilvl w:val="0"/>
                <w:numId w:val="0"/>
              </w:numPr>
              <w:rPr>
                <w:bCs/>
                <w:color w:val="auto"/>
                <w:sz w:val="24"/>
              </w:rPr>
            </w:pPr>
          </w:p>
          <w:p>
            <w:pPr>
              <w:pStyle w:val="2"/>
              <w:rPr>
                <w:color w:val="auto"/>
              </w:rPr>
            </w:pPr>
          </w:p>
          <w:p>
            <w:pPr>
              <w:pStyle w:val="2"/>
              <w:spacing w:line="360" w:lineRule="auto"/>
              <w:ind w:firstLine="440" w:firstLineChars="200"/>
              <w:rPr>
                <w:bCs/>
                <w:color w:val="auto"/>
                <w:spacing w:val="-1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98" w:hRule="atLeast"/>
          <w:jc w:val="center"/>
        </w:trPr>
        <w:tc>
          <w:tcPr>
            <w:tcW w:w="207" w:type="pct"/>
            <w:tcMar>
              <w:left w:w="28" w:type="dxa"/>
              <w:right w:w="28" w:type="dxa"/>
            </w:tcMar>
            <w:vAlign w:val="center"/>
          </w:tcPr>
          <w:p>
            <w:pPr>
              <w:adjustRightInd w:val="0"/>
              <w:snapToGrid w:val="0"/>
              <w:jc w:val="center"/>
              <w:rPr>
                <w:bCs/>
                <w:color w:val="auto"/>
                <w:sz w:val="24"/>
              </w:rPr>
            </w:pPr>
            <w:r>
              <w:rPr>
                <w:bCs/>
                <w:color w:val="auto"/>
                <w:sz w:val="24"/>
              </w:rPr>
              <w:t>运营</w:t>
            </w:r>
          </w:p>
          <w:p>
            <w:pPr>
              <w:adjustRightInd w:val="0"/>
              <w:snapToGrid w:val="0"/>
              <w:jc w:val="center"/>
              <w:rPr>
                <w:bCs/>
                <w:color w:val="auto"/>
                <w:sz w:val="24"/>
              </w:rPr>
            </w:pPr>
            <w:r>
              <w:rPr>
                <w:bCs/>
                <w:color w:val="auto"/>
                <w:sz w:val="24"/>
              </w:rPr>
              <w:t>期环</w:t>
            </w:r>
          </w:p>
          <w:p>
            <w:pPr>
              <w:adjustRightInd w:val="0"/>
              <w:snapToGrid w:val="0"/>
              <w:jc w:val="center"/>
              <w:rPr>
                <w:bCs/>
                <w:color w:val="auto"/>
                <w:sz w:val="24"/>
              </w:rPr>
            </w:pPr>
            <w:r>
              <w:rPr>
                <w:bCs/>
                <w:color w:val="auto"/>
                <w:sz w:val="24"/>
              </w:rPr>
              <w:t>境影</w:t>
            </w:r>
          </w:p>
          <w:p>
            <w:pPr>
              <w:adjustRightInd w:val="0"/>
              <w:snapToGrid w:val="0"/>
              <w:jc w:val="center"/>
              <w:rPr>
                <w:bCs/>
                <w:color w:val="auto"/>
                <w:sz w:val="24"/>
              </w:rPr>
            </w:pPr>
            <w:r>
              <w:rPr>
                <w:bCs/>
                <w:color w:val="auto"/>
                <w:sz w:val="24"/>
              </w:rPr>
              <w:t>响和</w:t>
            </w:r>
          </w:p>
          <w:p>
            <w:pPr>
              <w:adjustRightInd w:val="0"/>
              <w:snapToGrid w:val="0"/>
              <w:jc w:val="center"/>
              <w:rPr>
                <w:bCs/>
                <w:color w:val="auto"/>
                <w:sz w:val="24"/>
              </w:rPr>
            </w:pPr>
            <w:r>
              <w:rPr>
                <w:bCs/>
                <w:color w:val="auto"/>
                <w:sz w:val="24"/>
              </w:rPr>
              <w:t>保护</w:t>
            </w:r>
          </w:p>
          <w:p>
            <w:pPr>
              <w:adjustRightInd w:val="0"/>
              <w:snapToGrid w:val="0"/>
              <w:jc w:val="center"/>
              <w:rPr>
                <w:bCs/>
                <w:color w:val="auto"/>
                <w:sz w:val="24"/>
              </w:rPr>
            </w:pPr>
            <w:r>
              <w:rPr>
                <w:bCs/>
                <w:color w:val="auto"/>
                <w:sz w:val="24"/>
              </w:rPr>
              <w:t>措施</w:t>
            </w:r>
          </w:p>
        </w:tc>
        <w:tc>
          <w:tcPr>
            <w:tcW w:w="4792" w:type="pct"/>
            <w:vAlign w:val="center"/>
          </w:tcPr>
          <w:p>
            <w:pPr>
              <w:numPr>
                <w:ilvl w:val="0"/>
                <w:numId w:val="14"/>
              </w:numPr>
              <w:spacing w:line="360" w:lineRule="auto"/>
              <w:rPr>
                <w:b/>
                <w:bCs/>
                <w:color w:val="auto"/>
                <w:sz w:val="24"/>
              </w:rPr>
            </w:pPr>
            <w:r>
              <w:rPr>
                <w:b/>
                <w:bCs/>
                <w:color w:val="auto"/>
                <w:sz w:val="24"/>
              </w:rPr>
              <w:t>废气</w:t>
            </w:r>
          </w:p>
          <w:p>
            <w:pPr>
              <w:adjustRightInd w:val="0"/>
              <w:snapToGrid w:val="0"/>
              <w:spacing w:line="360" w:lineRule="auto"/>
              <w:ind w:firstLine="480" w:firstLineChars="200"/>
              <w:jc w:val="left"/>
              <w:rPr>
                <w:color w:val="auto"/>
                <w:sz w:val="24"/>
              </w:rPr>
            </w:pPr>
            <w:r>
              <w:rPr>
                <w:color w:val="auto"/>
                <w:sz w:val="24"/>
              </w:rPr>
              <w:t>本项目产生的废气主要</w:t>
            </w:r>
            <w:r>
              <w:rPr>
                <w:rFonts w:hint="eastAsia"/>
                <w:color w:val="auto"/>
                <w:sz w:val="24"/>
              </w:rPr>
              <w:t>为冲压件检验工序人工打磨产生打磨废气（G</w:t>
            </w:r>
            <w:r>
              <w:rPr>
                <w:rFonts w:hint="eastAsia"/>
                <w:color w:val="auto"/>
                <w:sz w:val="24"/>
                <w:vertAlign w:val="subscript"/>
              </w:rPr>
              <w:t>1-1</w:t>
            </w:r>
            <w:r>
              <w:rPr>
                <w:rFonts w:hint="eastAsia"/>
                <w:color w:val="auto"/>
                <w:sz w:val="24"/>
              </w:rPr>
              <w:t>），喷粉生产中</w:t>
            </w:r>
            <w:r>
              <w:rPr>
                <w:color w:val="auto"/>
                <w:sz w:val="24"/>
              </w:rPr>
              <w:t>天然气燃烧废气</w:t>
            </w:r>
            <w:r>
              <w:rPr>
                <w:rFonts w:hint="eastAsia"/>
                <w:color w:val="auto"/>
                <w:sz w:val="24"/>
              </w:rPr>
              <w:t>（包括预脱脂天然气燃烧废气（G</w:t>
            </w:r>
            <w:r>
              <w:rPr>
                <w:rFonts w:hint="eastAsia"/>
                <w:color w:val="auto"/>
                <w:sz w:val="24"/>
                <w:vertAlign w:val="subscript"/>
              </w:rPr>
              <w:t>2-</w:t>
            </w:r>
            <w:ins w:id="560" w:author="Sunny" w:date="2022-12-28T16:58:00Z">
              <w:r>
                <w:rPr>
                  <w:rFonts w:hint="eastAsia"/>
                  <w:color w:val="auto"/>
                  <w:sz w:val="24"/>
                  <w:vertAlign w:val="subscript"/>
                </w:rPr>
                <w:t>1</w:t>
              </w:r>
            </w:ins>
            <w:r>
              <w:rPr>
                <w:rFonts w:hint="eastAsia"/>
                <w:color w:val="auto"/>
                <w:sz w:val="24"/>
              </w:rPr>
              <w:t>）,脱脂天然气燃烧废气（G</w:t>
            </w:r>
            <w:r>
              <w:rPr>
                <w:rFonts w:hint="eastAsia"/>
                <w:color w:val="auto"/>
                <w:sz w:val="24"/>
                <w:vertAlign w:val="subscript"/>
              </w:rPr>
              <w:t>2-</w:t>
            </w:r>
            <w:ins w:id="561" w:author="Sunny" w:date="2022-12-28T16:58:00Z">
              <w:r>
                <w:rPr>
                  <w:rFonts w:hint="eastAsia"/>
                  <w:color w:val="auto"/>
                  <w:sz w:val="24"/>
                  <w:vertAlign w:val="subscript"/>
                </w:rPr>
                <w:t>2</w:t>
              </w:r>
            </w:ins>
            <w:r>
              <w:rPr>
                <w:rFonts w:hint="eastAsia"/>
                <w:color w:val="auto"/>
                <w:sz w:val="24"/>
              </w:rPr>
              <w:t>），陶化天然气燃烧废气（G</w:t>
            </w:r>
            <w:r>
              <w:rPr>
                <w:rFonts w:hint="eastAsia"/>
                <w:color w:val="auto"/>
                <w:sz w:val="24"/>
                <w:vertAlign w:val="subscript"/>
              </w:rPr>
              <w:t>2-</w:t>
            </w:r>
            <w:ins w:id="562" w:author="Sunny" w:date="2022-12-28T16:58:00Z">
              <w:r>
                <w:rPr>
                  <w:rFonts w:hint="eastAsia"/>
                  <w:color w:val="auto"/>
                  <w:sz w:val="24"/>
                  <w:vertAlign w:val="subscript"/>
                </w:rPr>
                <w:t>3</w:t>
              </w:r>
            </w:ins>
            <w:r>
              <w:rPr>
                <w:rFonts w:hint="eastAsia"/>
                <w:color w:val="auto"/>
                <w:sz w:val="24"/>
              </w:rPr>
              <w:t>）,水份烘干天然气燃烧废气（G</w:t>
            </w:r>
            <w:r>
              <w:rPr>
                <w:rFonts w:hint="eastAsia"/>
                <w:color w:val="auto"/>
                <w:sz w:val="24"/>
                <w:vertAlign w:val="subscript"/>
              </w:rPr>
              <w:t>2-</w:t>
            </w:r>
            <w:ins w:id="563" w:author="Sunny" w:date="2022-12-28T16:58:00Z">
              <w:r>
                <w:rPr>
                  <w:rFonts w:hint="eastAsia"/>
                  <w:color w:val="auto"/>
                  <w:sz w:val="24"/>
                  <w:vertAlign w:val="subscript"/>
                </w:rPr>
                <w:t>4</w:t>
              </w:r>
            </w:ins>
            <w:r>
              <w:rPr>
                <w:rFonts w:hint="eastAsia"/>
                <w:color w:val="auto"/>
                <w:sz w:val="24"/>
              </w:rPr>
              <w:t>），粉末固化天然气燃烧废气（G</w:t>
            </w:r>
            <w:r>
              <w:rPr>
                <w:rFonts w:hint="eastAsia"/>
                <w:color w:val="auto"/>
                <w:sz w:val="24"/>
                <w:vertAlign w:val="subscript"/>
              </w:rPr>
              <w:t>2-</w:t>
            </w:r>
            <w:ins w:id="564" w:author="Sunny" w:date="2022-12-28T16:58:00Z">
              <w:r>
                <w:rPr>
                  <w:rFonts w:hint="eastAsia"/>
                  <w:color w:val="auto"/>
                  <w:sz w:val="24"/>
                  <w:vertAlign w:val="subscript"/>
                </w:rPr>
                <w:t>7</w:t>
              </w:r>
            </w:ins>
            <w:r>
              <w:rPr>
                <w:rFonts w:hint="eastAsia"/>
                <w:color w:val="auto"/>
                <w:sz w:val="24"/>
              </w:rPr>
              <w:t>）），</w:t>
            </w:r>
            <w:r>
              <w:rPr>
                <w:rFonts w:hint="eastAsia"/>
                <w:color w:val="auto"/>
                <w:sz w:val="24"/>
                <w:lang w:val="en-US" w:eastAsia="zh-CN"/>
              </w:rPr>
              <w:t>静电</w:t>
            </w:r>
            <w:r>
              <w:rPr>
                <w:rFonts w:hint="eastAsia"/>
                <w:color w:val="auto"/>
                <w:sz w:val="24"/>
              </w:rPr>
              <w:t>喷粉工序产生喷粉颗粒物G</w:t>
            </w:r>
            <w:r>
              <w:rPr>
                <w:rFonts w:hint="eastAsia"/>
                <w:color w:val="auto"/>
                <w:sz w:val="24"/>
                <w:vertAlign w:val="subscript"/>
              </w:rPr>
              <w:t>2-</w:t>
            </w:r>
            <w:ins w:id="565" w:author="Sunny" w:date="2022-12-28T16:57:00Z">
              <w:r>
                <w:rPr>
                  <w:rFonts w:hint="eastAsia"/>
                  <w:color w:val="auto"/>
                  <w:sz w:val="24"/>
                  <w:vertAlign w:val="subscript"/>
                </w:rPr>
                <w:t>5</w:t>
              </w:r>
            </w:ins>
            <w:r>
              <w:rPr>
                <w:rFonts w:hint="eastAsia"/>
                <w:color w:val="auto"/>
                <w:sz w:val="24"/>
              </w:rPr>
              <w:t>，粉末固化工序产生有机废气（G</w:t>
            </w:r>
            <w:r>
              <w:rPr>
                <w:rFonts w:hint="eastAsia"/>
                <w:color w:val="auto"/>
                <w:sz w:val="24"/>
                <w:vertAlign w:val="subscript"/>
              </w:rPr>
              <w:t>2-</w:t>
            </w:r>
            <w:ins w:id="566" w:author="Sunny" w:date="2022-12-28T16:57:00Z">
              <w:r>
                <w:rPr>
                  <w:rFonts w:hint="eastAsia"/>
                  <w:color w:val="auto"/>
                  <w:sz w:val="24"/>
                  <w:vertAlign w:val="subscript"/>
                </w:rPr>
                <w:t>6</w:t>
              </w:r>
            </w:ins>
            <w:r>
              <w:rPr>
                <w:rFonts w:hint="eastAsia"/>
                <w:color w:val="auto"/>
                <w:sz w:val="24"/>
              </w:rPr>
              <w:t>）以及危废仓库废气（G）</w:t>
            </w:r>
            <w:r>
              <w:rPr>
                <w:color w:val="auto"/>
                <w:sz w:val="24"/>
              </w:rPr>
              <w:t>。</w:t>
            </w:r>
          </w:p>
          <w:p>
            <w:pPr>
              <w:numPr>
                <w:ilvl w:val="0"/>
                <w:numId w:val="15"/>
              </w:numPr>
              <w:adjustRightInd w:val="0"/>
              <w:snapToGrid w:val="0"/>
              <w:spacing w:line="360" w:lineRule="auto"/>
              <w:ind w:firstLine="482" w:firstLineChars="200"/>
              <w:jc w:val="left"/>
              <w:rPr>
                <w:b/>
                <w:color w:val="auto"/>
                <w:sz w:val="24"/>
              </w:rPr>
            </w:pPr>
            <w:r>
              <w:rPr>
                <w:rFonts w:hint="eastAsia"/>
                <w:b/>
                <w:color w:val="auto"/>
                <w:sz w:val="24"/>
              </w:rPr>
              <w:t>冲压件生产检验工序人工打磨产生打磨废气</w:t>
            </w:r>
          </w:p>
          <w:p>
            <w:pPr>
              <w:spacing w:line="360" w:lineRule="auto"/>
              <w:ind w:firstLine="480" w:firstLineChars="200"/>
              <w:rPr>
                <w:color w:val="auto"/>
                <w:sz w:val="24"/>
              </w:rPr>
            </w:pPr>
            <w:r>
              <w:rPr>
                <w:color w:val="auto"/>
                <w:sz w:val="24"/>
              </w:rPr>
              <w:t>冲压件生产检验工序，人工检验时发现有毛刺现象需手动用抛光盘进行局部打磨，去毛刺。处理面积较小</w:t>
            </w:r>
            <w:r>
              <w:rPr>
                <w:rFonts w:hint="eastAsia"/>
                <w:color w:val="auto"/>
                <w:sz w:val="24"/>
              </w:rPr>
              <w:t>，</w:t>
            </w:r>
            <w:r>
              <w:rPr>
                <w:color w:val="auto"/>
                <w:sz w:val="24"/>
              </w:rPr>
              <w:t>因此产生的颗粒物较少，去毛刺废气颗粒物</w:t>
            </w:r>
            <w:r>
              <w:rPr>
                <w:rFonts w:hint="eastAsia"/>
                <w:color w:val="auto"/>
                <w:sz w:val="24"/>
              </w:rPr>
              <w:t>由集气罩</w:t>
            </w:r>
            <w:r>
              <w:rPr>
                <w:color w:val="auto"/>
                <w:sz w:val="24"/>
              </w:rPr>
              <w:t>收集经布袋除尘器处理后车间内无组织排放</w:t>
            </w:r>
            <w:r>
              <w:rPr>
                <w:rFonts w:hint="eastAsia"/>
                <w:color w:val="auto"/>
                <w:sz w:val="24"/>
              </w:rPr>
              <w:t xml:space="preserve">。根据《第二次全国污染源普查工业污染源产排污系数手册——33金属制品业、34通用设备制造业、35专用设备制造业、36汽车制造业、37铁路、船舶、航空航天和其他运输设备制造业、431金属制品修理、432通用设备修理、433专用设备修理、434铁路、船舶、航空航天等运输设备修理（不包括电镀工艺）行业系数手册》“06预处理工段-预处理-干式预处理件--钢材（含板材、构件等）、铝材（含板材、构件等）、铝合金（含板材、构件等）、铁材、其他金属材料-抛丸、喷砂、打磨、滚筒”颗粒物的产污系数为2.19千克/吨原料。 </w:t>
            </w:r>
            <w:r>
              <w:rPr>
                <w:rFonts w:hint="eastAsia"/>
                <w:color w:val="auto"/>
                <w:sz w:val="24"/>
                <w:szCs w:val="32"/>
              </w:rPr>
              <w:t>根据建设单位提供资料，</w:t>
            </w:r>
            <w:r>
              <w:rPr>
                <w:rFonts w:hint="eastAsia"/>
                <w:color w:val="auto"/>
                <w:sz w:val="24"/>
              </w:rPr>
              <w:t>需打磨的金属板占原料量约0.</w:t>
            </w:r>
            <w:r>
              <w:rPr>
                <w:rFonts w:hint="eastAsia"/>
                <w:color w:val="auto"/>
                <w:sz w:val="24"/>
                <w:lang w:val="en-US" w:eastAsia="zh-CN"/>
              </w:rPr>
              <w:t>3</w:t>
            </w:r>
            <w:r>
              <w:rPr>
                <w:rFonts w:hint="eastAsia"/>
                <w:color w:val="auto"/>
                <w:sz w:val="24"/>
              </w:rPr>
              <w:t>%，</w:t>
            </w:r>
            <w:r>
              <w:rPr>
                <w:rFonts w:hint="eastAsia"/>
                <w:color w:val="auto"/>
                <w:sz w:val="24"/>
                <w:szCs w:val="32"/>
              </w:rPr>
              <w:t>需打磨金属板量约</w:t>
            </w:r>
            <w:r>
              <w:rPr>
                <w:rFonts w:hint="eastAsia"/>
                <w:color w:val="auto"/>
                <w:sz w:val="24"/>
                <w:szCs w:val="32"/>
                <w:lang w:val="en-US" w:eastAsia="zh-CN"/>
              </w:rPr>
              <w:t>25.8</w:t>
            </w:r>
            <w:r>
              <w:rPr>
                <w:rFonts w:hint="eastAsia"/>
                <w:color w:val="auto"/>
                <w:sz w:val="24"/>
                <w:szCs w:val="32"/>
              </w:rPr>
              <w:t>t/a，产生打磨颗粒物</w:t>
            </w:r>
            <w:r>
              <w:rPr>
                <w:rFonts w:hint="eastAsia"/>
                <w:color w:val="auto"/>
                <w:sz w:val="24"/>
                <w:szCs w:val="32"/>
                <w:lang w:val="en-US" w:eastAsia="zh-CN"/>
              </w:rPr>
              <w:t>0.0565</w:t>
            </w:r>
            <w:r>
              <w:rPr>
                <w:rFonts w:hint="eastAsia"/>
                <w:color w:val="auto"/>
                <w:sz w:val="24"/>
                <w:szCs w:val="32"/>
              </w:rPr>
              <w:t>t/a，0.0</w:t>
            </w:r>
            <w:r>
              <w:rPr>
                <w:rFonts w:hint="eastAsia"/>
                <w:color w:val="auto"/>
                <w:sz w:val="24"/>
                <w:szCs w:val="32"/>
                <w:lang w:val="en-US" w:eastAsia="zh-CN"/>
              </w:rPr>
              <w:t>094</w:t>
            </w:r>
            <w:r>
              <w:rPr>
                <w:rFonts w:hint="eastAsia"/>
                <w:color w:val="auto"/>
                <w:sz w:val="24"/>
                <w:szCs w:val="32"/>
              </w:rPr>
              <w:t>kg/h，由集气罩收集经布袋除尘器处理</w:t>
            </w:r>
            <w:r>
              <w:rPr>
                <w:rFonts w:hint="eastAsia"/>
                <w:color w:val="auto"/>
                <w:sz w:val="24"/>
                <w:szCs w:val="32"/>
                <w:lang w:eastAsia="zh-CN"/>
              </w:rPr>
              <w:t>，</w:t>
            </w:r>
            <w:r>
              <w:rPr>
                <w:rFonts w:hint="eastAsia"/>
                <w:color w:val="auto"/>
                <w:sz w:val="24"/>
                <w:szCs w:val="24"/>
              </w:rPr>
              <w:t>考虑车间行车影响且打磨时间不集中</w:t>
            </w:r>
            <w:r>
              <w:rPr>
                <w:rFonts w:hint="eastAsia"/>
                <w:color w:val="auto"/>
                <w:sz w:val="24"/>
                <w:szCs w:val="24"/>
                <w:lang w:eastAsia="zh-CN"/>
              </w:rPr>
              <w:t>、废气</w:t>
            </w:r>
            <w:r>
              <w:rPr>
                <w:rFonts w:hint="eastAsia"/>
                <w:color w:val="auto"/>
                <w:sz w:val="24"/>
              </w:rPr>
              <w:t>产生量较少，故</w:t>
            </w:r>
            <w:r>
              <w:rPr>
                <w:rFonts w:hint="eastAsia"/>
                <w:color w:val="auto"/>
                <w:sz w:val="24"/>
                <w:lang w:eastAsia="zh-CN"/>
              </w:rPr>
              <w:t>处理后</w:t>
            </w:r>
            <w:r>
              <w:rPr>
                <w:rFonts w:hint="eastAsia"/>
                <w:color w:val="auto"/>
                <w:sz w:val="24"/>
              </w:rPr>
              <w:t>无组织排放</w:t>
            </w:r>
            <w:r>
              <w:rPr>
                <w:rFonts w:hint="eastAsia"/>
                <w:color w:val="auto"/>
                <w:sz w:val="24"/>
                <w:lang w:eastAsia="zh-CN"/>
              </w:rPr>
              <w:t>，</w:t>
            </w:r>
            <w:r>
              <w:rPr>
                <w:rFonts w:hint="eastAsia"/>
                <w:color w:val="auto"/>
                <w:sz w:val="24"/>
              </w:rPr>
              <w:t>集气罩收集效率取90%，布袋除尘效率取95%，工作时间6000h/a，无组织排放</w:t>
            </w:r>
            <w:r>
              <w:rPr>
                <w:rFonts w:hint="default" w:ascii="Times New Roman" w:hAnsi="Times New Roman" w:eastAsia="宋体" w:cs="Times New Roman"/>
                <w:color w:val="auto"/>
                <w:sz w:val="24"/>
              </w:rPr>
              <w:t>量为0.0</w:t>
            </w:r>
            <w:r>
              <w:rPr>
                <w:rFonts w:hint="default" w:ascii="Times New Roman" w:hAnsi="Times New Roman" w:eastAsia="宋体" w:cs="Times New Roman"/>
                <w:color w:val="auto"/>
                <w:sz w:val="24"/>
                <w:lang w:val="en-US" w:eastAsia="zh-CN"/>
              </w:rPr>
              <w:t>082</w:t>
            </w:r>
            <w:r>
              <w:rPr>
                <w:color w:val="auto"/>
                <w:sz w:val="24"/>
              </w:rPr>
              <w:t>t/a</w:t>
            </w:r>
            <w:r>
              <w:rPr>
                <w:rFonts w:hint="eastAsia"/>
                <w:color w:val="auto"/>
                <w:sz w:val="24"/>
              </w:rPr>
              <w:t>。</w:t>
            </w:r>
          </w:p>
          <w:p>
            <w:pPr>
              <w:pStyle w:val="6"/>
              <w:numPr>
                <w:ilvl w:val="0"/>
                <w:numId w:val="16"/>
              </w:numPr>
              <w:adjustRightInd w:val="0"/>
              <w:snapToGrid w:val="0"/>
              <w:ind w:firstLineChars="0"/>
              <w:jc w:val="center"/>
              <w:rPr>
                <w:b/>
                <w:bCs/>
                <w:color w:val="auto"/>
                <w:sz w:val="24"/>
              </w:rPr>
            </w:pPr>
            <w:r>
              <w:rPr>
                <w:rFonts w:hint="eastAsia"/>
                <w:b/>
                <w:bCs/>
                <w:color w:val="auto"/>
                <w:sz w:val="24"/>
              </w:rPr>
              <w:t>冲压件打磨废气情况统计表</w:t>
            </w:r>
          </w:p>
          <w:tbl>
            <w:tblPr>
              <w:tblStyle w:val="27"/>
              <w:tblW w:w="78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967"/>
              <w:gridCol w:w="1967"/>
              <w:gridCol w:w="19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67"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颗粒物产生量</w:t>
                  </w:r>
                </w:p>
              </w:tc>
              <w:tc>
                <w:tcPr>
                  <w:tcW w:w="1967"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集气罩收集布袋除尘器处理量</w:t>
                  </w:r>
                </w:p>
              </w:tc>
              <w:tc>
                <w:tcPr>
                  <w:tcW w:w="1967"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无组织排放</w:t>
                  </w:r>
                </w:p>
              </w:tc>
              <w:tc>
                <w:tcPr>
                  <w:tcW w:w="1968"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空间大小（长*宽*高）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967" w:type="dxa"/>
                  <w:tcBorders>
                    <w:tl2br w:val="nil"/>
                    <w:tr2bl w:val="nil"/>
                  </w:tcBorders>
                  <w:vAlign w:val="center"/>
                </w:tcPr>
                <w:p>
                  <w:pPr>
                    <w:bidi w:val="0"/>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565</w:t>
                  </w:r>
                  <w:r>
                    <w:rPr>
                      <w:rFonts w:hint="default" w:ascii="Times New Roman" w:hAnsi="Times New Roman" w:eastAsia="宋体" w:cs="Times New Roman"/>
                      <w:color w:val="auto"/>
                      <w:sz w:val="21"/>
                      <w:szCs w:val="21"/>
                    </w:rPr>
                    <w:t>t/a，0.0</w:t>
                  </w:r>
                  <w:r>
                    <w:rPr>
                      <w:rFonts w:hint="default" w:ascii="Times New Roman" w:hAnsi="Times New Roman" w:eastAsia="宋体" w:cs="Times New Roman"/>
                      <w:color w:val="auto"/>
                      <w:sz w:val="21"/>
                      <w:szCs w:val="21"/>
                      <w:lang w:val="en-US" w:eastAsia="zh-CN"/>
                    </w:rPr>
                    <w:t>094</w:t>
                  </w:r>
                  <w:r>
                    <w:rPr>
                      <w:rFonts w:hint="default" w:ascii="Times New Roman" w:hAnsi="Times New Roman" w:eastAsia="宋体" w:cs="Times New Roman"/>
                      <w:color w:val="auto"/>
                      <w:sz w:val="21"/>
                      <w:szCs w:val="21"/>
                    </w:rPr>
                    <w:t>kg/h</w:t>
                  </w:r>
                </w:p>
              </w:tc>
              <w:tc>
                <w:tcPr>
                  <w:tcW w:w="1967"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483</w:t>
                  </w:r>
                  <w:r>
                    <w:rPr>
                      <w:rFonts w:hint="default" w:ascii="Times New Roman" w:hAnsi="Times New Roman" w:eastAsia="宋体" w:cs="Times New Roman"/>
                      <w:color w:val="auto"/>
                      <w:sz w:val="21"/>
                      <w:szCs w:val="21"/>
                    </w:rPr>
                    <w:t>t/a，0.0</w:t>
                  </w:r>
                  <w:r>
                    <w:rPr>
                      <w:rFonts w:hint="default" w:ascii="Times New Roman" w:hAnsi="Times New Roman" w:eastAsia="宋体" w:cs="Times New Roman"/>
                      <w:color w:val="auto"/>
                      <w:sz w:val="21"/>
                      <w:szCs w:val="21"/>
                      <w:lang w:val="en-US" w:eastAsia="zh-CN"/>
                    </w:rPr>
                    <w:t>081</w:t>
                  </w:r>
                  <w:r>
                    <w:rPr>
                      <w:rFonts w:hint="default" w:ascii="Times New Roman" w:hAnsi="Times New Roman" w:eastAsia="宋体" w:cs="Times New Roman"/>
                      <w:color w:val="auto"/>
                      <w:sz w:val="21"/>
                      <w:szCs w:val="21"/>
                    </w:rPr>
                    <w:t>kg/h</w:t>
                  </w:r>
                </w:p>
              </w:tc>
              <w:tc>
                <w:tcPr>
                  <w:tcW w:w="1967" w:type="dxa"/>
                  <w:tcBorders>
                    <w:tl2br w:val="nil"/>
                    <w:tr2bl w:val="nil"/>
                  </w:tcBorders>
                  <w:vAlign w:val="center"/>
                </w:tcPr>
                <w:p>
                  <w:pPr>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082</w:t>
                  </w:r>
                  <w:r>
                    <w:rPr>
                      <w:rFonts w:hint="default" w:ascii="Times New Roman" w:hAnsi="Times New Roman" w:eastAsia="宋体" w:cs="Times New Roman"/>
                      <w:color w:val="auto"/>
                      <w:sz w:val="21"/>
                      <w:szCs w:val="21"/>
                    </w:rPr>
                    <w:t>t/a，0.00</w:t>
                  </w:r>
                  <w:r>
                    <w:rPr>
                      <w:rFonts w:hint="default" w:ascii="Times New Roman" w:hAnsi="Times New Roman" w:eastAsia="宋体" w:cs="Times New Roman"/>
                      <w:color w:val="auto"/>
                      <w:sz w:val="21"/>
                      <w:szCs w:val="21"/>
                      <w:lang w:val="en-US" w:eastAsia="zh-CN"/>
                    </w:rPr>
                    <w:t>14</w:t>
                  </w:r>
                  <w:r>
                    <w:rPr>
                      <w:rFonts w:hint="default" w:ascii="Times New Roman" w:hAnsi="Times New Roman" w:eastAsia="宋体" w:cs="Times New Roman"/>
                      <w:color w:val="auto"/>
                      <w:sz w:val="21"/>
                      <w:szCs w:val="21"/>
                    </w:rPr>
                    <w:t>kg/h</w:t>
                  </w:r>
                </w:p>
              </w:tc>
              <w:tc>
                <w:tcPr>
                  <w:tcW w:w="1968" w:type="dxa"/>
                  <w:tcBorders>
                    <w:tl2br w:val="nil"/>
                    <w:tr2bl w:val="nil"/>
                  </w:tcBorders>
                  <w:vAlign w:val="center"/>
                </w:tcPr>
                <w:p>
                  <w:pPr>
                    <w:jc w:val="center"/>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52</w:t>
                  </w:r>
                  <w:r>
                    <w:rPr>
                      <w:rFonts w:hint="default" w:ascii="Times New Roman" w:hAnsi="Times New Roman" w:cs="Times New Roman"/>
                      <w:color w:val="auto"/>
                      <w:szCs w:val="21"/>
                      <w:highlight w:val="none"/>
                    </w:rPr>
                    <w:t>m*</w:t>
                  </w:r>
                  <w:r>
                    <w:rPr>
                      <w:rFonts w:hint="eastAsia" w:cs="Times New Roman"/>
                      <w:color w:val="auto"/>
                      <w:szCs w:val="21"/>
                      <w:highlight w:val="none"/>
                      <w:lang w:val="en-US" w:eastAsia="zh-CN"/>
                    </w:rPr>
                    <w:t>22</w:t>
                  </w:r>
                  <w:r>
                    <w:rPr>
                      <w:rFonts w:hint="default" w:ascii="Times New Roman" w:hAnsi="Times New Roman" w:cs="Times New Roman"/>
                      <w:color w:val="auto"/>
                      <w:szCs w:val="21"/>
                      <w:highlight w:val="none"/>
                    </w:rPr>
                    <w:t>m*11m</w:t>
                  </w:r>
                </w:p>
              </w:tc>
            </w:tr>
          </w:tbl>
          <w:p>
            <w:pPr>
              <w:numPr>
                <w:ilvl w:val="0"/>
                <w:numId w:val="15"/>
              </w:numPr>
              <w:snapToGrid w:val="0"/>
              <w:spacing w:line="360" w:lineRule="auto"/>
              <w:ind w:firstLine="482" w:firstLineChars="200"/>
              <w:contextualSpacing/>
              <w:jc w:val="left"/>
              <w:rPr>
                <w:b/>
                <w:color w:val="auto"/>
                <w:sz w:val="24"/>
              </w:rPr>
            </w:pPr>
            <w:r>
              <w:rPr>
                <w:b/>
                <w:color w:val="auto"/>
                <w:sz w:val="24"/>
              </w:rPr>
              <w:t>天然气燃烧废气</w:t>
            </w:r>
            <w:r>
              <w:rPr>
                <w:b/>
                <w:bCs/>
                <w:color w:val="auto"/>
                <w:sz w:val="24"/>
              </w:rPr>
              <w:t>（颗粒物、二氧化硫、氮氧化物）</w:t>
            </w:r>
          </w:p>
          <w:p>
            <w:pPr>
              <w:adjustRightInd w:val="0"/>
              <w:snapToGrid w:val="0"/>
              <w:spacing w:line="360" w:lineRule="auto"/>
              <w:ind w:firstLine="480" w:firstLineChars="200"/>
              <w:rPr>
                <w:ins w:id="567" w:author="Sunny" w:date="2022-12-27T16:50:00Z"/>
                <w:color w:val="auto"/>
                <w:sz w:val="24"/>
              </w:rPr>
            </w:pPr>
            <w:r>
              <w:rPr>
                <w:rFonts w:hint="eastAsia"/>
                <w:color w:val="auto"/>
                <w:sz w:val="24"/>
              </w:rPr>
              <w:t>喷粉生产线预脱脂槽、脱脂槽、陶化以及水份烘干室、粉末固化炉使用天然气进行加热，根据建设单位提供资料，天然气使用量约18万立方/年。参考《排污许可证申请与核发技术规范 锅炉》（HJ953-2018）中的排放系数和《排放源统计调查产排污核算方法和系数手册》中“锅炉产排污量核算系数手册”中的排放系数，喷塑烘干工段燃料废气排放情况见下表。</w:t>
            </w:r>
          </w:p>
          <w:p>
            <w:pPr>
              <w:pStyle w:val="6"/>
              <w:numPr>
                <w:ilvl w:val="0"/>
                <w:numId w:val="16"/>
              </w:numPr>
              <w:adjustRightInd w:val="0"/>
              <w:snapToGrid w:val="0"/>
              <w:ind w:firstLineChars="0"/>
              <w:jc w:val="center"/>
              <w:rPr>
                <w:color w:val="auto"/>
              </w:rPr>
            </w:pPr>
            <w:r>
              <w:rPr>
                <w:b/>
                <w:bCs/>
                <w:color w:val="auto"/>
                <w:sz w:val="24"/>
              </w:rPr>
              <w:t>天然气用量及</w:t>
            </w:r>
            <w:r>
              <w:rPr>
                <w:rFonts w:hint="eastAsia"/>
                <w:b/>
                <w:bCs/>
                <w:color w:val="auto"/>
                <w:sz w:val="24"/>
              </w:rPr>
              <w:t>处理方案统计</w:t>
            </w:r>
            <w:r>
              <w:rPr>
                <w:b/>
                <w:bCs/>
                <w:color w:val="auto"/>
                <w:sz w:val="24"/>
              </w:rPr>
              <w:t>表</w:t>
            </w:r>
          </w:p>
          <w:tbl>
            <w:tblPr>
              <w:tblStyle w:val="26"/>
              <w:tblW w:w="496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53"/>
              <w:gridCol w:w="1624"/>
              <w:gridCol w:w="1692"/>
              <w:gridCol w:w="2493"/>
              <w:gridCol w:w="106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4" w:hRule="atLeast"/>
              </w:trPr>
              <w:tc>
                <w:tcPr>
                  <w:tcW w:w="608" w:type="pct"/>
                  <w:tcBorders>
                    <w:tl2br w:val="nil"/>
                    <w:tr2bl w:val="nil"/>
                  </w:tcBorders>
                  <w:shd w:val="clear" w:color="auto" w:fill="auto"/>
                  <w:noWrap/>
                  <w:vAlign w:val="center"/>
                </w:tcPr>
                <w:p>
                  <w:pPr>
                    <w:widowControl/>
                    <w:jc w:val="center"/>
                    <w:textAlignment w:val="center"/>
                    <w:rPr>
                      <w:b/>
                      <w:bCs/>
                      <w:color w:val="auto"/>
                      <w:szCs w:val="21"/>
                    </w:rPr>
                  </w:pPr>
                  <w:r>
                    <w:rPr>
                      <w:b/>
                      <w:bCs/>
                      <w:color w:val="auto"/>
                      <w:kern w:val="0"/>
                      <w:szCs w:val="21"/>
                      <w:lang w:bidi="ar"/>
                    </w:rPr>
                    <w:t>生产工艺</w:t>
                  </w:r>
                </w:p>
              </w:tc>
              <w:tc>
                <w:tcPr>
                  <w:tcW w:w="1037" w:type="pct"/>
                  <w:tcBorders>
                    <w:tl2br w:val="nil"/>
                    <w:tr2bl w:val="nil"/>
                  </w:tcBorders>
                  <w:shd w:val="clear" w:color="auto" w:fill="auto"/>
                  <w:noWrap/>
                  <w:vAlign w:val="center"/>
                </w:tcPr>
                <w:p>
                  <w:pPr>
                    <w:widowControl/>
                    <w:jc w:val="center"/>
                    <w:textAlignment w:val="center"/>
                    <w:rPr>
                      <w:b/>
                      <w:bCs/>
                      <w:color w:val="auto"/>
                      <w:szCs w:val="21"/>
                    </w:rPr>
                  </w:pPr>
                  <w:r>
                    <w:rPr>
                      <w:b/>
                      <w:bCs/>
                      <w:color w:val="auto"/>
                      <w:kern w:val="0"/>
                      <w:szCs w:val="21"/>
                      <w:lang w:bidi="ar"/>
                    </w:rPr>
                    <w:t>设备（天然气用量）</w:t>
                  </w:r>
                </w:p>
              </w:tc>
              <w:tc>
                <w:tcPr>
                  <w:tcW w:w="1081" w:type="pct"/>
                  <w:tcBorders>
                    <w:tl2br w:val="nil"/>
                    <w:tr2bl w:val="nil"/>
                  </w:tcBorders>
                  <w:shd w:val="clear" w:color="auto" w:fill="auto"/>
                  <w:noWrap/>
                  <w:vAlign w:val="center"/>
                </w:tcPr>
                <w:p>
                  <w:pPr>
                    <w:widowControl/>
                    <w:jc w:val="center"/>
                    <w:textAlignment w:val="center"/>
                    <w:rPr>
                      <w:b/>
                      <w:bCs/>
                      <w:color w:val="auto"/>
                      <w:szCs w:val="21"/>
                    </w:rPr>
                  </w:pPr>
                  <w:r>
                    <w:rPr>
                      <w:b/>
                      <w:bCs/>
                      <w:color w:val="auto"/>
                      <w:kern w:val="0"/>
                      <w:szCs w:val="21"/>
                      <w:lang w:bidi="ar"/>
                    </w:rPr>
                    <w:t>产生工段</w:t>
                  </w:r>
                </w:p>
              </w:tc>
              <w:tc>
                <w:tcPr>
                  <w:tcW w:w="1592" w:type="pct"/>
                  <w:tcBorders>
                    <w:tl2br w:val="nil"/>
                    <w:tr2bl w:val="nil"/>
                  </w:tcBorders>
                  <w:shd w:val="clear" w:color="auto" w:fill="auto"/>
                  <w:noWrap/>
                  <w:vAlign w:val="center"/>
                </w:tcPr>
                <w:p>
                  <w:pPr>
                    <w:widowControl/>
                    <w:jc w:val="center"/>
                    <w:textAlignment w:val="center"/>
                    <w:rPr>
                      <w:b/>
                      <w:bCs/>
                      <w:color w:val="auto"/>
                      <w:kern w:val="0"/>
                      <w:szCs w:val="21"/>
                      <w:lang w:bidi="ar"/>
                    </w:rPr>
                  </w:pPr>
                  <w:r>
                    <w:rPr>
                      <w:b/>
                      <w:bCs/>
                      <w:color w:val="auto"/>
                      <w:kern w:val="0"/>
                      <w:szCs w:val="21"/>
                      <w:lang w:bidi="ar"/>
                    </w:rPr>
                    <w:t>加热方式</w:t>
                  </w:r>
                </w:p>
              </w:tc>
              <w:tc>
                <w:tcPr>
                  <w:tcW w:w="680" w:type="pct"/>
                  <w:tcBorders>
                    <w:tl2br w:val="nil"/>
                    <w:tr2bl w:val="nil"/>
                  </w:tcBorders>
                  <w:shd w:val="clear" w:color="auto" w:fill="auto"/>
                  <w:noWrap/>
                  <w:vAlign w:val="center"/>
                </w:tcPr>
                <w:p>
                  <w:pPr>
                    <w:jc w:val="center"/>
                    <w:rPr>
                      <w:b/>
                      <w:bCs/>
                      <w:color w:val="auto"/>
                      <w:szCs w:val="21"/>
                    </w:rPr>
                  </w:pPr>
                  <w:r>
                    <w:rPr>
                      <w:b/>
                      <w:bCs/>
                      <w:color w:val="auto"/>
                      <w:szCs w:val="21"/>
                    </w:rPr>
                    <w:t>处理方案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608" w:type="pct"/>
                  <w:vMerge w:val="restart"/>
                  <w:tcBorders>
                    <w:tl2br w:val="nil"/>
                    <w:tr2bl w:val="nil"/>
                  </w:tcBorders>
                  <w:shd w:val="clear" w:color="auto" w:fill="auto"/>
                  <w:noWrap/>
                  <w:vAlign w:val="center"/>
                </w:tcPr>
                <w:p>
                  <w:pPr>
                    <w:widowControl/>
                    <w:jc w:val="center"/>
                    <w:textAlignment w:val="center"/>
                    <w:rPr>
                      <w:color w:val="auto"/>
                      <w:szCs w:val="21"/>
                    </w:rPr>
                  </w:pPr>
                  <w:r>
                    <w:rPr>
                      <w:color w:val="auto"/>
                      <w:kern w:val="0"/>
                      <w:szCs w:val="21"/>
                      <w:lang w:bidi="ar"/>
                    </w:rPr>
                    <w:t>喷粉</w:t>
                  </w:r>
                </w:p>
              </w:tc>
              <w:tc>
                <w:tcPr>
                  <w:tcW w:w="1037" w:type="pct"/>
                  <w:vMerge w:val="restart"/>
                  <w:tcBorders>
                    <w:tl2br w:val="nil"/>
                    <w:tr2bl w:val="nil"/>
                  </w:tcBorders>
                  <w:shd w:val="clear" w:color="auto" w:fill="auto"/>
                  <w:noWrap/>
                  <w:vAlign w:val="center"/>
                </w:tcPr>
                <w:p>
                  <w:pPr>
                    <w:widowControl/>
                    <w:jc w:val="center"/>
                    <w:textAlignment w:val="center"/>
                    <w:rPr>
                      <w:color w:val="auto"/>
                      <w:szCs w:val="21"/>
                    </w:rPr>
                  </w:pPr>
                  <w:r>
                    <w:rPr>
                      <w:color w:val="auto"/>
                      <w:kern w:val="0"/>
                      <w:szCs w:val="21"/>
                      <w:lang w:bidi="ar"/>
                    </w:rPr>
                    <w:t>喷粉前处理+联合烘干炉（18</w:t>
                  </w:r>
                  <w:r>
                    <w:rPr>
                      <w:b/>
                      <w:bCs/>
                      <w:color w:val="auto"/>
                      <w:kern w:val="0"/>
                      <w:szCs w:val="21"/>
                      <w:lang w:bidi="ar"/>
                    </w:rPr>
                    <w:t>万m³/a</w:t>
                  </w:r>
                  <w:r>
                    <w:rPr>
                      <w:color w:val="auto"/>
                      <w:kern w:val="0"/>
                      <w:szCs w:val="21"/>
                      <w:lang w:bidi="ar"/>
                    </w:rPr>
                    <w:t>）</w:t>
                  </w:r>
                </w:p>
              </w:tc>
              <w:tc>
                <w:tcPr>
                  <w:tcW w:w="1081" w:type="pct"/>
                  <w:tcBorders>
                    <w:tl2br w:val="nil"/>
                    <w:tr2bl w:val="nil"/>
                  </w:tcBorders>
                  <w:shd w:val="clear" w:color="auto" w:fill="auto"/>
                  <w:noWrap/>
                  <w:vAlign w:val="center"/>
                </w:tcPr>
                <w:p>
                  <w:pPr>
                    <w:widowControl/>
                    <w:jc w:val="center"/>
                    <w:textAlignment w:val="center"/>
                    <w:rPr>
                      <w:color w:val="auto"/>
                      <w:szCs w:val="21"/>
                    </w:rPr>
                  </w:pPr>
                  <w:r>
                    <w:rPr>
                      <w:color w:val="auto"/>
                      <w:szCs w:val="21"/>
                    </w:rPr>
                    <w:t>预脱脂槽</w:t>
                  </w:r>
                </w:p>
              </w:tc>
              <w:tc>
                <w:tcPr>
                  <w:tcW w:w="1592" w:type="pct"/>
                  <w:vMerge w:val="restart"/>
                  <w:tcBorders>
                    <w:tl2br w:val="nil"/>
                    <w:tr2bl w:val="nil"/>
                  </w:tcBorders>
                  <w:shd w:val="clear" w:color="auto" w:fill="auto"/>
                  <w:noWrap/>
                  <w:vAlign w:val="center"/>
                </w:tcPr>
                <w:p>
                  <w:pPr>
                    <w:widowControl/>
                    <w:jc w:val="center"/>
                    <w:textAlignment w:val="center"/>
                    <w:rPr>
                      <w:color w:val="auto"/>
                      <w:szCs w:val="21"/>
                    </w:rPr>
                  </w:pPr>
                  <w:r>
                    <w:rPr>
                      <w:color w:val="auto"/>
                      <w:kern w:val="0"/>
                      <w:szCs w:val="21"/>
                      <w:lang w:bidi="ar"/>
                    </w:rPr>
                    <w:t>天然气换热器间接加热</w:t>
                  </w:r>
                </w:p>
              </w:tc>
              <w:tc>
                <w:tcPr>
                  <w:tcW w:w="680" w:type="pct"/>
                  <w:vMerge w:val="restart"/>
                  <w:tcBorders>
                    <w:tl2br w:val="nil"/>
                    <w:tr2bl w:val="nil"/>
                  </w:tcBorders>
                  <w:shd w:val="clear" w:color="auto" w:fill="auto"/>
                  <w:noWrap/>
                  <w:vAlign w:val="center"/>
                </w:tcPr>
                <w:p>
                  <w:pPr>
                    <w:widowControl/>
                    <w:jc w:val="center"/>
                    <w:textAlignment w:val="center"/>
                    <w:rPr>
                      <w:color w:val="auto"/>
                      <w:szCs w:val="21"/>
                    </w:rPr>
                  </w:pPr>
                  <w:r>
                    <w:rPr>
                      <w:color w:val="auto"/>
                      <w:szCs w:val="21"/>
                    </w:rPr>
                    <w:t>经15m高排气筒（DA001）排放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608" w:type="pct"/>
                  <w:vMerge w:val="continue"/>
                  <w:tcBorders>
                    <w:tl2br w:val="nil"/>
                    <w:tr2bl w:val="nil"/>
                  </w:tcBorders>
                  <w:shd w:val="clear" w:color="auto" w:fill="auto"/>
                  <w:noWrap/>
                  <w:vAlign w:val="center"/>
                </w:tcPr>
                <w:p>
                  <w:pPr>
                    <w:jc w:val="center"/>
                    <w:rPr>
                      <w:color w:val="auto"/>
                      <w:szCs w:val="21"/>
                    </w:rPr>
                  </w:pPr>
                </w:p>
              </w:tc>
              <w:tc>
                <w:tcPr>
                  <w:tcW w:w="1037" w:type="pct"/>
                  <w:vMerge w:val="continue"/>
                  <w:tcBorders>
                    <w:tl2br w:val="nil"/>
                    <w:tr2bl w:val="nil"/>
                  </w:tcBorders>
                  <w:shd w:val="clear" w:color="auto" w:fill="auto"/>
                  <w:noWrap/>
                  <w:vAlign w:val="center"/>
                </w:tcPr>
                <w:p>
                  <w:pPr>
                    <w:jc w:val="center"/>
                    <w:rPr>
                      <w:color w:val="auto"/>
                      <w:szCs w:val="21"/>
                    </w:rPr>
                  </w:pPr>
                </w:p>
              </w:tc>
              <w:tc>
                <w:tcPr>
                  <w:tcW w:w="1081" w:type="pct"/>
                  <w:vMerge w:val="restart"/>
                  <w:tcBorders>
                    <w:tl2br w:val="nil"/>
                    <w:tr2bl w:val="nil"/>
                  </w:tcBorders>
                  <w:shd w:val="clear" w:color="auto" w:fill="auto"/>
                  <w:noWrap/>
                  <w:vAlign w:val="center"/>
                </w:tcPr>
                <w:p>
                  <w:pPr>
                    <w:jc w:val="center"/>
                    <w:rPr>
                      <w:color w:val="auto"/>
                      <w:szCs w:val="21"/>
                    </w:rPr>
                  </w:pPr>
                  <w:r>
                    <w:rPr>
                      <w:color w:val="auto"/>
                    </w:rPr>
                    <w:t>脱脂槽</w:t>
                  </w:r>
                </w:p>
              </w:tc>
              <w:tc>
                <w:tcPr>
                  <w:tcW w:w="1592" w:type="pct"/>
                  <w:vMerge w:val="continue"/>
                  <w:tcBorders>
                    <w:tl2br w:val="nil"/>
                    <w:tr2bl w:val="nil"/>
                  </w:tcBorders>
                  <w:shd w:val="clear" w:color="auto" w:fill="auto"/>
                  <w:noWrap/>
                  <w:vAlign w:val="center"/>
                </w:tcPr>
                <w:p>
                  <w:pPr>
                    <w:widowControl/>
                    <w:jc w:val="center"/>
                    <w:textAlignment w:val="center"/>
                    <w:rPr>
                      <w:color w:val="auto"/>
                      <w:szCs w:val="21"/>
                    </w:rPr>
                  </w:pPr>
                </w:p>
              </w:tc>
              <w:tc>
                <w:tcPr>
                  <w:tcW w:w="680" w:type="pct"/>
                  <w:vMerge w:val="continue"/>
                  <w:tcBorders>
                    <w:tl2br w:val="nil"/>
                    <w:tr2bl w:val="nil"/>
                  </w:tcBorders>
                  <w:shd w:val="clear" w:color="auto" w:fill="auto"/>
                  <w:noWrap/>
                  <w:vAlign w:val="center"/>
                </w:tcPr>
                <w:p>
                  <w:pPr>
                    <w:widowControl/>
                    <w:jc w:val="center"/>
                    <w:textAlignment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608" w:type="pct"/>
                  <w:vMerge w:val="continue"/>
                  <w:tcBorders>
                    <w:tl2br w:val="nil"/>
                    <w:tr2bl w:val="nil"/>
                  </w:tcBorders>
                  <w:shd w:val="clear" w:color="auto" w:fill="auto"/>
                  <w:noWrap/>
                  <w:vAlign w:val="center"/>
                </w:tcPr>
                <w:p>
                  <w:pPr>
                    <w:jc w:val="center"/>
                    <w:rPr>
                      <w:color w:val="auto"/>
                      <w:szCs w:val="21"/>
                    </w:rPr>
                  </w:pPr>
                </w:p>
              </w:tc>
              <w:tc>
                <w:tcPr>
                  <w:tcW w:w="1037" w:type="pct"/>
                  <w:vMerge w:val="continue"/>
                  <w:tcBorders>
                    <w:tl2br w:val="nil"/>
                    <w:tr2bl w:val="nil"/>
                  </w:tcBorders>
                  <w:shd w:val="clear" w:color="auto" w:fill="auto"/>
                  <w:noWrap/>
                  <w:vAlign w:val="center"/>
                </w:tcPr>
                <w:p>
                  <w:pPr>
                    <w:jc w:val="center"/>
                    <w:rPr>
                      <w:color w:val="auto"/>
                      <w:szCs w:val="21"/>
                    </w:rPr>
                  </w:pPr>
                </w:p>
              </w:tc>
              <w:tc>
                <w:tcPr>
                  <w:tcW w:w="1081" w:type="pct"/>
                  <w:vMerge w:val="continue"/>
                  <w:tcBorders>
                    <w:tl2br w:val="nil"/>
                    <w:tr2bl w:val="nil"/>
                  </w:tcBorders>
                  <w:shd w:val="clear" w:color="auto" w:fill="auto"/>
                  <w:noWrap/>
                  <w:vAlign w:val="center"/>
                </w:tcPr>
                <w:p>
                  <w:pPr>
                    <w:jc w:val="center"/>
                    <w:rPr>
                      <w:color w:val="auto"/>
                      <w:szCs w:val="21"/>
                    </w:rPr>
                  </w:pPr>
                </w:p>
              </w:tc>
              <w:tc>
                <w:tcPr>
                  <w:tcW w:w="1592" w:type="pct"/>
                  <w:vMerge w:val="continue"/>
                  <w:tcBorders>
                    <w:tl2br w:val="nil"/>
                    <w:tr2bl w:val="nil"/>
                  </w:tcBorders>
                  <w:shd w:val="clear" w:color="auto" w:fill="auto"/>
                  <w:noWrap/>
                  <w:vAlign w:val="center"/>
                </w:tcPr>
                <w:p>
                  <w:pPr>
                    <w:jc w:val="center"/>
                    <w:rPr>
                      <w:color w:val="auto"/>
                      <w:szCs w:val="21"/>
                    </w:rPr>
                  </w:pPr>
                </w:p>
              </w:tc>
              <w:tc>
                <w:tcPr>
                  <w:tcW w:w="680" w:type="pct"/>
                  <w:vMerge w:val="continue"/>
                  <w:tcBorders>
                    <w:tl2br w:val="nil"/>
                    <w:tr2bl w:val="nil"/>
                  </w:tcBorders>
                  <w:shd w:val="clear" w:color="auto" w:fill="auto"/>
                  <w:noWrap/>
                  <w:vAlign w:val="center"/>
                </w:tcPr>
                <w:p>
                  <w:pPr>
                    <w:widowControl/>
                    <w:jc w:val="center"/>
                    <w:textAlignment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608" w:type="pct"/>
                  <w:vMerge w:val="continue"/>
                  <w:tcBorders>
                    <w:tl2br w:val="nil"/>
                    <w:tr2bl w:val="nil"/>
                  </w:tcBorders>
                  <w:shd w:val="clear" w:color="auto" w:fill="auto"/>
                  <w:noWrap/>
                  <w:vAlign w:val="center"/>
                </w:tcPr>
                <w:p>
                  <w:pPr>
                    <w:jc w:val="center"/>
                    <w:rPr>
                      <w:color w:val="auto"/>
                      <w:szCs w:val="21"/>
                    </w:rPr>
                  </w:pPr>
                </w:p>
              </w:tc>
              <w:tc>
                <w:tcPr>
                  <w:tcW w:w="1037" w:type="pct"/>
                  <w:vMerge w:val="continue"/>
                  <w:tcBorders>
                    <w:tl2br w:val="nil"/>
                    <w:tr2bl w:val="nil"/>
                  </w:tcBorders>
                  <w:shd w:val="clear" w:color="auto" w:fill="auto"/>
                  <w:noWrap/>
                  <w:vAlign w:val="center"/>
                </w:tcPr>
                <w:p>
                  <w:pPr>
                    <w:jc w:val="center"/>
                    <w:rPr>
                      <w:color w:val="auto"/>
                      <w:szCs w:val="21"/>
                    </w:rPr>
                  </w:pPr>
                </w:p>
              </w:tc>
              <w:tc>
                <w:tcPr>
                  <w:tcW w:w="1081" w:type="pct"/>
                  <w:tcBorders>
                    <w:tl2br w:val="nil"/>
                    <w:tr2bl w:val="nil"/>
                  </w:tcBorders>
                  <w:shd w:val="clear" w:color="auto" w:fill="auto"/>
                  <w:noWrap/>
                  <w:vAlign w:val="center"/>
                </w:tcPr>
                <w:p>
                  <w:pPr>
                    <w:widowControl/>
                    <w:jc w:val="center"/>
                    <w:textAlignment w:val="center"/>
                    <w:rPr>
                      <w:color w:val="auto"/>
                      <w:szCs w:val="21"/>
                    </w:rPr>
                  </w:pPr>
                  <w:r>
                    <w:rPr>
                      <w:color w:val="auto"/>
                      <w:szCs w:val="21"/>
                    </w:rPr>
                    <w:t>陶化</w:t>
                  </w:r>
                </w:p>
              </w:tc>
              <w:tc>
                <w:tcPr>
                  <w:tcW w:w="1592" w:type="pct"/>
                  <w:vMerge w:val="continue"/>
                  <w:tcBorders>
                    <w:tl2br w:val="nil"/>
                    <w:tr2bl w:val="nil"/>
                  </w:tcBorders>
                  <w:shd w:val="clear" w:color="auto" w:fill="auto"/>
                  <w:noWrap/>
                  <w:vAlign w:val="center"/>
                </w:tcPr>
                <w:p>
                  <w:pPr>
                    <w:widowControl/>
                    <w:jc w:val="center"/>
                    <w:textAlignment w:val="center"/>
                    <w:rPr>
                      <w:color w:val="auto"/>
                      <w:szCs w:val="21"/>
                    </w:rPr>
                  </w:pPr>
                </w:p>
              </w:tc>
              <w:tc>
                <w:tcPr>
                  <w:tcW w:w="680" w:type="pct"/>
                  <w:vMerge w:val="continue"/>
                  <w:tcBorders>
                    <w:tl2br w:val="nil"/>
                    <w:tr2bl w:val="nil"/>
                  </w:tcBorders>
                  <w:shd w:val="clear" w:color="auto" w:fill="auto"/>
                  <w:noWrap/>
                  <w:vAlign w:val="center"/>
                </w:tcPr>
                <w:p>
                  <w:pPr>
                    <w:widowControl/>
                    <w:jc w:val="center"/>
                    <w:textAlignment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4" w:hRule="atLeast"/>
              </w:trPr>
              <w:tc>
                <w:tcPr>
                  <w:tcW w:w="608" w:type="pct"/>
                  <w:vMerge w:val="continue"/>
                  <w:tcBorders>
                    <w:tl2br w:val="nil"/>
                    <w:tr2bl w:val="nil"/>
                  </w:tcBorders>
                  <w:shd w:val="clear" w:color="auto" w:fill="auto"/>
                  <w:noWrap/>
                  <w:vAlign w:val="center"/>
                </w:tcPr>
                <w:p>
                  <w:pPr>
                    <w:jc w:val="center"/>
                    <w:rPr>
                      <w:color w:val="auto"/>
                      <w:szCs w:val="21"/>
                    </w:rPr>
                  </w:pPr>
                </w:p>
              </w:tc>
              <w:tc>
                <w:tcPr>
                  <w:tcW w:w="1037" w:type="pct"/>
                  <w:vMerge w:val="continue"/>
                  <w:tcBorders>
                    <w:tl2br w:val="nil"/>
                    <w:tr2bl w:val="nil"/>
                  </w:tcBorders>
                  <w:shd w:val="clear" w:color="auto" w:fill="auto"/>
                  <w:noWrap/>
                  <w:vAlign w:val="center"/>
                </w:tcPr>
                <w:p>
                  <w:pPr>
                    <w:jc w:val="center"/>
                    <w:rPr>
                      <w:color w:val="auto"/>
                      <w:kern w:val="0"/>
                      <w:szCs w:val="21"/>
                      <w:lang w:bidi="ar"/>
                    </w:rPr>
                  </w:pPr>
                </w:p>
              </w:tc>
              <w:tc>
                <w:tcPr>
                  <w:tcW w:w="1081" w:type="pct"/>
                  <w:tcBorders>
                    <w:tl2br w:val="nil"/>
                    <w:tr2bl w:val="nil"/>
                  </w:tcBorders>
                  <w:shd w:val="clear" w:color="auto" w:fill="auto"/>
                  <w:noWrap/>
                  <w:vAlign w:val="center"/>
                </w:tcPr>
                <w:p>
                  <w:pPr>
                    <w:widowControl/>
                    <w:jc w:val="center"/>
                    <w:textAlignment w:val="center"/>
                    <w:rPr>
                      <w:color w:val="auto"/>
                      <w:kern w:val="0"/>
                      <w:szCs w:val="21"/>
                      <w:lang w:bidi="ar"/>
                    </w:rPr>
                  </w:pPr>
                  <w:r>
                    <w:rPr>
                      <w:color w:val="auto"/>
                      <w:kern w:val="0"/>
                      <w:szCs w:val="21"/>
                      <w:lang w:bidi="ar"/>
                    </w:rPr>
                    <w:t>水份烘干室</w:t>
                  </w:r>
                </w:p>
              </w:tc>
              <w:tc>
                <w:tcPr>
                  <w:tcW w:w="1592" w:type="pct"/>
                  <w:vMerge w:val="restart"/>
                  <w:tcBorders>
                    <w:tl2br w:val="nil"/>
                    <w:tr2bl w:val="nil"/>
                  </w:tcBorders>
                  <w:shd w:val="clear" w:color="auto" w:fill="auto"/>
                  <w:noWrap/>
                  <w:vAlign w:val="center"/>
                </w:tcPr>
                <w:p>
                  <w:pPr>
                    <w:widowControl/>
                    <w:jc w:val="center"/>
                    <w:textAlignment w:val="center"/>
                    <w:rPr>
                      <w:color w:val="auto"/>
                      <w:kern w:val="0"/>
                      <w:szCs w:val="21"/>
                      <w:lang w:bidi="ar"/>
                    </w:rPr>
                  </w:pPr>
                  <w:r>
                    <w:rPr>
                      <w:color w:val="auto"/>
                      <w:kern w:val="0"/>
                      <w:szCs w:val="21"/>
                      <w:lang w:bidi="ar"/>
                    </w:rPr>
                    <w:t>天然气加热热风循环</w:t>
                  </w:r>
                </w:p>
              </w:tc>
              <w:tc>
                <w:tcPr>
                  <w:tcW w:w="680" w:type="pct"/>
                  <w:vMerge w:val="continue"/>
                  <w:tcBorders>
                    <w:tl2br w:val="nil"/>
                    <w:tr2bl w:val="nil"/>
                  </w:tcBorders>
                  <w:shd w:val="clear" w:color="auto" w:fill="auto"/>
                  <w:noWrap/>
                  <w:vAlign w:val="center"/>
                </w:tcPr>
                <w:p>
                  <w:pPr>
                    <w:widowControl/>
                    <w:jc w:val="center"/>
                    <w:textAlignment w:val="center"/>
                    <w:rPr>
                      <w:color w:val="auto"/>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8" w:hRule="atLeast"/>
              </w:trPr>
              <w:tc>
                <w:tcPr>
                  <w:tcW w:w="608" w:type="pct"/>
                  <w:vMerge w:val="continue"/>
                  <w:tcBorders>
                    <w:tl2br w:val="nil"/>
                    <w:tr2bl w:val="nil"/>
                  </w:tcBorders>
                  <w:shd w:val="clear" w:color="auto" w:fill="auto"/>
                  <w:noWrap/>
                  <w:vAlign w:val="center"/>
                </w:tcPr>
                <w:p>
                  <w:pPr>
                    <w:jc w:val="center"/>
                    <w:rPr>
                      <w:color w:val="auto"/>
                      <w:szCs w:val="21"/>
                    </w:rPr>
                  </w:pPr>
                </w:p>
              </w:tc>
              <w:tc>
                <w:tcPr>
                  <w:tcW w:w="1037" w:type="pct"/>
                  <w:vMerge w:val="continue"/>
                  <w:tcBorders>
                    <w:tl2br w:val="nil"/>
                    <w:tr2bl w:val="nil"/>
                  </w:tcBorders>
                  <w:shd w:val="clear" w:color="auto" w:fill="auto"/>
                  <w:noWrap/>
                  <w:vAlign w:val="center"/>
                </w:tcPr>
                <w:p>
                  <w:pPr>
                    <w:jc w:val="center"/>
                    <w:rPr>
                      <w:color w:val="auto"/>
                      <w:kern w:val="0"/>
                      <w:szCs w:val="21"/>
                      <w:lang w:bidi="ar"/>
                    </w:rPr>
                  </w:pPr>
                </w:p>
              </w:tc>
              <w:tc>
                <w:tcPr>
                  <w:tcW w:w="1081" w:type="pct"/>
                  <w:tcBorders>
                    <w:tl2br w:val="nil"/>
                    <w:tr2bl w:val="nil"/>
                  </w:tcBorders>
                  <w:shd w:val="clear" w:color="auto" w:fill="auto"/>
                  <w:noWrap/>
                  <w:vAlign w:val="center"/>
                </w:tcPr>
                <w:p>
                  <w:pPr>
                    <w:widowControl/>
                    <w:jc w:val="center"/>
                    <w:textAlignment w:val="center"/>
                    <w:rPr>
                      <w:color w:val="auto"/>
                      <w:kern w:val="0"/>
                      <w:szCs w:val="21"/>
                      <w:lang w:bidi="ar"/>
                    </w:rPr>
                  </w:pPr>
                  <w:r>
                    <w:rPr>
                      <w:color w:val="auto"/>
                      <w:kern w:val="0"/>
                      <w:szCs w:val="21"/>
                      <w:lang w:bidi="ar"/>
                    </w:rPr>
                    <w:t>粉末固化炉</w:t>
                  </w:r>
                </w:p>
              </w:tc>
              <w:tc>
                <w:tcPr>
                  <w:tcW w:w="1592" w:type="pct"/>
                  <w:vMerge w:val="continue"/>
                  <w:tcBorders>
                    <w:tl2br w:val="nil"/>
                    <w:tr2bl w:val="nil"/>
                  </w:tcBorders>
                  <w:shd w:val="clear" w:color="auto" w:fill="auto"/>
                  <w:noWrap/>
                  <w:vAlign w:val="center"/>
                </w:tcPr>
                <w:p>
                  <w:pPr>
                    <w:widowControl/>
                    <w:jc w:val="center"/>
                    <w:textAlignment w:val="center"/>
                    <w:rPr>
                      <w:color w:val="auto"/>
                      <w:kern w:val="0"/>
                      <w:szCs w:val="21"/>
                      <w:lang w:bidi="ar"/>
                    </w:rPr>
                  </w:pPr>
                </w:p>
              </w:tc>
              <w:tc>
                <w:tcPr>
                  <w:tcW w:w="680" w:type="pct"/>
                  <w:vMerge w:val="continue"/>
                  <w:tcBorders>
                    <w:tl2br w:val="nil"/>
                    <w:tr2bl w:val="nil"/>
                  </w:tcBorders>
                  <w:shd w:val="clear" w:color="auto" w:fill="auto"/>
                  <w:noWrap/>
                  <w:vAlign w:val="center"/>
                </w:tcPr>
                <w:p>
                  <w:pPr>
                    <w:widowControl/>
                    <w:jc w:val="center"/>
                    <w:textAlignment w:val="center"/>
                    <w:rPr>
                      <w:color w:val="auto"/>
                      <w:kern w:val="0"/>
                      <w:szCs w:val="21"/>
                      <w:lang w:bidi="ar"/>
                    </w:rPr>
                  </w:pPr>
                </w:p>
              </w:tc>
            </w:tr>
          </w:tbl>
          <w:p>
            <w:pPr>
              <w:pStyle w:val="6"/>
              <w:numPr>
                <w:ilvl w:val="0"/>
                <w:numId w:val="16"/>
              </w:numPr>
              <w:adjustRightInd w:val="0"/>
              <w:snapToGrid w:val="0"/>
              <w:ind w:firstLine="482"/>
              <w:rPr>
                <w:b/>
                <w:bCs/>
                <w:color w:val="auto"/>
                <w:sz w:val="24"/>
              </w:rPr>
            </w:pPr>
            <w:r>
              <w:rPr>
                <w:b/>
                <w:bCs/>
                <w:color w:val="auto"/>
                <w:sz w:val="24"/>
              </w:rPr>
              <w:t>天然气燃烧</w:t>
            </w:r>
            <w:ins w:id="568" w:author="Sunny" w:date="2022-12-27T16:55:00Z">
              <w:r>
                <w:rPr>
                  <w:b/>
                  <w:bCs/>
                  <w:color w:val="auto"/>
                  <w:sz w:val="24"/>
                </w:rPr>
                <w:t>废气</w:t>
              </w:r>
            </w:ins>
            <w:r>
              <w:rPr>
                <w:b/>
                <w:bCs/>
                <w:color w:val="auto"/>
                <w:sz w:val="24"/>
              </w:rPr>
              <w:t>中污染物</w:t>
            </w:r>
            <w:ins w:id="569" w:author="Sunny" w:date="2022-12-27T16:56:00Z">
              <w:r>
                <w:rPr>
                  <w:b/>
                  <w:bCs/>
                  <w:color w:val="auto"/>
                  <w:sz w:val="24"/>
                </w:rPr>
                <w:t>统计一览表</w:t>
              </w:r>
            </w:ins>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8" w:type="dxa"/>
              </w:tblCellMar>
            </w:tblPr>
            <w:tblGrid>
              <w:gridCol w:w="1402"/>
              <w:gridCol w:w="3105"/>
              <w:gridCol w:w="33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8" w:type="dxa"/>
                </w:tblCellMar>
              </w:tblPrEx>
              <w:trPr>
                <w:trHeight w:val="340" w:hRule="atLeast"/>
                <w:jc w:val="center"/>
                <w:ins w:id="570" w:author="Sunny" w:date="2022-12-27T16:54:00Z"/>
              </w:trPr>
              <w:tc>
                <w:tcPr>
                  <w:tcW w:w="889" w:type="pct"/>
                  <w:tcBorders>
                    <w:top w:val="single" w:color="auto" w:sz="12" w:space="0"/>
                    <w:left w:val="nil"/>
                    <w:bottom w:val="single" w:color="auto" w:sz="4" w:space="0"/>
                    <w:right w:val="single" w:color="auto" w:sz="4" w:space="0"/>
                  </w:tcBorders>
                  <w:vAlign w:val="center"/>
                </w:tcPr>
                <w:p>
                  <w:pPr>
                    <w:adjustRightInd w:val="0"/>
                    <w:snapToGrid w:val="0"/>
                    <w:jc w:val="center"/>
                    <w:rPr>
                      <w:ins w:id="571" w:author="Sunny" w:date="2022-12-27T16:54:00Z"/>
                      <w:b/>
                      <w:bCs/>
                      <w:color w:val="auto"/>
                      <w:szCs w:val="21"/>
                    </w:rPr>
                  </w:pPr>
                  <w:ins w:id="572" w:author="Sunny" w:date="2022-12-27T16:54:00Z">
                    <w:r>
                      <w:rPr>
                        <w:rFonts w:hint="eastAsia"/>
                        <w:b/>
                        <w:bCs/>
                        <w:color w:val="auto"/>
                        <w:szCs w:val="21"/>
                      </w:rPr>
                      <w:t>污染物</w:t>
                    </w:r>
                  </w:ins>
                </w:p>
              </w:tc>
              <w:tc>
                <w:tcPr>
                  <w:tcW w:w="3244" w:type="dxa"/>
                  <w:tcBorders>
                    <w:top w:val="single" w:color="auto" w:sz="12" w:space="0"/>
                    <w:left w:val="nil"/>
                    <w:bottom w:val="single" w:color="auto" w:sz="4" w:space="0"/>
                    <w:right w:val="single" w:color="auto" w:sz="4" w:space="0"/>
                  </w:tcBorders>
                  <w:vAlign w:val="center"/>
                </w:tcPr>
                <w:p>
                  <w:pPr>
                    <w:adjustRightInd w:val="0"/>
                    <w:snapToGrid w:val="0"/>
                    <w:jc w:val="center"/>
                    <w:rPr>
                      <w:ins w:id="573" w:author="Sunny" w:date="2022-12-27T16:54:00Z"/>
                      <w:b/>
                      <w:bCs/>
                      <w:color w:val="auto"/>
                      <w:szCs w:val="21"/>
                    </w:rPr>
                  </w:pPr>
                  <w:ins w:id="574" w:author="Sunny" w:date="2022-12-27T16:54:00Z">
                    <w:r>
                      <w:rPr>
                        <w:rFonts w:hint="eastAsia"/>
                        <w:b/>
                        <w:bCs/>
                        <w:color w:val="auto"/>
                        <w:szCs w:val="21"/>
                      </w:rPr>
                      <w:t>排放系数（</w:t>
                    </w:r>
                  </w:ins>
                  <w:ins w:id="575" w:author="Sunny" w:date="2022-12-27T16:54:00Z">
                    <w:r>
                      <w:rPr>
                        <w:b/>
                        <w:bCs/>
                        <w:color w:val="auto"/>
                        <w:szCs w:val="21"/>
                      </w:rPr>
                      <w:t>kg/</w:t>
                    </w:r>
                  </w:ins>
                  <w:ins w:id="576" w:author="Sunny" w:date="2022-12-27T16:54:00Z">
                    <w:r>
                      <w:rPr>
                        <w:rFonts w:hint="eastAsia"/>
                        <w:b/>
                        <w:bCs/>
                        <w:color w:val="auto"/>
                        <w:szCs w:val="21"/>
                      </w:rPr>
                      <w:t>万</w:t>
                    </w:r>
                  </w:ins>
                  <w:ins w:id="577" w:author="Sunny" w:date="2022-12-27T16:54:00Z">
                    <w:r>
                      <w:rPr>
                        <w:b/>
                        <w:bCs/>
                        <w:color w:val="auto"/>
                        <w:szCs w:val="21"/>
                      </w:rPr>
                      <w:t>m</w:t>
                    </w:r>
                  </w:ins>
                  <w:ins w:id="578" w:author="Sunny" w:date="2022-12-27T16:54:00Z">
                    <w:r>
                      <w:rPr>
                        <w:b/>
                        <w:bCs/>
                        <w:color w:val="auto"/>
                        <w:szCs w:val="21"/>
                        <w:vertAlign w:val="superscript"/>
                      </w:rPr>
                      <w:t>3</w:t>
                    </w:r>
                  </w:ins>
                  <w:ins w:id="579" w:author="Sunny" w:date="2022-12-27T16:54:00Z">
                    <w:r>
                      <w:rPr>
                        <w:rFonts w:hint="eastAsia"/>
                        <w:b/>
                        <w:bCs/>
                        <w:color w:val="auto"/>
                        <w:szCs w:val="21"/>
                      </w:rPr>
                      <w:t>）</w:t>
                    </w:r>
                  </w:ins>
                </w:p>
              </w:tc>
              <w:tc>
                <w:tcPr>
                  <w:tcW w:w="2141" w:type="pct"/>
                  <w:tcBorders>
                    <w:top w:val="single" w:color="auto" w:sz="12" w:space="0"/>
                    <w:left w:val="nil"/>
                    <w:bottom w:val="single" w:color="auto" w:sz="4" w:space="0"/>
                    <w:right w:val="nil"/>
                  </w:tcBorders>
                  <w:vAlign w:val="center"/>
                </w:tcPr>
                <w:p>
                  <w:pPr>
                    <w:adjustRightInd w:val="0"/>
                    <w:snapToGrid w:val="0"/>
                    <w:jc w:val="center"/>
                    <w:rPr>
                      <w:ins w:id="580" w:author="Sunny" w:date="2022-12-27T16:54:00Z"/>
                      <w:b/>
                      <w:bCs/>
                      <w:color w:val="auto"/>
                      <w:szCs w:val="21"/>
                    </w:rPr>
                  </w:pPr>
                  <w:ins w:id="581" w:author="Sunny" w:date="2022-12-27T16:54:00Z">
                    <w:r>
                      <w:rPr>
                        <w:rFonts w:hint="eastAsia"/>
                        <w:b/>
                        <w:bCs/>
                        <w:color w:val="auto"/>
                        <w:spacing w:val="-20"/>
                        <w:szCs w:val="21"/>
                      </w:rPr>
                      <w:t>产生量（</w:t>
                    </w:r>
                  </w:ins>
                  <w:ins w:id="582" w:author="Sunny" w:date="2022-12-27T16:54:00Z">
                    <w:r>
                      <w:rPr>
                        <w:b/>
                        <w:bCs/>
                        <w:color w:val="auto"/>
                        <w:spacing w:val="-20"/>
                        <w:szCs w:val="21"/>
                      </w:rPr>
                      <w:t>t/a</w:t>
                    </w:r>
                  </w:ins>
                  <w:ins w:id="583" w:author="Sunny" w:date="2022-12-27T16:54:00Z">
                    <w:r>
                      <w:rPr>
                        <w:rFonts w:hint="eastAsia"/>
                        <w:b/>
                        <w:bCs/>
                        <w:color w:val="auto"/>
                        <w:spacing w:val="-20"/>
                        <w:szCs w:val="21"/>
                      </w:rPr>
                      <w:t>）</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8" w:type="dxa"/>
                </w:tblCellMar>
              </w:tblPrEx>
              <w:trPr>
                <w:trHeight w:val="340" w:hRule="atLeast"/>
                <w:jc w:val="center"/>
                <w:ins w:id="584" w:author="Sunny" w:date="2022-12-27T16:54:00Z"/>
              </w:trPr>
              <w:tc>
                <w:tcPr>
                  <w:tcW w:w="889" w:type="pct"/>
                  <w:tcBorders>
                    <w:top w:val="single" w:color="auto" w:sz="4" w:space="0"/>
                    <w:left w:val="nil"/>
                    <w:bottom w:val="single" w:color="auto" w:sz="4" w:space="0"/>
                    <w:right w:val="single" w:color="auto" w:sz="4" w:space="0"/>
                  </w:tcBorders>
                  <w:vAlign w:val="center"/>
                </w:tcPr>
                <w:p>
                  <w:pPr>
                    <w:autoSpaceDE w:val="0"/>
                    <w:autoSpaceDN w:val="0"/>
                    <w:adjustRightInd w:val="0"/>
                    <w:jc w:val="center"/>
                    <w:rPr>
                      <w:ins w:id="585" w:author="Sunny" w:date="2022-12-27T16:54:00Z"/>
                      <w:color w:val="auto"/>
                      <w:szCs w:val="21"/>
                    </w:rPr>
                  </w:pPr>
                  <w:ins w:id="586" w:author="Sunny" w:date="2022-12-27T16:54:00Z">
                    <w:r>
                      <w:rPr>
                        <w:rFonts w:hint="eastAsia"/>
                        <w:color w:val="auto"/>
                        <w:szCs w:val="21"/>
                      </w:rPr>
                      <w:t>烟尘</w:t>
                    </w:r>
                  </w:ins>
                </w:p>
              </w:tc>
              <w:tc>
                <w:tcPr>
                  <w:tcW w:w="3244" w:type="dxa"/>
                  <w:tcBorders>
                    <w:top w:val="single" w:color="auto" w:sz="4" w:space="0"/>
                    <w:left w:val="nil"/>
                    <w:bottom w:val="single" w:color="auto" w:sz="4" w:space="0"/>
                    <w:right w:val="single" w:color="auto" w:sz="4" w:space="0"/>
                  </w:tcBorders>
                  <w:vAlign w:val="center"/>
                </w:tcPr>
                <w:p>
                  <w:pPr>
                    <w:adjustRightInd w:val="0"/>
                    <w:snapToGrid w:val="0"/>
                    <w:jc w:val="center"/>
                    <w:rPr>
                      <w:ins w:id="587" w:author="Sunny" w:date="2022-12-27T16:54:00Z"/>
                      <w:color w:val="auto"/>
                      <w:szCs w:val="21"/>
                    </w:rPr>
                  </w:pPr>
                  <w:ins w:id="588" w:author="Sunny" w:date="2022-12-27T16:54:00Z">
                    <w:r>
                      <w:rPr>
                        <w:rFonts w:hint="eastAsia"/>
                        <w:color w:val="auto"/>
                        <w:szCs w:val="21"/>
                      </w:rPr>
                      <w:t>2.86</w:t>
                    </w:r>
                  </w:ins>
                </w:p>
              </w:tc>
              <w:tc>
                <w:tcPr>
                  <w:tcW w:w="3370" w:type="dxa"/>
                  <w:tcBorders>
                    <w:top w:val="single" w:color="auto" w:sz="4" w:space="0"/>
                    <w:left w:val="nil"/>
                    <w:bottom w:val="single" w:color="auto" w:sz="4" w:space="0"/>
                    <w:right w:val="nil"/>
                  </w:tcBorders>
                  <w:vAlign w:val="center"/>
                </w:tcPr>
                <w:p>
                  <w:pPr>
                    <w:widowControl/>
                    <w:jc w:val="center"/>
                    <w:textAlignment w:val="center"/>
                    <w:rPr>
                      <w:ins w:id="589" w:author="Sunny" w:date="2022-12-27T16:54:00Z"/>
                      <w:color w:val="auto"/>
                      <w:szCs w:val="21"/>
                    </w:rPr>
                  </w:pPr>
                  <w:r>
                    <w:rPr>
                      <w:color w:val="auto"/>
                      <w:kern w:val="0"/>
                      <w:szCs w:val="21"/>
                      <w:lang w:bidi="ar"/>
                    </w:rPr>
                    <w:t>0.051</w:t>
                  </w:r>
                  <w:r>
                    <w:rPr>
                      <w:rFonts w:hint="eastAsia"/>
                      <w:color w:val="auto"/>
                      <w:kern w:val="0"/>
                      <w:szCs w:val="21"/>
                      <w:lang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8" w:type="dxa"/>
                </w:tblCellMar>
              </w:tblPrEx>
              <w:trPr>
                <w:trHeight w:val="340" w:hRule="atLeast"/>
                <w:jc w:val="center"/>
                <w:ins w:id="590" w:author="Sunny" w:date="2022-12-27T16:54:00Z"/>
              </w:trPr>
              <w:tc>
                <w:tcPr>
                  <w:tcW w:w="889" w:type="pct"/>
                  <w:tcBorders>
                    <w:top w:val="single" w:color="auto" w:sz="4" w:space="0"/>
                    <w:left w:val="nil"/>
                    <w:bottom w:val="single" w:color="auto" w:sz="4" w:space="0"/>
                    <w:right w:val="single" w:color="auto" w:sz="4" w:space="0"/>
                  </w:tcBorders>
                  <w:vAlign w:val="center"/>
                </w:tcPr>
                <w:p>
                  <w:pPr>
                    <w:jc w:val="center"/>
                    <w:rPr>
                      <w:ins w:id="591" w:author="Sunny" w:date="2022-12-27T16:54:00Z"/>
                      <w:color w:val="auto"/>
                      <w:szCs w:val="21"/>
                    </w:rPr>
                  </w:pPr>
                  <w:ins w:id="592" w:author="Sunny" w:date="2022-12-27T16:54:00Z">
                    <w:r>
                      <w:rPr>
                        <w:color w:val="auto"/>
                        <w:szCs w:val="21"/>
                      </w:rPr>
                      <w:t>SO</w:t>
                    </w:r>
                  </w:ins>
                  <w:ins w:id="593" w:author="Sunny" w:date="2022-12-27T16:54:00Z">
                    <w:r>
                      <w:rPr>
                        <w:color w:val="auto"/>
                        <w:szCs w:val="21"/>
                        <w:vertAlign w:val="subscript"/>
                      </w:rPr>
                      <w:t>2</w:t>
                    </w:r>
                  </w:ins>
                </w:p>
              </w:tc>
              <w:tc>
                <w:tcPr>
                  <w:tcW w:w="3244" w:type="dxa"/>
                  <w:tcBorders>
                    <w:top w:val="single" w:color="auto" w:sz="4" w:space="0"/>
                    <w:left w:val="nil"/>
                    <w:bottom w:val="single" w:color="auto" w:sz="4" w:space="0"/>
                    <w:right w:val="single" w:color="auto" w:sz="4" w:space="0"/>
                  </w:tcBorders>
                  <w:vAlign w:val="center"/>
                </w:tcPr>
                <w:p>
                  <w:pPr>
                    <w:adjustRightInd w:val="0"/>
                    <w:snapToGrid w:val="0"/>
                    <w:jc w:val="center"/>
                    <w:rPr>
                      <w:ins w:id="594" w:author="Sunny" w:date="2022-12-27T16:54:00Z"/>
                      <w:color w:val="auto"/>
                      <w:szCs w:val="21"/>
                    </w:rPr>
                  </w:pPr>
                  <w:ins w:id="595" w:author="Sunny" w:date="2022-12-27T16:54:00Z">
                    <w:r>
                      <w:rPr>
                        <w:rFonts w:hint="eastAsia"/>
                        <w:color w:val="auto"/>
                        <w:szCs w:val="21"/>
                      </w:rPr>
                      <w:t>0.4（0.02S*）</w:t>
                    </w:r>
                  </w:ins>
                </w:p>
              </w:tc>
              <w:tc>
                <w:tcPr>
                  <w:tcW w:w="3370" w:type="dxa"/>
                  <w:tcBorders>
                    <w:top w:val="single" w:color="auto" w:sz="4" w:space="0"/>
                    <w:left w:val="nil"/>
                    <w:bottom w:val="single" w:color="auto" w:sz="4" w:space="0"/>
                    <w:right w:val="nil"/>
                  </w:tcBorders>
                  <w:vAlign w:val="center"/>
                </w:tcPr>
                <w:p>
                  <w:pPr>
                    <w:widowControl/>
                    <w:jc w:val="center"/>
                    <w:textAlignment w:val="center"/>
                    <w:rPr>
                      <w:ins w:id="596" w:author="Sunny" w:date="2022-12-27T16:54:00Z"/>
                      <w:color w:val="auto"/>
                      <w:szCs w:val="21"/>
                    </w:rPr>
                  </w:pPr>
                  <w:r>
                    <w:rPr>
                      <w:color w:val="auto"/>
                      <w:kern w:val="0"/>
                      <w:szCs w:val="21"/>
                      <w:lang w:bidi="ar"/>
                    </w:rPr>
                    <w:t>0.0072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8" w:type="dxa"/>
                </w:tblCellMar>
              </w:tblPrEx>
              <w:trPr>
                <w:trHeight w:val="340" w:hRule="atLeast"/>
                <w:jc w:val="center"/>
                <w:ins w:id="597" w:author="Sunny" w:date="2022-12-27T16:54:00Z"/>
              </w:trPr>
              <w:tc>
                <w:tcPr>
                  <w:tcW w:w="889" w:type="pct"/>
                  <w:tcBorders>
                    <w:top w:val="single" w:color="auto" w:sz="4" w:space="0"/>
                    <w:left w:val="nil"/>
                    <w:bottom w:val="single" w:color="auto" w:sz="12" w:space="0"/>
                    <w:right w:val="single" w:color="auto" w:sz="4" w:space="0"/>
                  </w:tcBorders>
                  <w:vAlign w:val="center"/>
                </w:tcPr>
                <w:p>
                  <w:pPr>
                    <w:jc w:val="center"/>
                    <w:rPr>
                      <w:ins w:id="598" w:author="Sunny" w:date="2022-12-27T16:54:00Z"/>
                      <w:b/>
                      <w:color w:val="auto"/>
                      <w:szCs w:val="21"/>
                    </w:rPr>
                  </w:pPr>
                  <w:ins w:id="599" w:author="Sunny" w:date="2022-12-27T16:54:00Z">
                    <w:r>
                      <w:rPr>
                        <w:color w:val="auto"/>
                        <w:szCs w:val="21"/>
                      </w:rPr>
                      <w:t>NOx</w:t>
                    </w:r>
                  </w:ins>
                </w:p>
              </w:tc>
              <w:tc>
                <w:tcPr>
                  <w:tcW w:w="3244" w:type="dxa"/>
                  <w:tcBorders>
                    <w:top w:val="single" w:color="auto" w:sz="4" w:space="0"/>
                    <w:left w:val="nil"/>
                    <w:bottom w:val="single" w:color="auto" w:sz="12" w:space="0"/>
                    <w:right w:val="single" w:color="auto" w:sz="4" w:space="0"/>
                  </w:tcBorders>
                  <w:vAlign w:val="center"/>
                </w:tcPr>
                <w:p>
                  <w:pPr>
                    <w:adjustRightInd w:val="0"/>
                    <w:snapToGrid w:val="0"/>
                    <w:jc w:val="center"/>
                    <w:rPr>
                      <w:ins w:id="600" w:author="Sunny" w:date="2022-12-27T16:54:00Z"/>
                      <w:color w:val="auto"/>
                      <w:szCs w:val="21"/>
                    </w:rPr>
                  </w:pPr>
                  <w:ins w:id="601" w:author="Sunny" w:date="2022-12-27T16:54:00Z">
                    <w:r>
                      <w:rPr>
                        <w:rFonts w:hint="eastAsia"/>
                        <w:color w:val="auto"/>
                        <w:szCs w:val="21"/>
                      </w:rPr>
                      <w:t>15.87（低氮燃烧-国内一般）</w:t>
                    </w:r>
                  </w:ins>
                </w:p>
              </w:tc>
              <w:tc>
                <w:tcPr>
                  <w:tcW w:w="3370" w:type="dxa"/>
                  <w:tcBorders>
                    <w:top w:val="single" w:color="auto" w:sz="4" w:space="0"/>
                    <w:left w:val="nil"/>
                    <w:bottom w:val="single" w:color="auto" w:sz="12" w:space="0"/>
                    <w:right w:val="nil"/>
                  </w:tcBorders>
                  <w:vAlign w:val="center"/>
                </w:tcPr>
                <w:p>
                  <w:pPr>
                    <w:widowControl/>
                    <w:jc w:val="center"/>
                    <w:textAlignment w:val="center"/>
                    <w:rPr>
                      <w:ins w:id="602" w:author="Sunny" w:date="2022-12-27T16:54:00Z"/>
                      <w:color w:val="auto"/>
                      <w:szCs w:val="21"/>
                    </w:rPr>
                  </w:pPr>
                  <w:r>
                    <w:rPr>
                      <w:color w:val="auto"/>
                      <w:kern w:val="0"/>
                      <w:szCs w:val="21"/>
                      <w:lang w:bidi="ar"/>
                    </w:rPr>
                    <w:t>0.285</w:t>
                  </w:r>
                  <w:ins w:id="603" w:author="Sunny" w:date="2022-12-27T17:03:00Z">
                    <w:r>
                      <w:rPr>
                        <w:rFonts w:hint="eastAsia"/>
                        <w:color w:val="auto"/>
                        <w:kern w:val="0"/>
                        <w:szCs w:val="21"/>
                        <w:lang w:bidi="ar"/>
                      </w:rPr>
                      <w:t>7</w:t>
                    </w:r>
                  </w:ins>
                </w:p>
              </w:tc>
            </w:tr>
          </w:tbl>
          <w:p>
            <w:pPr>
              <w:adjustRightInd w:val="0"/>
              <w:snapToGrid w:val="0"/>
              <w:ind w:firstLine="360" w:firstLineChars="200"/>
              <w:rPr>
                <w:ins w:id="604" w:author="Sunny" w:date="2022-12-27T16:54:00Z"/>
                <w:color w:val="auto"/>
              </w:rPr>
            </w:pPr>
            <w:r>
              <w:rPr>
                <w:rFonts w:hint="eastAsia"/>
                <w:color w:val="auto"/>
                <w:sz w:val="18"/>
                <w:szCs w:val="18"/>
              </w:rPr>
              <w:t>*含硫量（S）是指燃气硫分含量，单位为毫克/立方米；本项目天然气为管道天然气，属一类天然气，根据GB17820-2018天然气标准中表1天然气质量要求，本项目取值S=20。</w:t>
            </w:r>
          </w:p>
          <w:p>
            <w:pPr>
              <w:pStyle w:val="3"/>
              <w:numPr>
                <w:ilvl w:val="0"/>
                <w:numId w:val="0"/>
              </w:numPr>
              <w:spacing w:line="360" w:lineRule="auto"/>
              <w:ind w:firstLine="480" w:firstLineChars="200"/>
              <w:rPr>
                <w:bCs/>
                <w:color w:val="auto"/>
                <w:sz w:val="24"/>
              </w:rPr>
            </w:pPr>
            <w:r>
              <w:rPr>
                <w:rFonts w:hint="eastAsia"/>
                <w:bCs/>
                <w:color w:val="auto"/>
                <w:sz w:val="24"/>
              </w:rPr>
              <w:t>因此，天然气燃烧产生烟尘0.0515t/a、二氧化硫0.0072t/a、氮氧化物0.2857t/a，燃烧废气管道收集后经由15m高排气筒DA001排放。</w:t>
            </w:r>
          </w:p>
          <w:p>
            <w:pPr>
              <w:pStyle w:val="58"/>
              <w:tabs>
                <w:tab w:val="left" w:pos="0"/>
              </w:tabs>
              <w:spacing w:line="360" w:lineRule="auto"/>
              <w:ind w:firstLine="482"/>
              <w:rPr>
                <w:b/>
                <w:bCs/>
                <w:color w:val="auto"/>
                <w:sz w:val="24"/>
              </w:rPr>
            </w:pPr>
            <w:r>
              <w:rPr>
                <w:b/>
                <w:color w:val="auto"/>
                <w:sz w:val="24"/>
              </w:rPr>
              <w:t>（</w:t>
            </w:r>
            <w:r>
              <w:rPr>
                <w:rFonts w:hint="eastAsia"/>
                <w:b/>
                <w:color w:val="auto"/>
                <w:sz w:val="24"/>
              </w:rPr>
              <w:t>3</w:t>
            </w:r>
            <w:r>
              <w:rPr>
                <w:b/>
                <w:color w:val="auto"/>
                <w:sz w:val="24"/>
              </w:rPr>
              <w:t>）</w:t>
            </w:r>
            <w:r>
              <w:rPr>
                <w:rFonts w:hint="eastAsia"/>
                <w:b/>
                <w:color w:val="auto"/>
                <w:sz w:val="24"/>
                <w:lang w:val="en-US" w:eastAsia="zh-CN"/>
              </w:rPr>
              <w:t>静电</w:t>
            </w:r>
            <w:r>
              <w:rPr>
                <w:b/>
                <w:color w:val="auto"/>
                <w:sz w:val="24"/>
              </w:rPr>
              <w:t>喷</w:t>
            </w:r>
            <w:r>
              <w:rPr>
                <w:rFonts w:hint="eastAsia"/>
                <w:b/>
                <w:color w:val="auto"/>
                <w:sz w:val="24"/>
              </w:rPr>
              <w:t>粉</w:t>
            </w:r>
            <w:r>
              <w:rPr>
                <w:b/>
                <w:color w:val="auto"/>
                <w:sz w:val="24"/>
              </w:rPr>
              <w:t>工序产生喷</w:t>
            </w:r>
            <w:r>
              <w:rPr>
                <w:rFonts w:hint="eastAsia"/>
                <w:b/>
                <w:color w:val="auto"/>
                <w:sz w:val="24"/>
              </w:rPr>
              <w:t>粉</w:t>
            </w:r>
            <w:r>
              <w:rPr>
                <w:b/>
                <w:color w:val="auto"/>
                <w:sz w:val="24"/>
              </w:rPr>
              <w:t>颗粒物</w:t>
            </w:r>
          </w:p>
          <w:p>
            <w:pPr>
              <w:pStyle w:val="23"/>
              <w:spacing w:before="0" w:beforeAutospacing="0" w:after="0" w:afterAutospacing="0" w:line="360" w:lineRule="auto"/>
              <w:ind w:firstLine="480" w:firstLineChars="200"/>
              <w:jc w:val="both"/>
              <w:rPr>
                <w:rFonts w:ascii="Times New Roman" w:hAnsi="Times New Roman"/>
                <w:color w:val="auto"/>
                <w:szCs w:val="24"/>
              </w:rPr>
            </w:pPr>
            <w:r>
              <w:rPr>
                <w:rFonts w:ascii="Times New Roman" w:hAnsi="Times New Roman"/>
                <w:color w:val="auto"/>
                <w:szCs w:val="24"/>
              </w:rPr>
              <w:t>喷粉工艺使用塑粉</w:t>
            </w:r>
            <w:r>
              <w:rPr>
                <w:rFonts w:hint="eastAsia" w:ascii="Times New Roman" w:hAnsi="Times New Roman"/>
                <w:color w:val="auto"/>
                <w:szCs w:val="24"/>
              </w:rPr>
              <w:t>10</w:t>
            </w:r>
            <w:r>
              <w:rPr>
                <w:rFonts w:ascii="Times New Roman" w:hAnsi="Times New Roman"/>
                <w:color w:val="auto"/>
                <w:szCs w:val="24"/>
              </w:rPr>
              <w:t>0t/a，喷粉年工作时间约为</w:t>
            </w:r>
            <w:r>
              <w:rPr>
                <w:rFonts w:hint="eastAsia" w:ascii="Times New Roman" w:hAnsi="Times New Roman"/>
                <w:color w:val="auto"/>
                <w:szCs w:val="24"/>
              </w:rPr>
              <w:t>4800</w:t>
            </w:r>
            <w:r>
              <w:rPr>
                <w:rFonts w:ascii="Times New Roman" w:hAnsi="Times New Roman"/>
                <w:color w:val="auto"/>
                <w:szCs w:val="24"/>
              </w:rPr>
              <w:t>h，</w:t>
            </w:r>
            <w:r>
              <w:rPr>
                <w:rFonts w:hint="eastAsia" w:ascii="Times New Roman" w:hAnsi="Times New Roman"/>
                <w:color w:val="auto"/>
                <w:szCs w:val="24"/>
              </w:rPr>
              <w:t>参考《喷塑行业污染物源强估算及治理方法探讨》（《中国环境管理干部学院学报》第26卷第6期，2016年12月），塑粉的平均附着率为80%~90%，本项目以90%的上粉率计。本项目塑粉用量为100t/a，则附着在工件上的塑粉量为90t/a，其余约4%的塑粉（4t/a）由于粘于设备内壁或掉落地面定期清理进入固废，其余约6%的塑粉（6t/a）成为粉尘，则静电喷粉粉尘产生量约为6t/a。静电喷粉产生的粉尘经喷粉房</w:t>
            </w:r>
            <w:r>
              <w:rPr>
                <w:rFonts w:hint="eastAsia"/>
                <w:color w:val="auto"/>
                <w:lang w:eastAsia="zh-CN"/>
              </w:rPr>
              <w:t>整体抽风收集</w:t>
            </w:r>
            <w:r>
              <w:rPr>
                <w:rFonts w:hint="eastAsia" w:ascii="Times New Roman" w:hAnsi="Times New Roman"/>
                <w:color w:val="auto"/>
                <w:szCs w:val="24"/>
              </w:rPr>
              <w:t>（收集效率以95%计）后进入1套旋风+滤芯回收系统处理（处理效率95%）后经排气筒DA002排放。</w:t>
            </w:r>
          </w:p>
          <w:p>
            <w:pPr>
              <w:pStyle w:val="6"/>
              <w:numPr>
                <w:ilvl w:val="0"/>
                <w:numId w:val="16"/>
              </w:numPr>
              <w:spacing w:line="360" w:lineRule="auto"/>
              <w:ind w:firstLineChars="0"/>
              <w:jc w:val="center"/>
              <w:rPr>
                <w:b/>
                <w:bCs/>
                <w:color w:val="auto"/>
                <w:sz w:val="24"/>
              </w:rPr>
            </w:pPr>
            <w:r>
              <w:rPr>
                <w:rFonts w:hint="eastAsia"/>
                <w:b/>
                <w:bCs/>
                <w:color w:val="auto"/>
                <w:sz w:val="24"/>
              </w:rPr>
              <w:t>塑粉</w:t>
            </w:r>
            <w:r>
              <w:rPr>
                <w:b/>
                <w:bCs/>
                <w:color w:val="auto"/>
                <w:sz w:val="24"/>
              </w:rPr>
              <w:t>用量及废气去向情况表</w:t>
            </w:r>
          </w:p>
          <w:tbl>
            <w:tblPr>
              <w:tblStyle w:val="26"/>
              <w:tblW w:w="790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07"/>
              <w:gridCol w:w="1197"/>
              <w:gridCol w:w="1095"/>
              <w:gridCol w:w="1082"/>
              <w:gridCol w:w="884"/>
              <w:gridCol w:w="274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56" w:hRule="atLeast"/>
              </w:trPr>
              <w:tc>
                <w:tcPr>
                  <w:tcW w:w="573" w:type="pct"/>
                  <w:tcBorders>
                    <w:tl2br w:val="nil"/>
                    <w:tr2bl w:val="nil"/>
                  </w:tcBorders>
                  <w:shd w:val="clear" w:color="auto" w:fill="auto"/>
                  <w:noWrap/>
                  <w:vAlign w:val="center"/>
                </w:tcPr>
                <w:p>
                  <w:pPr>
                    <w:widowControl/>
                    <w:jc w:val="center"/>
                    <w:textAlignment w:val="center"/>
                    <w:rPr>
                      <w:b/>
                      <w:bCs/>
                      <w:color w:val="auto"/>
                      <w:szCs w:val="21"/>
                    </w:rPr>
                  </w:pPr>
                  <w:r>
                    <w:rPr>
                      <w:b/>
                      <w:bCs/>
                      <w:color w:val="auto"/>
                      <w:kern w:val="0"/>
                      <w:szCs w:val="21"/>
                      <w:lang w:bidi="ar"/>
                    </w:rPr>
                    <w:t>物料名称</w:t>
                  </w:r>
                </w:p>
              </w:tc>
              <w:tc>
                <w:tcPr>
                  <w:tcW w:w="756" w:type="pct"/>
                  <w:tcBorders>
                    <w:tl2br w:val="nil"/>
                    <w:tr2bl w:val="nil"/>
                  </w:tcBorders>
                  <w:shd w:val="clear" w:color="auto" w:fill="auto"/>
                  <w:noWrap/>
                  <w:vAlign w:val="center"/>
                </w:tcPr>
                <w:p>
                  <w:pPr>
                    <w:widowControl/>
                    <w:jc w:val="center"/>
                    <w:textAlignment w:val="center"/>
                    <w:rPr>
                      <w:b/>
                      <w:bCs/>
                      <w:color w:val="auto"/>
                      <w:szCs w:val="21"/>
                    </w:rPr>
                  </w:pPr>
                  <w:r>
                    <w:rPr>
                      <w:b/>
                      <w:bCs/>
                      <w:color w:val="auto"/>
                      <w:kern w:val="0"/>
                      <w:szCs w:val="21"/>
                      <w:lang w:bidi="ar"/>
                    </w:rPr>
                    <w:t>使用位置</w:t>
                  </w:r>
                </w:p>
              </w:tc>
              <w:tc>
                <w:tcPr>
                  <w:tcW w:w="692" w:type="pct"/>
                  <w:tcBorders>
                    <w:tl2br w:val="nil"/>
                    <w:tr2bl w:val="nil"/>
                  </w:tcBorders>
                  <w:shd w:val="clear" w:color="auto" w:fill="auto"/>
                  <w:noWrap/>
                  <w:vAlign w:val="center"/>
                </w:tcPr>
                <w:p>
                  <w:pPr>
                    <w:widowControl/>
                    <w:jc w:val="center"/>
                    <w:textAlignment w:val="center"/>
                    <w:rPr>
                      <w:b/>
                      <w:bCs/>
                      <w:color w:val="auto"/>
                      <w:szCs w:val="21"/>
                    </w:rPr>
                  </w:pPr>
                  <w:r>
                    <w:rPr>
                      <w:b/>
                      <w:bCs/>
                      <w:color w:val="auto"/>
                      <w:kern w:val="0"/>
                      <w:szCs w:val="21"/>
                      <w:lang w:bidi="ar"/>
                    </w:rPr>
                    <w:t>年使用量（t/a）</w:t>
                  </w:r>
                </w:p>
              </w:tc>
              <w:tc>
                <w:tcPr>
                  <w:tcW w:w="1242" w:type="pct"/>
                  <w:gridSpan w:val="2"/>
                  <w:tcBorders>
                    <w:tl2br w:val="nil"/>
                    <w:tr2bl w:val="nil"/>
                  </w:tcBorders>
                  <w:shd w:val="clear" w:color="auto" w:fill="auto"/>
                  <w:noWrap/>
                  <w:vAlign w:val="center"/>
                </w:tcPr>
                <w:p>
                  <w:pPr>
                    <w:widowControl/>
                    <w:jc w:val="center"/>
                    <w:textAlignment w:val="center"/>
                    <w:rPr>
                      <w:b/>
                      <w:bCs/>
                      <w:color w:val="auto"/>
                      <w:szCs w:val="21"/>
                    </w:rPr>
                  </w:pPr>
                  <w:r>
                    <w:rPr>
                      <w:b/>
                      <w:bCs/>
                      <w:color w:val="auto"/>
                      <w:szCs w:val="21"/>
                    </w:rPr>
                    <w:t>塑粉分配量（</w:t>
                  </w:r>
                  <w:r>
                    <w:rPr>
                      <w:b/>
                      <w:bCs/>
                      <w:color w:val="auto"/>
                      <w:kern w:val="0"/>
                      <w:szCs w:val="21"/>
                      <w:lang w:bidi="ar"/>
                    </w:rPr>
                    <w:t>t/a</w:t>
                  </w:r>
                  <w:r>
                    <w:rPr>
                      <w:b/>
                      <w:bCs/>
                      <w:color w:val="auto"/>
                      <w:szCs w:val="21"/>
                    </w:rPr>
                    <w:t>）</w:t>
                  </w:r>
                </w:p>
              </w:tc>
              <w:tc>
                <w:tcPr>
                  <w:tcW w:w="1735" w:type="pct"/>
                  <w:tcBorders>
                    <w:tl2br w:val="nil"/>
                    <w:tr2bl w:val="nil"/>
                  </w:tcBorders>
                  <w:shd w:val="clear" w:color="auto" w:fill="auto"/>
                  <w:noWrap/>
                  <w:vAlign w:val="center"/>
                </w:tcPr>
                <w:p>
                  <w:pPr>
                    <w:widowControl/>
                    <w:jc w:val="center"/>
                    <w:textAlignment w:val="center"/>
                    <w:rPr>
                      <w:b/>
                      <w:bCs/>
                      <w:color w:val="auto"/>
                      <w:szCs w:val="21"/>
                    </w:rPr>
                  </w:pPr>
                  <w:r>
                    <w:rPr>
                      <w:b/>
                      <w:bCs/>
                      <w:color w:val="auto"/>
                      <w:szCs w:val="21"/>
                    </w:rPr>
                    <w:t>去向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7" w:hRule="atLeast"/>
              </w:trPr>
              <w:tc>
                <w:tcPr>
                  <w:tcW w:w="573" w:type="pct"/>
                  <w:vMerge w:val="restart"/>
                  <w:tcBorders>
                    <w:tl2br w:val="nil"/>
                    <w:tr2bl w:val="nil"/>
                  </w:tcBorders>
                  <w:shd w:val="clear" w:color="auto" w:fill="auto"/>
                  <w:noWrap/>
                  <w:vAlign w:val="center"/>
                </w:tcPr>
                <w:p>
                  <w:pPr>
                    <w:widowControl/>
                    <w:jc w:val="center"/>
                    <w:textAlignment w:val="center"/>
                    <w:rPr>
                      <w:color w:val="auto"/>
                      <w:szCs w:val="21"/>
                    </w:rPr>
                  </w:pPr>
                  <w:r>
                    <w:rPr>
                      <w:color w:val="auto"/>
                      <w:szCs w:val="21"/>
                    </w:rPr>
                    <w:t>塑粉</w:t>
                  </w:r>
                </w:p>
              </w:tc>
              <w:tc>
                <w:tcPr>
                  <w:tcW w:w="756" w:type="pct"/>
                  <w:vMerge w:val="restart"/>
                  <w:tcBorders>
                    <w:tl2br w:val="nil"/>
                    <w:tr2bl w:val="nil"/>
                  </w:tcBorders>
                  <w:shd w:val="clear" w:color="auto" w:fill="auto"/>
                  <w:noWrap/>
                  <w:vAlign w:val="center"/>
                </w:tcPr>
                <w:p>
                  <w:pPr>
                    <w:widowControl/>
                    <w:jc w:val="center"/>
                    <w:textAlignment w:val="center"/>
                    <w:rPr>
                      <w:color w:val="auto"/>
                      <w:szCs w:val="21"/>
                    </w:rPr>
                  </w:pPr>
                  <w:r>
                    <w:rPr>
                      <w:color w:val="auto"/>
                      <w:szCs w:val="21"/>
                    </w:rPr>
                    <w:t>喷粉工艺</w:t>
                  </w:r>
                </w:p>
              </w:tc>
              <w:tc>
                <w:tcPr>
                  <w:tcW w:w="692" w:type="pct"/>
                  <w:vMerge w:val="restart"/>
                  <w:tcBorders>
                    <w:tl2br w:val="nil"/>
                    <w:tr2bl w:val="nil"/>
                  </w:tcBorders>
                  <w:shd w:val="clear" w:color="auto" w:fill="auto"/>
                  <w:noWrap/>
                  <w:vAlign w:val="center"/>
                </w:tcPr>
                <w:p>
                  <w:pPr>
                    <w:widowControl/>
                    <w:jc w:val="center"/>
                    <w:textAlignment w:val="center"/>
                    <w:rPr>
                      <w:color w:val="auto"/>
                      <w:szCs w:val="21"/>
                    </w:rPr>
                  </w:pPr>
                  <w:r>
                    <w:rPr>
                      <w:rFonts w:hint="eastAsia"/>
                      <w:color w:val="auto"/>
                      <w:szCs w:val="21"/>
                    </w:rPr>
                    <w:t>100</w:t>
                  </w:r>
                </w:p>
              </w:tc>
              <w:tc>
                <w:tcPr>
                  <w:tcW w:w="683" w:type="pct"/>
                  <w:tcBorders>
                    <w:right w:val="single" w:color="auto" w:sz="4" w:space="0"/>
                    <w:tl2br w:val="nil"/>
                    <w:tr2bl w:val="nil"/>
                  </w:tcBorders>
                  <w:shd w:val="clear" w:color="auto" w:fill="auto"/>
                  <w:vAlign w:val="center"/>
                </w:tcPr>
                <w:p>
                  <w:pPr>
                    <w:widowControl/>
                    <w:jc w:val="center"/>
                    <w:textAlignment w:val="center"/>
                    <w:rPr>
                      <w:color w:val="auto"/>
                      <w:szCs w:val="21"/>
                    </w:rPr>
                  </w:pPr>
                  <w:r>
                    <w:rPr>
                      <w:color w:val="auto"/>
                      <w:szCs w:val="21"/>
                    </w:rPr>
                    <w:t>附着塑粉</w:t>
                  </w:r>
                </w:p>
              </w:tc>
              <w:tc>
                <w:tcPr>
                  <w:tcW w:w="559" w:type="pct"/>
                  <w:tcBorders>
                    <w:left w:val="single" w:color="auto" w:sz="4" w:space="0"/>
                    <w:tl2br w:val="nil"/>
                    <w:tr2bl w:val="nil"/>
                  </w:tcBorders>
                  <w:shd w:val="clear" w:color="auto" w:fill="auto"/>
                  <w:vAlign w:val="center"/>
                </w:tcPr>
                <w:p>
                  <w:pPr>
                    <w:widowControl/>
                    <w:jc w:val="center"/>
                    <w:textAlignment w:val="center"/>
                    <w:rPr>
                      <w:color w:val="auto"/>
                      <w:szCs w:val="21"/>
                    </w:rPr>
                  </w:pPr>
                  <w:r>
                    <w:rPr>
                      <w:rFonts w:hint="eastAsia"/>
                      <w:color w:val="auto"/>
                      <w:szCs w:val="21"/>
                    </w:rPr>
                    <w:t>90</w:t>
                  </w:r>
                </w:p>
              </w:tc>
              <w:tc>
                <w:tcPr>
                  <w:tcW w:w="1735" w:type="pct"/>
                  <w:tcBorders>
                    <w:tl2br w:val="nil"/>
                    <w:tr2bl w:val="nil"/>
                  </w:tcBorders>
                  <w:shd w:val="clear" w:color="auto" w:fill="auto"/>
                  <w:vAlign w:val="center"/>
                </w:tcPr>
                <w:p>
                  <w:pPr>
                    <w:widowControl/>
                    <w:jc w:val="center"/>
                    <w:textAlignment w:val="center"/>
                    <w:rPr>
                      <w:color w:val="auto"/>
                      <w:szCs w:val="21"/>
                    </w:rPr>
                  </w:pPr>
                  <w:r>
                    <w:rPr>
                      <w:color w:val="auto"/>
                      <w:szCs w:val="21"/>
                    </w:rPr>
                    <w:t>附着产品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573" w:type="pct"/>
                  <w:vMerge w:val="continue"/>
                  <w:tcBorders>
                    <w:tl2br w:val="nil"/>
                    <w:tr2bl w:val="nil"/>
                  </w:tcBorders>
                  <w:shd w:val="clear" w:color="auto" w:fill="auto"/>
                  <w:noWrap/>
                  <w:vAlign w:val="center"/>
                </w:tcPr>
                <w:p>
                  <w:pPr>
                    <w:jc w:val="center"/>
                    <w:rPr>
                      <w:color w:val="auto"/>
                      <w:szCs w:val="21"/>
                    </w:rPr>
                  </w:pPr>
                </w:p>
              </w:tc>
              <w:tc>
                <w:tcPr>
                  <w:tcW w:w="756" w:type="pct"/>
                  <w:vMerge w:val="continue"/>
                  <w:tcBorders>
                    <w:tl2br w:val="nil"/>
                    <w:tr2bl w:val="nil"/>
                  </w:tcBorders>
                  <w:shd w:val="clear" w:color="auto" w:fill="auto"/>
                  <w:noWrap/>
                  <w:vAlign w:val="center"/>
                </w:tcPr>
                <w:p>
                  <w:pPr>
                    <w:jc w:val="center"/>
                    <w:rPr>
                      <w:color w:val="auto"/>
                      <w:szCs w:val="21"/>
                    </w:rPr>
                  </w:pPr>
                </w:p>
              </w:tc>
              <w:tc>
                <w:tcPr>
                  <w:tcW w:w="692" w:type="pct"/>
                  <w:vMerge w:val="continue"/>
                  <w:tcBorders>
                    <w:tl2br w:val="nil"/>
                    <w:tr2bl w:val="nil"/>
                  </w:tcBorders>
                  <w:shd w:val="clear" w:color="auto" w:fill="auto"/>
                  <w:noWrap/>
                  <w:vAlign w:val="center"/>
                </w:tcPr>
                <w:p>
                  <w:pPr>
                    <w:widowControl/>
                    <w:jc w:val="center"/>
                    <w:textAlignment w:val="center"/>
                    <w:rPr>
                      <w:color w:val="auto"/>
                      <w:szCs w:val="21"/>
                    </w:rPr>
                  </w:pPr>
                </w:p>
              </w:tc>
              <w:tc>
                <w:tcPr>
                  <w:tcW w:w="683" w:type="pct"/>
                  <w:tcBorders>
                    <w:right w:val="single" w:color="auto" w:sz="4" w:space="0"/>
                    <w:tl2br w:val="nil"/>
                    <w:tr2bl w:val="nil"/>
                  </w:tcBorders>
                  <w:shd w:val="clear" w:color="auto" w:fill="auto"/>
                  <w:vAlign w:val="center"/>
                </w:tcPr>
                <w:p>
                  <w:pPr>
                    <w:widowControl/>
                    <w:jc w:val="center"/>
                    <w:textAlignment w:val="center"/>
                    <w:rPr>
                      <w:color w:val="auto"/>
                      <w:szCs w:val="21"/>
                    </w:rPr>
                  </w:pPr>
                  <w:ins w:id="605" w:author="Sunny" w:date="2022-12-27T17:09:00Z">
                    <w:r>
                      <w:rPr>
                        <w:rFonts w:hint="eastAsia"/>
                        <w:color w:val="auto"/>
                        <w:szCs w:val="21"/>
                      </w:rPr>
                      <w:t>固废</w:t>
                    </w:r>
                  </w:ins>
                </w:p>
              </w:tc>
              <w:tc>
                <w:tcPr>
                  <w:tcW w:w="559" w:type="pct"/>
                  <w:tcBorders>
                    <w:left w:val="single" w:color="auto" w:sz="4" w:space="0"/>
                    <w:tl2br w:val="nil"/>
                    <w:tr2bl w:val="nil"/>
                  </w:tcBorders>
                  <w:shd w:val="clear" w:color="auto" w:fill="auto"/>
                  <w:vAlign w:val="center"/>
                </w:tcPr>
                <w:p>
                  <w:pPr>
                    <w:widowControl/>
                    <w:jc w:val="center"/>
                    <w:textAlignment w:val="center"/>
                    <w:rPr>
                      <w:color w:val="auto"/>
                      <w:szCs w:val="21"/>
                    </w:rPr>
                  </w:pPr>
                  <w:r>
                    <w:rPr>
                      <w:rFonts w:hint="eastAsia"/>
                      <w:color w:val="auto"/>
                      <w:szCs w:val="21"/>
                    </w:rPr>
                    <w:t>4</w:t>
                  </w:r>
                </w:p>
              </w:tc>
              <w:tc>
                <w:tcPr>
                  <w:tcW w:w="1735" w:type="pct"/>
                  <w:tcBorders>
                    <w:tl2br w:val="nil"/>
                    <w:tr2bl w:val="nil"/>
                  </w:tcBorders>
                  <w:shd w:val="clear" w:color="auto" w:fill="auto"/>
                  <w:vAlign w:val="center"/>
                </w:tcPr>
                <w:p>
                  <w:pPr>
                    <w:widowControl/>
                    <w:jc w:val="center"/>
                    <w:textAlignment w:val="center"/>
                    <w:rPr>
                      <w:color w:val="auto"/>
                      <w:szCs w:val="21"/>
                    </w:rPr>
                  </w:pPr>
                  <w:ins w:id="606" w:author="Sunny" w:date="2022-12-27T17:09:00Z">
                    <w:r>
                      <w:rPr>
                        <w:color w:val="auto"/>
                        <w:szCs w:val="21"/>
                      </w:rPr>
                      <w:t>一般固废</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573" w:type="pct"/>
                  <w:vMerge w:val="continue"/>
                  <w:tcBorders>
                    <w:tl2br w:val="nil"/>
                    <w:tr2bl w:val="nil"/>
                  </w:tcBorders>
                  <w:shd w:val="clear" w:color="auto" w:fill="auto"/>
                  <w:noWrap/>
                  <w:vAlign w:val="center"/>
                </w:tcPr>
                <w:p>
                  <w:pPr>
                    <w:jc w:val="center"/>
                    <w:rPr>
                      <w:color w:val="auto"/>
                      <w:szCs w:val="21"/>
                    </w:rPr>
                  </w:pPr>
                </w:p>
              </w:tc>
              <w:tc>
                <w:tcPr>
                  <w:tcW w:w="756" w:type="pct"/>
                  <w:vMerge w:val="continue"/>
                  <w:tcBorders>
                    <w:tl2br w:val="nil"/>
                    <w:tr2bl w:val="nil"/>
                  </w:tcBorders>
                  <w:shd w:val="clear" w:color="auto" w:fill="auto"/>
                  <w:noWrap/>
                  <w:vAlign w:val="center"/>
                </w:tcPr>
                <w:p>
                  <w:pPr>
                    <w:jc w:val="center"/>
                    <w:rPr>
                      <w:color w:val="auto"/>
                      <w:szCs w:val="21"/>
                    </w:rPr>
                  </w:pPr>
                </w:p>
              </w:tc>
              <w:tc>
                <w:tcPr>
                  <w:tcW w:w="692" w:type="pct"/>
                  <w:vMerge w:val="continue"/>
                  <w:tcBorders>
                    <w:tl2br w:val="nil"/>
                    <w:tr2bl w:val="nil"/>
                  </w:tcBorders>
                  <w:shd w:val="clear" w:color="auto" w:fill="auto"/>
                  <w:noWrap/>
                  <w:vAlign w:val="center"/>
                </w:tcPr>
                <w:p>
                  <w:pPr>
                    <w:widowControl/>
                    <w:jc w:val="center"/>
                    <w:textAlignment w:val="center"/>
                    <w:rPr>
                      <w:color w:val="auto"/>
                      <w:szCs w:val="21"/>
                    </w:rPr>
                  </w:pPr>
                </w:p>
              </w:tc>
              <w:tc>
                <w:tcPr>
                  <w:tcW w:w="683" w:type="pct"/>
                  <w:tcBorders>
                    <w:right w:val="single" w:color="auto" w:sz="4" w:space="0"/>
                    <w:tl2br w:val="nil"/>
                    <w:tr2bl w:val="nil"/>
                  </w:tcBorders>
                  <w:shd w:val="clear" w:color="auto" w:fill="auto"/>
                  <w:vAlign w:val="center"/>
                </w:tcPr>
                <w:p>
                  <w:pPr>
                    <w:widowControl/>
                    <w:jc w:val="center"/>
                    <w:textAlignment w:val="center"/>
                    <w:rPr>
                      <w:color w:val="auto"/>
                      <w:szCs w:val="21"/>
                    </w:rPr>
                  </w:pPr>
                  <w:ins w:id="607" w:author="Sunny" w:date="2022-12-27T17:09:00Z">
                    <w:r>
                      <w:rPr>
                        <w:rFonts w:hint="eastAsia"/>
                        <w:color w:val="auto"/>
                        <w:szCs w:val="21"/>
                      </w:rPr>
                      <w:t>粉尘</w:t>
                    </w:r>
                  </w:ins>
                </w:p>
              </w:tc>
              <w:tc>
                <w:tcPr>
                  <w:tcW w:w="559" w:type="pct"/>
                  <w:tcBorders>
                    <w:left w:val="single" w:color="auto" w:sz="4" w:space="0"/>
                    <w:tl2br w:val="nil"/>
                    <w:tr2bl w:val="nil"/>
                  </w:tcBorders>
                  <w:shd w:val="clear" w:color="auto" w:fill="auto"/>
                  <w:vAlign w:val="center"/>
                </w:tcPr>
                <w:p>
                  <w:pPr>
                    <w:widowControl/>
                    <w:jc w:val="center"/>
                    <w:textAlignment w:val="center"/>
                    <w:rPr>
                      <w:color w:val="auto"/>
                      <w:szCs w:val="21"/>
                    </w:rPr>
                  </w:pPr>
                  <w:r>
                    <w:rPr>
                      <w:rFonts w:hint="eastAsia"/>
                      <w:color w:val="auto"/>
                      <w:szCs w:val="21"/>
                    </w:rPr>
                    <w:t>6</w:t>
                  </w:r>
                </w:p>
              </w:tc>
              <w:tc>
                <w:tcPr>
                  <w:tcW w:w="1735" w:type="pct"/>
                  <w:tcBorders>
                    <w:tl2br w:val="nil"/>
                    <w:tr2bl w:val="nil"/>
                  </w:tcBorders>
                  <w:shd w:val="clear" w:color="auto" w:fill="auto"/>
                  <w:vAlign w:val="center"/>
                </w:tcPr>
                <w:p>
                  <w:pPr>
                    <w:widowControl/>
                    <w:jc w:val="center"/>
                    <w:textAlignment w:val="center"/>
                    <w:rPr>
                      <w:color w:val="auto"/>
                      <w:szCs w:val="21"/>
                    </w:rPr>
                  </w:pPr>
                  <w:ins w:id="608" w:author="Sunny" w:date="2022-12-27T17:11:00Z">
                    <w:r>
                      <w:rPr>
                        <w:rFonts w:hint="eastAsia"/>
                        <w:color w:val="auto"/>
                        <w:szCs w:val="21"/>
                      </w:rPr>
                      <w:t>1套</w:t>
                    </w:r>
                  </w:ins>
                  <w:ins w:id="609" w:author="Sunny" w:date="2022-12-27T17:10:00Z">
                    <w:r>
                      <w:rPr>
                        <w:rFonts w:hint="eastAsia"/>
                        <w:color w:val="auto"/>
                        <w:szCs w:val="21"/>
                        <w:rPrChange w:id="610" w:author="Sunny" w:date="2022-12-27T17:10:00Z">
                          <w:rPr>
                            <w:rFonts w:hint="eastAsia"/>
                          </w:rPr>
                        </w:rPrChange>
                      </w:rPr>
                      <w:t>旋风</w:t>
                    </w:r>
                  </w:ins>
                  <w:ins w:id="611" w:author="Sunny" w:date="2022-12-27T17:10:00Z">
                    <w:r>
                      <w:rPr>
                        <w:color w:val="auto"/>
                        <w:szCs w:val="21"/>
                        <w:rPrChange w:id="612" w:author="Sunny" w:date="2022-12-27T17:10:00Z">
                          <w:rPr/>
                        </w:rPrChange>
                      </w:rPr>
                      <w:t>+</w:t>
                    </w:r>
                  </w:ins>
                  <w:ins w:id="613" w:author="Sunny" w:date="2022-12-27T17:10:00Z">
                    <w:r>
                      <w:rPr>
                        <w:rFonts w:hint="eastAsia"/>
                        <w:color w:val="auto"/>
                        <w:szCs w:val="21"/>
                        <w:rPrChange w:id="614" w:author="Sunny" w:date="2022-12-27T17:10:00Z">
                          <w:rPr>
                            <w:rFonts w:hint="eastAsia"/>
                          </w:rPr>
                        </w:rPrChange>
                      </w:rPr>
                      <w:t>滤芯回收系统处理（</w:t>
                    </w:r>
                  </w:ins>
                  <w:ins w:id="615" w:author="Sunny" w:date="2022-12-30T09:33:00Z">
                    <w:r>
                      <w:rPr>
                        <w:rFonts w:hint="eastAsia"/>
                        <w:color w:val="auto"/>
                        <w:szCs w:val="21"/>
                      </w:rPr>
                      <w:t>收集效率95%</w:t>
                    </w:r>
                  </w:ins>
                  <w:ins w:id="616" w:author="Sunny" w:date="2022-12-27T17:10:00Z">
                    <w:r>
                      <w:rPr>
                        <w:rFonts w:hint="eastAsia"/>
                        <w:color w:val="auto"/>
                        <w:szCs w:val="21"/>
                        <w:rPrChange w:id="617" w:author="Sunny" w:date="2022-12-27T17:10:00Z">
                          <w:rPr>
                            <w:rFonts w:hint="eastAsia"/>
                          </w:rPr>
                        </w:rPrChange>
                      </w:rPr>
                      <w:t>处理效率</w:t>
                    </w:r>
                  </w:ins>
                  <w:ins w:id="618" w:author="Sunny" w:date="2022-12-27T17:10:00Z">
                    <w:r>
                      <w:rPr>
                        <w:color w:val="auto"/>
                        <w:szCs w:val="21"/>
                        <w:rPrChange w:id="619" w:author="Sunny" w:date="2022-12-27T17:10:00Z">
                          <w:rPr/>
                        </w:rPrChange>
                      </w:rPr>
                      <w:t>9</w:t>
                    </w:r>
                  </w:ins>
                  <w:r>
                    <w:rPr>
                      <w:rFonts w:hint="eastAsia"/>
                      <w:color w:val="auto"/>
                      <w:szCs w:val="21"/>
                    </w:rPr>
                    <w:t>5</w:t>
                  </w:r>
                  <w:ins w:id="620" w:author="Sunny" w:date="2022-12-27T17:10:00Z">
                    <w:r>
                      <w:rPr>
                        <w:color w:val="auto"/>
                        <w:szCs w:val="21"/>
                        <w:rPrChange w:id="621" w:author="Sunny" w:date="2022-12-27T17:10:00Z">
                          <w:rPr/>
                        </w:rPrChange>
                      </w:rPr>
                      <w:t>%</w:t>
                    </w:r>
                  </w:ins>
                  <w:ins w:id="622" w:author="Sunny" w:date="2022-12-27T17:10:00Z">
                    <w:r>
                      <w:rPr>
                        <w:rFonts w:hint="eastAsia"/>
                        <w:color w:val="auto"/>
                        <w:szCs w:val="21"/>
                        <w:rPrChange w:id="623" w:author="Sunny" w:date="2022-12-27T17:10:00Z">
                          <w:rPr>
                            <w:rFonts w:hint="eastAsia"/>
                          </w:rPr>
                        </w:rPrChange>
                      </w:rPr>
                      <w:t>）后经排气筒</w:t>
                    </w:r>
                  </w:ins>
                  <w:ins w:id="624" w:author="Sunny" w:date="2022-12-27T17:10:00Z">
                    <w:r>
                      <w:rPr>
                        <w:color w:val="auto"/>
                        <w:szCs w:val="21"/>
                        <w:rPrChange w:id="625" w:author="Sunny" w:date="2022-12-27T17:10:00Z">
                          <w:rPr/>
                        </w:rPrChange>
                      </w:rPr>
                      <w:t>DA002</w:t>
                    </w:r>
                  </w:ins>
                  <w:ins w:id="626" w:author="Sunny" w:date="2022-12-27T17:10:00Z">
                    <w:r>
                      <w:rPr>
                        <w:rFonts w:hint="eastAsia"/>
                        <w:color w:val="auto"/>
                        <w:szCs w:val="21"/>
                        <w:rPrChange w:id="627" w:author="Sunny" w:date="2022-12-27T17:10:00Z">
                          <w:rPr>
                            <w:rFonts w:hint="eastAsia"/>
                          </w:rPr>
                        </w:rPrChange>
                      </w:rPr>
                      <w:t>排放。</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4" w:hRule="atLeast"/>
              </w:trPr>
              <w:tc>
                <w:tcPr>
                  <w:tcW w:w="2705" w:type="pct"/>
                  <w:gridSpan w:val="4"/>
                  <w:tcBorders>
                    <w:right w:val="single" w:color="auto" w:sz="4" w:space="0"/>
                    <w:tl2br w:val="nil"/>
                    <w:tr2bl w:val="nil"/>
                  </w:tcBorders>
                  <w:shd w:val="clear" w:color="auto" w:fill="auto"/>
                  <w:noWrap/>
                  <w:vAlign w:val="center"/>
                </w:tcPr>
                <w:p>
                  <w:pPr>
                    <w:jc w:val="center"/>
                    <w:rPr>
                      <w:b/>
                      <w:bCs/>
                      <w:color w:val="auto"/>
                      <w:szCs w:val="21"/>
                    </w:rPr>
                  </w:pPr>
                  <w:r>
                    <w:rPr>
                      <w:b/>
                      <w:bCs/>
                      <w:color w:val="auto"/>
                      <w:kern w:val="0"/>
                      <w:szCs w:val="21"/>
                      <w:lang w:bidi="ar"/>
                    </w:rPr>
                    <w:t>共计</w:t>
                  </w:r>
                </w:p>
              </w:tc>
              <w:tc>
                <w:tcPr>
                  <w:tcW w:w="559" w:type="pct"/>
                  <w:tcBorders>
                    <w:left w:val="single" w:color="auto" w:sz="4" w:space="0"/>
                    <w:tl2br w:val="nil"/>
                    <w:tr2bl w:val="nil"/>
                  </w:tcBorders>
                  <w:shd w:val="clear" w:color="auto" w:fill="auto"/>
                  <w:noWrap/>
                  <w:vAlign w:val="center"/>
                </w:tcPr>
                <w:p>
                  <w:pPr>
                    <w:jc w:val="center"/>
                    <w:rPr>
                      <w:b/>
                      <w:bCs/>
                      <w:color w:val="auto"/>
                      <w:kern w:val="0"/>
                      <w:szCs w:val="21"/>
                      <w:lang w:bidi="ar"/>
                    </w:rPr>
                  </w:pPr>
                  <w:r>
                    <w:rPr>
                      <w:rFonts w:hint="eastAsia"/>
                      <w:b/>
                      <w:bCs/>
                      <w:color w:val="auto"/>
                      <w:kern w:val="0"/>
                      <w:szCs w:val="21"/>
                      <w:lang w:bidi="ar"/>
                    </w:rPr>
                    <w:t>100</w:t>
                  </w:r>
                </w:p>
              </w:tc>
              <w:tc>
                <w:tcPr>
                  <w:tcW w:w="1735" w:type="pct"/>
                  <w:tcBorders>
                    <w:tl2br w:val="nil"/>
                    <w:tr2bl w:val="nil"/>
                  </w:tcBorders>
                  <w:shd w:val="clear" w:color="auto" w:fill="auto"/>
                  <w:vAlign w:val="center"/>
                </w:tcPr>
                <w:p>
                  <w:pPr>
                    <w:jc w:val="center"/>
                    <w:rPr>
                      <w:b/>
                      <w:bCs/>
                      <w:color w:val="auto"/>
                      <w:szCs w:val="21"/>
                    </w:rPr>
                  </w:pPr>
                  <w:r>
                    <w:rPr>
                      <w:rFonts w:hint="eastAsia"/>
                      <w:b/>
                      <w:bCs/>
                      <w:color w:val="auto"/>
                      <w:szCs w:val="21"/>
                    </w:rPr>
                    <w:t>/</w:t>
                  </w:r>
                </w:p>
              </w:tc>
            </w:tr>
          </w:tbl>
          <w:p>
            <w:pPr>
              <w:pStyle w:val="3"/>
              <w:numPr>
                <w:ilvl w:val="0"/>
                <w:numId w:val="0"/>
              </w:numPr>
              <w:spacing w:line="360" w:lineRule="auto"/>
              <w:ind w:firstLine="480" w:firstLineChars="200"/>
              <w:rPr>
                <w:bCs/>
                <w:color w:val="auto"/>
                <w:sz w:val="24"/>
              </w:rPr>
            </w:pPr>
            <w:r>
              <w:rPr>
                <w:rFonts w:hint="eastAsia"/>
                <w:bCs/>
                <w:color w:val="auto"/>
                <w:sz w:val="24"/>
              </w:rPr>
              <w:t>由上表可知，塑粉使用量100t/a，附着于产品上的塑粉为90%，90t/a，塑粉成为一般固废4%，4t/a，塑粉成为粉尘6%，6t/a。</w:t>
            </w:r>
          </w:p>
          <w:p>
            <w:pPr>
              <w:adjustRightInd w:val="0"/>
              <w:snapToGrid w:val="0"/>
              <w:spacing w:line="360" w:lineRule="auto"/>
              <w:ind w:firstLine="482" w:firstLineChars="200"/>
              <w:jc w:val="left"/>
              <w:rPr>
                <w:b/>
                <w:color w:val="auto"/>
                <w:sz w:val="24"/>
                <w:vertAlign w:val="subscript"/>
              </w:rPr>
            </w:pPr>
            <w:r>
              <w:rPr>
                <w:b/>
                <w:color w:val="auto"/>
                <w:sz w:val="24"/>
              </w:rPr>
              <w:t>（</w:t>
            </w:r>
            <w:r>
              <w:rPr>
                <w:rFonts w:hint="eastAsia"/>
                <w:b/>
                <w:color w:val="auto"/>
                <w:sz w:val="24"/>
              </w:rPr>
              <w:t>4</w:t>
            </w:r>
            <w:r>
              <w:rPr>
                <w:b/>
                <w:color w:val="auto"/>
                <w:sz w:val="24"/>
              </w:rPr>
              <w:t>）</w:t>
            </w:r>
            <w:r>
              <w:rPr>
                <w:rFonts w:hint="eastAsia"/>
                <w:b/>
                <w:color w:val="auto"/>
                <w:sz w:val="24"/>
              </w:rPr>
              <w:t>喷粉工艺</w:t>
            </w:r>
            <w:r>
              <w:rPr>
                <w:b/>
                <w:color w:val="auto"/>
                <w:sz w:val="24"/>
              </w:rPr>
              <w:t>粉末固化工序产生有机废气（G</w:t>
            </w:r>
            <w:r>
              <w:rPr>
                <w:b/>
                <w:color w:val="auto"/>
                <w:sz w:val="24"/>
                <w:vertAlign w:val="subscript"/>
              </w:rPr>
              <w:t>2-3</w:t>
            </w:r>
            <w:r>
              <w:rPr>
                <w:b/>
                <w:color w:val="auto"/>
                <w:sz w:val="24"/>
              </w:rPr>
              <w:t>）</w:t>
            </w:r>
          </w:p>
          <w:p>
            <w:pPr>
              <w:pStyle w:val="23"/>
              <w:snapToGrid w:val="0"/>
              <w:spacing w:before="0" w:beforeAutospacing="0" w:after="0" w:afterAutospacing="0" w:line="360" w:lineRule="auto"/>
              <w:ind w:firstLine="480" w:firstLineChars="200"/>
              <w:jc w:val="both"/>
              <w:rPr>
                <w:ins w:id="628" w:author="Sunny" w:date="2022-12-27T17:19:00Z"/>
                <w:rFonts w:ascii="Times New Roman" w:hAnsi="Times New Roman"/>
                <w:color w:val="auto"/>
                <w:szCs w:val="24"/>
              </w:rPr>
            </w:pPr>
            <w:r>
              <w:rPr>
                <w:rFonts w:hint="eastAsia" w:ascii="Times New Roman" w:hAnsi="Times New Roman"/>
                <w:color w:val="auto"/>
                <w:szCs w:val="24"/>
              </w:rPr>
              <w:t>参考《喷塑行业污染物源强估算及治理方法探讨》中塑粉固化产生的有机废气为塑粉的0.3%-0.6%，本项目以最大值0.6%计，本项目附着的塑粉量为90t/a，则粉末固化工段产生的非甲烷总烃约0.54t/a。粉末固化产生的有机废气经喷粉烘干房管道收集（收集效率以95%计）后经二级活性炭吸附装置处理（处理效率90%）后排气筒DA003排放。</w:t>
            </w:r>
          </w:p>
          <w:p>
            <w:pPr>
              <w:pStyle w:val="23"/>
              <w:spacing w:before="0" w:beforeAutospacing="0" w:after="0" w:afterAutospacing="0" w:line="360" w:lineRule="auto"/>
              <w:ind w:firstLine="482" w:firstLineChars="200"/>
              <w:jc w:val="both"/>
              <w:rPr>
                <w:rFonts w:ascii="Times New Roman" w:hAnsi="Times New Roman"/>
                <w:b/>
                <w:bCs/>
                <w:color w:val="auto"/>
                <w:szCs w:val="24"/>
              </w:rPr>
            </w:pPr>
            <w:r>
              <w:rPr>
                <w:rFonts w:hint="eastAsia" w:ascii="Times New Roman" w:hAnsi="Times New Roman"/>
                <w:b/>
                <w:bCs/>
                <w:color w:val="auto"/>
                <w:szCs w:val="24"/>
              </w:rPr>
              <w:t>（5）危废仓库废气</w:t>
            </w:r>
          </w:p>
          <w:p>
            <w:pPr>
              <w:pStyle w:val="3"/>
              <w:numPr>
                <w:ilvl w:val="0"/>
                <w:numId w:val="0"/>
              </w:numPr>
              <w:spacing w:line="360" w:lineRule="auto"/>
              <w:ind w:firstLine="480" w:firstLineChars="200"/>
              <w:rPr>
                <w:color w:val="auto"/>
                <w:sz w:val="24"/>
              </w:rPr>
            </w:pPr>
            <w:r>
              <w:rPr>
                <w:color w:val="auto"/>
                <w:sz w:val="24"/>
              </w:rPr>
              <w:t>本项目建成后，危险废物的暂存依托现有危废仓库，暂存的危险废物种类包括脱脂</w:t>
            </w:r>
            <w:r>
              <w:rPr>
                <w:rFonts w:hint="eastAsia"/>
                <w:color w:val="auto"/>
                <w:sz w:val="24"/>
              </w:rPr>
              <w:t>废渣（液）</w:t>
            </w:r>
            <w:r>
              <w:rPr>
                <w:color w:val="auto"/>
                <w:sz w:val="24"/>
              </w:rPr>
              <w:t>、</w:t>
            </w:r>
            <w:r>
              <w:rPr>
                <w:rFonts w:hint="eastAsia"/>
                <w:color w:val="auto"/>
                <w:sz w:val="24"/>
              </w:rPr>
              <w:t>陶化废渣（液）</w:t>
            </w:r>
            <w:r>
              <w:rPr>
                <w:bCs/>
                <w:color w:val="auto"/>
                <w:sz w:val="24"/>
              </w:rPr>
              <w:t>、</w:t>
            </w:r>
            <w:r>
              <w:rPr>
                <w:color w:val="auto"/>
                <w:kern w:val="0"/>
                <w:sz w:val="24"/>
                <w:lang w:bidi="ar"/>
              </w:rPr>
              <w:t>废包装桶、</w:t>
            </w:r>
            <w:r>
              <w:rPr>
                <w:color w:val="auto"/>
                <w:sz w:val="24"/>
              </w:rPr>
              <w:t>废活性炭、</w:t>
            </w:r>
            <w:r>
              <w:rPr>
                <w:color w:val="auto"/>
                <w:kern w:val="0"/>
                <w:sz w:val="24"/>
                <w:lang w:bidi="ar"/>
              </w:rPr>
              <w:t>废油、</w:t>
            </w:r>
            <w:r>
              <w:rPr>
                <w:color w:val="auto"/>
                <w:sz w:val="24"/>
              </w:rPr>
              <w:t>含油废抹布手套、废油类包装桶、压滤污泥、浓缩蒸发液、废</w:t>
            </w:r>
            <w:r>
              <w:rPr>
                <w:rFonts w:hint="eastAsia"/>
                <w:color w:val="auto"/>
                <w:sz w:val="24"/>
              </w:rPr>
              <w:t>水过滤材料</w:t>
            </w:r>
            <w:r>
              <w:rPr>
                <w:color w:val="auto"/>
                <w:sz w:val="24"/>
              </w:rPr>
              <w:t>等</w:t>
            </w:r>
            <w:r>
              <w:rPr>
                <w:rFonts w:hint="eastAsia"/>
                <w:color w:val="auto"/>
                <w:sz w:val="24"/>
              </w:rPr>
              <w:t>。</w:t>
            </w:r>
          </w:p>
          <w:p>
            <w:pPr>
              <w:pStyle w:val="3"/>
              <w:numPr>
                <w:ilvl w:val="0"/>
                <w:numId w:val="0"/>
              </w:numPr>
              <w:spacing w:line="360" w:lineRule="auto"/>
              <w:ind w:firstLine="480" w:firstLineChars="200"/>
              <w:rPr>
                <w:color w:val="auto"/>
                <w:sz w:val="24"/>
              </w:rPr>
            </w:pPr>
            <w:r>
              <w:rPr>
                <w:color w:val="auto"/>
                <w:sz w:val="24"/>
              </w:rPr>
              <w:t>考虑到废包装桶、废</w:t>
            </w:r>
            <w:r>
              <w:rPr>
                <w:rFonts w:hint="eastAsia"/>
                <w:color w:val="auto"/>
                <w:sz w:val="24"/>
              </w:rPr>
              <w:t>水过滤材料</w:t>
            </w:r>
            <w:r>
              <w:rPr>
                <w:color w:val="auto"/>
                <w:sz w:val="24"/>
              </w:rPr>
              <w:t>中沾染的有机物含量较少，废气挥发量极少；依据建设单位提供资料，脱脂液、无磷转化剂中无挥发性有机气体。因此本次主要对危废仓库中储存的脱脂</w:t>
            </w:r>
            <w:r>
              <w:rPr>
                <w:rFonts w:hint="eastAsia"/>
                <w:color w:val="auto"/>
                <w:sz w:val="24"/>
              </w:rPr>
              <w:t>废渣（液）</w:t>
            </w:r>
            <w:r>
              <w:rPr>
                <w:color w:val="auto"/>
                <w:sz w:val="24"/>
              </w:rPr>
              <w:t>、</w:t>
            </w:r>
            <w:r>
              <w:rPr>
                <w:rFonts w:hint="eastAsia"/>
                <w:color w:val="auto"/>
                <w:sz w:val="24"/>
              </w:rPr>
              <w:t>陶化废渣（液）</w:t>
            </w:r>
            <w:r>
              <w:rPr>
                <w:bCs/>
                <w:color w:val="auto"/>
                <w:sz w:val="24"/>
              </w:rPr>
              <w:t>、</w:t>
            </w:r>
            <w:r>
              <w:rPr>
                <w:color w:val="auto"/>
                <w:sz w:val="24"/>
              </w:rPr>
              <w:t>废活性炭、</w:t>
            </w:r>
            <w:r>
              <w:rPr>
                <w:color w:val="auto"/>
                <w:kern w:val="0"/>
                <w:sz w:val="24"/>
                <w:lang w:bidi="ar"/>
              </w:rPr>
              <w:t>废油、</w:t>
            </w:r>
            <w:r>
              <w:rPr>
                <w:color w:val="auto"/>
                <w:sz w:val="24"/>
              </w:rPr>
              <w:t>含油废抹布手套</w:t>
            </w:r>
            <w:r>
              <w:rPr>
                <w:color w:val="auto"/>
                <w:kern w:val="0"/>
                <w:sz w:val="24"/>
                <w:lang w:bidi="ar"/>
              </w:rPr>
              <w:t>、</w:t>
            </w:r>
            <w:r>
              <w:rPr>
                <w:color w:val="auto"/>
                <w:sz w:val="24"/>
              </w:rPr>
              <w:t>压滤污泥等进行分析，废气以非甲烷总烃计。</w:t>
            </w:r>
          </w:p>
          <w:p>
            <w:pPr>
              <w:pStyle w:val="3"/>
              <w:numPr>
                <w:ilvl w:val="0"/>
                <w:numId w:val="0"/>
              </w:numPr>
              <w:spacing w:line="360" w:lineRule="auto"/>
              <w:ind w:firstLine="480" w:firstLineChars="200"/>
              <w:rPr>
                <w:color w:val="auto"/>
                <w:sz w:val="24"/>
              </w:rPr>
            </w:pPr>
            <w:r>
              <w:rPr>
                <w:color w:val="auto"/>
                <w:sz w:val="24"/>
              </w:rPr>
              <w:t>脱脂</w:t>
            </w:r>
            <w:r>
              <w:rPr>
                <w:rFonts w:hint="eastAsia"/>
                <w:color w:val="auto"/>
                <w:sz w:val="24"/>
              </w:rPr>
              <w:t>废渣（液）</w:t>
            </w:r>
            <w:r>
              <w:rPr>
                <w:color w:val="auto"/>
                <w:sz w:val="24"/>
              </w:rPr>
              <w:t>、</w:t>
            </w:r>
            <w:r>
              <w:rPr>
                <w:rFonts w:hint="eastAsia"/>
                <w:color w:val="auto"/>
                <w:sz w:val="24"/>
              </w:rPr>
              <w:t>陶化废渣（液）</w:t>
            </w:r>
            <w:r>
              <w:rPr>
                <w:bCs/>
                <w:color w:val="auto"/>
                <w:sz w:val="24"/>
              </w:rPr>
              <w:t>、</w:t>
            </w:r>
            <w:r>
              <w:rPr>
                <w:color w:val="auto"/>
                <w:sz w:val="24"/>
              </w:rPr>
              <w:t>废活性炭、</w:t>
            </w:r>
            <w:r>
              <w:rPr>
                <w:color w:val="auto"/>
                <w:kern w:val="0"/>
                <w:sz w:val="24"/>
                <w:lang w:bidi="ar"/>
              </w:rPr>
              <w:t>废油、</w:t>
            </w:r>
            <w:r>
              <w:rPr>
                <w:color w:val="auto"/>
                <w:sz w:val="24"/>
              </w:rPr>
              <w:t>含油废抹布手套</w:t>
            </w:r>
            <w:r>
              <w:rPr>
                <w:color w:val="auto"/>
                <w:kern w:val="0"/>
                <w:sz w:val="24"/>
                <w:lang w:bidi="ar"/>
              </w:rPr>
              <w:t>、</w:t>
            </w:r>
            <w:r>
              <w:rPr>
                <w:color w:val="auto"/>
                <w:sz w:val="24"/>
              </w:rPr>
              <w:t>压滤污泥等密闭储存，产生的有机废气类比《华进半导体封装先导技术研发中心有限公司年封装测试2500万颗半导体产品的先进封装与系统集成升级改造项目建设项目环境影响报告表》，挥发比例约为千分之一；废活性炭储存产生的有机废气类比《无锡戴卡轮毂制造有限公司危废仓库环保提升改造项目环境影响报告表》，挥发的有机废气占其中有机成分的5%。则本项目危废仓库废气产生情况见下表：</w:t>
            </w:r>
          </w:p>
          <w:p>
            <w:pPr>
              <w:pStyle w:val="6"/>
              <w:numPr>
                <w:ilvl w:val="0"/>
                <w:numId w:val="16"/>
              </w:numPr>
              <w:adjustRightInd w:val="0"/>
              <w:snapToGrid w:val="0"/>
              <w:ind w:firstLineChars="0"/>
              <w:jc w:val="center"/>
              <w:rPr>
                <w:bCs/>
                <w:color w:val="auto"/>
                <w:sz w:val="24"/>
              </w:rPr>
            </w:pPr>
            <w:r>
              <w:rPr>
                <w:b/>
                <w:bCs/>
                <w:color w:val="auto"/>
                <w:kern w:val="0"/>
                <w:sz w:val="24"/>
                <w:lang w:bidi="ar"/>
              </w:rPr>
              <w:t>危废仓库废气产生情况核算表</w:t>
            </w:r>
          </w:p>
          <w:tbl>
            <w:tblPr>
              <w:tblStyle w:val="26"/>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2000"/>
              <w:gridCol w:w="2471"/>
              <w:gridCol w:w="1407"/>
              <w:gridCol w:w="1997"/>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trPr>
              <w:tc>
                <w:tcPr>
                  <w:tcW w:w="1270" w:type="pct"/>
                  <w:vAlign w:val="center"/>
                </w:tcPr>
                <w:p>
                  <w:pPr>
                    <w:widowControl/>
                    <w:adjustRightInd w:val="0"/>
                    <w:snapToGrid w:val="0"/>
                    <w:spacing w:line="240" w:lineRule="exact"/>
                    <w:jc w:val="center"/>
                    <w:rPr>
                      <w:b/>
                      <w:bCs/>
                      <w:color w:val="auto"/>
                      <w:szCs w:val="21"/>
                    </w:rPr>
                  </w:pPr>
                  <w:r>
                    <w:rPr>
                      <w:b/>
                      <w:bCs/>
                      <w:color w:val="auto"/>
                      <w:szCs w:val="21"/>
                    </w:rPr>
                    <w:t>危废种类</w:t>
                  </w:r>
                </w:p>
              </w:tc>
              <w:tc>
                <w:tcPr>
                  <w:tcW w:w="1569" w:type="pct"/>
                  <w:vAlign w:val="center"/>
                </w:tcPr>
                <w:p>
                  <w:pPr>
                    <w:widowControl/>
                    <w:adjustRightInd w:val="0"/>
                    <w:snapToGrid w:val="0"/>
                    <w:spacing w:line="240" w:lineRule="exact"/>
                    <w:jc w:val="center"/>
                    <w:rPr>
                      <w:b/>
                      <w:bCs/>
                      <w:color w:val="auto"/>
                      <w:szCs w:val="21"/>
                    </w:rPr>
                  </w:pPr>
                  <w:r>
                    <w:rPr>
                      <w:b/>
                      <w:bCs/>
                      <w:color w:val="auto"/>
                      <w:szCs w:val="21"/>
                    </w:rPr>
                    <w:t>沾染有机物料数量（t/a）</w:t>
                  </w:r>
                </w:p>
              </w:tc>
              <w:tc>
                <w:tcPr>
                  <w:tcW w:w="893" w:type="pct"/>
                  <w:vAlign w:val="center"/>
                </w:tcPr>
                <w:p>
                  <w:pPr>
                    <w:widowControl/>
                    <w:adjustRightInd w:val="0"/>
                    <w:snapToGrid w:val="0"/>
                    <w:spacing w:line="240" w:lineRule="exact"/>
                    <w:jc w:val="center"/>
                    <w:rPr>
                      <w:b/>
                      <w:bCs/>
                      <w:color w:val="auto"/>
                      <w:szCs w:val="21"/>
                    </w:rPr>
                  </w:pPr>
                  <w:r>
                    <w:rPr>
                      <w:b/>
                      <w:bCs/>
                      <w:color w:val="auto"/>
                      <w:szCs w:val="21"/>
                    </w:rPr>
                    <w:t>产污系数</w:t>
                  </w:r>
                </w:p>
              </w:tc>
              <w:tc>
                <w:tcPr>
                  <w:tcW w:w="1268" w:type="pct"/>
                  <w:vAlign w:val="center"/>
                </w:tcPr>
                <w:p>
                  <w:pPr>
                    <w:widowControl/>
                    <w:adjustRightInd w:val="0"/>
                    <w:snapToGrid w:val="0"/>
                    <w:spacing w:line="240" w:lineRule="exact"/>
                    <w:jc w:val="center"/>
                    <w:rPr>
                      <w:b/>
                      <w:bCs/>
                      <w:color w:val="auto"/>
                      <w:szCs w:val="21"/>
                    </w:rPr>
                  </w:pPr>
                  <w:r>
                    <w:rPr>
                      <w:b/>
                      <w:bCs/>
                      <w:color w:val="auto"/>
                      <w:szCs w:val="21"/>
                    </w:rPr>
                    <w:t>废气产生量（t/a）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trPr>
              <w:tc>
                <w:tcPr>
                  <w:tcW w:w="1270" w:type="pct"/>
                  <w:vAlign w:val="center"/>
                </w:tcPr>
                <w:p>
                  <w:pPr>
                    <w:widowControl/>
                    <w:adjustRightInd w:val="0"/>
                    <w:snapToGrid w:val="0"/>
                    <w:spacing w:line="240" w:lineRule="exact"/>
                    <w:jc w:val="center"/>
                    <w:rPr>
                      <w:color w:val="auto"/>
                    </w:rPr>
                  </w:pPr>
                  <w:r>
                    <w:rPr>
                      <w:rFonts w:hint="eastAsia"/>
                      <w:color w:val="auto"/>
                    </w:rPr>
                    <w:t>脱脂废渣（液）、陶化废渣（液）、</w:t>
                  </w:r>
                  <w:r>
                    <w:rPr>
                      <w:color w:val="auto"/>
                    </w:rPr>
                    <w:t>废油、含油废抹布手套</w:t>
                  </w:r>
                  <w:r>
                    <w:rPr>
                      <w:rFonts w:hint="eastAsia"/>
                      <w:color w:val="auto"/>
                    </w:rPr>
                    <w:t>、压滤污泥</w:t>
                  </w:r>
                  <w:r>
                    <w:rPr>
                      <w:color w:val="auto"/>
                    </w:rPr>
                    <w:t>等</w:t>
                  </w:r>
                </w:p>
              </w:tc>
              <w:tc>
                <w:tcPr>
                  <w:tcW w:w="1569" w:type="pct"/>
                  <w:vAlign w:val="center"/>
                </w:tcPr>
                <w:p>
                  <w:pPr>
                    <w:widowControl/>
                    <w:adjustRightInd w:val="0"/>
                    <w:snapToGrid w:val="0"/>
                    <w:spacing w:line="240" w:lineRule="exact"/>
                    <w:jc w:val="center"/>
                    <w:rPr>
                      <w:color w:val="auto"/>
                      <w:szCs w:val="21"/>
                    </w:rPr>
                  </w:pPr>
                  <w:r>
                    <w:rPr>
                      <w:rFonts w:hint="eastAsia"/>
                      <w:color w:val="auto"/>
                      <w:szCs w:val="21"/>
                    </w:rPr>
                    <w:t>70.96</w:t>
                  </w:r>
                </w:p>
              </w:tc>
              <w:tc>
                <w:tcPr>
                  <w:tcW w:w="893" w:type="pct"/>
                  <w:vAlign w:val="center"/>
                </w:tcPr>
                <w:p>
                  <w:pPr>
                    <w:widowControl/>
                    <w:adjustRightInd w:val="0"/>
                    <w:snapToGrid w:val="0"/>
                    <w:spacing w:line="240" w:lineRule="exact"/>
                    <w:jc w:val="center"/>
                    <w:rPr>
                      <w:color w:val="auto"/>
                      <w:szCs w:val="21"/>
                    </w:rPr>
                  </w:pPr>
                  <w:r>
                    <w:rPr>
                      <w:color w:val="auto"/>
                      <w:szCs w:val="21"/>
                    </w:rPr>
                    <w:t>1‰</w:t>
                  </w:r>
                </w:p>
              </w:tc>
              <w:tc>
                <w:tcPr>
                  <w:tcW w:w="1268" w:type="pct"/>
                  <w:vAlign w:val="center"/>
                </w:tcPr>
                <w:p>
                  <w:pPr>
                    <w:widowControl/>
                    <w:jc w:val="center"/>
                    <w:textAlignment w:val="center"/>
                    <w:rPr>
                      <w:color w:val="auto"/>
                      <w:szCs w:val="21"/>
                    </w:rPr>
                  </w:pPr>
                  <w:r>
                    <w:rPr>
                      <w:rFonts w:hint="eastAsia"/>
                      <w:color w:val="auto"/>
                      <w:szCs w:val="21"/>
                    </w:rPr>
                    <w:t>0.0710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trPr>
              <w:tc>
                <w:tcPr>
                  <w:tcW w:w="1270" w:type="pct"/>
                  <w:vAlign w:val="center"/>
                </w:tcPr>
                <w:p>
                  <w:pPr>
                    <w:widowControl/>
                    <w:adjustRightInd w:val="0"/>
                    <w:snapToGrid w:val="0"/>
                    <w:spacing w:line="240" w:lineRule="exact"/>
                    <w:jc w:val="center"/>
                    <w:rPr>
                      <w:color w:val="auto"/>
                    </w:rPr>
                  </w:pPr>
                  <w:r>
                    <w:rPr>
                      <w:color w:val="auto"/>
                    </w:rPr>
                    <w:t>废活性炭</w:t>
                  </w:r>
                </w:p>
              </w:tc>
              <w:tc>
                <w:tcPr>
                  <w:tcW w:w="1569" w:type="pct"/>
                  <w:vAlign w:val="center"/>
                </w:tcPr>
                <w:p>
                  <w:pPr>
                    <w:widowControl/>
                    <w:adjustRightInd w:val="0"/>
                    <w:snapToGrid w:val="0"/>
                    <w:spacing w:line="240" w:lineRule="exact"/>
                    <w:jc w:val="center"/>
                    <w:rPr>
                      <w:color w:val="auto"/>
                      <w:szCs w:val="21"/>
                    </w:rPr>
                  </w:pPr>
                  <w:r>
                    <w:rPr>
                      <w:rFonts w:hint="eastAsia"/>
                      <w:color w:val="auto"/>
                      <w:szCs w:val="21"/>
                    </w:rPr>
                    <w:t>0.4617</w:t>
                  </w:r>
                </w:p>
              </w:tc>
              <w:tc>
                <w:tcPr>
                  <w:tcW w:w="893" w:type="pct"/>
                  <w:vAlign w:val="center"/>
                </w:tcPr>
                <w:p>
                  <w:pPr>
                    <w:widowControl/>
                    <w:adjustRightInd w:val="0"/>
                    <w:snapToGrid w:val="0"/>
                    <w:spacing w:line="240" w:lineRule="exact"/>
                    <w:jc w:val="center"/>
                    <w:rPr>
                      <w:color w:val="auto"/>
                      <w:szCs w:val="21"/>
                    </w:rPr>
                  </w:pPr>
                  <w:r>
                    <w:rPr>
                      <w:color w:val="auto"/>
                      <w:szCs w:val="21"/>
                    </w:rPr>
                    <w:t>5%</w:t>
                  </w:r>
                </w:p>
              </w:tc>
              <w:tc>
                <w:tcPr>
                  <w:tcW w:w="1268" w:type="pct"/>
                  <w:vAlign w:val="center"/>
                </w:tcPr>
                <w:p>
                  <w:pPr>
                    <w:widowControl/>
                    <w:jc w:val="center"/>
                    <w:textAlignment w:val="center"/>
                    <w:rPr>
                      <w:color w:val="auto"/>
                      <w:szCs w:val="21"/>
                    </w:rPr>
                  </w:pPr>
                  <w:r>
                    <w:rPr>
                      <w:color w:val="auto"/>
                      <w:szCs w:val="21"/>
                    </w:rPr>
                    <w:t>0.0231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9" w:hRule="atLeast"/>
              </w:trPr>
              <w:tc>
                <w:tcPr>
                  <w:tcW w:w="3732" w:type="pct"/>
                  <w:gridSpan w:val="3"/>
                  <w:vAlign w:val="center"/>
                </w:tcPr>
                <w:p>
                  <w:pPr>
                    <w:widowControl/>
                    <w:adjustRightInd w:val="0"/>
                    <w:snapToGrid w:val="0"/>
                    <w:spacing w:line="240" w:lineRule="exact"/>
                    <w:jc w:val="center"/>
                    <w:rPr>
                      <w:b/>
                      <w:bCs/>
                      <w:color w:val="auto"/>
                      <w:szCs w:val="21"/>
                    </w:rPr>
                  </w:pPr>
                  <w:r>
                    <w:rPr>
                      <w:b/>
                      <w:bCs/>
                      <w:color w:val="auto"/>
                      <w:szCs w:val="21"/>
                    </w:rPr>
                    <w:t>合计</w:t>
                  </w:r>
                </w:p>
              </w:tc>
              <w:tc>
                <w:tcPr>
                  <w:tcW w:w="1268" w:type="pct"/>
                  <w:vAlign w:val="center"/>
                </w:tcPr>
                <w:p>
                  <w:pPr>
                    <w:widowControl/>
                    <w:jc w:val="center"/>
                    <w:textAlignment w:val="center"/>
                    <w:rPr>
                      <w:b/>
                      <w:bCs/>
                      <w:color w:val="auto"/>
                      <w:szCs w:val="21"/>
                    </w:rPr>
                  </w:pPr>
                  <w:r>
                    <w:rPr>
                      <w:rFonts w:hint="eastAsia"/>
                      <w:b/>
                      <w:bCs/>
                      <w:color w:val="auto"/>
                      <w:szCs w:val="21"/>
                    </w:rPr>
                    <w:t>0.0940</w:t>
                  </w:r>
                </w:p>
              </w:tc>
            </w:tr>
          </w:tbl>
          <w:p>
            <w:pPr>
              <w:pStyle w:val="23"/>
              <w:snapToGrid w:val="0"/>
              <w:spacing w:before="0" w:beforeAutospacing="0" w:after="0" w:afterAutospacing="0" w:line="360" w:lineRule="auto"/>
              <w:ind w:firstLine="480" w:firstLineChars="200"/>
              <w:rPr>
                <w:color w:val="auto"/>
              </w:rPr>
            </w:pPr>
            <w:r>
              <w:rPr>
                <w:rFonts w:hint="eastAsia"/>
                <w:color w:val="auto"/>
              </w:rPr>
              <w:t>危废仓库有机废气换风收集经二级活性炭吸附后无组织排放</w:t>
            </w:r>
            <w:r>
              <w:rPr>
                <w:rFonts w:hint="eastAsia"/>
                <w:color w:val="auto"/>
                <w:lang w:eastAsia="zh-CN"/>
              </w:rPr>
              <w:t>，</w:t>
            </w:r>
            <w:r>
              <w:rPr>
                <w:rFonts w:hint="eastAsia"/>
                <w:color w:val="auto"/>
                <w:lang w:val="en-US" w:eastAsia="zh-CN"/>
              </w:rPr>
              <w:t>收集效率95%</w:t>
            </w:r>
            <w:r>
              <w:rPr>
                <w:rFonts w:hint="eastAsia"/>
                <w:color w:val="auto"/>
                <w:lang w:eastAsia="zh-CN"/>
              </w:rPr>
              <w:t>、处理效率</w:t>
            </w:r>
            <w:r>
              <w:rPr>
                <w:rFonts w:hint="eastAsia"/>
                <w:color w:val="auto"/>
                <w:lang w:val="en-US" w:eastAsia="zh-CN"/>
              </w:rPr>
              <w:t>90%，</w:t>
            </w:r>
            <w:r>
              <w:rPr>
                <w:rFonts w:hint="eastAsia"/>
                <w:color w:val="auto"/>
              </w:rPr>
              <w:t>因危废仓库建于厂房</w:t>
            </w:r>
            <w:r>
              <w:rPr>
                <w:rFonts w:hint="default" w:ascii="Times New Roman" w:hAnsi="Times New Roman" w:eastAsia="宋体" w:cs="Times New Roman"/>
                <w:color w:val="auto"/>
                <w:sz w:val="24"/>
                <w:szCs w:val="24"/>
              </w:rPr>
              <w:t>外</w:t>
            </w:r>
            <w:r>
              <w:rPr>
                <w:rFonts w:hint="eastAsia" w:ascii="Times New Roman" w:hAnsi="Times New Roman" w:cs="Times New Roman"/>
                <w:color w:val="auto"/>
                <w:sz w:val="24"/>
                <w:szCs w:val="24"/>
                <w:lang w:eastAsia="zh-CN"/>
              </w:rPr>
              <w:t>且</w:t>
            </w:r>
            <w:r>
              <w:rPr>
                <w:rFonts w:hint="default" w:ascii="Times New Roman" w:hAnsi="Times New Roman" w:eastAsia="宋体" w:cs="Times New Roman"/>
                <w:color w:val="auto"/>
                <w:sz w:val="24"/>
                <w:szCs w:val="24"/>
                <w:lang w:val="en-US" w:eastAsia="zh-CN"/>
              </w:rPr>
              <w:t>高度</w:t>
            </w:r>
            <w:r>
              <w:rPr>
                <w:rFonts w:hint="eastAsia" w:ascii="Times New Roman" w:hAnsi="Times New Roman" w:cs="Times New Roman"/>
                <w:color w:val="auto"/>
                <w:sz w:val="24"/>
                <w:szCs w:val="24"/>
                <w:lang w:val="en-US" w:eastAsia="zh-CN"/>
              </w:rPr>
              <w:t>较低（</w:t>
            </w:r>
            <w:r>
              <w:rPr>
                <w:rFonts w:hint="default" w:ascii="Times New Roman" w:hAnsi="Times New Roman" w:eastAsia="宋体" w:cs="Times New Roman"/>
                <w:color w:val="auto"/>
                <w:sz w:val="24"/>
                <w:szCs w:val="24"/>
                <w:lang w:val="en-US" w:eastAsia="zh-CN"/>
              </w:rPr>
              <w:t>约5m</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eastAsia"/>
                <w:color w:val="auto"/>
                <w:lang w:val="en-US" w:eastAsia="zh-CN"/>
              </w:rPr>
              <w:t>考虑安全隐患</w:t>
            </w:r>
            <w:r>
              <w:rPr>
                <w:rFonts w:hint="eastAsia"/>
                <w:color w:val="auto"/>
              </w:rPr>
              <w:t>，</w:t>
            </w:r>
            <w:r>
              <w:rPr>
                <w:rFonts w:hint="eastAsia"/>
                <w:color w:val="auto"/>
                <w:lang w:eastAsia="zh-CN"/>
              </w:rPr>
              <w:t>废气收集处理后</w:t>
            </w:r>
            <w:r>
              <w:rPr>
                <w:rFonts w:hint="eastAsia"/>
                <w:color w:val="auto"/>
              </w:rPr>
              <w:t>无组织排放。</w:t>
            </w:r>
          </w:p>
          <w:p>
            <w:pPr>
              <w:pStyle w:val="23"/>
              <w:snapToGrid w:val="0"/>
              <w:spacing w:before="0" w:beforeAutospacing="0" w:after="0" w:afterAutospacing="0" w:line="360" w:lineRule="auto"/>
              <w:ind w:firstLine="480" w:firstLineChars="200"/>
              <w:rPr>
                <w:rFonts w:ascii="Times New Roman" w:hAnsi="Times New Roman"/>
                <w:b/>
                <w:bCs/>
                <w:color w:val="auto"/>
                <w:szCs w:val="36"/>
              </w:rPr>
            </w:pPr>
            <w:r>
              <w:rPr>
                <w:rFonts w:ascii="Times New Roman" w:hAnsi="Times New Roman"/>
                <w:color w:val="auto"/>
              </w:rPr>
              <w:t>项目废气污染物产生情况见下表：</w:t>
            </w:r>
          </w:p>
          <w:p>
            <w:pPr>
              <w:pStyle w:val="6"/>
              <w:numPr>
                <w:ilvl w:val="0"/>
                <w:numId w:val="16"/>
              </w:numPr>
              <w:adjustRightInd w:val="0"/>
              <w:snapToGrid w:val="0"/>
              <w:ind w:firstLineChars="0"/>
              <w:jc w:val="center"/>
              <w:rPr>
                <w:b/>
                <w:bCs/>
                <w:color w:val="auto"/>
                <w:sz w:val="24"/>
                <w:szCs w:val="36"/>
              </w:rPr>
            </w:pPr>
            <w:r>
              <w:rPr>
                <w:b/>
                <w:bCs/>
                <w:color w:val="auto"/>
                <w:sz w:val="24"/>
                <w:szCs w:val="36"/>
              </w:rPr>
              <w:t>本项目废气污染物产生情况表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72"/>
              <w:gridCol w:w="1245"/>
              <w:gridCol w:w="1020"/>
              <w:gridCol w:w="1890"/>
              <w:gridCol w:w="565"/>
              <w:gridCol w:w="1040"/>
              <w:gridCol w:w="9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44" w:type="pct"/>
                  <w:vAlign w:val="center"/>
                </w:tcPr>
                <w:p>
                  <w:pPr>
                    <w:jc w:val="center"/>
                    <w:rPr>
                      <w:b/>
                      <w:bCs/>
                      <w:color w:val="auto"/>
                      <w:szCs w:val="21"/>
                    </w:rPr>
                  </w:pPr>
                  <w:r>
                    <w:rPr>
                      <w:b/>
                      <w:bCs/>
                      <w:color w:val="auto"/>
                      <w:szCs w:val="21"/>
                    </w:rPr>
                    <w:t>产生工序</w:t>
                  </w:r>
                </w:p>
              </w:tc>
              <w:tc>
                <w:tcPr>
                  <w:tcW w:w="790" w:type="pct"/>
                  <w:vAlign w:val="center"/>
                </w:tcPr>
                <w:p>
                  <w:pPr>
                    <w:jc w:val="center"/>
                    <w:rPr>
                      <w:b/>
                      <w:bCs/>
                      <w:color w:val="auto"/>
                      <w:szCs w:val="21"/>
                    </w:rPr>
                  </w:pPr>
                  <w:r>
                    <w:rPr>
                      <w:b/>
                      <w:bCs/>
                      <w:color w:val="auto"/>
                      <w:szCs w:val="21"/>
                    </w:rPr>
                    <w:t>污染物</w:t>
                  </w:r>
                </w:p>
              </w:tc>
              <w:tc>
                <w:tcPr>
                  <w:tcW w:w="647" w:type="pct"/>
                  <w:vAlign w:val="center"/>
                </w:tcPr>
                <w:p>
                  <w:pPr>
                    <w:jc w:val="center"/>
                    <w:rPr>
                      <w:b/>
                      <w:bCs/>
                      <w:color w:val="auto"/>
                      <w:szCs w:val="21"/>
                    </w:rPr>
                  </w:pPr>
                  <w:r>
                    <w:rPr>
                      <w:b/>
                      <w:bCs/>
                      <w:color w:val="auto"/>
                      <w:szCs w:val="21"/>
                    </w:rPr>
                    <w:t>产生量t/a</w:t>
                  </w:r>
                </w:p>
              </w:tc>
              <w:tc>
                <w:tcPr>
                  <w:tcW w:w="1200" w:type="pct"/>
                  <w:vAlign w:val="center"/>
                </w:tcPr>
                <w:p>
                  <w:pPr>
                    <w:jc w:val="center"/>
                    <w:rPr>
                      <w:b/>
                      <w:bCs/>
                      <w:color w:val="auto"/>
                      <w:szCs w:val="21"/>
                    </w:rPr>
                  </w:pPr>
                  <w:r>
                    <w:rPr>
                      <w:b/>
                      <w:bCs/>
                      <w:color w:val="auto"/>
                      <w:szCs w:val="21"/>
                    </w:rPr>
                    <w:t>收集方式</w:t>
                  </w:r>
                </w:p>
              </w:tc>
              <w:tc>
                <w:tcPr>
                  <w:tcW w:w="358" w:type="pct"/>
                  <w:vAlign w:val="center"/>
                </w:tcPr>
                <w:p>
                  <w:pPr>
                    <w:jc w:val="center"/>
                    <w:rPr>
                      <w:b/>
                      <w:bCs/>
                      <w:color w:val="auto"/>
                      <w:szCs w:val="21"/>
                    </w:rPr>
                  </w:pPr>
                  <w:r>
                    <w:rPr>
                      <w:b/>
                      <w:bCs/>
                      <w:color w:val="auto"/>
                      <w:szCs w:val="21"/>
                    </w:rPr>
                    <w:t>捕集率</w:t>
                  </w:r>
                </w:p>
              </w:tc>
              <w:tc>
                <w:tcPr>
                  <w:tcW w:w="660" w:type="pct"/>
                  <w:vAlign w:val="center"/>
                </w:tcPr>
                <w:p>
                  <w:pPr>
                    <w:jc w:val="center"/>
                    <w:rPr>
                      <w:b/>
                      <w:bCs/>
                      <w:color w:val="auto"/>
                      <w:szCs w:val="21"/>
                    </w:rPr>
                  </w:pPr>
                  <w:r>
                    <w:rPr>
                      <w:b/>
                      <w:bCs/>
                      <w:color w:val="auto"/>
                      <w:szCs w:val="21"/>
                    </w:rPr>
                    <w:t>捕集到的量t/a</w:t>
                  </w:r>
                </w:p>
              </w:tc>
              <w:tc>
                <w:tcPr>
                  <w:tcW w:w="598" w:type="pct"/>
                  <w:vAlign w:val="center"/>
                </w:tcPr>
                <w:p>
                  <w:pPr>
                    <w:jc w:val="center"/>
                    <w:rPr>
                      <w:b/>
                      <w:bCs/>
                      <w:color w:val="auto"/>
                      <w:szCs w:val="21"/>
                    </w:rPr>
                  </w:pPr>
                  <w:r>
                    <w:rPr>
                      <w:b/>
                      <w:bCs/>
                      <w:color w:val="auto"/>
                      <w:szCs w:val="21"/>
                    </w:rPr>
                    <w:t>未捕集到的量t/a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44" w:type="pct"/>
                  <w:vAlign w:val="center"/>
                </w:tcPr>
                <w:p>
                  <w:pPr>
                    <w:jc w:val="center"/>
                    <w:rPr>
                      <w:color w:val="auto"/>
                      <w:szCs w:val="21"/>
                    </w:rPr>
                  </w:pPr>
                  <w:r>
                    <w:rPr>
                      <w:rFonts w:hint="eastAsia"/>
                      <w:color w:val="auto"/>
                      <w:szCs w:val="21"/>
                    </w:rPr>
                    <w:t>冲压件打磨粉尘</w:t>
                  </w:r>
                </w:p>
              </w:tc>
              <w:tc>
                <w:tcPr>
                  <w:tcW w:w="790" w:type="pct"/>
                  <w:vAlign w:val="center"/>
                </w:tcPr>
                <w:p>
                  <w:pPr>
                    <w:snapToGrid w:val="0"/>
                    <w:jc w:val="center"/>
                    <w:rPr>
                      <w:color w:val="auto"/>
                      <w:szCs w:val="21"/>
                    </w:rPr>
                  </w:pPr>
                  <w:r>
                    <w:rPr>
                      <w:color w:val="auto"/>
                      <w:szCs w:val="21"/>
                    </w:rPr>
                    <w:t>颗粒物</w:t>
                  </w:r>
                </w:p>
              </w:tc>
              <w:tc>
                <w:tcPr>
                  <w:tcW w:w="647" w:type="pct"/>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bidi="ar"/>
                    </w:rPr>
                    <w:t>0.0</w:t>
                  </w:r>
                  <w:r>
                    <w:rPr>
                      <w:rFonts w:hint="eastAsia"/>
                      <w:color w:val="auto"/>
                      <w:kern w:val="0"/>
                      <w:szCs w:val="21"/>
                      <w:lang w:val="en-US" w:eastAsia="zh-CN" w:bidi="ar"/>
                    </w:rPr>
                    <w:t>565</w:t>
                  </w:r>
                </w:p>
              </w:tc>
              <w:tc>
                <w:tcPr>
                  <w:tcW w:w="1200" w:type="pct"/>
                  <w:vAlign w:val="center"/>
                </w:tcPr>
                <w:p>
                  <w:pPr>
                    <w:widowControl/>
                    <w:jc w:val="center"/>
                    <w:textAlignment w:val="center"/>
                    <w:rPr>
                      <w:color w:val="auto"/>
                      <w:szCs w:val="21"/>
                    </w:rPr>
                  </w:pPr>
                  <w:r>
                    <w:rPr>
                      <w:rFonts w:hint="eastAsia"/>
                      <w:color w:val="auto"/>
                      <w:szCs w:val="21"/>
                    </w:rPr>
                    <w:t>集气罩</w:t>
                  </w:r>
                  <w:ins w:id="629" w:author="Sunny" w:date="2022-12-27T17:26:00Z">
                    <w:r>
                      <w:rPr>
                        <w:rFonts w:hint="eastAsia"/>
                        <w:color w:val="auto"/>
                        <w:szCs w:val="21"/>
                      </w:rPr>
                      <w:t>收集</w:t>
                    </w:r>
                  </w:ins>
                </w:p>
              </w:tc>
              <w:tc>
                <w:tcPr>
                  <w:tcW w:w="358" w:type="pct"/>
                  <w:vAlign w:val="center"/>
                </w:tcPr>
                <w:p>
                  <w:pPr>
                    <w:widowControl/>
                    <w:jc w:val="center"/>
                    <w:textAlignment w:val="center"/>
                    <w:rPr>
                      <w:color w:val="auto"/>
                      <w:szCs w:val="21"/>
                    </w:rPr>
                  </w:pPr>
                  <w:r>
                    <w:rPr>
                      <w:rFonts w:hint="eastAsia"/>
                      <w:color w:val="auto"/>
                      <w:szCs w:val="21"/>
                    </w:rPr>
                    <w:t>90%</w:t>
                  </w:r>
                </w:p>
              </w:tc>
              <w:tc>
                <w:tcPr>
                  <w:tcW w:w="660" w:type="pct"/>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bidi="ar"/>
                    </w:rPr>
                    <w:t>0.0</w:t>
                  </w:r>
                  <w:r>
                    <w:rPr>
                      <w:rFonts w:hint="eastAsia"/>
                      <w:color w:val="auto"/>
                      <w:kern w:val="0"/>
                      <w:szCs w:val="21"/>
                      <w:lang w:val="en-US" w:eastAsia="zh-CN" w:bidi="ar"/>
                    </w:rPr>
                    <w:t>509</w:t>
                  </w:r>
                </w:p>
              </w:tc>
              <w:tc>
                <w:tcPr>
                  <w:tcW w:w="598" w:type="pct"/>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bidi="ar"/>
                    </w:rPr>
                    <w:t>0.00</w:t>
                  </w:r>
                  <w:r>
                    <w:rPr>
                      <w:rFonts w:hint="eastAsia"/>
                      <w:color w:val="auto"/>
                      <w:kern w:val="0"/>
                      <w:szCs w:val="21"/>
                      <w:lang w:val="en-US" w:eastAsia="zh-CN" w:bidi="ar"/>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44" w:type="pct"/>
                  <w:vMerge w:val="restart"/>
                  <w:vAlign w:val="center"/>
                </w:tcPr>
                <w:p>
                  <w:pPr>
                    <w:jc w:val="center"/>
                    <w:rPr>
                      <w:color w:val="auto"/>
                      <w:szCs w:val="21"/>
                    </w:rPr>
                  </w:pPr>
                  <w:r>
                    <w:rPr>
                      <w:color w:val="auto"/>
                      <w:szCs w:val="21"/>
                    </w:rPr>
                    <w:t>天然气燃烧</w:t>
                  </w:r>
                </w:p>
              </w:tc>
              <w:tc>
                <w:tcPr>
                  <w:tcW w:w="790" w:type="pct"/>
                  <w:vAlign w:val="center"/>
                </w:tcPr>
                <w:p>
                  <w:pPr>
                    <w:snapToGrid w:val="0"/>
                    <w:jc w:val="center"/>
                    <w:rPr>
                      <w:color w:val="auto"/>
                      <w:szCs w:val="21"/>
                    </w:rPr>
                  </w:pPr>
                  <w:r>
                    <w:rPr>
                      <w:color w:val="auto"/>
                      <w:szCs w:val="21"/>
                    </w:rPr>
                    <w:t>颗粒物</w:t>
                  </w:r>
                </w:p>
              </w:tc>
              <w:tc>
                <w:tcPr>
                  <w:tcW w:w="647" w:type="pct"/>
                  <w:vAlign w:val="center"/>
                </w:tcPr>
                <w:p>
                  <w:pPr>
                    <w:widowControl/>
                    <w:jc w:val="center"/>
                    <w:textAlignment w:val="center"/>
                    <w:rPr>
                      <w:color w:val="auto"/>
                      <w:szCs w:val="21"/>
                    </w:rPr>
                  </w:pPr>
                  <w:ins w:id="630" w:author="Sunny" w:date="2022-12-27T17:27:00Z">
                    <w:r>
                      <w:rPr>
                        <w:rFonts w:hint="eastAsia"/>
                        <w:color w:val="auto"/>
                        <w:szCs w:val="21"/>
                      </w:rPr>
                      <w:t>0.051</w:t>
                    </w:r>
                  </w:ins>
                  <w:r>
                    <w:rPr>
                      <w:rFonts w:hint="eastAsia"/>
                      <w:color w:val="auto"/>
                      <w:szCs w:val="21"/>
                    </w:rPr>
                    <w:t>5</w:t>
                  </w:r>
                </w:p>
              </w:tc>
              <w:tc>
                <w:tcPr>
                  <w:tcW w:w="1200" w:type="pct"/>
                  <w:vAlign w:val="center"/>
                </w:tcPr>
                <w:p>
                  <w:pPr>
                    <w:widowControl/>
                    <w:jc w:val="center"/>
                    <w:textAlignment w:val="center"/>
                    <w:rPr>
                      <w:color w:val="auto"/>
                      <w:szCs w:val="21"/>
                    </w:rPr>
                  </w:pPr>
                  <w:r>
                    <w:rPr>
                      <w:rFonts w:hint="eastAsia"/>
                      <w:color w:val="auto"/>
                      <w:lang w:val="en-US" w:eastAsia="zh-CN"/>
                    </w:rPr>
                    <w:t>燃烧尾气</w:t>
                  </w:r>
                  <w:r>
                    <w:rPr>
                      <w:rFonts w:hint="eastAsia"/>
                      <w:color w:val="auto"/>
                      <w:szCs w:val="21"/>
                    </w:rPr>
                    <w:t>管道收集</w:t>
                  </w:r>
                </w:p>
              </w:tc>
              <w:tc>
                <w:tcPr>
                  <w:tcW w:w="358" w:type="pct"/>
                  <w:vAlign w:val="center"/>
                </w:tcPr>
                <w:p>
                  <w:pPr>
                    <w:widowControl/>
                    <w:jc w:val="center"/>
                    <w:textAlignment w:val="center"/>
                    <w:rPr>
                      <w:color w:val="auto"/>
                      <w:szCs w:val="21"/>
                    </w:rPr>
                  </w:pPr>
                  <w:r>
                    <w:rPr>
                      <w:rFonts w:hint="eastAsia"/>
                      <w:color w:val="auto"/>
                      <w:szCs w:val="21"/>
                    </w:rPr>
                    <w:t>100%</w:t>
                  </w:r>
                </w:p>
              </w:tc>
              <w:tc>
                <w:tcPr>
                  <w:tcW w:w="660" w:type="pct"/>
                  <w:vAlign w:val="center"/>
                </w:tcPr>
                <w:p>
                  <w:pPr>
                    <w:widowControl/>
                    <w:jc w:val="center"/>
                    <w:textAlignment w:val="center"/>
                    <w:rPr>
                      <w:color w:val="auto"/>
                      <w:szCs w:val="21"/>
                    </w:rPr>
                  </w:pPr>
                  <w:r>
                    <w:rPr>
                      <w:rFonts w:hint="eastAsia"/>
                      <w:color w:val="auto"/>
                      <w:szCs w:val="21"/>
                    </w:rPr>
                    <w:t>0.0515</w:t>
                  </w:r>
                </w:p>
              </w:tc>
              <w:tc>
                <w:tcPr>
                  <w:tcW w:w="598" w:type="pct"/>
                  <w:vAlign w:val="center"/>
                </w:tcPr>
                <w:p>
                  <w:pPr>
                    <w:widowControl/>
                    <w:jc w:val="center"/>
                    <w:textAlignment w:val="center"/>
                    <w:rPr>
                      <w:color w:val="auto"/>
                      <w:szCs w:val="21"/>
                    </w:rPr>
                  </w:pPr>
                  <w:r>
                    <w:rPr>
                      <w:rFonts w:hint="eastAsia"/>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44" w:type="pct"/>
                  <w:vMerge w:val="continue"/>
                  <w:vAlign w:val="center"/>
                </w:tcPr>
                <w:p>
                  <w:pPr>
                    <w:jc w:val="center"/>
                    <w:rPr>
                      <w:color w:val="auto"/>
                      <w:szCs w:val="21"/>
                    </w:rPr>
                  </w:pPr>
                </w:p>
              </w:tc>
              <w:tc>
                <w:tcPr>
                  <w:tcW w:w="790" w:type="pct"/>
                  <w:vAlign w:val="center"/>
                </w:tcPr>
                <w:p>
                  <w:pPr>
                    <w:snapToGrid w:val="0"/>
                    <w:jc w:val="center"/>
                    <w:rPr>
                      <w:color w:val="auto"/>
                      <w:szCs w:val="21"/>
                    </w:rPr>
                  </w:pPr>
                  <w:r>
                    <w:rPr>
                      <w:color w:val="auto"/>
                      <w:szCs w:val="21"/>
                    </w:rPr>
                    <w:t>SO</w:t>
                  </w:r>
                  <w:r>
                    <w:rPr>
                      <w:color w:val="auto"/>
                      <w:szCs w:val="21"/>
                      <w:vertAlign w:val="subscript"/>
                    </w:rPr>
                    <w:t>2</w:t>
                  </w:r>
                </w:p>
              </w:tc>
              <w:tc>
                <w:tcPr>
                  <w:tcW w:w="647" w:type="pct"/>
                  <w:vAlign w:val="center"/>
                </w:tcPr>
                <w:p>
                  <w:pPr>
                    <w:widowControl/>
                    <w:jc w:val="center"/>
                    <w:textAlignment w:val="center"/>
                    <w:rPr>
                      <w:color w:val="auto"/>
                      <w:szCs w:val="21"/>
                    </w:rPr>
                  </w:pPr>
                  <w:ins w:id="631" w:author="Sunny" w:date="2022-12-27T17:27:00Z">
                    <w:r>
                      <w:rPr>
                        <w:rFonts w:hint="eastAsia"/>
                        <w:color w:val="auto"/>
                        <w:szCs w:val="21"/>
                      </w:rPr>
                      <w:t>0.0072</w:t>
                    </w:r>
                  </w:ins>
                </w:p>
              </w:tc>
              <w:tc>
                <w:tcPr>
                  <w:tcW w:w="1200" w:type="pct"/>
                  <w:vAlign w:val="center"/>
                </w:tcPr>
                <w:p>
                  <w:pPr>
                    <w:widowControl/>
                    <w:jc w:val="center"/>
                    <w:textAlignment w:val="center"/>
                    <w:rPr>
                      <w:color w:val="auto"/>
                      <w:szCs w:val="21"/>
                    </w:rPr>
                  </w:pPr>
                  <w:r>
                    <w:rPr>
                      <w:rFonts w:hint="eastAsia"/>
                      <w:color w:val="auto"/>
                      <w:lang w:val="en-US" w:eastAsia="zh-CN"/>
                    </w:rPr>
                    <w:t>燃烧尾气</w:t>
                  </w:r>
                  <w:r>
                    <w:rPr>
                      <w:rFonts w:hint="eastAsia"/>
                      <w:color w:val="auto"/>
                      <w:szCs w:val="21"/>
                    </w:rPr>
                    <w:t>管道收集</w:t>
                  </w:r>
                </w:p>
              </w:tc>
              <w:tc>
                <w:tcPr>
                  <w:tcW w:w="358" w:type="pct"/>
                  <w:vAlign w:val="center"/>
                </w:tcPr>
                <w:p>
                  <w:pPr>
                    <w:widowControl/>
                    <w:jc w:val="center"/>
                    <w:textAlignment w:val="center"/>
                    <w:rPr>
                      <w:color w:val="auto"/>
                      <w:szCs w:val="21"/>
                    </w:rPr>
                  </w:pPr>
                  <w:r>
                    <w:rPr>
                      <w:rFonts w:hint="eastAsia"/>
                      <w:color w:val="auto"/>
                      <w:szCs w:val="21"/>
                    </w:rPr>
                    <w:t>100%</w:t>
                  </w:r>
                </w:p>
              </w:tc>
              <w:tc>
                <w:tcPr>
                  <w:tcW w:w="660" w:type="pct"/>
                  <w:vAlign w:val="center"/>
                </w:tcPr>
                <w:p>
                  <w:pPr>
                    <w:widowControl/>
                    <w:jc w:val="center"/>
                    <w:textAlignment w:val="center"/>
                    <w:rPr>
                      <w:color w:val="auto"/>
                      <w:szCs w:val="21"/>
                    </w:rPr>
                  </w:pPr>
                  <w:r>
                    <w:rPr>
                      <w:rFonts w:hint="eastAsia"/>
                      <w:color w:val="auto"/>
                      <w:szCs w:val="21"/>
                    </w:rPr>
                    <w:t>0.0072</w:t>
                  </w:r>
                </w:p>
              </w:tc>
              <w:tc>
                <w:tcPr>
                  <w:tcW w:w="598" w:type="pct"/>
                  <w:vAlign w:val="center"/>
                </w:tcPr>
                <w:p>
                  <w:pPr>
                    <w:widowControl/>
                    <w:jc w:val="center"/>
                    <w:textAlignment w:val="center"/>
                    <w:rPr>
                      <w:color w:val="auto"/>
                      <w:szCs w:val="21"/>
                    </w:rPr>
                  </w:pPr>
                  <w:r>
                    <w:rPr>
                      <w:rFonts w:hint="eastAsia"/>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44" w:type="pct"/>
                  <w:vMerge w:val="continue"/>
                  <w:vAlign w:val="center"/>
                </w:tcPr>
                <w:p>
                  <w:pPr>
                    <w:jc w:val="center"/>
                    <w:rPr>
                      <w:color w:val="auto"/>
                      <w:szCs w:val="21"/>
                    </w:rPr>
                  </w:pPr>
                </w:p>
              </w:tc>
              <w:tc>
                <w:tcPr>
                  <w:tcW w:w="790" w:type="pct"/>
                  <w:vAlign w:val="center"/>
                </w:tcPr>
                <w:p>
                  <w:pPr>
                    <w:snapToGrid w:val="0"/>
                    <w:jc w:val="center"/>
                    <w:rPr>
                      <w:color w:val="auto"/>
                      <w:szCs w:val="21"/>
                    </w:rPr>
                  </w:pPr>
                  <w:r>
                    <w:rPr>
                      <w:color w:val="auto"/>
                      <w:szCs w:val="21"/>
                    </w:rPr>
                    <w:t>NO</w:t>
                  </w:r>
                  <w:r>
                    <w:rPr>
                      <w:color w:val="auto"/>
                      <w:szCs w:val="21"/>
                      <w:vertAlign w:val="subscript"/>
                    </w:rPr>
                    <w:t>X</w:t>
                  </w:r>
                </w:p>
              </w:tc>
              <w:tc>
                <w:tcPr>
                  <w:tcW w:w="647" w:type="pct"/>
                  <w:vAlign w:val="center"/>
                </w:tcPr>
                <w:p>
                  <w:pPr>
                    <w:widowControl/>
                    <w:jc w:val="center"/>
                    <w:textAlignment w:val="center"/>
                    <w:rPr>
                      <w:color w:val="auto"/>
                      <w:szCs w:val="21"/>
                    </w:rPr>
                  </w:pPr>
                  <w:ins w:id="632" w:author="Sunny" w:date="2022-12-27T17:27:00Z">
                    <w:r>
                      <w:rPr>
                        <w:rFonts w:hint="eastAsia"/>
                        <w:color w:val="auto"/>
                        <w:szCs w:val="21"/>
                      </w:rPr>
                      <w:t>0.2857</w:t>
                    </w:r>
                  </w:ins>
                </w:p>
              </w:tc>
              <w:tc>
                <w:tcPr>
                  <w:tcW w:w="1200" w:type="pct"/>
                  <w:vAlign w:val="center"/>
                </w:tcPr>
                <w:p>
                  <w:pPr>
                    <w:widowControl/>
                    <w:jc w:val="center"/>
                    <w:textAlignment w:val="center"/>
                    <w:rPr>
                      <w:color w:val="auto"/>
                      <w:szCs w:val="21"/>
                    </w:rPr>
                  </w:pPr>
                  <w:r>
                    <w:rPr>
                      <w:rFonts w:hint="eastAsia"/>
                      <w:color w:val="auto"/>
                      <w:lang w:val="en-US" w:eastAsia="zh-CN"/>
                    </w:rPr>
                    <w:t>燃烧尾气</w:t>
                  </w:r>
                  <w:r>
                    <w:rPr>
                      <w:rFonts w:hint="eastAsia"/>
                      <w:color w:val="auto"/>
                      <w:szCs w:val="21"/>
                    </w:rPr>
                    <w:t>管道收集</w:t>
                  </w:r>
                </w:p>
              </w:tc>
              <w:tc>
                <w:tcPr>
                  <w:tcW w:w="358" w:type="pct"/>
                  <w:vAlign w:val="center"/>
                </w:tcPr>
                <w:p>
                  <w:pPr>
                    <w:widowControl/>
                    <w:jc w:val="center"/>
                    <w:textAlignment w:val="center"/>
                    <w:rPr>
                      <w:color w:val="auto"/>
                      <w:szCs w:val="21"/>
                    </w:rPr>
                  </w:pPr>
                  <w:r>
                    <w:rPr>
                      <w:rFonts w:hint="eastAsia"/>
                      <w:color w:val="auto"/>
                      <w:szCs w:val="21"/>
                    </w:rPr>
                    <w:t>100%</w:t>
                  </w:r>
                </w:p>
              </w:tc>
              <w:tc>
                <w:tcPr>
                  <w:tcW w:w="660" w:type="pct"/>
                  <w:vAlign w:val="center"/>
                </w:tcPr>
                <w:p>
                  <w:pPr>
                    <w:widowControl/>
                    <w:jc w:val="center"/>
                    <w:textAlignment w:val="center"/>
                    <w:rPr>
                      <w:color w:val="auto"/>
                      <w:szCs w:val="21"/>
                    </w:rPr>
                  </w:pPr>
                  <w:r>
                    <w:rPr>
                      <w:rFonts w:hint="eastAsia"/>
                      <w:color w:val="auto"/>
                      <w:szCs w:val="21"/>
                    </w:rPr>
                    <w:t>0.2857</w:t>
                  </w:r>
                </w:p>
              </w:tc>
              <w:tc>
                <w:tcPr>
                  <w:tcW w:w="598" w:type="pct"/>
                  <w:vAlign w:val="center"/>
                </w:tcPr>
                <w:p>
                  <w:pPr>
                    <w:widowControl/>
                    <w:jc w:val="center"/>
                    <w:textAlignment w:val="center"/>
                    <w:rPr>
                      <w:color w:val="auto"/>
                      <w:szCs w:val="21"/>
                    </w:rPr>
                  </w:pPr>
                  <w:r>
                    <w:rPr>
                      <w:rFonts w:hint="eastAsia"/>
                      <w:color w:val="auto"/>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44" w:type="pct"/>
                  <w:vAlign w:val="center"/>
                </w:tcPr>
                <w:p>
                  <w:pPr>
                    <w:jc w:val="center"/>
                    <w:rPr>
                      <w:color w:val="auto"/>
                      <w:szCs w:val="21"/>
                    </w:rPr>
                  </w:pPr>
                  <w:ins w:id="633" w:author="Sunny" w:date="2022-12-29T11:31:00Z">
                    <w:r>
                      <w:rPr>
                        <w:rFonts w:hint="eastAsia"/>
                        <w:color w:val="auto"/>
                        <w:szCs w:val="21"/>
                      </w:rPr>
                      <w:t>静电</w:t>
                    </w:r>
                  </w:ins>
                  <w:r>
                    <w:rPr>
                      <w:rFonts w:hint="eastAsia"/>
                      <w:color w:val="auto"/>
                      <w:szCs w:val="21"/>
                    </w:rPr>
                    <w:t>喷粉颗粒物</w:t>
                  </w:r>
                </w:p>
              </w:tc>
              <w:tc>
                <w:tcPr>
                  <w:tcW w:w="790" w:type="pct"/>
                  <w:vAlign w:val="center"/>
                </w:tcPr>
                <w:p>
                  <w:pPr>
                    <w:snapToGrid w:val="0"/>
                    <w:jc w:val="center"/>
                    <w:rPr>
                      <w:color w:val="auto"/>
                      <w:szCs w:val="21"/>
                    </w:rPr>
                  </w:pPr>
                  <w:r>
                    <w:rPr>
                      <w:color w:val="auto"/>
                      <w:szCs w:val="21"/>
                    </w:rPr>
                    <w:t>颗粒物</w:t>
                  </w:r>
                </w:p>
              </w:tc>
              <w:tc>
                <w:tcPr>
                  <w:tcW w:w="647" w:type="pct"/>
                  <w:vAlign w:val="center"/>
                </w:tcPr>
                <w:p>
                  <w:pPr>
                    <w:widowControl/>
                    <w:jc w:val="center"/>
                    <w:textAlignment w:val="center"/>
                    <w:rPr>
                      <w:color w:val="auto"/>
                      <w:szCs w:val="21"/>
                    </w:rPr>
                  </w:pPr>
                  <w:r>
                    <w:rPr>
                      <w:rFonts w:hint="eastAsia"/>
                      <w:color w:val="auto"/>
                      <w:szCs w:val="21"/>
                    </w:rPr>
                    <w:t>6</w:t>
                  </w:r>
                </w:p>
              </w:tc>
              <w:tc>
                <w:tcPr>
                  <w:tcW w:w="1200" w:type="pct"/>
                  <w:vAlign w:val="center"/>
                </w:tcPr>
                <w:p>
                  <w:pPr>
                    <w:pStyle w:val="10"/>
                    <w:jc w:val="center"/>
                    <w:rPr>
                      <w:color w:val="auto"/>
                      <w:szCs w:val="21"/>
                    </w:rPr>
                  </w:pPr>
                  <w:r>
                    <w:rPr>
                      <w:color w:val="auto"/>
                    </w:rPr>
                    <w:commentReference w:id="20"/>
                  </w:r>
                  <w:r>
                    <w:rPr>
                      <w:rFonts w:hint="eastAsia"/>
                      <w:color w:val="auto"/>
                      <w:lang w:eastAsia="zh-CN"/>
                    </w:rPr>
                    <w:t>整体抽风收集</w:t>
                  </w:r>
                </w:p>
              </w:tc>
              <w:tc>
                <w:tcPr>
                  <w:tcW w:w="358" w:type="pct"/>
                  <w:vAlign w:val="center"/>
                </w:tcPr>
                <w:p>
                  <w:pPr>
                    <w:widowControl/>
                    <w:jc w:val="center"/>
                    <w:textAlignment w:val="center"/>
                    <w:rPr>
                      <w:color w:val="auto"/>
                      <w:szCs w:val="21"/>
                    </w:rPr>
                  </w:pPr>
                  <w:r>
                    <w:rPr>
                      <w:rFonts w:hint="eastAsia"/>
                      <w:color w:val="auto"/>
                      <w:szCs w:val="21"/>
                    </w:rPr>
                    <w:t>95%</w:t>
                  </w:r>
                </w:p>
              </w:tc>
              <w:tc>
                <w:tcPr>
                  <w:tcW w:w="660" w:type="pct"/>
                  <w:vAlign w:val="center"/>
                </w:tcPr>
                <w:p>
                  <w:pPr>
                    <w:widowControl/>
                    <w:jc w:val="center"/>
                    <w:textAlignment w:val="center"/>
                    <w:rPr>
                      <w:color w:val="auto"/>
                      <w:szCs w:val="21"/>
                    </w:rPr>
                  </w:pPr>
                  <w:r>
                    <w:rPr>
                      <w:rFonts w:hint="eastAsia"/>
                      <w:color w:val="auto"/>
                      <w:szCs w:val="21"/>
                    </w:rPr>
                    <w:t>5.7</w:t>
                  </w:r>
                </w:p>
              </w:tc>
              <w:tc>
                <w:tcPr>
                  <w:tcW w:w="598" w:type="pct"/>
                  <w:vAlign w:val="center"/>
                </w:tcPr>
                <w:p>
                  <w:pPr>
                    <w:widowControl/>
                    <w:jc w:val="center"/>
                    <w:textAlignment w:val="center"/>
                    <w:rPr>
                      <w:color w:val="auto"/>
                      <w:szCs w:val="21"/>
                    </w:rPr>
                  </w:pPr>
                  <w:r>
                    <w:rPr>
                      <w:rFonts w:hint="eastAsia"/>
                      <w:color w:val="auto"/>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44" w:type="pct"/>
                  <w:vAlign w:val="center"/>
                </w:tcPr>
                <w:p>
                  <w:pPr>
                    <w:jc w:val="center"/>
                    <w:rPr>
                      <w:color w:val="auto"/>
                      <w:szCs w:val="21"/>
                    </w:rPr>
                  </w:pPr>
                  <w:r>
                    <w:rPr>
                      <w:rFonts w:hint="eastAsia"/>
                      <w:color w:val="auto"/>
                      <w:szCs w:val="21"/>
                    </w:rPr>
                    <w:t>粉末固化有机废气</w:t>
                  </w:r>
                </w:p>
              </w:tc>
              <w:tc>
                <w:tcPr>
                  <w:tcW w:w="790" w:type="pct"/>
                  <w:vAlign w:val="center"/>
                </w:tcPr>
                <w:p>
                  <w:pPr>
                    <w:snapToGrid w:val="0"/>
                    <w:jc w:val="center"/>
                    <w:rPr>
                      <w:color w:val="auto"/>
                      <w:szCs w:val="21"/>
                    </w:rPr>
                  </w:pPr>
                  <w:r>
                    <w:rPr>
                      <w:color w:val="auto"/>
                      <w:szCs w:val="21"/>
                    </w:rPr>
                    <w:t>非甲烷总烃</w:t>
                  </w:r>
                </w:p>
              </w:tc>
              <w:tc>
                <w:tcPr>
                  <w:tcW w:w="647" w:type="pct"/>
                  <w:vAlign w:val="center"/>
                </w:tcPr>
                <w:p>
                  <w:pPr>
                    <w:widowControl/>
                    <w:jc w:val="center"/>
                    <w:textAlignment w:val="center"/>
                    <w:rPr>
                      <w:color w:val="auto"/>
                      <w:kern w:val="0"/>
                      <w:szCs w:val="21"/>
                      <w:lang w:bidi="ar"/>
                    </w:rPr>
                  </w:pPr>
                  <w:r>
                    <w:rPr>
                      <w:rFonts w:hint="eastAsia"/>
                      <w:color w:val="auto"/>
                      <w:kern w:val="0"/>
                      <w:szCs w:val="21"/>
                      <w:lang w:bidi="ar"/>
                    </w:rPr>
                    <w:t>0.54</w:t>
                  </w:r>
                </w:p>
              </w:tc>
              <w:tc>
                <w:tcPr>
                  <w:tcW w:w="1200" w:type="pct"/>
                  <w:vAlign w:val="center"/>
                </w:tcPr>
                <w:p>
                  <w:pPr>
                    <w:widowControl/>
                    <w:jc w:val="center"/>
                    <w:textAlignment w:val="center"/>
                    <w:rPr>
                      <w:color w:val="auto"/>
                      <w:szCs w:val="21"/>
                    </w:rPr>
                  </w:pPr>
                  <w:r>
                    <w:rPr>
                      <w:color w:val="auto"/>
                      <w:szCs w:val="21"/>
                    </w:rPr>
                    <w:t>管道收集</w:t>
                  </w:r>
                </w:p>
              </w:tc>
              <w:tc>
                <w:tcPr>
                  <w:tcW w:w="358" w:type="pct"/>
                  <w:vAlign w:val="center"/>
                </w:tcPr>
                <w:p>
                  <w:pPr>
                    <w:widowControl/>
                    <w:jc w:val="center"/>
                    <w:textAlignment w:val="center"/>
                    <w:rPr>
                      <w:color w:val="auto"/>
                      <w:szCs w:val="21"/>
                    </w:rPr>
                  </w:pPr>
                  <w:r>
                    <w:rPr>
                      <w:color w:val="auto"/>
                      <w:szCs w:val="21"/>
                    </w:rPr>
                    <w:t>9</w:t>
                  </w:r>
                  <w:r>
                    <w:rPr>
                      <w:rFonts w:hint="eastAsia"/>
                      <w:color w:val="auto"/>
                      <w:szCs w:val="21"/>
                    </w:rPr>
                    <w:t>5</w:t>
                  </w:r>
                  <w:r>
                    <w:rPr>
                      <w:color w:val="auto"/>
                      <w:szCs w:val="21"/>
                    </w:rPr>
                    <w:t>%</w:t>
                  </w:r>
                </w:p>
              </w:tc>
              <w:tc>
                <w:tcPr>
                  <w:tcW w:w="660" w:type="pct"/>
                  <w:vAlign w:val="center"/>
                </w:tcPr>
                <w:p>
                  <w:pPr>
                    <w:widowControl/>
                    <w:jc w:val="center"/>
                    <w:textAlignment w:val="center"/>
                    <w:rPr>
                      <w:color w:val="auto"/>
                      <w:kern w:val="0"/>
                      <w:szCs w:val="21"/>
                      <w:lang w:bidi="ar"/>
                    </w:rPr>
                  </w:pPr>
                  <w:r>
                    <w:rPr>
                      <w:rFonts w:hint="eastAsia"/>
                      <w:color w:val="auto"/>
                      <w:kern w:val="0"/>
                      <w:szCs w:val="21"/>
                      <w:lang w:bidi="ar"/>
                    </w:rPr>
                    <w:t>0.513</w:t>
                  </w:r>
                </w:p>
              </w:tc>
              <w:tc>
                <w:tcPr>
                  <w:tcW w:w="598" w:type="pct"/>
                  <w:vAlign w:val="center"/>
                </w:tcPr>
                <w:p>
                  <w:pPr>
                    <w:widowControl/>
                    <w:jc w:val="center"/>
                    <w:textAlignment w:val="center"/>
                    <w:rPr>
                      <w:color w:val="auto"/>
                      <w:kern w:val="0"/>
                      <w:szCs w:val="21"/>
                      <w:lang w:bidi="ar"/>
                    </w:rPr>
                  </w:pPr>
                  <w:r>
                    <w:rPr>
                      <w:rFonts w:hint="eastAsia"/>
                      <w:color w:val="auto"/>
                      <w:kern w:val="0"/>
                      <w:szCs w:val="21"/>
                      <w:lang w:bidi="ar"/>
                    </w:rPr>
                    <w:t>0.027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744" w:type="pct"/>
                  <w:vAlign w:val="center"/>
                </w:tcPr>
                <w:p>
                  <w:pPr>
                    <w:jc w:val="center"/>
                    <w:rPr>
                      <w:color w:val="auto"/>
                      <w:szCs w:val="21"/>
                    </w:rPr>
                  </w:pPr>
                  <w:r>
                    <w:rPr>
                      <w:rFonts w:hint="eastAsia"/>
                      <w:color w:val="auto"/>
                      <w:szCs w:val="21"/>
                    </w:rPr>
                    <w:t>危废仓库废气</w:t>
                  </w:r>
                </w:p>
              </w:tc>
              <w:tc>
                <w:tcPr>
                  <w:tcW w:w="790" w:type="pct"/>
                  <w:vAlign w:val="center"/>
                </w:tcPr>
                <w:p>
                  <w:pPr>
                    <w:snapToGrid w:val="0"/>
                    <w:jc w:val="center"/>
                    <w:rPr>
                      <w:color w:val="auto"/>
                      <w:szCs w:val="21"/>
                    </w:rPr>
                  </w:pPr>
                  <w:r>
                    <w:rPr>
                      <w:color w:val="auto"/>
                      <w:szCs w:val="21"/>
                    </w:rPr>
                    <w:t>非甲烷总烃</w:t>
                  </w:r>
                </w:p>
              </w:tc>
              <w:tc>
                <w:tcPr>
                  <w:tcW w:w="647" w:type="pct"/>
                  <w:vAlign w:val="center"/>
                </w:tcPr>
                <w:p>
                  <w:pPr>
                    <w:widowControl/>
                    <w:jc w:val="center"/>
                    <w:textAlignment w:val="center"/>
                    <w:rPr>
                      <w:color w:val="auto"/>
                      <w:kern w:val="0"/>
                      <w:szCs w:val="21"/>
                      <w:lang w:bidi="ar"/>
                    </w:rPr>
                  </w:pPr>
                  <w:r>
                    <w:rPr>
                      <w:rFonts w:hint="eastAsia"/>
                      <w:color w:val="auto"/>
                      <w:kern w:val="0"/>
                      <w:szCs w:val="21"/>
                      <w:lang w:bidi="ar"/>
                    </w:rPr>
                    <w:t>0.0940</w:t>
                  </w:r>
                </w:p>
              </w:tc>
              <w:tc>
                <w:tcPr>
                  <w:tcW w:w="1200" w:type="pct"/>
                  <w:vAlign w:val="center"/>
                </w:tcPr>
                <w:p>
                  <w:pPr>
                    <w:widowControl/>
                    <w:jc w:val="center"/>
                    <w:textAlignment w:val="center"/>
                    <w:rPr>
                      <w:color w:val="auto"/>
                      <w:szCs w:val="21"/>
                    </w:rPr>
                  </w:pPr>
                  <w:r>
                    <w:rPr>
                      <w:rFonts w:hint="eastAsia"/>
                      <w:color w:val="auto"/>
                      <w:szCs w:val="21"/>
                    </w:rPr>
                    <w:t>换风收集</w:t>
                  </w:r>
                </w:p>
              </w:tc>
              <w:tc>
                <w:tcPr>
                  <w:tcW w:w="358" w:type="pct"/>
                  <w:vAlign w:val="center"/>
                </w:tcPr>
                <w:p>
                  <w:pPr>
                    <w:widowControl/>
                    <w:jc w:val="center"/>
                    <w:textAlignment w:val="center"/>
                    <w:rPr>
                      <w:color w:val="auto"/>
                      <w:szCs w:val="21"/>
                    </w:rPr>
                  </w:pPr>
                  <w:r>
                    <w:rPr>
                      <w:rFonts w:hint="eastAsia"/>
                      <w:color w:val="auto"/>
                      <w:szCs w:val="21"/>
                    </w:rPr>
                    <w:t>95%</w:t>
                  </w:r>
                </w:p>
              </w:tc>
              <w:tc>
                <w:tcPr>
                  <w:tcW w:w="660" w:type="pct"/>
                  <w:vAlign w:val="center"/>
                </w:tcPr>
                <w:p>
                  <w:pPr>
                    <w:widowControl/>
                    <w:jc w:val="center"/>
                    <w:textAlignment w:val="center"/>
                    <w:rPr>
                      <w:color w:val="auto"/>
                      <w:kern w:val="0"/>
                      <w:szCs w:val="21"/>
                      <w:lang w:bidi="ar"/>
                    </w:rPr>
                  </w:pPr>
                  <w:r>
                    <w:rPr>
                      <w:rFonts w:hint="eastAsia"/>
                      <w:color w:val="auto"/>
                      <w:kern w:val="0"/>
                      <w:szCs w:val="21"/>
                      <w:lang w:bidi="ar"/>
                    </w:rPr>
                    <w:t>0.0893</w:t>
                  </w:r>
                </w:p>
              </w:tc>
              <w:tc>
                <w:tcPr>
                  <w:tcW w:w="598" w:type="pct"/>
                  <w:vAlign w:val="center"/>
                </w:tcPr>
                <w:p>
                  <w:pPr>
                    <w:widowControl/>
                    <w:jc w:val="center"/>
                    <w:textAlignment w:val="center"/>
                    <w:rPr>
                      <w:color w:val="auto"/>
                      <w:kern w:val="0"/>
                      <w:szCs w:val="21"/>
                      <w:lang w:bidi="ar"/>
                    </w:rPr>
                  </w:pPr>
                  <w:r>
                    <w:rPr>
                      <w:rFonts w:hint="eastAsia"/>
                      <w:color w:val="auto"/>
                      <w:kern w:val="0"/>
                      <w:szCs w:val="21"/>
                      <w:lang w:bidi="ar"/>
                    </w:rPr>
                    <w:t>0.0047</w:t>
                  </w:r>
                </w:p>
              </w:tc>
            </w:tr>
          </w:tbl>
          <w:p>
            <w:pPr>
              <w:pStyle w:val="17"/>
              <w:ind w:firstLine="0" w:firstLineChars="0"/>
              <w:rPr>
                <w:color w:val="auto"/>
                <w:sz w:val="24"/>
                <w:szCs w:val="24"/>
              </w:rPr>
            </w:pPr>
          </w:p>
        </w:tc>
      </w:tr>
    </w:tbl>
    <w:p>
      <w:pPr>
        <w:adjustRightInd w:val="0"/>
        <w:snapToGrid w:val="0"/>
        <w:jc w:val="center"/>
        <w:rPr>
          <w:bCs/>
          <w:color w:val="auto"/>
          <w:sz w:val="24"/>
        </w:rPr>
        <w:sectPr>
          <w:pgSz w:w="11906" w:h="16838"/>
          <w:pgMar w:top="1440" w:right="1797" w:bottom="1440" w:left="1797" w:header="851" w:footer="992" w:gutter="0"/>
          <w:pgBorders>
            <w:top w:val="none" w:sz="0" w:space="0"/>
            <w:left w:val="none" w:sz="0" w:space="0"/>
            <w:bottom w:val="none" w:sz="0" w:space="0"/>
            <w:right w:val="none" w:sz="0" w:space="0"/>
          </w:pgBorders>
          <w:cols w:space="0" w:num="1"/>
          <w:docGrid w:type="lines" w:linePitch="319" w:charSpace="0"/>
        </w:sectPr>
      </w:pPr>
    </w:p>
    <w:p>
      <w:pPr>
        <w:rPr>
          <w:color w:val="auto"/>
        </w:rPr>
      </w:pPr>
    </w:p>
    <w:tbl>
      <w:tblPr>
        <w:tblStyle w:val="2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3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1" w:hRule="atLeast"/>
        </w:trPr>
        <w:tc>
          <w:tcPr>
            <w:tcW w:w="607" w:type="dxa"/>
          </w:tcPr>
          <w:p>
            <w:pPr>
              <w:pStyle w:val="2"/>
              <w:rPr>
                <w:rFonts w:ascii="Calibri" w:hAnsi="Calibri" w:cs="Calibri"/>
                <w:color w:val="auto"/>
              </w:rPr>
            </w:pPr>
          </w:p>
        </w:tc>
        <w:tc>
          <w:tcPr>
            <w:tcW w:w="13567" w:type="dxa"/>
          </w:tcPr>
          <w:p>
            <w:pPr>
              <w:autoSpaceDE w:val="0"/>
              <w:spacing w:before="159" w:beforeLines="50" w:line="360" w:lineRule="auto"/>
              <w:ind w:firstLine="480" w:firstLineChars="200"/>
              <w:rPr>
                <w:rFonts w:ascii="Calibri" w:hAnsi="Calibri" w:cs="Calibri"/>
                <w:b/>
                <w:bCs/>
                <w:color w:val="auto"/>
                <w:sz w:val="24"/>
              </w:rPr>
            </w:pPr>
            <w:r>
              <w:rPr>
                <w:rFonts w:ascii="Calibri" w:hAnsi="Calibri" w:cs="Calibri"/>
                <w:b/>
                <w:bCs/>
                <w:color w:val="auto"/>
                <w:sz w:val="24"/>
              </w:rPr>
              <w:t>A.有组织废气</w:t>
            </w:r>
          </w:p>
          <w:p>
            <w:pPr>
              <w:spacing w:line="360" w:lineRule="auto"/>
              <w:ind w:firstLine="480" w:firstLineChars="200"/>
              <w:rPr>
                <w:rFonts w:ascii="Calibri" w:hAnsi="Calibri" w:cs="Calibri"/>
                <w:color w:val="auto"/>
                <w:sz w:val="24"/>
              </w:rPr>
            </w:pPr>
            <w:r>
              <w:rPr>
                <w:rFonts w:ascii="Calibri" w:hAnsi="Calibri" w:cs="Calibri"/>
                <w:color w:val="auto"/>
                <w:sz w:val="24"/>
              </w:rPr>
              <w:t>本项目建成后有组织废气产生情况见下表。</w:t>
            </w:r>
          </w:p>
          <w:p>
            <w:pPr>
              <w:pStyle w:val="6"/>
              <w:numPr>
                <w:ilvl w:val="0"/>
                <w:numId w:val="16"/>
              </w:numPr>
              <w:adjustRightInd w:val="0"/>
              <w:snapToGrid w:val="0"/>
              <w:ind w:firstLineChars="0"/>
              <w:jc w:val="center"/>
              <w:rPr>
                <w:rFonts w:ascii="Calibri" w:hAnsi="Calibri" w:cs="Calibri"/>
                <w:bCs/>
                <w:color w:val="auto"/>
                <w:sz w:val="24"/>
              </w:rPr>
            </w:pPr>
            <w:r>
              <w:rPr>
                <w:rFonts w:ascii="Calibri" w:hAnsi="Calibri" w:cs="Calibri"/>
                <w:b/>
                <w:bCs/>
                <w:color w:val="auto"/>
                <w:sz w:val="24"/>
              </w:rPr>
              <w:t>有组织废气产生及排放情况表</w:t>
            </w:r>
          </w:p>
          <w:tbl>
            <w:tblPr>
              <w:tblStyle w:val="26"/>
              <w:tblW w:w="1353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79"/>
              <w:gridCol w:w="976"/>
              <w:gridCol w:w="818"/>
              <w:gridCol w:w="688"/>
              <w:gridCol w:w="961"/>
              <w:gridCol w:w="953"/>
              <w:gridCol w:w="907"/>
              <w:gridCol w:w="888"/>
              <w:gridCol w:w="715"/>
              <w:gridCol w:w="1002"/>
              <w:gridCol w:w="574"/>
              <w:gridCol w:w="999"/>
              <w:gridCol w:w="812"/>
              <w:gridCol w:w="858"/>
              <w:gridCol w:w="569"/>
              <w:gridCol w:w="83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362" w:type="pct"/>
                  <w:vMerge w:val="restar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污染源</w:t>
                  </w:r>
                </w:p>
              </w:tc>
              <w:tc>
                <w:tcPr>
                  <w:tcW w:w="361" w:type="pct"/>
                  <w:vMerge w:val="restar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污染物名称</w:t>
                  </w:r>
                </w:p>
              </w:tc>
              <w:tc>
                <w:tcPr>
                  <w:tcW w:w="302" w:type="pct"/>
                  <w:vMerge w:val="restart"/>
                  <w:tcBorders>
                    <w:tl2br w:val="nil"/>
                    <w:tr2bl w:val="nil"/>
                  </w:tcBorders>
                  <w:shd w:val="clear" w:color="auto" w:fill="auto"/>
                  <w:vAlign w:val="center"/>
                </w:tcPr>
                <w:p>
                  <w:pPr>
                    <w:widowControl/>
                    <w:jc w:val="center"/>
                    <w:textAlignment w:val="center"/>
                    <w:rPr>
                      <w:b/>
                      <w:bCs/>
                      <w:color w:val="auto"/>
                      <w:szCs w:val="21"/>
                    </w:rPr>
                  </w:pPr>
                  <w:r>
                    <w:rPr>
                      <w:rStyle w:val="77"/>
                      <w:rFonts w:hint="default" w:ascii="Times New Roman" w:hAnsi="Times New Roman" w:cs="Times New Roman"/>
                      <w:b/>
                      <w:bCs/>
                      <w:color w:val="auto"/>
                      <w:lang w:bidi="ar"/>
                    </w:rPr>
                    <w:t>风量</w:t>
                  </w:r>
                  <w:r>
                    <w:rPr>
                      <w:rStyle w:val="62"/>
                      <w:bCs/>
                      <w:color w:val="auto"/>
                      <w:sz w:val="21"/>
                      <w:szCs w:val="21"/>
                      <w:lang w:bidi="ar"/>
                    </w:rPr>
                    <w:t>m</w:t>
                  </w:r>
                  <w:r>
                    <w:rPr>
                      <w:rStyle w:val="62"/>
                      <w:bCs/>
                      <w:color w:val="auto"/>
                      <w:sz w:val="21"/>
                      <w:szCs w:val="21"/>
                      <w:vertAlign w:val="superscript"/>
                      <w:lang w:bidi="ar"/>
                    </w:rPr>
                    <w:t>3</w:t>
                  </w:r>
                  <w:r>
                    <w:rPr>
                      <w:rStyle w:val="62"/>
                      <w:bCs/>
                      <w:color w:val="auto"/>
                      <w:sz w:val="21"/>
                      <w:szCs w:val="21"/>
                      <w:lang w:bidi="ar"/>
                    </w:rPr>
                    <w:t>/h</w:t>
                  </w:r>
                </w:p>
              </w:tc>
              <w:tc>
                <w:tcPr>
                  <w:tcW w:w="254" w:type="pct"/>
                  <w:vMerge w:val="restart"/>
                  <w:tcBorders>
                    <w:tl2br w:val="nil"/>
                    <w:tr2bl w:val="nil"/>
                  </w:tcBorders>
                  <w:shd w:val="clear" w:color="auto" w:fill="auto"/>
                  <w:vAlign w:val="center"/>
                </w:tcPr>
                <w:p>
                  <w:pPr>
                    <w:widowControl/>
                    <w:jc w:val="center"/>
                    <w:textAlignment w:val="center"/>
                    <w:rPr>
                      <w:b/>
                      <w:bCs/>
                      <w:color w:val="auto"/>
                      <w:szCs w:val="21"/>
                    </w:rPr>
                  </w:pPr>
                  <w:r>
                    <w:rPr>
                      <w:rStyle w:val="77"/>
                      <w:rFonts w:hint="default" w:ascii="Times New Roman" w:hAnsi="Times New Roman" w:cs="Times New Roman"/>
                      <w:b/>
                      <w:bCs/>
                      <w:color w:val="auto"/>
                      <w:lang w:bidi="ar"/>
                    </w:rPr>
                    <w:t>时间</w:t>
                  </w:r>
                  <w:r>
                    <w:rPr>
                      <w:rStyle w:val="62"/>
                      <w:bCs/>
                      <w:color w:val="auto"/>
                      <w:sz w:val="21"/>
                      <w:szCs w:val="21"/>
                      <w:lang w:bidi="ar"/>
                    </w:rPr>
                    <w:t>h</w:t>
                  </w:r>
                </w:p>
              </w:tc>
              <w:tc>
                <w:tcPr>
                  <w:tcW w:w="355" w:type="pct"/>
                  <w:vMerge w:val="restart"/>
                  <w:tcBorders>
                    <w:tl2br w:val="nil"/>
                    <w:tr2bl w:val="nil"/>
                  </w:tcBorders>
                  <w:shd w:val="clear" w:color="auto" w:fill="auto"/>
                  <w:noWrap/>
                  <w:vAlign w:val="center"/>
                </w:tcPr>
                <w:p>
                  <w:pPr>
                    <w:widowControl/>
                    <w:jc w:val="center"/>
                    <w:textAlignment w:val="center"/>
                    <w:rPr>
                      <w:b/>
                      <w:bCs/>
                      <w:color w:val="auto"/>
                      <w:szCs w:val="21"/>
                    </w:rPr>
                  </w:pPr>
                  <w:r>
                    <w:rPr>
                      <w:rStyle w:val="72"/>
                      <w:b/>
                      <w:bCs/>
                      <w:color w:val="auto"/>
                      <w:sz w:val="21"/>
                      <w:szCs w:val="21"/>
                      <w:lang w:bidi="ar"/>
                    </w:rPr>
                    <w:t>产生量（</w:t>
                  </w:r>
                  <w:r>
                    <w:rPr>
                      <w:rStyle w:val="68"/>
                      <w:b/>
                      <w:bCs/>
                      <w:color w:val="auto"/>
                      <w:lang w:bidi="ar"/>
                    </w:rPr>
                    <w:t>t/a</w:t>
                  </w:r>
                  <w:r>
                    <w:rPr>
                      <w:rStyle w:val="72"/>
                      <w:b/>
                      <w:bCs/>
                      <w:color w:val="auto"/>
                      <w:sz w:val="21"/>
                      <w:szCs w:val="21"/>
                      <w:lang w:bidi="ar"/>
                    </w:rPr>
                    <w:t>）</w:t>
                  </w:r>
                </w:p>
              </w:tc>
              <w:tc>
                <w:tcPr>
                  <w:tcW w:w="1015" w:type="pct"/>
                  <w:gridSpan w:val="3"/>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有组织产生情况</w:t>
                  </w:r>
                </w:p>
              </w:tc>
              <w:tc>
                <w:tcPr>
                  <w:tcW w:w="264" w:type="pct"/>
                  <w:vMerge w:val="restart"/>
                  <w:tcBorders>
                    <w:tl2br w:val="nil"/>
                    <w:tr2bl w:val="nil"/>
                  </w:tcBorders>
                  <w:shd w:val="clear" w:color="auto" w:fill="auto"/>
                  <w:noWrap/>
                  <w:vAlign w:val="center"/>
                </w:tcPr>
                <w:p>
                  <w:pPr>
                    <w:widowControl/>
                    <w:jc w:val="center"/>
                    <w:textAlignment w:val="center"/>
                    <w:rPr>
                      <w:b/>
                      <w:bCs/>
                      <w:color w:val="auto"/>
                      <w:szCs w:val="21"/>
                    </w:rPr>
                  </w:pPr>
                  <w:r>
                    <w:rPr>
                      <w:b/>
                      <w:bCs/>
                      <w:color w:val="auto"/>
                      <w:kern w:val="0"/>
                      <w:szCs w:val="21"/>
                      <w:lang w:bidi="ar"/>
                    </w:rPr>
                    <w:t>收集效率</w:t>
                  </w:r>
                </w:p>
              </w:tc>
              <w:tc>
                <w:tcPr>
                  <w:tcW w:w="370" w:type="pct"/>
                  <w:vMerge w:val="restar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治理措施</w:t>
                  </w:r>
                </w:p>
              </w:tc>
              <w:tc>
                <w:tcPr>
                  <w:tcW w:w="212" w:type="pct"/>
                  <w:vMerge w:val="restar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去除效率</w:t>
                  </w:r>
                </w:p>
              </w:tc>
              <w:tc>
                <w:tcPr>
                  <w:tcW w:w="986" w:type="pct"/>
                  <w:gridSpan w:val="3"/>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排放情况</w:t>
                  </w:r>
                </w:p>
              </w:tc>
              <w:tc>
                <w:tcPr>
                  <w:tcW w:w="519" w:type="pct"/>
                  <w:gridSpan w:val="2"/>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排放源参数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362" w:type="pct"/>
                  <w:vMerge w:val="continue"/>
                  <w:tcBorders>
                    <w:tl2br w:val="nil"/>
                    <w:tr2bl w:val="nil"/>
                  </w:tcBorders>
                  <w:shd w:val="clear" w:color="auto" w:fill="auto"/>
                  <w:vAlign w:val="center"/>
                </w:tcPr>
                <w:p>
                  <w:pPr>
                    <w:jc w:val="center"/>
                    <w:rPr>
                      <w:b/>
                      <w:bCs/>
                      <w:color w:val="auto"/>
                      <w:szCs w:val="21"/>
                    </w:rPr>
                  </w:pPr>
                </w:p>
              </w:tc>
              <w:tc>
                <w:tcPr>
                  <w:tcW w:w="361" w:type="pct"/>
                  <w:vMerge w:val="continue"/>
                  <w:tcBorders>
                    <w:tl2br w:val="nil"/>
                    <w:tr2bl w:val="nil"/>
                  </w:tcBorders>
                  <w:shd w:val="clear" w:color="auto" w:fill="auto"/>
                  <w:vAlign w:val="center"/>
                </w:tcPr>
                <w:p>
                  <w:pPr>
                    <w:jc w:val="center"/>
                    <w:rPr>
                      <w:b/>
                      <w:bCs/>
                      <w:color w:val="auto"/>
                      <w:szCs w:val="21"/>
                    </w:rPr>
                  </w:pPr>
                </w:p>
              </w:tc>
              <w:tc>
                <w:tcPr>
                  <w:tcW w:w="302" w:type="pct"/>
                  <w:vMerge w:val="continue"/>
                  <w:tcBorders>
                    <w:tl2br w:val="nil"/>
                    <w:tr2bl w:val="nil"/>
                  </w:tcBorders>
                  <w:shd w:val="clear" w:color="auto" w:fill="auto"/>
                  <w:vAlign w:val="center"/>
                </w:tcPr>
                <w:p>
                  <w:pPr>
                    <w:jc w:val="center"/>
                    <w:rPr>
                      <w:b/>
                      <w:bCs/>
                      <w:color w:val="auto"/>
                      <w:szCs w:val="21"/>
                    </w:rPr>
                  </w:pPr>
                </w:p>
              </w:tc>
              <w:tc>
                <w:tcPr>
                  <w:tcW w:w="254" w:type="pct"/>
                  <w:vMerge w:val="continue"/>
                  <w:tcBorders>
                    <w:tl2br w:val="nil"/>
                    <w:tr2bl w:val="nil"/>
                  </w:tcBorders>
                  <w:shd w:val="clear" w:color="auto" w:fill="auto"/>
                  <w:vAlign w:val="center"/>
                </w:tcPr>
                <w:p>
                  <w:pPr>
                    <w:jc w:val="center"/>
                    <w:rPr>
                      <w:b/>
                      <w:bCs/>
                      <w:color w:val="auto"/>
                      <w:szCs w:val="21"/>
                    </w:rPr>
                  </w:pPr>
                </w:p>
              </w:tc>
              <w:tc>
                <w:tcPr>
                  <w:tcW w:w="355" w:type="pct"/>
                  <w:vMerge w:val="continue"/>
                  <w:tcBorders>
                    <w:tl2br w:val="nil"/>
                    <w:tr2bl w:val="nil"/>
                  </w:tcBorders>
                  <w:shd w:val="clear" w:color="auto" w:fill="auto"/>
                  <w:noWrap/>
                  <w:vAlign w:val="center"/>
                </w:tcPr>
                <w:p>
                  <w:pPr>
                    <w:jc w:val="center"/>
                    <w:rPr>
                      <w:b/>
                      <w:bCs/>
                      <w:color w:val="auto"/>
                      <w:szCs w:val="21"/>
                    </w:rPr>
                  </w:pPr>
                </w:p>
              </w:tc>
              <w:tc>
                <w:tcPr>
                  <w:tcW w:w="352" w:type="pct"/>
                  <w:tcBorders>
                    <w:tl2br w:val="nil"/>
                    <w:tr2bl w:val="nil"/>
                  </w:tcBorders>
                  <w:shd w:val="clear" w:color="auto" w:fill="auto"/>
                  <w:vAlign w:val="center"/>
                </w:tcPr>
                <w:p>
                  <w:pPr>
                    <w:widowControl/>
                    <w:jc w:val="center"/>
                    <w:textAlignment w:val="center"/>
                    <w:rPr>
                      <w:b/>
                      <w:bCs/>
                      <w:color w:val="auto"/>
                      <w:szCs w:val="21"/>
                    </w:rPr>
                  </w:pPr>
                  <w:r>
                    <w:rPr>
                      <w:rStyle w:val="77"/>
                      <w:rFonts w:hint="default" w:ascii="Times New Roman" w:hAnsi="Times New Roman" w:cs="Times New Roman"/>
                      <w:b/>
                      <w:bCs/>
                      <w:color w:val="auto"/>
                      <w:lang w:bidi="ar"/>
                    </w:rPr>
                    <w:t>产生浓度</w:t>
                  </w:r>
                  <w:r>
                    <w:rPr>
                      <w:rStyle w:val="62"/>
                      <w:bCs/>
                      <w:color w:val="auto"/>
                      <w:sz w:val="21"/>
                      <w:szCs w:val="21"/>
                      <w:lang w:bidi="ar"/>
                    </w:rPr>
                    <w:t>mg/m</w:t>
                  </w:r>
                  <w:r>
                    <w:rPr>
                      <w:rStyle w:val="149"/>
                      <w:color w:val="auto"/>
                      <w:lang w:bidi="ar"/>
                    </w:rPr>
                    <w:t>3</w:t>
                  </w:r>
                </w:p>
              </w:tc>
              <w:tc>
                <w:tcPr>
                  <w:tcW w:w="335" w:type="pct"/>
                  <w:tcBorders>
                    <w:tl2br w:val="nil"/>
                    <w:tr2bl w:val="nil"/>
                  </w:tcBorders>
                  <w:shd w:val="clear" w:color="auto" w:fill="auto"/>
                  <w:vAlign w:val="center"/>
                </w:tcPr>
                <w:p>
                  <w:pPr>
                    <w:widowControl/>
                    <w:jc w:val="center"/>
                    <w:textAlignment w:val="center"/>
                    <w:rPr>
                      <w:b/>
                      <w:bCs/>
                      <w:color w:val="auto"/>
                      <w:szCs w:val="21"/>
                    </w:rPr>
                  </w:pPr>
                  <w:r>
                    <w:rPr>
                      <w:rStyle w:val="77"/>
                      <w:rFonts w:hint="default" w:ascii="Times New Roman" w:hAnsi="Times New Roman" w:cs="Times New Roman"/>
                      <w:b/>
                      <w:bCs/>
                      <w:color w:val="auto"/>
                      <w:lang w:bidi="ar"/>
                    </w:rPr>
                    <w:t>产生速率</w:t>
                  </w:r>
                  <w:r>
                    <w:rPr>
                      <w:rStyle w:val="62"/>
                      <w:bCs/>
                      <w:color w:val="auto"/>
                      <w:sz w:val="21"/>
                      <w:szCs w:val="21"/>
                      <w:lang w:bidi="ar"/>
                    </w:rPr>
                    <w:t>kg/h</w:t>
                  </w:r>
                </w:p>
              </w:tc>
              <w:tc>
                <w:tcPr>
                  <w:tcW w:w="328" w:type="pct"/>
                  <w:tcBorders>
                    <w:tl2br w:val="nil"/>
                    <w:tr2bl w:val="nil"/>
                  </w:tcBorders>
                  <w:shd w:val="clear" w:color="auto" w:fill="auto"/>
                  <w:vAlign w:val="center"/>
                </w:tcPr>
                <w:p>
                  <w:pPr>
                    <w:widowControl/>
                    <w:jc w:val="center"/>
                    <w:textAlignment w:val="center"/>
                    <w:rPr>
                      <w:b/>
                      <w:bCs/>
                      <w:color w:val="auto"/>
                      <w:szCs w:val="21"/>
                    </w:rPr>
                  </w:pPr>
                  <w:r>
                    <w:rPr>
                      <w:rStyle w:val="77"/>
                      <w:rFonts w:hint="default" w:ascii="Times New Roman" w:hAnsi="Times New Roman" w:cs="Times New Roman"/>
                      <w:b/>
                      <w:bCs/>
                      <w:color w:val="auto"/>
                      <w:lang w:bidi="ar"/>
                    </w:rPr>
                    <w:t>产生量</w:t>
                  </w:r>
                  <w:r>
                    <w:rPr>
                      <w:rStyle w:val="62"/>
                      <w:bCs/>
                      <w:color w:val="auto"/>
                      <w:sz w:val="21"/>
                      <w:szCs w:val="21"/>
                      <w:lang w:bidi="ar"/>
                    </w:rPr>
                    <w:t>t/a</w:t>
                  </w:r>
                </w:p>
              </w:tc>
              <w:tc>
                <w:tcPr>
                  <w:tcW w:w="264" w:type="pct"/>
                  <w:vMerge w:val="continue"/>
                  <w:tcBorders>
                    <w:tl2br w:val="nil"/>
                    <w:tr2bl w:val="nil"/>
                  </w:tcBorders>
                  <w:shd w:val="clear" w:color="auto" w:fill="auto"/>
                  <w:noWrap/>
                  <w:vAlign w:val="center"/>
                </w:tcPr>
                <w:p>
                  <w:pPr>
                    <w:jc w:val="center"/>
                    <w:rPr>
                      <w:b/>
                      <w:bCs/>
                      <w:color w:val="auto"/>
                      <w:szCs w:val="21"/>
                    </w:rPr>
                  </w:pPr>
                </w:p>
              </w:tc>
              <w:tc>
                <w:tcPr>
                  <w:tcW w:w="370" w:type="pct"/>
                  <w:vMerge w:val="continue"/>
                  <w:tcBorders>
                    <w:tl2br w:val="nil"/>
                    <w:tr2bl w:val="nil"/>
                  </w:tcBorders>
                  <w:shd w:val="clear" w:color="auto" w:fill="auto"/>
                  <w:vAlign w:val="center"/>
                </w:tcPr>
                <w:p>
                  <w:pPr>
                    <w:jc w:val="center"/>
                    <w:rPr>
                      <w:b/>
                      <w:bCs/>
                      <w:color w:val="auto"/>
                      <w:szCs w:val="21"/>
                    </w:rPr>
                  </w:pPr>
                </w:p>
              </w:tc>
              <w:tc>
                <w:tcPr>
                  <w:tcW w:w="212" w:type="pct"/>
                  <w:vMerge w:val="continue"/>
                  <w:tcBorders>
                    <w:tl2br w:val="nil"/>
                    <w:tr2bl w:val="nil"/>
                  </w:tcBorders>
                  <w:shd w:val="clear" w:color="auto" w:fill="auto"/>
                  <w:vAlign w:val="center"/>
                </w:tcPr>
                <w:p>
                  <w:pPr>
                    <w:jc w:val="center"/>
                    <w:rPr>
                      <w:b/>
                      <w:bCs/>
                      <w:color w:val="auto"/>
                      <w:szCs w:val="21"/>
                    </w:rPr>
                  </w:pPr>
                </w:p>
              </w:tc>
              <w:tc>
                <w:tcPr>
                  <w:tcW w:w="369" w:type="pct"/>
                  <w:tcBorders>
                    <w:tl2br w:val="nil"/>
                    <w:tr2bl w:val="nil"/>
                  </w:tcBorders>
                  <w:shd w:val="clear" w:color="auto" w:fill="auto"/>
                  <w:vAlign w:val="center"/>
                </w:tcPr>
                <w:p>
                  <w:pPr>
                    <w:widowControl/>
                    <w:jc w:val="center"/>
                    <w:textAlignment w:val="center"/>
                    <w:rPr>
                      <w:b/>
                      <w:bCs/>
                      <w:color w:val="auto"/>
                      <w:szCs w:val="21"/>
                    </w:rPr>
                  </w:pPr>
                  <w:r>
                    <w:rPr>
                      <w:rStyle w:val="77"/>
                      <w:rFonts w:hint="default" w:ascii="Times New Roman" w:hAnsi="Times New Roman" w:cs="Times New Roman"/>
                      <w:b/>
                      <w:bCs/>
                      <w:color w:val="auto"/>
                      <w:lang w:bidi="ar"/>
                    </w:rPr>
                    <w:t>排放浓度</w:t>
                  </w:r>
                  <w:r>
                    <w:rPr>
                      <w:rStyle w:val="62"/>
                      <w:bCs/>
                      <w:color w:val="auto"/>
                      <w:sz w:val="21"/>
                      <w:szCs w:val="21"/>
                      <w:lang w:bidi="ar"/>
                    </w:rPr>
                    <w:t>mg/m</w:t>
                  </w:r>
                  <w:r>
                    <w:rPr>
                      <w:rStyle w:val="149"/>
                      <w:color w:val="auto"/>
                      <w:lang w:bidi="ar"/>
                    </w:rPr>
                    <w:t>3</w:t>
                  </w:r>
                </w:p>
              </w:tc>
              <w:tc>
                <w:tcPr>
                  <w:tcW w:w="300" w:type="pct"/>
                  <w:tcBorders>
                    <w:tl2br w:val="nil"/>
                    <w:tr2bl w:val="nil"/>
                  </w:tcBorders>
                  <w:shd w:val="clear" w:color="auto" w:fill="auto"/>
                  <w:vAlign w:val="center"/>
                </w:tcPr>
                <w:p>
                  <w:pPr>
                    <w:widowControl/>
                    <w:jc w:val="center"/>
                    <w:textAlignment w:val="center"/>
                    <w:rPr>
                      <w:b/>
                      <w:bCs/>
                      <w:color w:val="auto"/>
                      <w:szCs w:val="21"/>
                    </w:rPr>
                  </w:pPr>
                  <w:r>
                    <w:rPr>
                      <w:rStyle w:val="77"/>
                      <w:rFonts w:hint="default" w:ascii="Times New Roman" w:hAnsi="Times New Roman" w:cs="Times New Roman"/>
                      <w:b/>
                      <w:bCs/>
                      <w:color w:val="auto"/>
                      <w:lang w:bidi="ar"/>
                    </w:rPr>
                    <w:t>排放速率</w:t>
                  </w:r>
                  <w:r>
                    <w:rPr>
                      <w:rStyle w:val="62"/>
                      <w:bCs/>
                      <w:color w:val="auto"/>
                      <w:sz w:val="21"/>
                      <w:szCs w:val="21"/>
                      <w:lang w:bidi="ar"/>
                    </w:rPr>
                    <w:t>kg/h</w:t>
                  </w:r>
                </w:p>
              </w:tc>
              <w:tc>
                <w:tcPr>
                  <w:tcW w:w="317" w:type="pct"/>
                  <w:tcBorders>
                    <w:tl2br w:val="nil"/>
                    <w:tr2bl w:val="nil"/>
                  </w:tcBorders>
                  <w:shd w:val="clear" w:color="auto" w:fill="auto"/>
                  <w:vAlign w:val="center"/>
                </w:tcPr>
                <w:p>
                  <w:pPr>
                    <w:widowControl/>
                    <w:jc w:val="center"/>
                    <w:textAlignment w:val="center"/>
                    <w:rPr>
                      <w:b/>
                      <w:bCs/>
                      <w:color w:val="auto"/>
                      <w:szCs w:val="21"/>
                    </w:rPr>
                  </w:pPr>
                  <w:r>
                    <w:rPr>
                      <w:rStyle w:val="77"/>
                      <w:rFonts w:hint="default" w:ascii="Times New Roman" w:hAnsi="Times New Roman" w:cs="Times New Roman"/>
                      <w:b/>
                      <w:bCs/>
                      <w:color w:val="auto"/>
                      <w:lang w:bidi="ar"/>
                    </w:rPr>
                    <w:t>排放量</w:t>
                  </w:r>
                  <w:r>
                    <w:rPr>
                      <w:rStyle w:val="62"/>
                      <w:bCs/>
                      <w:color w:val="auto"/>
                      <w:sz w:val="21"/>
                      <w:szCs w:val="21"/>
                      <w:lang w:bidi="ar"/>
                    </w:rPr>
                    <w:t>t/a</w:t>
                  </w:r>
                </w:p>
              </w:tc>
              <w:tc>
                <w:tcPr>
                  <w:tcW w:w="210" w:type="pct"/>
                  <w:tcBorders>
                    <w:tl2br w:val="nil"/>
                    <w:tr2bl w:val="nil"/>
                  </w:tcBorders>
                  <w:shd w:val="clear" w:color="auto" w:fill="auto"/>
                  <w:vAlign w:val="center"/>
                </w:tcPr>
                <w:p>
                  <w:pPr>
                    <w:widowControl/>
                    <w:jc w:val="center"/>
                    <w:textAlignment w:val="center"/>
                    <w:rPr>
                      <w:b/>
                      <w:bCs/>
                      <w:color w:val="auto"/>
                      <w:szCs w:val="21"/>
                    </w:rPr>
                  </w:pPr>
                  <w:r>
                    <w:rPr>
                      <w:rStyle w:val="77"/>
                      <w:rFonts w:hint="default" w:ascii="Times New Roman" w:hAnsi="Times New Roman" w:cs="Times New Roman"/>
                      <w:b/>
                      <w:bCs/>
                      <w:color w:val="auto"/>
                      <w:lang w:bidi="ar"/>
                    </w:rPr>
                    <w:t>高度</w:t>
                  </w:r>
                  <w:r>
                    <w:rPr>
                      <w:rStyle w:val="62"/>
                      <w:bCs/>
                      <w:color w:val="auto"/>
                      <w:sz w:val="21"/>
                      <w:szCs w:val="21"/>
                      <w:lang w:bidi="ar"/>
                    </w:rPr>
                    <w:t>m</w:t>
                  </w:r>
                </w:p>
              </w:tc>
              <w:tc>
                <w:tcPr>
                  <w:tcW w:w="309" w:type="pc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排放筒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362" w:type="pct"/>
                  <w:vMerge w:val="restart"/>
                  <w:tcBorders>
                    <w:tl2br w:val="nil"/>
                    <w:tr2bl w:val="nil"/>
                  </w:tcBorders>
                  <w:shd w:val="clear" w:color="auto" w:fill="auto"/>
                  <w:vAlign w:val="center"/>
                </w:tcPr>
                <w:p>
                  <w:pPr>
                    <w:widowControl/>
                    <w:jc w:val="center"/>
                    <w:textAlignment w:val="center"/>
                    <w:rPr>
                      <w:color w:val="auto"/>
                      <w:szCs w:val="21"/>
                    </w:rPr>
                  </w:pPr>
                  <w:r>
                    <w:rPr>
                      <w:rFonts w:hint="eastAsia"/>
                      <w:color w:val="auto"/>
                      <w:kern w:val="0"/>
                      <w:szCs w:val="21"/>
                      <w:lang w:bidi="ar"/>
                    </w:rPr>
                    <w:t>天然气燃烧</w:t>
                  </w:r>
                </w:p>
              </w:tc>
              <w:tc>
                <w:tcPr>
                  <w:tcW w:w="361" w:type="pct"/>
                  <w:tcBorders>
                    <w:tl2br w:val="nil"/>
                    <w:tr2bl w:val="nil"/>
                  </w:tcBorders>
                  <w:shd w:val="clear" w:color="auto" w:fill="auto"/>
                  <w:vAlign w:val="center"/>
                </w:tcPr>
                <w:p>
                  <w:pPr>
                    <w:widowControl/>
                    <w:jc w:val="center"/>
                    <w:textAlignment w:val="center"/>
                    <w:rPr>
                      <w:color w:val="auto"/>
                      <w:szCs w:val="21"/>
                    </w:rPr>
                  </w:pPr>
                  <w:r>
                    <w:rPr>
                      <w:rStyle w:val="145"/>
                      <w:rFonts w:hint="default" w:ascii="Times New Roman" w:hAnsi="Times New Roman" w:cs="Times New Roman"/>
                      <w:color w:val="auto"/>
                      <w:sz w:val="21"/>
                      <w:szCs w:val="21"/>
                      <w:lang w:bidi="ar"/>
                    </w:rPr>
                    <w:t>颗粒物</w:t>
                  </w:r>
                </w:p>
              </w:tc>
              <w:tc>
                <w:tcPr>
                  <w:tcW w:w="302" w:type="pct"/>
                  <w:vMerge w:val="restart"/>
                  <w:tcBorders>
                    <w:tl2br w:val="nil"/>
                    <w:tr2bl w:val="nil"/>
                  </w:tcBorders>
                  <w:shd w:val="clear" w:color="auto" w:fill="auto"/>
                  <w:vAlign w:val="center"/>
                </w:tcPr>
                <w:p>
                  <w:pPr>
                    <w:widowControl/>
                    <w:jc w:val="center"/>
                    <w:textAlignment w:val="center"/>
                    <w:rPr>
                      <w:color w:val="auto"/>
                      <w:szCs w:val="21"/>
                    </w:rPr>
                  </w:pPr>
                  <w:r>
                    <w:rPr>
                      <w:rFonts w:hint="eastAsia"/>
                      <w:color w:val="auto"/>
                      <w:szCs w:val="21"/>
                    </w:rPr>
                    <w:t>3000</w:t>
                  </w:r>
                </w:p>
              </w:tc>
              <w:tc>
                <w:tcPr>
                  <w:tcW w:w="254" w:type="pct"/>
                  <w:vMerge w:val="restart"/>
                  <w:tcBorders>
                    <w:tl2br w:val="nil"/>
                    <w:tr2bl w:val="nil"/>
                  </w:tcBorders>
                  <w:shd w:val="clear" w:color="auto" w:fill="auto"/>
                  <w:vAlign w:val="center"/>
                </w:tcPr>
                <w:p>
                  <w:pPr>
                    <w:widowControl/>
                    <w:jc w:val="center"/>
                    <w:textAlignment w:val="center"/>
                    <w:rPr>
                      <w:color w:val="auto"/>
                      <w:szCs w:val="21"/>
                    </w:rPr>
                  </w:pPr>
                  <w:r>
                    <w:rPr>
                      <w:rFonts w:hint="eastAsia"/>
                      <w:color w:val="auto"/>
                      <w:kern w:val="0"/>
                      <w:szCs w:val="21"/>
                      <w:lang w:bidi="ar"/>
                    </w:rPr>
                    <w:t>4800</w:t>
                  </w:r>
                </w:p>
              </w:tc>
              <w:tc>
                <w:tcPr>
                  <w:tcW w:w="355" w:type="pct"/>
                  <w:tcBorders>
                    <w:tl2br w:val="nil"/>
                    <w:tr2bl w:val="nil"/>
                  </w:tcBorders>
                  <w:shd w:val="clear" w:color="auto" w:fill="auto"/>
                  <w:vAlign w:val="center"/>
                </w:tcPr>
                <w:p>
                  <w:pPr>
                    <w:widowControl/>
                    <w:jc w:val="center"/>
                    <w:textAlignment w:val="center"/>
                    <w:rPr>
                      <w:color w:val="auto"/>
                      <w:szCs w:val="21"/>
                    </w:rPr>
                  </w:pPr>
                  <w:r>
                    <w:rPr>
                      <w:color w:val="auto"/>
                      <w:szCs w:val="21"/>
                    </w:rPr>
                    <w:t>0.0515</w:t>
                  </w:r>
                </w:p>
              </w:tc>
              <w:tc>
                <w:tcPr>
                  <w:tcW w:w="352" w:type="pct"/>
                  <w:tcBorders>
                    <w:tl2br w:val="nil"/>
                    <w:tr2bl w:val="nil"/>
                  </w:tcBorders>
                  <w:shd w:val="clear" w:color="auto" w:fill="auto"/>
                  <w:vAlign w:val="center"/>
                </w:tcPr>
                <w:p>
                  <w:pPr>
                    <w:widowControl/>
                    <w:jc w:val="center"/>
                    <w:textAlignment w:val="center"/>
                    <w:rPr>
                      <w:color w:val="auto"/>
                      <w:szCs w:val="21"/>
                    </w:rPr>
                  </w:pPr>
                  <w:r>
                    <w:rPr>
                      <w:color w:val="auto"/>
                      <w:szCs w:val="21"/>
                    </w:rPr>
                    <w:t>3.5750</w:t>
                  </w:r>
                </w:p>
              </w:tc>
              <w:tc>
                <w:tcPr>
                  <w:tcW w:w="335" w:type="pct"/>
                  <w:tcBorders>
                    <w:tl2br w:val="nil"/>
                    <w:tr2bl w:val="nil"/>
                  </w:tcBorders>
                  <w:shd w:val="clear" w:color="auto" w:fill="auto"/>
                  <w:vAlign w:val="center"/>
                </w:tcPr>
                <w:p>
                  <w:pPr>
                    <w:widowControl/>
                    <w:jc w:val="center"/>
                    <w:textAlignment w:val="center"/>
                    <w:rPr>
                      <w:color w:val="auto"/>
                      <w:szCs w:val="21"/>
                    </w:rPr>
                  </w:pPr>
                  <w:r>
                    <w:rPr>
                      <w:color w:val="auto"/>
                      <w:szCs w:val="21"/>
                    </w:rPr>
                    <w:t>0.0107</w:t>
                  </w:r>
                </w:p>
              </w:tc>
              <w:tc>
                <w:tcPr>
                  <w:tcW w:w="328" w:type="pct"/>
                  <w:tcBorders>
                    <w:tl2br w:val="nil"/>
                    <w:tr2bl w:val="nil"/>
                  </w:tcBorders>
                  <w:shd w:val="clear" w:color="auto" w:fill="auto"/>
                  <w:noWrap/>
                  <w:vAlign w:val="center"/>
                </w:tcPr>
                <w:p>
                  <w:pPr>
                    <w:widowControl/>
                    <w:jc w:val="center"/>
                    <w:textAlignment w:val="center"/>
                    <w:rPr>
                      <w:color w:val="auto"/>
                      <w:szCs w:val="21"/>
                    </w:rPr>
                  </w:pPr>
                  <w:r>
                    <w:rPr>
                      <w:color w:val="auto"/>
                      <w:szCs w:val="21"/>
                    </w:rPr>
                    <w:t>0.0515</w:t>
                  </w:r>
                </w:p>
              </w:tc>
              <w:tc>
                <w:tcPr>
                  <w:tcW w:w="264" w:type="pct"/>
                  <w:tcBorders>
                    <w:tl2br w:val="nil"/>
                    <w:tr2bl w:val="nil"/>
                  </w:tcBorders>
                  <w:shd w:val="clear" w:color="auto" w:fill="auto"/>
                  <w:noWrap/>
                  <w:vAlign w:val="center"/>
                </w:tcPr>
                <w:p>
                  <w:pPr>
                    <w:widowControl/>
                    <w:jc w:val="center"/>
                    <w:textAlignment w:val="center"/>
                    <w:rPr>
                      <w:color w:val="auto"/>
                      <w:szCs w:val="21"/>
                    </w:rPr>
                  </w:pPr>
                  <w:r>
                    <w:rPr>
                      <w:color w:val="auto"/>
                      <w:kern w:val="0"/>
                      <w:szCs w:val="21"/>
                      <w:lang w:bidi="ar"/>
                    </w:rPr>
                    <w:t>100%</w:t>
                  </w:r>
                </w:p>
              </w:tc>
              <w:tc>
                <w:tcPr>
                  <w:tcW w:w="370" w:type="pct"/>
                  <w:vMerge w:val="restart"/>
                  <w:tcBorders>
                    <w:tl2br w:val="nil"/>
                    <w:tr2bl w:val="nil"/>
                  </w:tcBorders>
                  <w:shd w:val="clear" w:color="auto" w:fill="auto"/>
                  <w:vAlign w:val="center"/>
                </w:tcPr>
                <w:p>
                  <w:pPr>
                    <w:widowControl/>
                    <w:jc w:val="center"/>
                    <w:textAlignment w:val="center"/>
                    <w:rPr>
                      <w:color w:val="auto"/>
                      <w:szCs w:val="21"/>
                    </w:rPr>
                  </w:pPr>
                  <w:r>
                    <w:rPr>
                      <w:rFonts w:hint="eastAsia"/>
                      <w:color w:val="auto"/>
                      <w:szCs w:val="21"/>
                    </w:rPr>
                    <w:t>直接排放</w:t>
                  </w:r>
                </w:p>
              </w:tc>
              <w:tc>
                <w:tcPr>
                  <w:tcW w:w="212" w:type="pct"/>
                  <w:tcBorders>
                    <w:tl2br w:val="nil"/>
                    <w:tr2bl w:val="nil"/>
                  </w:tcBorders>
                  <w:shd w:val="clear" w:color="auto" w:fill="auto"/>
                  <w:vAlign w:val="center"/>
                </w:tcPr>
                <w:p>
                  <w:pPr>
                    <w:widowControl/>
                    <w:jc w:val="center"/>
                    <w:textAlignment w:val="center"/>
                    <w:rPr>
                      <w:color w:val="auto"/>
                      <w:szCs w:val="21"/>
                    </w:rPr>
                  </w:pPr>
                  <w:r>
                    <w:rPr>
                      <w:rFonts w:hint="eastAsia"/>
                      <w:color w:val="auto"/>
                      <w:kern w:val="0"/>
                      <w:szCs w:val="21"/>
                      <w:lang w:bidi="ar"/>
                    </w:rPr>
                    <w:t>/</w:t>
                  </w:r>
                </w:p>
              </w:tc>
              <w:tc>
                <w:tcPr>
                  <w:tcW w:w="369" w:type="pct"/>
                  <w:tcBorders>
                    <w:tl2br w:val="nil"/>
                    <w:tr2bl w:val="nil"/>
                  </w:tcBorders>
                  <w:shd w:val="clear" w:color="auto" w:fill="auto"/>
                  <w:vAlign w:val="center"/>
                </w:tcPr>
                <w:p>
                  <w:pPr>
                    <w:widowControl/>
                    <w:jc w:val="center"/>
                    <w:textAlignment w:val="center"/>
                    <w:rPr>
                      <w:color w:val="auto"/>
                      <w:szCs w:val="21"/>
                    </w:rPr>
                  </w:pPr>
                  <w:r>
                    <w:rPr>
                      <w:color w:val="auto"/>
                      <w:szCs w:val="21"/>
                    </w:rPr>
                    <w:t>3.5750</w:t>
                  </w:r>
                </w:p>
              </w:tc>
              <w:tc>
                <w:tcPr>
                  <w:tcW w:w="300" w:type="pct"/>
                  <w:tcBorders>
                    <w:tl2br w:val="nil"/>
                    <w:tr2bl w:val="nil"/>
                  </w:tcBorders>
                  <w:shd w:val="clear" w:color="auto" w:fill="auto"/>
                  <w:vAlign w:val="center"/>
                </w:tcPr>
                <w:p>
                  <w:pPr>
                    <w:widowControl/>
                    <w:jc w:val="center"/>
                    <w:textAlignment w:val="center"/>
                    <w:rPr>
                      <w:color w:val="auto"/>
                      <w:szCs w:val="21"/>
                    </w:rPr>
                  </w:pPr>
                  <w:r>
                    <w:rPr>
                      <w:color w:val="auto"/>
                      <w:szCs w:val="21"/>
                    </w:rPr>
                    <w:t>0.0107</w:t>
                  </w:r>
                </w:p>
              </w:tc>
              <w:tc>
                <w:tcPr>
                  <w:tcW w:w="317" w:type="pct"/>
                  <w:tcBorders>
                    <w:tl2br w:val="nil"/>
                    <w:tr2bl w:val="nil"/>
                  </w:tcBorders>
                  <w:shd w:val="clear" w:color="auto" w:fill="auto"/>
                  <w:vAlign w:val="center"/>
                </w:tcPr>
                <w:p>
                  <w:pPr>
                    <w:widowControl/>
                    <w:jc w:val="center"/>
                    <w:textAlignment w:val="center"/>
                    <w:rPr>
                      <w:color w:val="auto"/>
                      <w:szCs w:val="21"/>
                    </w:rPr>
                  </w:pPr>
                  <w:r>
                    <w:rPr>
                      <w:color w:val="auto"/>
                      <w:szCs w:val="21"/>
                    </w:rPr>
                    <w:t>0.0515</w:t>
                  </w:r>
                </w:p>
              </w:tc>
              <w:tc>
                <w:tcPr>
                  <w:tcW w:w="210" w:type="pct"/>
                  <w:vMerge w:val="restar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15</w:t>
                  </w:r>
                </w:p>
              </w:tc>
              <w:tc>
                <w:tcPr>
                  <w:tcW w:w="309" w:type="pct"/>
                  <w:vMerge w:val="restar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DA0</w:t>
                  </w:r>
                  <w:r>
                    <w:rPr>
                      <w:rFonts w:hint="eastAsia"/>
                      <w:color w:val="auto"/>
                      <w:kern w:val="0"/>
                      <w:szCs w:val="21"/>
                      <w:lang w:bidi="ar"/>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362" w:type="pct"/>
                  <w:vMerge w:val="continue"/>
                  <w:tcBorders>
                    <w:tl2br w:val="nil"/>
                    <w:tr2bl w:val="nil"/>
                  </w:tcBorders>
                  <w:shd w:val="clear" w:color="auto" w:fill="auto"/>
                  <w:vAlign w:val="center"/>
                </w:tcPr>
                <w:p>
                  <w:pPr>
                    <w:widowControl/>
                    <w:jc w:val="center"/>
                    <w:textAlignment w:val="center"/>
                    <w:rPr>
                      <w:color w:val="auto"/>
                      <w:kern w:val="0"/>
                      <w:szCs w:val="21"/>
                      <w:lang w:bidi="ar"/>
                    </w:rPr>
                  </w:pPr>
                </w:p>
              </w:tc>
              <w:tc>
                <w:tcPr>
                  <w:tcW w:w="361" w:type="pct"/>
                  <w:tcBorders>
                    <w:tl2br w:val="nil"/>
                    <w:tr2bl w:val="nil"/>
                  </w:tcBorders>
                  <w:shd w:val="clear" w:color="auto" w:fill="auto"/>
                  <w:vAlign w:val="center"/>
                </w:tcPr>
                <w:p>
                  <w:pPr>
                    <w:widowControl/>
                    <w:jc w:val="center"/>
                    <w:textAlignment w:val="center"/>
                    <w:rPr>
                      <w:rStyle w:val="145"/>
                      <w:rFonts w:hint="default" w:ascii="Times New Roman" w:hAnsi="Times New Roman" w:cs="Times New Roman"/>
                      <w:color w:val="auto"/>
                      <w:sz w:val="21"/>
                      <w:szCs w:val="21"/>
                      <w:lang w:bidi="ar"/>
                    </w:rPr>
                  </w:pPr>
                  <w:r>
                    <w:rPr>
                      <w:rStyle w:val="145"/>
                      <w:rFonts w:hint="default" w:cs="Times New Roman"/>
                      <w:color w:val="auto"/>
                      <w:sz w:val="21"/>
                      <w:szCs w:val="21"/>
                      <w:lang w:bidi="ar"/>
                    </w:rPr>
                    <w:t>二氧化硫</w:t>
                  </w:r>
                </w:p>
              </w:tc>
              <w:tc>
                <w:tcPr>
                  <w:tcW w:w="302" w:type="pct"/>
                  <w:vMerge w:val="continue"/>
                  <w:tcBorders>
                    <w:tl2br w:val="nil"/>
                    <w:tr2bl w:val="nil"/>
                  </w:tcBorders>
                  <w:shd w:val="clear" w:color="auto" w:fill="auto"/>
                  <w:vAlign w:val="center"/>
                </w:tcPr>
                <w:p>
                  <w:pPr>
                    <w:widowControl/>
                    <w:jc w:val="center"/>
                    <w:textAlignment w:val="center"/>
                    <w:rPr>
                      <w:color w:val="auto"/>
                      <w:kern w:val="0"/>
                      <w:szCs w:val="21"/>
                      <w:lang w:bidi="ar"/>
                    </w:rPr>
                  </w:pPr>
                </w:p>
              </w:tc>
              <w:tc>
                <w:tcPr>
                  <w:tcW w:w="254" w:type="pct"/>
                  <w:vMerge w:val="continue"/>
                  <w:tcBorders>
                    <w:tl2br w:val="nil"/>
                    <w:tr2bl w:val="nil"/>
                  </w:tcBorders>
                  <w:shd w:val="clear" w:color="auto" w:fill="auto"/>
                  <w:vAlign w:val="center"/>
                </w:tcPr>
                <w:p>
                  <w:pPr>
                    <w:widowControl/>
                    <w:jc w:val="center"/>
                    <w:textAlignment w:val="center"/>
                    <w:rPr>
                      <w:color w:val="auto"/>
                      <w:kern w:val="0"/>
                      <w:szCs w:val="21"/>
                      <w:lang w:bidi="ar"/>
                    </w:rPr>
                  </w:pPr>
                </w:p>
              </w:tc>
              <w:tc>
                <w:tcPr>
                  <w:tcW w:w="355" w:type="pct"/>
                  <w:tcBorders>
                    <w:tl2br w:val="nil"/>
                    <w:tr2bl w:val="nil"/>
                  </w:tcBorders>
                  <w:shd w:val="clear" w:color="auto" w:fill="auto"/>
                  <w:vAlign w:val="center"/>
                </w:tcPr>
                <w:p>
                  <w:pPr>
                    <w:widowControl/>
                    <w:jc w:val="center"/>
                    <w:textAlignment w:val="center"/>
                    <w:rPr>
                      <w:color w:val="auto"/>
                      <w:kern w:val="0"/>
                      <w:szCs w:val="21"/>
                      <w:lang w:bidi="ar"/>
                    </w:rPr>
                  </w:pPr>
                  <w:r>
                    <w:rPr>
                      <w:color w:val="auto"/>
                      <w:szCs w:val="21"/>
                    </w:rPr>
                    <w:t>0.0072</w:t>
                  </w:r>
                </w:p>
              </w:tc>
              <w:tc>
                <w:tcPr>
                  <w:tcW w:w="352" w:type="pct"/>
                  <w:tcBorders>
                    <w:tl2br w:val="nil"/>
                    <w:tr2bl w:val="nil"/>
                  </w:tcBorders>
                  <w:shd w:val="clear" w:color="auto" w:fill="auto"/>
                  <w:vAlign w:val="center"/>
                </w:tcPr>
                <w:p>
                  <w:pPr>
                    <w:widowControl/>
                    <w:jc w:val="center"/>
                    <w:textAlignment w:val="center"/>
                    <w:rPr>
                      <w:color w:val="auto"/>
                      <w:kern w:val="0"/>
                      <w:szCs w:val="21"/>
                      <w:lang w:bidi="ar"/>
                    </w:rPr>
                  </w:pPr>
                  <w:r>
                    <w:rPr>
                      <w:color w:val="auto"/>
                      <w:szCs w:val="21"/>
                    </w:rPr>
                    <w:t>0.5000</w:t>
                  </w:r>
                </w:p>
              </w:tc>
              <w:tc>
                <w:tcPr>
                  <w:tcW w:w="335" w:type="pct"/>
                  <w:tcBorders>
                    <w:tl2br w:val="nil"/>
                    <w:tr2bl w:val="nil"/>
                  </w:tcBorders>
                  <w:shd w:val="clear" w:color="auto" w:fill="auto"/>
                  <w:vAlign w:val="center"/>
                </w:tcPr>
                <w:p>
                  <w:pPr>
                    <w:widowControl/>
                    <w:jc w:val="center"/>
                    <w:textAlignment w:val="center"/>
                    <w:rPr>
                      <w:color w:val="auto"/>
                      <w:kern w:val="0"/>
                      <w:szCs w:val="21"/>
                      <w:lang w:bidi="ar"/>
                    </w:rPr>
                  </w:pPr>
                  <w:r>
                    <w:rPr>
                      <w:color w:val="auto"/>
                      <w:szCs w:val="21"/>
                    </w:rPr>
                    <w:t>0.0015</w:t>
                  </w:r>
                </w:p>
              </w:tc>
              <w:tc>
                <w:tcPr>
                  <w:tcW w:w="328" w:type="pct"/>
                  <w:tcBorders>
                    <w:tl2br w:val="nil"/>
                    <w:tr2bl w:val="nil"/>
                  </w:tcBorders>
                  <w:shd w:val="clear" w:color="auto" w:fill="auto"/>
                  <w:noWrap/>
                  <w:vAlign w:val="center"/>
                </w:tcPr>
                <w:p>
                  <w:pPr>
                    <w:widowControl/>
                    <w:jc w:val="center"/>
                    <w:textAlignment w:val="center"/>
                    <w:rPr>
                      <w:color w:val="auto"/>
                      <w:kern w:val="0"/>
                      <w:szCs w:val="21"/>
                      <w:lang w:bidi="ar"/>
                    </w:rPr>
                  </w:pPr>
                  <w:r>
                    <w:rPr>
                      <w:color w:val="auto"/>
                      <w:szCs w:val="21"/>
                    </w:rPr>
                    <w:t>0.0072</w:t>
                  </w:r>
                </w:p>
              </w:tc>
              <w:tc>
                <w:tcPr>
                  <w:tcW w:w="264" w:type="pct"/>
                  <w:tcBorders>
                    <w:tl2br w:val="nil"/>
                    <w:tr2bl w:val="nil"/>
                  </w:tcBorders>
                  <w:shd w:val="clear" w:color="auto" w:fill="auto"/>
                  <w:noWrap/>
                  <w:vAlign w:val="center"/>
                </w:tcPr>
                <w:p>
                  <w:pPr>
                    <w:widowControl/>
                    <w:jc w:val="center"/>
                    <w:textAlignment w:val="center"/>
                    <w:rPr>
                      <w:color w:val="auto"/>
                      <w:kern w:val="0"/>
                      <w:szCs w:val="21"/>
                      <w:lang w:bidi="ar"/>
                    </w:rPr>
                  </w:pPr>
                  <w:r>
                    <w:rPr>
                      <w:rFonts w:hint="eastAsia"/>
                      <w:color w:val="auto"/>
                      <w:kern w:val="0"/>
                      <w:szCs w:val="21"/>
                      <w:lang w:bidi="ar"/>
                    </w:rPr>
                    <w:t>100%</w:t>
                  </w:r>
                </w:p>
              </w:tc>
              <w:tc>
                <w:tcPr>
                  <w:tcW w:w="370" w:type="pct"/>
                  <w:vMerge w:val="continue"/>
                  <w:tcBorders>
                    <w:tl2br w:val="nil"/>
                    <w:tr2bl w:val="nil"/>
                  </w:tcBorders>
                  <w:shd w:val="clear" w:color="auto" w:fill="auto"/>
                  <w:vAlign w:val="center"/>
                </w:tcPr>
                <w:p>
                  <w:pPr>
                    <w:widowControl/>
                    <w:jc w:val="center"/>
                    <w:textAlignment w:val="center"/>
                    <w:rPr>
                      <w:color w:val="auto"/>
                      <w:kern w:val="0"/>
                      <w:szCs w:val="21"/>
                      <w:lang w:bidi="ar"/>
                    </w:rPr>
                  </w:pPr>
                </w:p>
              </w:tc>
              <w:tc>
                <w:tcPr>
                  <w:tcW w:w="212" w:type="pct"/>
                  <w:tcBorders>
                    <w:tl2br w:val="nil"/>
                    <w:tr2bl w:val="nil"/>
                  </w:tcBorders>
                  <w:shd w:val="clear" w:color="auto" w:fill="auto"/>
                  <w:vAlign w:val="center"/>
                </w:tcPr>
                <w:p>
                  <w:pPr>
                    <w:widowControl/>
                    <w:jc w:val="center"/>
                    <w:textAlignment w:val="center"/>
                    <w:rPr>
                      <w:color w:val="auto"/>
                      <w:kern w:val="0"/>
                      <w:szCs w:val="21"/>
                      <w:lang w:bidi="ar"/>
                    </w:rPr>
                  </w:pPr>
                  <w:r>
                    <w:rPr>
                      <w:rFonts w:hint="eastAsia"/>
                      <w:color w:val="auto"/>
                      <w:kern w:val="0"/>
                      <w:szCs w:val="21"/>
                      <w:lang w:bidi="ar"/>
                    </w:rPr>
                    <w:t>/</w:t>
                  </w:r>
                </w:p>
              </w:tc>
              <w:tc>
                <w:tcPr>
                  <w:tcW w:w="369" w:type="pct"/>
                  <w:tcBorders>
                    <w:tl2br w:val="nil"/>
                    <w:tr2bl w:val="nil"/>
                  </w:tcBorders>
                  <w:shd w:val="clear" w:color="auto" w:fill="auto"/>
                  <w:vAlign w:val="center"/>
                </w:tcPr>
                <w:p>
                  <w:pPr>
                    <w:widowControl/>
                    <w:jc w:val="center"/>
                    <w:textAlignment w:val="center"/>
                    <w:rPr>
                      <w:color w:val="auto"/>
                      <w:kern w:val="0"/>
                      <w:szCs w:val="21"/>
                      <w:lang w:bidi="ar"/>
                    </w:rPr>
                  </w:pPr>
                  <w:r>
                    <w:rPr>
                      <w:color w:val="auto"/>
                      <w:szCs w:val="21"/>
                    </w:rPr>
                    <w:t>0.5000</w:t>
                  </w:r>
                </w:p>
              </w:tc>
              <w:tc>
                <w:tcPr>
                  <w:tcW w:w="300" w:type="pct"/>
                  <w:tcBorders>
                    <w:tl2br w:val="nil"/>
                    <w:tr2bl w:val="nil"/>
                  </w:tcBorders>
                  <w:shd w:val="clear" w:color="auto" w:fill="auto"/>
                  <w:vAlign w:val="center"/>
                </w:tcPr>
                <w:p>
                  <w:pPr>
                    <w:widowControl/>
                    <w:jc w:val="center"/>
                    <w:textAlignment w:val="center"/>
                    <w:rPr>
                      <w:color w:val="auto"/>
                      <w:kern w:val="0"/>
                      <w:szCs w:val="21"/>
                      <w:lang w:bidi="ar"/>
                    </w:rPr>
                  </w:pPr>
                  <w:r>
                    <w:rPr>
                      <w:color w:val="auto"/>
                      <w:szCs w:val="21"/>
                    </w:rPr>
                    <w:t>0.0015</w:t>
                  </w:r>
                </w:p>
              </w:tc>
              <w:tc>
                <w:tcPr>
                  <w:tcW w:w="317" w:type="pct"/>
                  <w:tcBorders>
                    <w:tl2br w:val="nil"/>
                    <w:tr2bl w:val="nil"/>
                  </w:tcBorders>
                  <w:shd w:val="clear" w:color="auto" w:fill="auto"/>
                  <w:vAlign w:val="center"/>
                </w:tcPr>
                <w:p>
                  <w:pPr>
                    <w:widowControl/>
                    <w:jc w:val="center"/>
                    <w:textAlignment w:val="center"/>
                    <w:rPr>
                      <w:color w:val="auto"/>
                      <w:kern w:val="0"/>
                      <w:szCs w:val="21"/>
                      <w:lang w:bidi="ar"/>
                    </w:rPr>
                  </w:pPr>
                  <w:r>
                    <w:rPr>
                      <w:color w:val="auto"/>
                      <w:szCs w:val="21"/>
                    </w:rPr>
                    <w:t>0.0072</w:t>
                  </w:r>
                </w:p>
              </w:tc>
              <w:tc>
                <w:tcPr>
                  <w:tcW w:w="210" w:type="pct"/>
                  <w:vMerge w:val="continue"/>
                  <w:tcBorders>
                    <w:tl2br w:val="nil"/>
                    <w:tr2bl w:val="nil"/>
                  </w:tcBorders>
                  <w:shd w:val="clear" w:color="auto" w:fill="auto"/>
                  <w:vAlign w:val="center"/>
                </w:tcPr>
                <w:p>
                  <w:pPr>
                    <w:widowControl/>
                    <w:jc w:val="center"/>
                    <w:textAlignment w:val="center"/>
                    <w:rPr>
                      <w:color w:val="auto"/>
                      <w:kern w:val="0"/>
                      <w:szCs w:val="21"/>
                      <w:lang w:bidi="ar"/>
                    </w:rPr>
                  </w:pPr>
                </w:p>
              </w:tc>
              <w:tc>
                <w:tcPr>
                  <w:tcW w:w="309" w:type="pct"/>
                  <w:vMerge w:val="continue"/>
                  <w:tcBorders>
                    <w:tl2br w:val="nil"/>
                    <w:tr2bl w:val="nil"/>
                  </w:tcBorders>
                  <w:shd w:val="clear" w:color="auto" w:fill="auto"/>
                  <w:vAlign w:val="center"/>
                </w:tcPr>
                <w:p>
                  <w:pPr>
                    <w:widowControl/>
                    <w:jc w:val="center"/>
                    <w:textAlignment w:val="center"/>
                    <w:rPr>
                      <w:color w:val="auto"/>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362" w:type="pct"/>
                  <w:vMerge w:val="continue"/>
                  <w:tcBorders>
                    <w:tl2br w:val="nil"/>
                    <w:tr2bl w:val="nil"/>
                  </w:tcBorders>
                  <w:shd w:val="clear" w:color="auto" w:fill="auto"/>
                  <w:vAlign w:val="center"/>
                </w:tcPr>
                <w:p>
                  <w:pPr>
                    <w:jc w:val="center"/>
                    <w:rPr>
                      <w:color w:val="auto"/>
                      <w:szCs w:val="21"/>
                    </w:rPr>
                  </w:pPr>
                </w:p>
              </w:tc>
              <w:tc>
                <w:tcPr>
                  <w:tcW w:w="361" w:type="pct"/>
                  <w:tcBorders>
                    <w:tl2br w:val="nil"/>
                    <w:tr2bl w:val="nil"/>
                  </w:tcBorders>
                  <w:shd w:val="clear" w:color="auto" w:fill="auto"/>
                  <w:vAlign w:val="center"/>
                </w:tcPr>
                <w:p>
                  <w:pPr>
                    <w:widowControl/>
                    <w:jc w:val="center"/>
                    <w:textAlignment w:val="center"/>
                    <w:rPr>
                      <w:color w:val="auto"/>
                      <w:szCs w:val="21"/>
                    </w:rPr>
                  </w:pPr>
                  <w:r>
                    <w:rPr>
                      <w:rStyle w:val="145"/>
                      <w:rFonts w:hint="default" w:cs="Times New Roman"/>
                      <w:color w:val="auto"/>
                      <w:sz w:val="21"/>
                      <w:szCs w:val="21"/>
                      <w:lang w:bidi="ar"/>
                    </w:rPr>
                    <w:t>氮氧化物</w:t>
                  </w:r>
                </w:p>
              </w:tc>
              <w:tc>
                <w:tcPr>
                  <w:tcW w:w="302" w:type="pct"/>
                  <w:vMerge w:val="continue"/>
                  <w:tcBorders>
                    <w:tl2br w:val="nil"/>
                    <w:tr2bl w:val="nil"/>
                  </w:tcBorders>
                  <w:shd w:val="clear" w:color="auto" w:fill="auto"/>
                  <w:vAlign w:val="center"/>
                </w:tcPr>
                <w:p>
                  <w:pPr>
                    <w:widowControl/>
                    <w:jc w:val="center"/>
                    <w:textAlignment w:val="center"/>
                    <w:rPr>
                      <w:color w:val="auto"/>
                      <w:szCs w:val="21"/>
                    </w:rPr>
                  </w:pPr>
                </w:p>
              </w:tc>
              <w:tc>
                <w:tcPr>
                  <w:tcW w:w="254" w:type="pct"/>
                  <w:vMerge w:val="continue"/>
                  <w:tcBorders>
                    <w:tl2br w:val="nil"/>
                    <w:tr2bl w:val="nil"/>
                  </w:tcBorders>
                  <w:shd w:val="clear" w:color="auto" w:fill="auto"/>
                  <w:vAlign w:val="center"/>
                </w:tcPr>
                <w:p>
                  <w:pPr>
                    <w:widowControl/>
                    <w:jc w:val="center"/>
                    <w:textAlignment w:val="center"/>
                    <w:rPr>
                      <w:color w:val="auto"/>
                      <w:szCs w:val="21"/>
                    </w:rPr>
                  </w:pPr>
                </w:p>
              </w:tc>
              <w:tc>
                <w:tcPr>
                  <w:tcW w:w="355" w:type="pct"/>
                  <w:tcBorders>
                    <w:tl2br w:val="nil"/>
                    <w:tr2bl w:val="nil"/>
                  </w:tcBorders>
                  <w:shd w:val="clear" w:color="auto" w:fill="auto"/>
                  <w:vAlign w:val="center"/>
                </w:tcPr>
                <w:p>
                  <w:pPr>
                    <w:widowControl/>
                    <w:jc w:val="center"/>
                    <w:textAlignment w:val="center"/>
                    <w:rPr>
                      <w:color w:val="auto"/>
                      <w:szCs w:val="21"/>
                    </w:rPr>
                  </w:pPr>
                  <w:r>
                    <w:rPr>
                      <w:color w:val="auto"/>
                      <w:szCs w:val="21"/>
                    </w:rPr>
                    <w:t>0.2857</w:t>
                  </w:r>
                </w:p>
              </w:tc>
              <w:tc>
                <w:tcPr>
                  <w:tcW w:w="352" w:type="pct"/>
                  <w:tcBorders>
                    <w:tl2br w:val="nil"/>
                    <w:tr2bl w:val="nil"/>
                  </w:tcBorders>
                  <w:shd w:val="clear" w:color="auto" w:fill="auto"/>
                  <w:vAlign w:val="center"/>
                </w:tcPr>
                <w:p>
                  <w:pPr>
                    <w:widowControl/>
                    <w:jc w:val="center"/>
                    <w:textAlignment w:val="center"/>
                    <w:rPr>
                      <w:color w:val="auto"/>
                      <w:szCs w:val="21"/>
                    </w:rPr>
                  </w:pPr>
                  <w:r>
                    <w:rPr>
                      <w:color w:val="auto"/>
                      <w:szCs w:val="21"/>
                    </w:rPr>
                    <w:t>19.8403</w:t>
                  </w:r>
                </w:p>
              </w:tc>
              <w:tc>
                <w:tcPr>
                  <w:tcW w:w="335" w:type="pct"/>
                  <w:tcBorders>
                    <w:tl2br w:val="nil"/>
                    <w:tr2bl w:val="nil"/>
                  </w:tcBorders>
                  <w:shd w:val="clear" w:color="auto" w:fill="auto"/>
                  <w:vAlign w:val="center"/>
                </w:tcPr>
                <w:p>
                  <w:pPr>
                    <w:widowControl/>
                    <w:jc w:val="center"/>
                    <w:textAlignment w:val="center"/>
                    <w:rPr>
                      <w:color w:val="auto"/>
                      <w:szCs w:val="21"/>
                    </w:rPr>
                  </w:pPr>
                  <w:r>
                    <w:rPr>
                      <w:color w:val="auto"/>
                      <w:szCs w:val="21"/>
                    </w:rPr>
                    <w:t>0.0595</w:t>
                  </w:r>
                </w:p>
              </w:tc>
              <w:tc>
                <w:tcPr>
                  <w:tcW w:w="328" w:type="pct"/>
                  <w:tcBorders>
                    <w:tl2br w:val="nil"/>
                    <w:tr2bl w:val="nil"/>
                  </w:tcBorders>
                  <w:shd w:val="clear" w:color="auto" w:fill="auto"/>
                  <w:noWrap/>
                  <w:vAlign w:val="center"/>
                </w:tcPr>
                <w:p>
                  <w:pPr>
                    <w:widowControl/>
                    <w:jc w:val="center"/>
                    <w:textAlignment w:val="center"/>
                    <w:rPr>
                      <w:color w:val="auto"/>
                      <w:szCs w:val="21"/>
                    </w:rPr>
                  </w:pPr>
                  <w:r>
                    <w:rPr>
                      <w:color w:val="auto"/>
                      <w:szCs w:val="21"/>
                    </w:rPr>
                    <w:t>0.2857</w:t>
                  </w:r>
                </w:p>
              </w:tc>
              <w:tc>
                <w:tcPr>
                  <w:tcW w:w="264" w:type="pct"/>
                  <w:tcBorders>
                    <w:tl2br w:val="nil"/>
                    <w:tr2bl w:val="nil"/>
                  </w:tcBorders>
                  <w:shd w:val="clear" w:color="auto" w:fill="auto"/>
                  <w:noWrap/>
                  <w:vAlign w:val="center"/>
                </w:tcPr>
                <w:p>
                  <w:pPr>
                    <w:widowControl/>
                    <w:jc w:val="center"/>
                    <w:textAlignment w:val="center"/>
                    <w:rPr>
                      <w:color w:val="auto"/>
                      <w:szCs w:val="21"/>
                    </w:rPr>
                  </w:pPr>
                  <w:r>
                    <w:rPr>
                      <w:color w:val="auto"/>
                      <w:kern w:val="0"/>
                      <w:szCs w:val="21"/>
                      <w:lang w:bidi="ar"/>
                    </w:rPr>
                    <w:t>100%</w:t>
                  </w:r>
                </w:p>
              </w:tc>
              <w:tc>
                <w:tcPr>
                  <w:tcW w:w="370" w:type="pct"/>
                  <w:vMerge w:val="continue"/>
                  <w:tcBorders>
                    <w:tl2br w:val="nil"/>
                    <w:tr2bl w:val="nil"/>
                  </w:tcBorders>
                  <w:shd w:val="clear" w:color="auto" w:fill="auto"/>
                  <w:vAlign w:val="center"/>
                </w:tcPr>
                <w:p>
                  <w:pPr>
                    <w:jc w:val="center"/>
                    <w:rPr>
                      <w:color w:val="auto"/>
                      <w:szCs w:val="21"/>
                    </w:rPr>
                  </w:pPr>
                </w:p>
              </w:tc>
              <w:tc>
                <w:tcPr>
                  <w:tcW w:w="212" w:type="pc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w:t>
                  </w:r>
                </w:p>
              </w:tc>
              <w:tc>
                <w:tcPr>
                  <w:tcW w:w="369" w:type="pct"/>
                  <w:tcBorders>
                    <w:tl2br w:val="nil"/>
                    <w:tr2bl w:val="nil"/>
                  </w:tcBorders>
                  <w:shd w:val="clear" w:color="auto" w:fill="auto"/>
                  <w:vAlign w:val="center"/>
                </w:tcPr>
                <w:p>
                  <w:pPr>
                    <w:widowControl/>
                    <w:jc w:val="center"/>
                    <w:textAlignment w:val="center"/>
                    <w:rPr>
                      <w:color w:val="auto"/>
                      <w:szCs w:val="21"/>
                    </w:rPr>
                  </w:pPr>
                  <w:r>
                    <w:rPr>
                      <w:color w:val="auto"/>
                      <w:szCs w:val="21"/>
                    </w:rPr>
                    <w:t>19.8403</w:t>
                  </w:r>
                </w:p>
              </w:tc>
              <w:tc>
                <w:tcPr>
                  <w:tcW w:w="300" w:type="pct"/>
                  <w:tcBorders>
                    <w:tl2br w:val="nil"/>
                    <w:tr2bl w:val="nil"/>
                  </w:tcBorders>
                  <w:shd w:val="clear" w:color="auto" w:fill="auto"/>
                  <w:vAlign w:val="center"/>
                </w:tcPr>
                <w:p>
                  <w:pPr>
                    <w:widowControl/>
                    <w:jc w:val="center"/>
                    <w:textAlignment w:val="center"/>
                    <w:rPr>
                      <w:color w:val="auto"/>
                      <w:szCs w:val="21"/>
                    </w:rPr>
                  </w:pPr>
                  <w:r>
                    <w:rPr>
                      <w:color w:val="auto"/>
                      <w:szCs w:val="21"/>
                    </w:rPr>
                    <w:t>0.0595</w:t>
                  </w:r>
                </w:p>
              </w:tc>
              <w:tc>
                <w:tcPr>
                  <w:tcW w:w="317" w:type="pct"/>
                  <w:tcBorders>
                    <w:tl2br w:val="nil"/>
                    <w:tr2bl w:val="nil"/>
                  </w:tcBorders>
                  <w:shd w:val="clear" w:color="auto" w:fill="auto"/>
                  <w:vAlign w:val="center"/>
                </w:tcPr>
                <w:p>
                  <w:pPr>
                    <w:widowControl/>
                    <w:jc w:val="center"/>
                    <w:textAlignment w:val="center"/>
                    <w:rPr>
                      <w:color w:val="auto"/>
                      <w:szCs w:val="21"/>
                    </w:rPr>
                  </w:pPr>
                  <w:r>
                    <w:rPr>
                      <w:color w:val="auto"/>
                      <w:szCs w:val="21"/>
                    </w:rPr>
                    <w:t>0.2857</w:t>
                  </w:r>
                </w:p>
              </w:tc>
              <w:tc>
                <w:tcPr>
                  <w:tcW w:w="210" w:type="pct"/>
                  <w:vMerge w:val="continue"/>
                  <w:tcBorders>
                    <w:tl2br w:val="nil"/>
                    <w:tr2bl w:val="nil"/>
                  </w:tcBorders>
                  <w:shd w:val="clear" w:color="auto" w:fill="auto"/>
                  <w:vAlign w:val="center"/>
                </w:tcPr>
                <w:p>
                  <w:pPr>
                    <w:jc w:val="center"/>
                    <w:rPr>
                      <w:color w:val="auto"/>
                      <w:szCs w:val="21"/>
                    </w:rPr>
                  </w:pPr>
                </w:p>
              </w:tc>
              <w:tc>
                <w:tcPr>
                  <w:tcW w:w="309" w:type="pct"/>
                  <w:vMerge w:val="continue"/>
                  <w:tcBorders>
                    <w:tl2br w:val="nil"/>
                    <w:tr2bl w:val="nil"/>
                  </w:tcBorders>
                  <w:shd w:val="clear" w:color="auto" w:fill="auto"/>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0" w:hRule="atLeast"/>
                <w:jc w:val="center"/>
              </w:trPr>
              <w:tc>
                <w:tcPr>
                  <w:tcW w:w="362" w:type="pct"/>
                  <w:tcBorders>
                    <w:tl2br w:val="nil"/>
                    <w:tr2bl w:val="nil"/>
                  </w:tcBorders>
                  <w:shd w:val="clear" w:color="auto" w:fill="auto"/>
                  <w:vAlign w:val="center"/>
                </w:tcPr>
                <w:p>
                  <w:pPr>
                    <w:widowControl/>
                    <w:jc w:val="center"/>
                    <w:textAlignment w:val="center"/>
                    <w:rPr>
                      <w:color w:val="auto"/>
                      <w:szCs w:val="21"/>
                    </w:rPr>
                  </w:pPr>
                  <w:ins w:id="634" w:author="Sunny" w:date="2022-12-29T11:31:00Z">
                    <w:r>
                      <w:rPr>
                        <w:rFonts w:hint="eastAsia"/>
                        <w:color w:val="auto"/>
                        <w:szCs w:val="21"/>
                      </w:rPr>
                      <w:t>静电</w:t>
                    </w:r>
                  </w:ins>
                  <w:ins w:id="635" w:author="Sunny" w:date="2022-12-27T17:32:00Z">
                    <w:r>
                      <w:rPr>
                        <w:rFonts w:hint="eastAsia"/>
                        <w:color w:val="auto"/>
                        <w:szCs w:val="21"/>
                      </w:rPr>
                      <w:t>喷粉颗粒物</w:t>
                    </w:r>
                  </w:ins>
                </w:p>
              </w:tc>
              <w:tc>
                <w:tcPr>
                  <w:tcW w:w="361" w:type="pct"/>
                  <w:tcBorders>
                    <w:tl2br w:val="nil"/>
                    <w:tr2bl w:val="nil"/>
                  </w:tcBorders>
                  <w:shd w:val="clear" w:color="auto" w:fill="auto"/>
                  <w:vAlign w:val="center"/>
                </w:tcPr>
                <w:p>
                  <w:pPr>
                    <w:widowControl/>
                    <w:jc w:val="center"/>
                    <w:textAlignment w:val="center"/>
                    <w:rPr>
                      <w:color w:val="auto"/>
                      <w:szCs w:val="21"/>
                    </w:rPr>
                  </w:pPr>
                  <w:ins w:id="636" w:author="Sunny" w:date="2022-12-27T17:32:00Z">
                    <w:r>
                      <w:rPr>
                        <w:rFonts w:hint="eastAsia"/>
                        <w:color w:val="auto"/>
                        <w:szCs w:val="21"/>
                      </w:rPr>
                      <w:t>颗粒物</w:t>
                    </w:r>
                  </w:ins>
                </w:p>
              </w:tc>
              <w:tc>
                <w:tcPr>
                  <w:tcW w:w="302" w:type="pct"/>
                  <w:tcBorders>
                    <w:tl2br w:val="nil"/>
                    <w:tr2bl w:val="nil"/>
                  </w:tcBorders>
                  <w:shd w:val="clear" w:color="auto" w:fill="auto"/>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18000</w:t>
                  </w:r>
                </w:p>
              </w:tc>
              <w:tc>
                <w:tcPr>
                  <w:tcW w:w="254" w:type="pct"/>
                  <w:tcBorders>
                    <w:tl2br w:val="nil"/>
                    <w:tr2bl w:val="nil"/>
                  </w:tcBorders>
                  <w:shd w:val="clear" w:color="auto" w:fill="auto"/>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4800</w:t>
                  </w:r>
                </w:p>
              </w:tc>
              <w:tc>
                <w:tcPr>
                  <w:tcW w:w="355" w:type="pct"/>
                  <w:tcBorders>
                    <w:tl2br w:val="nil"/>
                    <w:tr2bl w:val="nil"/>
                  </w:tcBorders>
                  <w:shd w:val="clear" w:color="auto" w:fill="auto"/>
                  <w:vAlign w:val="center"/>
                </w:tcPr>
                <w:p>
                  <w:pPr>
                    <w:widowControl/>
                    <w:jc w:val="center"/>
                    <w:textAlignment w:val="center"/>
                    <w:rPr>
                      <w:color w:val="auto"/>
                      <w:szCs w:val="21"/>
                    </w:rPr>
                  </w:pPr>
                  <w:r>
                    <w:rPr>
                      <w:color w:val="auto"/>
                      <w:szCs w:val="21"/>
                    </w:rPr>
                    <w:t>6.65</w:t>
                  </w:r>
                </w:p>
              </w:tc>
              <w:tc>
                <w:tcPr>
                  <w:tcW w:w="953"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 xml:space="preserve">65.97 </w:t>
                  </w:r>
                </w:p>
              </w:tc>
              <w:tc>
                <w:tcPr>
                  <w:tcW w:w="907"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 xml:space="preserve">1.19 </w:t>
                  </w:r>
                </w:p>
              </w:tc>
              <w:tc>
                <w:tcPr>
                  <w:tcW w:w="888" w:type="dxa"/>
                  <w:tcBorders>
                    <w:tl2br w:val="nil"/>
                    <w:tr2bl w:val="nil"/>
                  </w:tcBorders>
                  <w:shd w:val="clear" w:color="auto" w:fill="auto"/>
                  <w:noWrap/>
                  <w:vAlign w:val="center"/>
                </w:tcPr>
                <w:p>
                  <w:pPr>
                    <w:widowControl/>
                    <w:jc w:val="center"/>
                    <w:textAlignment w:val="center"/>
                    <w:rPr>
                      <w:color w:val="auto"/>
                      <w:szCs w:val="21"/>
                    </w:rPr>
                  </w:pPr>
                  <w:r>
                    <w:rPr>
                      <w:color w:val="auto"/>
                      <w:kern w:val="0"/>
                      <w:szCs w:val="21"/>
                      <w:lang w:bidi="ar"/>
                    </w:rPr>
                    <w:t>5.7</w:t>
                  </w:r>
                </w:p>
              </w:tc>
              <w:tc>
                <w:tcPr>
                  <w:tcW w:w="264" w:type="pct"/>
                  <w:tcBorders>
                    <w:tl2br w:val="nil"/>
                    <w:tr2bl w:val="nil"/>
                  </w:tcBorders>
                  <w:shd w:val="clear" w:color="auto" w:fill="auto"/>
                  <w:noWrap/>
                  <w:vAlign w:val="center"/>
                </w:tcPr>
                <w:p>
                  <w:pPr>
                    <w:widowControl/>
                    <w:jc w:val="center"/>
                    <w:textAlignment w:val="center"/>
                    <w:rPr>
                      <w:color w:val="auto"/>
                      <w:szCs w:val="21"/>
                    </w:rPr>
                  </w:pPr>
                  <w:ins w:id="637" w:author="Sunny" w:date="2022-12-27T17:34:00Z">
                    <w:r>
                      <w:rPr>
                        <w:rFonts w:hint="eastAsia"/>
                        <w:color w:val="auto"/>
                        <w:szCs w:val="21"/>
                      </w:rPr>
                      <w:t>9</w:t>
                    </w:r>
                  </w:ins>
                  <w:ins w:id="638" w:author="Sunny" w:date="2022-12-28T17:28:00Z">
                    <w:r>
                      <w:rPr>
                        <w:rFonts w:hint="eastAsia"/>
                        <w:color w:val="auto"/>
                        <w:szCs w:val="21"/>
                      </w:rPr>
                      <w:t>5</w:t>
                    </w:r>
                  </w:ins>
                  <w:ins w:id="639" w:author="Sunny" w:date="2022-12-27T17:34:00Z">
                    <w:r>
                      <w:rPr>
                        <w:rFonts w:hint="eastAsia"/>
                        <w:color w:val="auto"/>
                        <w:szCs w:val="21"/>
                      </w:rPr>
                      <w:t>%</w:t>
                    </w:r>
                  </w:ins>
                </w:p>
              </w:tc>
              <w:tc>
                <w:tcPr>
                  <w:tcW w:w="370" w:type="pct"/>
                  <w:tcBorders>
                    <w:tl2br w:val="nil"/>
                    <w:tr2bl w:val="nil"/>
                  </w:tcBorders>
                  <w:shd w:val="clear" w:color="auto" w:fill="auto"/>
                  <w:vAlign w:val="center"/>
                </w:tcPr>
                <w:p>
                  <w:pPr>
                    <w:widowControl/>
                    <w:jc w:val="center"/>
                    <w:textAlignment w:val="center"/>
                    <w:rPr>
                      <w:color w:val="auto"/>
                      <w:szCs w:val="21"/>
                    </w:rPr>
                  </w:pPr>
                  <w:ins w:id="640" w:author="Sunny" w:date="2022-12-27T17:39:00Z">
                    <w:r>
                      <w:rPr>
                        <w:rFonts w:hint="eastAsia"/>
                        <w:color w:val="auto"/>
                        <w:szCs w:val="21"/>
                      </w:rPr>
                      <w:t>旋风+滤芯回收系统处理</w:t>
                    </w:r>
                  </w:ins>
                </w:p>
              </w:tc>
              <w:tc>
                <w:tcPr>
                  <w:tcW w:w="212" w:type="pct"/>
                  <w:tcBorders>
                    <w:tl2br w:val="nil"/>
                    <w:tr2bl w:val="nil"/>
                  </w:tcBorders>
                  <w:shd w:val="clear" w:color="auto" w:fill="auto"/>
                  <w:noWrap/>
                  <w:vAlign w:val="center"/>
                </w:tcPr>
                <w:p>
                  <w:pPr>
                    <w:widowControl/>
                    <w:jc w:val="center"/>
                    <w:textAlignment w:val="center"/>
                    <w:rPr>
                      <w:color w:val="auto"/>
                      <w:szCs w:val="21"/>
                    </w:rPr>
                  </w:pPr>
                  <w:ins w:id="641" w:author="Sunny" w:date="2022-12-27T17:34:00Z">
                    <w:r>
                      <w:rPr>
                        <w:rFonts w:hint="eastAsia"/>
                        <w:color w:val="auto"/>
                        <w:szCs w:val="21"/>
                      </w:rPr>
                      <w:t>9</w:t>
                    </w:r>
                  </w:ins>
                  <w:r>
                    <w:rPr>
                      <w:rFonts w:hint="eastAsia"/>
                      <w:color w:val="auto"/>
                      <w:szCs w:val="21"/>
                    </w:rPr>
                    <w:t>5</w:t>
                  </w:r>
                  <w:ins w:id="642" w:author="Sunny" w:date="2022-12-27T17:34:00Z">
                    <w:r>
                      <w:rPr>
                        <w:rFonts w:hint="eastAsia"/>
                        <w:color w:val="auto"/>
                        <w:szCs w:val="21"/>
                      </w:rPr>
                      <w:t>%</w:t>
                    </w:r>
                  </w:ins>
                </w:p>
              </w:tc>
              <w:tc>
                <w:tcPr>
                  <w:tcW w:w="999"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 xml:space="preserve">3.2986 </w:t>
                  </w:r>
                </w:p>
              </w:tc>
              <w:tc>
                <w:tcPr>
                  <w:tcW w:w="812"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 xml:space="preserve">0.0594 </w:t>
                  </w:r>
                </w:p>
              </w:tc>
              <w:tc>
                <w:tcPr>
                  <w:tcW w:w="858"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 xml:space="preserve">0.2850 </w:t>
                  </w:r>
                </w:p>
              </w:tc>
              <w:tc>
                <w:tcPr>
                  <w:tcW w:w="210" w:type="pct"/>
                  <w:tcBorders>
                    <w:tl2br w:val="nil"/>
                    <w:tr2bl w:val="nil"/>
                  </w:tcBorders>
                  <w:shd w:val="clear" w:color="auto" w:fill="auto"/>
                  <w:vAlign w:val="center"/>
                </w:tcPr>
                <w:p>
                  <w:pPr>
                    <w:widowControl/>
                    <w:jc w:val="center"/>
                    <w:textAlignment w:val="center"/>
                    <w:rPr>
                      <w:color w:val="auto"/>
                      <w:szCs w:val="21"/>
                    </w:rPr>
                  </w:pPr>
                  <w:r>
                    <w:rPr>
                      <w:rFonts w:hint="eastAsia"/>
                      <w:color w:val="auto"/>
                      <w:szCs w:val="21"/>
                    </w:rPr>
                    <w:t>15</w:t>
                  </w:r>
                </w:p>
              </w:tc>
              <w:tc>
                <w:tcPr>
                  <w:tcW w:w="309" w:type="pct"/>
                  <w:tcBorders>
                    <w:tl2br w:val="nil"/>
                    <w:tr2bl w:val="nil"/>
                  </w:tcBorders>
                  <w:shd w:val="clear" w:color="auto" w:fill="auto"/>
                  <w:noWrap/>
                  <w:vAlign w:val="center"/>
                </w:tcPr>
                <w:p>
                  <w:pPr>
                    <w:widowControl/>
                    <w:jc w:val="center"/>
                    <w:textAlignment w:val="center"/>
                    <w:rPr>
                      <w:color w:val="auto"/>
                      <w:szCs w:val="21"/>
                    </w:rPr>
                  </w:pPr>
                  <w:ins w:id="643" w:author="Sunny" w:date="2022-12-27T17:32:00Z">
                    <w:r>
                      <w:rPr>
                        <w:color w:val="auto"/>
                        <w:kern w:val="0"/>
                        <w:szCs w:val="21"/>
                        <w:lang w:bidi="ar"/>
                      </w:rPr>
                      <w:t>DA0</w:t>
                    </w:r>
                  </w:ins>
                  <w:ins w:id="644" w:author="Sunny" w:date="2022-12-27T17:32:00Z">
                    <w:r>
                      <w:rPr>
                        <w:rFonts w:hint="eastAsia"/>
                        <w:color w:val="auto"/>
                        <w:kern w:val="0"/>
                        <w:szCs w:val="21"/>
                        <w:lang w:bidi="ar"/>
                      </w:rPr>
                      <w:t>02</w:t>
                    </w:r>
                  </w:ins>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0" w:hRule="atLeast"/>
                <w:jc w:val="center"/>
                <w:ins w:id="645" w:author="Sunny" w:date="2022-12-27T17:31:00Z"/>
              </w:trPr>
              <w:tc>
                <w:tcPr>
                  <w:tcW w:w="362" w:type="pct"/>
                  <w:tcBorders>
                    <w:tl2br w:val="nil"/>
                    <w:tr2bl w:val="nil"/>
                  </w:tcBorders>
                  <w:shd w:val="clear" w:color="auto" w:fill="auto"/>
                  <w:vAlign w:val="center"/>
                </w:tcPr>
                <w:p>
                  <w:pPr>
                    <w:widowControl/>
                    <w:jc w:val="center"/>
                    <w:textAlignment w:val="center"/>
                    <w:rPr>
                      <w:ins w:id="646" w:author="Sunny" w:date="2022-12-27T17:31:00Z"/>
                      <w:color w:val="auto"/>
                      <w:szCs w:val="21"/>
                    </w:rPr>
                  </w:pPr>
                  <w:r>
                    <w:rPr>
                      <w:rFonts w:hint="eastAsia"/>
                      <w:color w:val="auto"/>
                      <w:kern w:val="0"/>
                      <w:szCs w:val="21"/>
                      <w:lang w:bidi="ar"/>
                    </w:rPr>
                    <w:t>粉末固化有机废气</w:t>
                  </w:r>
                </w:p>
              </w:tc>
              <w:tc>
                <w:tcPr>
                  <w:tcW w:w="361" w:type="pct"/>
                  <w:tcBorders>
                    <w:tl2br w:val="nil"/>
                    <w:tr2bl w:val="nil"/>
                  </w:tcBorders>
                  <w:shd w:val="clear" w:color="auto" w:fill="auto"/>
                  <w:vAlign w:val="center"/>
                </w:tcPr>
                <w:p>
                  <w:pPr>
                    <w:widowControl/>
                    <w:jc w:val="center"/>
                    <w:textAlignment w:val="center"/>
                    <w:rPr>
                      <w:ins w:id="647" w:author="Sunny" w:date="2022-12-27T17:31:00Z"/>
                      <w:color w:val="auto"/>
                      <w:szCs w:val="21"/>
                    </w:rPr>
                  </w:pPr>
                  <w:r>
                    <w:rPr>
                      <w:color w:val="auto"/>
                      <w:kern w:val="0"/>
                      <w:szCs w:val="21"/>
                      <w:lang w:bidi="ar"/>
                    </w:rPr>
                    <w:t>非甲烷总烃</w:t>
                  </w:r>
                </w:p>
              </w:tc>
              <w:tc>
                <w:tcPr>
                  <w:tcW w:w="302" w:type="pct"/>
                  <w:tcBorders>
                    <w:tl2br w:val="nil"/>
                    <w:tr2bl w:val="nil"/>
                  </w:tcBorders>
                  <w:shd w:val="clear" w:color="auto" w:fill="auto"/>
                  <w:vAlign w:val="center"/>
                </w:tcPr>
                <w:p>
                  <w:pPr>
                    <w:widowControl/>
                    <w:jc w:val="center"/>
                    <w:textAlignment w:val="center"/>
                    <w:rPr>
                      <w:ins w:id="648" w:author="Sunny" w:date="2022-12-27T17:31:00Z"/>
                      <w:color w:val="auto"/>
                      <w:szCs w:val="21"/>
                    </w:rPr>
                  </w:pPr>
                  <w:r>
                    <w:rPr>
                      <w:rFonts w:hint="eastAsia"/>
                      <w:color w:val="auto"/>
                      <w:szCs w:val="21"/>
                    </w:rPr>
                    <w:t>5000</w:t>
                  </w:r>
                </w:p>
              </w:tc>
              <w:tc>
                <w:tcPr>
                  <w:tcW w:w="254" w:type="pct"/>
                  <w:tcBorders>
                    <w:tl2br w:val="nil"/>
                    <w:tr2bl w:val="nil"/>
                  </w:tcBorders>
                  <w:shd w:val="clear" w:color="auto" w:fill="auto"/>
                  <w:vAlign w:val="center"/>
                </w:tcPr>
                <w:p>
                  <w:pPr>
                    <w:widowControl/>
                    <w:jc w:val="center"/>
                    <w:textAlignment w:val="center"/>
                    <w:rPr>
                      <w:ins w:id="649" w:author="Sunny" w:date="2022-12-27T17:31:00Z"/>
                      <w:color w:val="auto"/>
                      <w:szCs w:val="21"/>
                    </w:rPr>
                  </w:pPr>
                  <w:r>
                    <w:rPr>
                      <w:rFonts w:hint="eastAsia"/>
                      <w:color w:val="auto"/>
                      <w:kern w:val="0"/>
                      <w:szCs w:val="21"/>
                      <w:lang w:bidi="ar"/>
                    </w:rPr>
                    <w:t>4800</w:t>
                  </w:r>
                </w:p>
              </w:tc>
              <w:tc>
                <w:tcPr>
                  <w:tcW w:w="355" w:type="pct"/>
                  <w:tcBorders>
                    <w:tl2br w:val="nil"/>
                    <w:tr2bl w:val="nil"/>
                  </w:tcBorders>
                  <w:shd w:val="clear" w:color="auto" w:fill="auto"/>
                  <w:vAlign w:val="center"/>
                </w:tcPr>
                <w:p>
                  <w:pPr>
                    <w:widowControl/>
                    <w:jc w:val="center"/>
                    <w:textAlignment w:val="center"/>
                    <w:rPr>
                      <w:ins w:id="650" w:author="Sunny" w:date="2022-12-27T17:31:00Z"/>
                      <w:color w:val="auto"/>
                      <w:szCs w:val="21"/>
                    </w:rPr>
                  </w:pPr>
                  <w:r>
                    <w:rPr>
                      <w:color w:val="auto"/>
                      <w:szCs w:val="21"/>
                    </w:rPr>
                    <w:t>0.513</w:t>
                  </w:r>
                </w:p>
              </w:tc>
              <w:tc>
                <w:tcPr>
                  <w:tcW w:w="352" w:type="pct"/>
                  <w:tcBorders>
                    <w:tl2br w:val="nil"/>
                    <w:tr2bl w:val="nil"/>
                  </w:tcBorders>
                  <w:shd w:val="clear" w:color="auto" w:fill="auto"/>
                  <w:vAlign w:val="center"/>
                </w:tcPr>
                <w:p>
                  <w:pPr>
                    <w:widowControl/>
                    <w:jc w:val="center"/>
                    <w:textAlignment w:val="center"/>
                    <w:rPr>
                      <w:ins w:id="651" w:author="Sunny" w:date="2022-12-27T17:31:00Z"/>
                      <w:color w:val="auto"/>
                      <w:szCs w:val="21"/>
                    </w:rPr>
                  </w:pPr>
                  <w:r>
                    <w:rPr>
                      <w:color w:val="auto"/>
                      <w:szCs w:val="21"/>
                    </w:rPr>
                    <w:t xml:space="preserve">21.38 </w:t>
                  </w:r>
                </w:p>
              </w:tc>
              <w:tc>
                <w:tcPr>
                  <w:tcW w:w="335" w:type="pct"/>
                  <w:tcBorders>
                    <w:tl2br w:val="nil"/>
                    <w:tr2bl w:val="nil"/>
                  </w:tcBorders>
                  <w:shd w:val="clear" w:color="auto" w:fill="auto"/>
                  <w:vAlign w:val="center"/>
                </w:tcPr>
                <w:p>
                  <w:pPr>
                    <w:widowControl/>
                    <w:jc w:val="center"/>
                    <w:textAlignment w:val="center"/>
                    <w:rPr>
                      <w:ins w:id="652" w:author="Sunny" w:date="2022-12-27T17:31:00Z"/>
                      <w:color w:val="auto"/>
                      <w:szCs w:val="21"/>
                    </w:rPr>
                  </w:pPr>
                  <w:r>
                    <w:rPr>
                      <w:color w:val="auto"/>
                      <w:szCs w:val="21"/>
                    </w:rPr>
                    <w:t xml:space="preserve">0.11 </w:t>
                  </w:r>
                </w:p>
              </w:tc>
              <w:tc>
                <w:tcPr>
                  <w:tcW w:w="328" w:type="pct"/>
                  <w:tcBorders>
                    <w:tl2br w:val="nil"/>
                    <w:tr2bl w:val="nil"/>
                  </w:tcBorders>
                  <w:shd w:val="clear" w:color="auto" w:fill="auto"/>
                  <w:noWrap/>
                  <w:vAlign w:val="center"/>
                </w:tcPr>
                <w:p>
                  <w:pPr>
                    <w:widowControl/>
                    <w:jc w:val="center"/>
                    <w:textAlignment w:val="center"/>
                    <w:rPr>
                      <w:ins w:id="653" w:author="Sunny" w:date="2022-12-27T17:31:00Z"/>
                      <w:color w:val="auto"/>
                      <w:szCs w:val="21"/>
                    </w:rPr>
                  </w:pPr>
                  <w:r>
                    <w:rPr>
                      <w:color w:val="auto"/>
                      <w:szCs w:val="21"/>
                    </w:rPr>
                    <w:t>0.513</w:t>
                  </w:r>
                </w:p>
              </w:tc>
              <w:tc>
                <w:tcPr>
                  <w:tcW w:w="264" w:type="pct"/>
                  <w:tcBorders>
                    <w:tl2br w:val="nil"/>
                    <w:tr2bl w:val="nil"/>
                  </w:tcBorders>
                  <w:shd w:val="clear" w:color="auto" w:fill="auto"/>
                  <w:noWrap/>
                  <w:vAlign w:val="center"/>
                </w:tcPr>
                <w:p>
                  <w:pPr>
                    <w:widowControl/>
                    <w:jc w:val="center"/>
                    <w:textAlignment w:val="center"/>
                    <w:rPr>
                      <w:ins w:id="654" w:author="Sunny" w:date="2022-12-27T17:31:00Z"/>
                      <w:color w:val="auto"/>
                      <w:szCs w:val="21"/>
                    </w:rPr>
                  </w:pPr>
                  <w:r>
                    <w:rPr>
                      <w:rFonts w:hint="eastAsia"/>
                      <w:color w:val="auto"/>
                      <w:szCs w:val="21"/>
                    </w:rPr>
                    <w:t>95%</w:t>
                  </w:r>
                </w:p>
              </w:tc>
              <w:tc>
                <w:tcPr>
                  <w:tcW w:w="370" w:type="pct"/>
                  <w:tcBorders>
                    <w:tl2br w:val="nil"/>
                    <w:tr2bl w:val="nil"/>
                  </w:tcBorders>
                  <w:shd w:val="clear" w:color="auto" w:fill="auto"/>
                  <w:vAlign w:val="center"/>
                </w:tcPr>
                <w:p>
                  <w:pPr>
                    <w:widowControl/>
                    <w:jc w:val="center"/>
                    <w:textAlignment w:val="center"/>
                    <w:rPr>
                      <w:ins w:id="655" w:author="Sunny" w:date="2022-12-27T17:31:00Z"/>
                      <w:color w:val="auto"/>
                      <w:szCs w:val="21"/>
                    </w:rPr>
                  </w:pPr>
                  <w:r>
                    <w:rPr>
                      <w:color w:val="auto"/>
                      <w:kern w:val="0"/>
                      <w:szCs w:val="21"/>
                      <w:lang w:bidi="ar"/>
                    </w:rPr>
                    <w:t>二级活性炭吸附</w:t>
                  </w:r>
                </w:p>
              </w:tc>
              <w:tc>
                <w:tcPr>
                  <w:tcW w:w="212" w:type="pct"/>
                  <w:tcBorders>
                    <w:tl2br w:val="nil"/>
                    <w:tr2bl w:val="nil"/>
                  </w:tcBorders>
                  <w:shd w:val="clear" w:color="auto" w:fill="auto"/>
                  <w:noWrap/>
                  <w:vAlign w:val="center"/>
                </w:tcPr>
                <w:p>
                  <w:pPr>
                    <w:widowControl/>
                    <w:jc w:val="center"/>
                    <w:textAlignment w:val="center"/>
                    <w:rPr>
                      <w:ins w:id="656" w:author="Sunny" w:date="2022-12-27T17:31:00Z"/>
                      <w:color w:val="auto"/>
                      <w:szCs w:val="21"/>
                    </w:rPr>
                  </w:pPr>
                  <w:r>
                    <w:rPr>
                      <w:color w:val="auto"/>
                      <w:kern w:val="0"/>
                      <w:szCs w:val="21"/>
                      <w:lang w:bidi="ar"/>
                    </w:rPr>
                    <w:t>90%</w:t>
                  </w:r>
                </w:p>
              </w:tc>
              <w:tc>
                <w:tcPr>
                  <w:tcW w:w="369" w:type="pct"/>
                  <w:tcBorders>
                    <w:tl2br w:val="nil"/>
                    <w:tr2bl w:val="nil"/>
                  </w:tcBorders>
                  <w:shd w:val="clear" w:color="auto" w:fill="auto"/>
                  <w:vAlign w:val="center"/>
                </w:tcPr>
                <w:p>
                  <w:pPr>
                    <w:widowControl/>
                    <w:jc w:val="center"/>
                    <w:textAlignment w:val="center"/>
                    <w:rPr>
                      <w:ins w:id="657" w:author="Sunny" w:date="2022-12-27T17:31:00Z"/>
                      <w:color w:val="auto"/>
                      <w:szCs w:val="21"/>
                    </w:rPr>
                  </w:pPr>
                  <w:r>
                    <w:rPr>
                      <w:color w:val="auto"/>
                      <w:szCs w:val="21"/>
                    </w:rPr>
                    <w:t xml:space="preserve">2.1375 </w:t>
                  </w:r>
                </w:p>
              </w:tc>
              <w:tc>
                <w:tcPr>
                  <w:tcW w:w="300" w:type="pct"/>
                  <w:tcBorders>
                    <w:tl2br w:val="nil"/>
                    <w:tr2bl w:val="nil"/>
                  </w:tcBorders>
                  <w:shd w:val="clear" w:color="auto" w:fill="auto"/>
                  <w:vAlign w:val="center"/>
                </w:tcPr>
                <w:p>
                  <w:pPr>
                    <w:widowControl/>
                    <w:jc w:val="center"/>
                    <w:textAlignment w:val="center"/>
                    <w:rPr>
                      <w:ins w:id="658" w:author="Sunny" w:date="2022-12-27T17:31:00Z"/>
                      <w:color w:val="auto"/>
                      <w:szCs w:val="21"/>
                    </w:rPr>
                  </w:pPr>
                  <w:r>
                    <w:rPr>
                      <w:color w:val="auto"/>
                      <w:szCs w:val="21"/>
                    </w:rPr>
                    <w:t xml:space="preserve">0.0107 </w:t>
                  </w:r>
                </w:p>
              </w:tc>
              <w:tc>
                <w:tcPr>
                  <w:tcW w:w="317" w:type="pct"/>
                  <w:tcBorders>
                    <w:tl2br w:val="nil"/>
                    <w:tr2bl w:val="nil"/>
                  </w:tcBorders>
                  <w:shd w:val="clear" w:color="auto" w:fill="auto"/>
                  <w:vAlign w:val="center"/>
                </w:tcPr>
                <w:p>
                  <w:pPr>
                    <w:widowControl/>
                    <w:jc w:val="center"/>
                    <w:textAlignment w:val="center"/>
                    <w:rPr>
                      <w:ins w:id="659" w:author="Sunny" w:date="2022-12-27T17:31:00Z"/>
                      <w:color w:val="auto"/>
                      <w:szCs w:val="21"/>
                    </w:rPr>
                  </w:pPr>
                  <w:r>
                    <w:rPr>
                      <w:color w:val="auto"/>
                      <w:szCs w:val="21"/>
                    </w:rPr>
                    <w:t xml:space="preserve">0.0513 </w:t>
                  </w:r>
                </w:p>
              </w:tc>
              <w:tc>
                <w:tcPr>
                  <w:tcW w:w="210" w:type="pct"/>
                  <w:tcBorders>
                    <w:tl2br w:val="nil"/>
                    <w:tr2bl w:val="nil"/>
                  </w:tcBorders>
                  <w:shd w:val="clear" w:color="auto" w:fill="auto"/>
                  <w:vAlign w:val="center"/>
                </w:tcPr>
                <w:p>
                  <w:pPr>
                    <w:widowControl/>
                    <w:jc w:val="center"/>
                    <w:textAlignment w:val="center"/>
                    <w:rPr>
                      <w:ins w:id="660" w:author="Sunny" w:date="2022-12-27T17:31:00Z"/>
                      <w:color w:val="auto"/>
                      <w:szCs w:val="21"/>
                    </w:rPr>
                  </w:pPr>
                  <w:r>
                    <w:rPr>
                      <w:color w:val="auto"/>
                      <w:kern w:val="0"/>
                      <w:szCs w:val="21"/>
                      <w:lang w:bidi="ar"/>
                    </w:rPr>
                    <w:t>15</w:t>
                  </w:r>
                </w:p>
              </w:tc>
              <w:tc>
                <w:tcPr>
                  <w:tcW w:w="309" w:type="pct"/>
                  <w:tcBorders>
                    <w:tl2br w:val="nil"/>
                    <w:tr2bl w:val="nil"/>
                  </w:tcBorders>
                  <w:shd w:val="clear" w:color="auto" w:fill="auto"/>
                  <w:noWrap/>
                  <w:vAlign w:val="center"/>
                </w:tcPr>
                <w:p>
                  <w:pPr>
                    <w:widowControl/>
                    <w:jc w:val="center"/>
                    <w:textAlignment w:val="center"/>
                    <w:rPr>
                      <w:ins w:id="661" w:author="Sunny" w:date="2022-12-27T17:31:00Z"/>
                      <w:color w:val="auto"/>
                      <w:szCs w:val="21"/>
                    </w:rPr>
                  </w:pPr>
                  <w:r>
                    <w:rPr>
                      <w:color w:val="auto"/>
                      <w:kern w:val="0"/>
                      <w:szCs w:val="21"/>
                      <w:lang w:bidi="ar"/>
                    </w:rPr>
                    <w:t>DA0</w:t>
                  </w:r>
                  <w:r>
                    <w:rPr>
                      <w:rFonts w:hint="eastAsia"/>
                      <w:color w:val="auto"/>
                      <w:kern w:val="0"/>
                      <w:szCs w:val="21"/>
                      <w:lang w:bidi="ar"/>
                    </w:rPr>
                    <w:t>0</w:t>
                  </w:r>
                  <w:ins w:id="662" w:author="Sunny" w:date="2022-12-27T17:32:00Z">
                    <w:r>
                      <w:rPr>
                        <w:rFonts w:hint="eastAsia"/>
                        <w:color w:val="auto"/>
                        <w:kern w:val="0"/>
                        <w:szCs w:val="21"/>
                        <w:lang w:bidi="ar"/>
                      </w:rPr>
                      <w:t>3</w:t>
                    </w:r>
                  </w:ins>
                </w:p>
              </w:tc>
            </w:tr>
          </w:tbl>
          <w:p>
            <w:pPr>
              <w:autoSpaceDE w:val="0"/>
              <w:spacing w:line="360" w:lineRule="auto"/>
              <w:ind w:firstLine="480" w:firstLineChars="200"/>
              <w:rPr>
                <w:rFonts w:ascii="Calibri" w:hAnsi="Calibri" w:cs="Calibri"/>
                <w:b/>
                <w:bCs/>
                <w:color w:val="auto"/>
                <w:sz w:val="24"/>
              </w:rPr>
            </w:pPr>
            <w:r>
              <w:rPr>
                <w:rFonts w:ascii="Calibri" w:hAnsi="Calibri" w:cs="Calibri"/>
                <w:b/>
                <w:bCs/>
                <w:color w:val="auto"/>
                <w:sz w:val="24"/>
              </w:rPr>
              <w:t>B.无组织废气</w:t>
            </w:r>
          </w:p>
          <w:p>
            <w:pPr>
              <w:pStyle w:val="6"/>
              <w:adjustRightInd w:val="0"/>
              <w:snapToGrid w:val="0"/>
              <w:spacing w:line="360" w:lineRule="auto"/>
              <w:ind w:firstLine="480"/>
              <w:rPr>
                <w:rFonts w:ascii="Calibri" w:hAnsi="Calibri" w:cs="Calibri"/>
                <w:color w:val="auto"/>
              </w:rPr>
            </w:pPr>
            <w:r>
              <w:rPr>
                <w:rFonts w:ascii="Calibri" w:hAnsi="Calibri" w:cs="Calibri"/>
                <w:bCs/>
                <w:color w:val="auto"/>
                <w:sz w:val="24"/>
                <w:szCs w:val="28"/>
              </w:rPr>
              <w:t>项目建成后，废气无组织排放情况见下表：</w:t>
            </w:r>
          </w:p>
          <w:p>
            <w:pPr>
              <w:pStyle w:val="6"/>
              <w:numPr>
                <w:ilvl w:val="0"/>
                <w:numId w:val="16"/>
              </w:numPr>
              <w:adjustRightInd w:val="0"/>
              <w:snapToGrid w:val="0"/>
              <w:ind w:firstLineChars="0"/>
              <w:jc w:val="center"/>
              <w:rPr>
                <w:rFonts w:ascii="Calibri" w:hAnsi="Calibri" w:cs="Calibri"/>
                <w:color w:val="auto"/>
                <w:sz w:val="24"/>
              </w:rPr>
            </w:pPr>
            <w:r>
              <w:rPr>
                <w:rFonts w:ascii="Calibri" w:hAnsi="Calibri" w:cs="Calibri"/>
                <w:b/>
                <w:bCs/>
                <w:color w:val="auto"/>
                <w:sz w:val="24"/>
              </w:rPr>
              <w:t>无组织废气产生及排放情况表</w:t>
            </w:r>
          </w:p>
          <w:tbl>
            <w:tblPr>
              <w:tblStyle w:val="26"/>
              <w:tblW w:w="13376"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62"/>
              <w:gridCol w:w="1756"/>
              <w:gridCol w:w="1352"/>
              <w:gridCol w:w="1331"/>
              <w:gridCol w:w="1331"/>
              <w:gridCol w:w="1331"/>
              <w:gridCol w:w="1331"/>
              <w:gridCol w:w="1359"/>
              <w:gridCol w:w="1359"/>
              <w:gridCol w:w="1364"/>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6" w:hRule="atLeast"/>
                <w:jc w:val="center"/>
              </w:trPr>
              <w:tc>
                <w:tcPr>
                  <w:tcW w:w="322" w:type="pct"/>
                  <w:vMerge w:val="restart"/>
                  <w:tcBorders>
                    <w:tl2br w:val="nil"/>
                    <w:tr2bl w:val="nil"/>
                  </w:tcBorders>
                  <w:shd w:val="clear" w:color="auto" w:fill="auto"/>
                  <w:vAlign w:val="center"/>
                </w:tcPr>
                <w:p>
                  <w:pPr>
                    <w:widowControl/>
                    <w:jc w:val="center"/>
                    <w:textAlignment w:val="center"/>
                    <w:rPr>
                      <w:b/>
                      <w:bCs/>
                      <w:color w:val="auto"/>
                      <w:szCs w:val="21"/>
                    </w:rPr>
                  </w:pPr>
                  <w:r>
                    <w:rPr>
                      <w:color w:val="auto"/>
                      <w:szCs w:val="21"/>
                    </w:rPr>
                    <w:t xml:space="preserve">      </w:t>
                  </w:r>
                  <w:r>
                    <w:rPr>
                      <w:b/>
                      <w:bCs/>
                      <w:color w:val="auto"/>
                      <w:kern w:val="0"/>
                      <w:szCs w:val="21"/>
                      <w:lang w:bidi="ar"/>
                    </w:rPr>
                    <w:t>车间</w:t>
                  </w:r>
                </w:p>
              </w:tc>
              <w:tc>
                <w:tcPr>
                  <w:tcW w:w="654" w:type="pct"/>
                  <w:vMerge w:val="restar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废气来源</w:t>
                  </w:r>
                </w:p>
              </w:tc>
              <w:tc>
                <w:tcPr>
                  <w:tcW w:w="505" w:type="pct"/>
                  <w:vMerge w:val="restar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污染物名称</w:t>
                  </w:r>
                </w:p>
              </w:tc>
              <w:tc>
                <w:tcPr>
                  <w:tcW w:w="497" w:type="pct"/>
                  <w:vMerge w:val="restar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产生量（t/a）</w:t>
                  </w:r>
                </w:p>
              </w:tc>
              <w:tc>
                <w:tcPr>
                  <w:tcW w:w="497" w:type="pct"/>
                  <w:vMerge w:val="restart"/>
                  <w:tcBorders>
                    <w:tl2br w:val="nil"/>
                    <w:tr2bl w:val="nil"/>
                  </w:tcBorders>
                  <w:shd w:val="clear" w:color="auto" w:fill="auto"/>
                  <w:vAlign w:val="center"/>
                </w:tcPr>
                <w:p>
                  <w:pPr>
                    <w:widowControl/>
                    <w:jc w:val="center"/>
                    <w:textAlignment w:val="center"/>
                    <w:rPr>
                      <w:b/>
                      <w:bCs/>
                      <w:color w:val="auto"/>
                      <w:kern w:val="0"/>
                      <w:szCs w:val="21"/>
                      <w:lang w:bidi="ar"/>
                    </w:rPr>
                  </w:pPr>
                  <w:r>
                    <w:rPr>
                      <w:rFonts w:hint="eastAsia"/>
                      <w:b/>
                      <w:bCs/>
                      <w:color w:val="auto"/>
                      <w:kern w:val="0"/>
                      <w:szCs w:val="21"/>
                      <w:lang w:bidi="ar"/>
                    </w:rPr>
                    <w:t>产生速率（</w:t>
                  </w:r>
                  <w:r>
                    <w:rPr>
                      <w:b/>
                      <w:bCs/>
                      <w:color w:val="auto"/>
                      <w:kern w:val="0"/>
                      <w:szCs w:val="21"/>
                      <w:lang w:bidi="ar"/>
                    </w:rPr>
                    <w:t>kg/h</w:t>
                  </w:r>
                  <w:r>
                    <w:rPr>
                      <w:rFonts w:hint="eastAsia"/>
                      <w:b/>
                      <w:bCs/>
                      <w:color w:val="auto"/>
                      <w:kern w:val="0"/>
                      <w:szCs w:val="21"/>
                      <w:lang w:bidi="ar"/>
                    </w:rPr>
                    <w:t>）</w:t>
                  </w:r>
                </w:p>
              </w:tc>
              <w:tc>
                <w:tcPr>
                  <w:tcW w:w="497" w:type="pct"/>
                  <w:vMerge w:val="restar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排放速率（kg/h）</w:t>
                  </w:r>
                </w:p>
              </w:tc>
              <w:tc>
                <w:tcPr>
                  <w:tcW w:w="497" w:type="pct"/>
                  <w:vMerge w:val="restar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排放量（t/a）</w:t>
                  </w:r>
                </w:p>
              </w:tc>
              <w:tc>
                <w:tcPr>
                  <w:tcW w:w="1526" w:type="pct"/>
                  <w:gridSpan w:val="3"/>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面源</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3" w:hRule="atLeast"/>
                <w:jc w:val="center"/>
              </w:trPr>
              <w:tc>
                <w:tcPr>
                  <w:tcW w:w="322" w:type="pct"/>
                  <w:vMerge w:val="continue"/>
                  <w:tcBorders>
                    <w:tl2br w:val="nil"/>
                    <w:tr2bl w:val="nil"/>
                  </w:tcBorders>
                  <w:shd w:val="clear" w:color="auto" w:fill="auto"/>
                  <w:vAlign w:val="center"/>
                </w:tcPr>
                <w:p>
                  <w:pPr>
                    <w:jc w:val="center"/>
                    <w:rPr>
                      <w:b/>
                      <w:bCs/>
                      <w:color w:val="auto"/>
                      <w:szCs w:val="21"/>
                    </w:rPr>
                  </w:pPr>
                </w:p>
              </w:tc>
              <w:tc>
                <w:tcPr>
                  <w:tcW w:w="654" w:type="pct"/>
                  <w:vMerge w:val="continue"/>
                  <w:tcBorders>
                    <w:tl2br w:val="nil"/>
                    <w:tr2bl w:val="nil"/>
                  </w:tcBorders>
                  <w:shd w:val="clear" w:color="auto" w:fill="auto"/>
                  <w:vAlign w:val="center"/>
                </w:tcPr>
                <w:p>
                  <w:pPr>
                    <w:jc w:val="center"/>
                    <w:rPr>
                      <w:b/>
                      <w:bCs/>
                      <w:color w:val="auto"/>
                      <w:szCs w:val="21"/>
                    </w:rPr>
                  </w:pPr>
                </w:p>
              </w:tc>
              <w:tc>
                <w:tcPr>
                  <w:tcW w:w="505" w:type="pct"/>
                  <w:vMerge w:val="continue"/>
                  <w:tcBorders>
                    <w:tl2br w:val="nil"/>
                    <w:tr2bl w:val="nil"/>
                  </w:tcBorders>
                  <w:shd w:val="clear" w:color="auto" w:fill="auto"/>
                  <w:vAlign w:val="center"/>
                </w:tcPr>
                <w:p>
                  <w:pPr>
                    <w:jc w:val="center"/>
                    <w:rPr>
                      <w:b/>
                      <w:bCs/>
                      <w:color w:val="auto"/>
                      <w:szCs w:val="21"/>
                    </w:rPr>
                  </w:pPr>
                </w:p>
              </w:tc>
              <w:tc>
                <w:tcPr>
                  <w:tcW w:w="497" w:type="pct"/>
                  <w:vMerge w:val="continue"/>
                  <w:tcBorders>
                    <w:tl2br w:val="nil"/>
                    <w:tr2bl w:val="nil"/>
                  </w:tcBorders>
                  <w:shd w:val="clear" w:color="auto" w:fill="auto"/>
                  <w:vAlign w:val="center"/>
                </w:tcPr>
                <w:p>
                  <w:pPr>
                    <w:jc w:val="center"/>
                    <w:rPr>
                      <w:b/>
                      <w:bCs/>
                      <w:color w:val="auto"/>
                      <w:szCs w:val="21"/>
                    </w:rPr>
                  </w:pPr>
                </w:p>
              </w:tc>
              <w:tc>
                <w:tcPr>
                  <w:tcW w:w="497" w:type="pct"/>
                  <w:vMerge w:val="continue"/>
                  <w:tcBorders>
                    <w:tl2br w:val="nil"/>
                    <w:tr2bl w:val="nil"/>
                  </w:tcBorders>
                  <w:shd w:val="clear" w:color="auto" w:fill="auto"/>
                  <w:vAlign w:val="center"/>
                </w:tcPr>
                <w:p>
                  <w:pPr>
                    <w:jc w:val="center"/>
                    <w:rPr>
                      <w:b/>
                      <w:bCs/>
                      <w:color w:val="auto"/>
                      <w:szCs w:val="21"/>
                    </w:rPr>
                  </w:pPr>
                </w:p>
              </w:tc>
              <w:tc>
                <w:tcPr>
                  <w:tcW w:w="497" w:type="pct"/>
                  <w:vMerge w:val="continue"/>
                  <w:tcBorders>
                    <w:tl2br w:val="nil"/>
                    <w:tr2bl w:val="nil"/>
                  </w:tcBorders>
                  <w:shd w:val="clear" w:color="auto" w:fill="auto"/>
                  <w:vAlign w:val="center"/>
                </w:tcPr>
                <w:p>
                  <w:pPr>
                    <w:jc w:val="center"/>
                    <w:rPr>
                      <w:b/>
                      <w:bCs/>
                      <w:color w:val="auto"/>
                      <w:szCs w:val="21"/>
                    </w:rPr>
                  </w:pPr>
                </w:p>
              </w:tc>
              <w:tc>
                <w:tcPr>
                  <w:tcW w:w="497" w:type="pct"/>
                  <w:vMerge w:val="continue"/>
                  <w:tcBorders>
                    <w:tl2br w:val="nil"/>
                    <w:tr2bl w:val="nil"/>
                  </w:tcBorders>
                  <w:shd w:val="clear" w:color="auto" w:fill="auto"/>
                  <w:vAlign w:val="center"/>
                </w:tcPr>
                <w:p>
                  <w:pPr>
                    <w:jc w:val="center"/>
                    <w:rPr>
                      <w:b/>
                      <w:bCs/>
                      <w:color w:val="auto"/>
                      <w:szCs w:val="21"/>
                    </w:rPr>
                  </w:pPr>
                </w:p>
              </w:tc>
              <w:tc>
                <w:tcPr>
                  <w:tcW w:w="508" w:type="pc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长度（m）</w:t>
                  </w:r>
                </w:p>
              </w:tc>
              <w:tc>
                <w:tcPr>
                  <w:tcW w:w="508" w:type="pc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宽度（m）</w:t>
                  </w:r>
                </w:p>
              </w:tc>
              <w:tc>
                <w:tcPr>
                  <w:tcW w:w="508" w:type="pc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高度（m）</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322" w:type="pct"/>
                  <w:tcBorders>
                    <w:tl2br w:val="nil"/>
                    <w:tr2bl w:val="nil"/>
                  </w:tcBorders>
                  <w:shd w:val="clear" w:color="auto" w:fill="auto"/>
                  <w:vAlign w:val="center"/>
                </w:tcPr>
                <w:p>
                  <w:pPr>
                    <w:jc w:val="center"/>
                    <w:rPr>
                      <w:color w:val="auto"/>
                      <w:szCs w:val="21"/>
                    </w:rPr>
                  </w:pPr>
                  <w:r>
                    <w:rPr>
                      <w:color w:val="auto"/>
                      <w:szCs w:val="21"/>
                    </w:rPr>
                    <w:t>车间一</w:t>
                  </w:r>
                  <w:r>
                    <w:rPr>
                      <w:rFonts w:hint="eastAsia"/>
                      <w:color w:val="auto"/>
                      <w:szCs w:val="21"/>
                    </w:rPr>
                    <w:t>打磨作业区</w:t>
                  </w:r>
                </w:p>
              </w:tc>
              <w:tc>
                <w:tcPr>
                  <w:tcW w:w="654" w:type="pc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冲压件打磨粉尘</w:t>
                  </w:r>
                </w:p>
              </w:tc>
              <w:tc>
                <w:tcPr>
                  <w:tcW w:w="505" w:type="pc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颗粒物</w:t>
                  </w:r>
                </w:p>
              </w:tc>
              <w:tc>
                <w:tcPr>
                  <w:tcW w:w="497" w:type="pct"/>
                  <w:tcBorders>
                    <w:tl2br w:val="nil"/>
                    <w:tr2bl w:val="nil"/>
                  </w:tcBorders>
                  <w:shd w:val="clear" w:color="auto" w:fill="auto"/>
                  <w:vAlign w:val="center"/>
                </w:tcPr>
                <w:p>
                  <w:pPr>
                    <w:widowControl/>
                    <w:jc w:val="center"/>
                    <w:textAlignment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565</w:t>
                  </w:r>
                </w:p>
              </w:tc>
              <w:tc>
                <w:tcPr>
                  <w:tcW w:w="497" w:type="pct"/>
                  <w:tcBorders>
                    <w:tl2br w:val="nil"/>
                    <w:tr2bl w:val="nil"/>
                  </w:tcBorders>
                  <w:shd w:val="clear" w:color="auto" w:fill="auto"/>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0.0094</w:t>
                  </w:r>
                </w:p>
              </w:tc>
              <w:tc>
                <w:tcPr>
                  <w:tcW w:w="497" w:type="pct"/>
                  <w:tcBorders>
                    <w:tl2br w:val="nil"/>
                    <w:tr2bl w:val="nil"/>
                  </w:tcBorders>
                  <w:shd w:val="clear" w:color="auto" w:fill="auto"/>
                  <w:vAlign w:val="center"/>
                </w:tcPr>
                <w:p>
                  <w:pPr>
                    <w:widowControl/>
                    <w:jc w:val="center"/>
                    <w:textAlignment w:val="center"/>
                    <w:rPr>
                      <w:rFonts w:hint="default" w:eastAsia="宋体"/>
                      <w:color w:val="auto"/>
                      <w:szCs w:val="21"/>
                      <w:lang w:val="en-US" w:eastAsia="zh-CN"/>
                    </w:rPr>
                  </w:pPr>
                  <w:r>
                    <w:rPr>
                      <w:color w:val="auto"/>
                      <w:szCs w:val="21"/>
                    </w:rPr>
                    <w:t>0.00</w:t>
                  </w:r>
                  <w:r>
                    <w:rPr>
                      <w:rFonts w:hint="eastAsia"/>
                      <w:color w:val="auto"/>
                      <w:szCs w:val="21"/>
                      <w:lang w:val="en-US" w:eastAsia="zh-CN"/>
                    </w:rPr>
                    <w:t>14</w:t>
                  </w:r>
                </w:p>
              </w:tc>
              <w:tc>
                <w:tcPr>
                  <w:tcW w:w="497" w:type="pct"/>
                  <w:tcBorders>
                    <w:tl2br w:val="nil"/>
                    <w:tr2bl w:val="nil"/>
                  </w:tcBorders>
                  <w:shd w:val="clear" w:color="auto" w:fill="auto"/>
                  <w:vAlign w:val="center"/>
                </w:tcPr>
                <w:p>
                  <w:pPr>
                    <w:widowControl/>
                    <w:jc w:val="center"/>
                    <w:textAlignment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082</w:t>
                  </w:r>
                </w:p>
              </w:tc>
              <w:tc>
                <w:tcPr>
                  <w:tcW w:w="508" w:type="pct"/>
                  <w:tcBorders>
                    <w:tl2br w:val="nil"/>
                    <w:tr2bl w:val="nil"/>
                  </w:tcBorders>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52</w:t>
                  </w:r>
                </w:p>
              </w:tc>
              <w:tc>
                <w:tcPr>
                  <w:tcW w:w="508" w:type="pct"/>
                  <w:tcBorders>
                    <w:tl2br w:val="nil"/>
                    <w:tr2bl w:val="nil"/>
                  </w:tcBorders>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22</w:t>
                  </w:r>
                </w:p>
              </w:tc>
              <w:tc>
                <w:tcPr>
                  <w:tcW w:w="508" w:type="pct"/>
                  <w:tcBorders>
                    <w:tl2br w:val="nil"/>
                    <w:tr2bl w:val="nil"/>
                  </w:tcBorders>
                  <w:shd w:val="clear" w:color="auto" w:fill="auto"/>
                  <w:noWrap/>
                  <w:vAlign w:val="center"/>
                </w:tcPr>
                <w:p>
                  <w:pPr>
                    <w:jc w:val="center"/>
                    <w:rPr>
                      <w:color w:val="auto"/>
                      <w:szCs w:val="21"/>
                    </w:rPr>
                  </w:pPr>
                  <w:r>
                    <w:rPr>
                      <w:color w:val="auto"/>
                      <w:szCs w:val="21"/>
                    </w:rPr>
                    <w:t>11</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322" w:type="pct"/>
                  <w:vMerge w:val="restart"/>
                  <w:tcBorders>
                    <w:tl2br w:val="nil"/>
                    <w:tr2bl w:val="nil"/>
                  </w:tcBorders>
                  <w:shd w:val="clear" w:color="auto" w:fill="auto"/>
                  <w:vAlign w:val="center"/>
                </w:tcPr>
                <w:p>
                  <w:pPr>
                    <w:jc w:val="center"/>
                    <w:rPr>
                      <w:color w:val="auto"/>
                      <w:szCs w:val="21"/>
                    </w:rPr>
                  </w:pPr>
                  <w:r>
                    <w:rPr>
                      <w:color w:val="auto"/>
                      <w:szCs w:val="21"/>
                    </w:rPr>
                    <w:t>车间三</w:t>
                  </w:r>
                  <w:r>
                    <w:rPr>
                      <w:rFonts w:hint="eastAsia"/>
                      <w:color w:val="auto"/>
                      <w:szCs w:val="21"/>
                    </w:rPr>
                    <w:t>静电喷粉房</w:t>
                  </w:r>
                </w:p>
              </w:tc>
              <w:tc>
                <w:tcPr>
                  <w:tcW w:w="654" w:type="pct"/>
                  <w:tcBorders>
                    <w:tl2br w:val="nil"/>
                    <w:tr2bl w:val="nil"/>
                  </w:tcBorders>
                  <w:shd w:val="clear" w:color="auto" w:fill="auto"/>
                  <w:vAlign w:val="center"/>
                </w:tcPr>
                <w:p>
                  <w:pPr>
                    <w:widowControl/>
                    <w:jc w:val="center"/>
                    <w:textAlignment w:val="center"/>
                    <w:rPr>
                      <w:color w:val="auto"/>
                      <w:kern w:val="0"/>
                      <w:szCs w:val="21"/>
                      <w:lang w:bidi="ar"/>
                    </w:rPr>
                  </w:pPr>
                  <w:r>
                    <w:rPr>
                      <w:rFonts w:hint="eastAsia"/>
                      <w:color w:val="auto"/>
                      <w:kern w:val="0"/>
                      <w:szCs w:val="21"/>
                      <w:lang w:bidi="ar"/>
                    </w:rPr>
                    <w:t>静电</w:t>
                  </w:r>
                  <w:r>
                    <w:rPr>
                      <w:color w:val="auto"/>
                      <w:kern w:val="0"/>
                      <w:szCs w:val="21"/>
                      <w:lang w:bidi="ar"/>
                    </w:rPr>
                    <w:t>喷粉颗粒物</w:t>
                  </w:r>
                </w:p>
              </w:tc>
              <w:tc>
                <w:tcPr>
                  <w:tcW w:w="505" w:type="pct"/>
                  <w:tcBorders>
                    <w:tl2br w:val="nil"/>
                    <w:tr2bl w:val="nil"/>
                  </w:tcBorders>
                  <w:shd w:val="clear" w:color="auto" w:fill="auto"/>
                  <w:vAlign w:val="center"/>
                </w:tcPr>
                <w:p>
                  <w:pPr>
                    <w:widowControl/>
                    <w:jc w:val="center"/>
                    <w:textAlignment w:val="center"/>
                    <w:rPr>
                      <w:color w:val="auto"/>
                      <w:kern w:val="0"/>
                      <w:szCs w:val="21"/>
                      <w:lang w:bidi="ar"/>
                    </w:rPr>
                  </w:pPr>
                  <w:r>
                    <w:rPr>
                      <w:color w:val="auto"/>
                      <w:kern w:val="0"/>
                      <w:szCs w:val="21"/>
                      <w:lang w:bidi="ar"/>
                    </w:rPr>
                    <w:t>颗粒物</w:t>
                  </w:r>
                </w:p>
              </w:tc>
              <w:tc>
                <w:tcPr>
                  <w:tcW w:w="497" w:type="pct"/>
                  <w:tcBorders>
                    <w:tl2br w:val="nil"/>
                    <w:tr2bl w:val="nil"/>
                  </w:tcBorders>
                  <w:shd w:val="clear" w:color="auto" w:fill="auto"/>
                  <w:vAlign w:val="center"/>
                </w:tcPr>
                <w:p>
                  <w:pPr>
                    <w:widowControl/>
                    <w:jc w:val="center"/>
                    <w:textAlignment w:val="center"/>
                    <w:rPr>
                      <w:color w:val="auto"/>
                      <w:kern w:val="0"/>
                      <w:szCs w:val="21"/>
                      <w:lang w:bidi="ar"/>
                    </w:rPr>
                  </w:pPr>
                  <w:r>
                    <w:rPr>
                      <w:rFonts w:hint="eastAsia"/>
                      <w:bCs/>
                      <w:color w:val="auto"/>
                      <w:szCs w:val="21"/>
                    </w:rPr>
                    <w:t>0.3</w:t>
                  </w:r>
                </w:p>
              </w:tc>
              <w:tc>
                <w:tcPr>
                  <w:tcW w:w="497" w:type="pct"/>
                  <w:tcBorders>
                    <w:tl2br w:val="nil"/>
                    <w:tr2bl w:val="nil"/>
                  </w:tcBorders>
                  <w:shd w:val="clear" w:color="auto" w:fill="auto"/>
                  <w:vAlign w:val="center"/>
                </w:tcPr>
                <w:p>
                  <w:pPr>
                    <w:widowControl/>
                    <w:jc w:val="center"/>
                    <w:textAlignment w:val="center"/>
                    <w:rPr>
                      <w:bCs/>
                      <w:color w:val="auto"/>
                      <w:szCs w:val="21"/>
                    </w:rPr>
                  </w:pPr>
                  <w:r>
                    <w:rPr>
                      <w:rFonts w:hint="eastAsia"/>
                      <w:bCs/>
                      <w:color w:val="auto"/>
                      <w:szCs w:val="21"/>
                    </w:rPr>
                    <w:t>0.0625</w:t>
                  </w:r>
                </w:p>
              </w:tc>
              <w:tc>
                <w:tcPr>
                  <w:tcW w:w="497" w:type="pct"/>
                  <w:tcBorders>
                    <w:tl2br w:val="nil"/>
                    <w:tr2bl w:val="nil"/>
                  </w:tcBorders>
                  <w:shd w:val="clear" w:color="auto" w:fill="auto"/>
                  <w:vAlign w:val="center"/>
                </w:tcPr>
                <w:p>
                  <w:pPr>
                    <w:widowControl/>
                    <w:jc w:val="center"/>
                    <w:textAlignment w:val="center"/>
                    <w:rPr>
                      <w:color w:val="auto"/>
                      <w:kern w:val="0"/>
                      <w:szCs w:val="21"/>
                      <w:lang w:bidi="ar"/>
                    </w:rPr>
                  </w:pPr>
                  <w:r>
                    <w:rPr>
                      <w:rFonts w:hint="eastAsia"/>
                      <w:color w:val="auto"/>
                      <w:kern w:val="0"/>
                      <w:szCs w:val="21"/>
                      <w:lang w:bidi="ar"/>
                    </w:rPr>
                    <w:t>0.0625</w:t>
                  </w:r>
                </w:p>
              </w:tc>
              <w:tc>
                <w:tcPr>
                  <w:tcW w:w="497" w:type="pct"/>
                  <w:tcBorders>
                    <w:tl2br w:val="nil"/>
                    <w:tr2bl w:val="nil"/>
                  </w:tcBorders>
                  <w:shd w:val="clear" w:color="auto" w:fill="auto"/>
                  <w:vAlign w:val="center"/>
                </w:tcPr>
                <w:p>
                  <w:pPr>
                    <w:widowControl/>
                    <w:jc w:val="center"/>
                    <w:textAlignment w:val="center"/>
                    <w:rPr>
                      <w:color w:val="auto"/>
                      <w:kern w:val="0"/>
                      <w:szCs w:val="21"/>
                      <w:lang w:bidi="ar"/>
                    </w:rPr>
                  </w:pPr>
                  <w:r>
                    <w:rPr>
                      <w:rFonts w:hint="eastAsia"/>
                      <w:color w:val="auto"/>
                      <w:kern w:val="0"/>
                      <w:szCs w:val="21"/>
                      <w:lang w:bidi="ar"/>
                    </w:rPr>
                    <w:t>0.3</w:t>
                  </w:r>
                </w:p>
              </w:tc>
              <w:tc>
                <w:tcPr>
                  <w:tcW w:w="508" w:type="pct"/>
                  <w:vMerge w:val="restart"/>
                  <w:tcBorders>
                    <w:tl2br w:val="nil"/>
                    <w:tr2bl w:val="nil"/>
                  </w:tcBorders>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79</w:t>
                  </w:r>
                </w:p>
              </w:tc>
              <w:tc>
                <w:tcPr>
                  <w:tcW w:w="508" w:type="pct"/>
                  <w:vMerge w:val="restart"/>
                  <w:tcBorders>
                    <w:tl2br w:val="nil"/>
                    <w:tr2bl w:val="nil"/>
                  </w:tcBorders>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26</w:t>
                  </w:r>
                </w:p>
              </w:tc>
              <w:tc>
                <w:tcPr>
                  <w:tcW w:w="508" w:type="pct"/>
                  <w:vMerge w:val="restart"/>
                  <w:tcBorders>
                    <w:tl2br w:val="nil"/>
                    <w:tr2bl w:val="nil"/>
                  </w:tcBorders>
                  <w:shd w:val="clear" w:color="auto" w:fill="auto"/>
                  <w:noWrap/>
                  <w:vAlign w:val="center"/>
                </w:tcPr>
                <w:p>
                  <w:pPr>
                    <w:jc w:val="center"/>
                    <w:rPr>
                      <w:rFonts w:hint="default" w:eastAsia="宋体"/>
                      <w:color w:val="auto"/>
                      <w:szCs w:val="21"/>
                      <w:lang w:val="en-US" w:eastAsia="zh-CN"/>
                    </w:rPr>
                  </w:pPr>
                  <w:r>
                    <w:rPr>
                      <w:rFonts w:hint="eastAsia"/>
                      <w:color w:val="auto"/>
                      <w:szCs w:val="21"/>
                      <w:lang w:val="en-US" w:eastAsia="zh-CN"/>
                    </w:rPr>
                    <w:t>11</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322" w:type="pct"/>
                  <w:vMerge w:val="continue"/>
                  <w:tcBorders>
                    <w:tl2br w:val="nil"/>
                    <w:tr2bl w:val="nil"/>
                  </w:tcBorders>
                  <w:shd w:val="clear" w:color="auto" w:fill="auto"/>
                  <w:vAlign w:val="center"/>
                </w:tcPr>
                <w:p>
                  <w:pPr>
                    <w:jc w:val="center"/>
                    <w:rPr>
                      <w:color w:val="auto"/>
                      <w:szCs w:val="21"/>
                    </w:rPr>
                  </w:pPr>
                </w:p>
              </w:tc>
              <w:tc>
                <w:tcPr>
                  <w:tcW w:w="654" w:type="pct"/>
                  <w:tcBorders>
                    <w:tl2br w:val="nil"/>
                    <w:tr2bl w:val="nil"/>
                  </w:tcBorders>
                  <w:shd w:val="clear" w:color="auto" w:fill="auto"/>
                  <w:vAlign w:val="center"/>
                </w:tcPr>
                <w:p>
                  <w:pPr>
                    <w:widowControl/>
                    <w:jc w:val="center"/>
                    <w:textAlignment w:val="center"/>
                    <w:rPr>
                      <w:color w:val="auto"/>
                      <w:kern w:val="0"/>
                      <w:szCs w:val="21"/>
                      <w:lang w:bidi="ar"/>
                    </w:rPr>
                  </w:pPr>
                  <w:r>
                    <w:rPr>
                      <w:color w:val="auto"/>
                      <w:kern w:val="0"/>
                      <w:szCs w:val="21"/>
                      <w:lang w:bidi="ar"/>
                    </w:rPr>
                    <w:t>粉末固化</w:t>
                  </w:r>
                </w:p>
              </w:tc>
              <w:tc>
                <w:tcPr>
                  <w:tcW w:w="505" w:type="pct"/>
                  <w:tcBorders>
                    <w:tl2br w:val="nil"/>
                    <w:tr2bl w:val="nil"/>
                  </w:tcBorders>
                  <w:shd w:val="clear" w:color="auto" w:fill="auto"/>
                  <w:vAlign w:val="center"/>
                </w:tcPr>
                <w:p>
                  <w:pPr>
                    <w:widowControl/>
                    <w:jc w:val="center"/>
                    <w:textAlignment w:val="center"/>
                    <w:rPr>
                      <w:color w:val="auto"/>
                      <w:kern w:val="0"/>
                      <w:szCs w:val="21"/>
                      <w:lang w:bidi="ar"/>
                    </w:rPr>
                  </w:pPr>
                  <w:r>
                    <w:rPr>
                      <w:color w:val="auto"/>
                      <w:kern w:val="0"/>
                      <w:szCs w:val="21"/>
                      <w:lang w:bidi="ar"/>
                    </w:rPr>
                    <w:t>非甲烷总烃</w:t>
                  </w:r>
                </w:p>
              </w:tc>
              <w:tc>
                <w:tcPr>
                  <w:tcW w:w="497" w:type="pct"/>
                  <w:tcBorders>
                    <w:tl2br w:val="nil"/>
                    <w:tr2bl w:val="nil"/>
                  </w:tcBorders>
                  <w:shd w:val="clear" w:color="auto" w:fill="auto"/>
                  <w:vAlign w:val="center"/>
                </w:tcPr>
                <w:p>
                  <w:pPr>
                    <w:widowControl/>
                    <w:jc w:val="center"/>
                    <w:textAlignment w:val="center"/>
                    <w:rPr>
                      <w:bCs/>
                      <w:color w:val="auto"/>
                      <w:szCs w:val="21"/>
                    </w:rPr>
                  </w:pPr>
                  <w:r>
                    <w:rPr>
                      <w:rFonts w:hint="eastAsia"/>
                      <w:bCs/>
                      <w:color w:val="auto"/>
                      <w:szCs w:val="21"/>
                    </w:rPr>
                    <w:t>0.027</w:t>
                  </w:r>
                </w:p>
              </w:tc>
              <w:tc>
                <w:tcPr>
                  <w:tcW w:w="497" w:type="pct"/>
                  <w:tcBorders>
                    <w:tl2br w:val="nil"/>
                    <w:tr2bl w:val="nil"/>
                  </w:tcBorders>
                  <w:shd w:val="clear" w:color="auto" w:fill="auto"/>
                  <w:vAlign w:val="center"/>
                </w:tcPr>
                <w:p>
                  <w:pPr>
                    <w:widowControl/>
                    <w:jc w:val="center"/>
                    <w:textAlignment w:val="center"/>
                    <w:rPr>
                      <w:bCs/>
                      <w:color w:val="auto"/>
                      <w:szCs w:val="21"/>
                    </w:rPr>
                  </w:pPr>
                  <w:r>
                    <w:rPr>
                      <w:rFonts w:hint="eastAsia"/>
                      <w:bCs/>
                      <w:color w:val="auto"/>
                      <w:szCs w:val="21"/>
                    </w:rPr>
                    <w:t>0.0056</w:t>
                  </w:r>
                </w:p>
              </w:tc>
              <w:tc>
                <w:tcPr>
                  <w:tcW w:w="497" w:type="pct"/>
                  <w:tcBorders>
                    <w:tl2br w:val="nil"/>
                    <w:tr2bl w:val="nil"/>
                  </w:tcBorders>
                  <w:shd w:val="clear" w:color="auto" w:fill="auto"/>
                  <w:vAlign w:val="center"/>
                </w:tcPr>
                <w:p>
                  <w:pPr>
                    <w:widowControl/>
                    <w:jc w:val="center"/>
                    <w:textAlignment w:val="center"/>
                    <w:rPr>
                      <w:bCs/>
                      <w:color w:val="auto"/>
                      <w:szCs w:val="21"/>
                    </w:rPr>
                  </w:pPr>
                  <w:r>
                    <w:rPr>
                      <w:rFonts w:hint="eastAsia"/>
                      <w:bCs/>
                      <w:color w:val="auto"/>
                      <w:szCs w:val="21"/>
                    </w:rPr>
                    <w:t>0.0056</w:t>
                  </w:r>
                </w:p>
              </w:tc>
              <w:tc>
                <w:tcPr>
                  <w:tcW w:w="497" w:type="pct"/>
                  <w:tcBorders>
                    <w:tl2br w:val="nil"/>
                    <w:tr2bl w:val="nil"/>
                  </w:tcBorders>
                  <w:shd w:val="clear" w:color="auto" w:fill="auto"/>
                  <w:vAlign w:val="center"/>
                </w:tcPr>
                <w:p>
                  <w:pPr>
                    <w:widowControl/>
                    <w:jc w:val="center"/>
                    <w:textAlignment w:val="center"/>
                    <w:rPr>
                      <w:color w:val="auto"/>
                      <w:kern w:val="0"/>
                      <w:szCs w:val="21"/>
                      <w:lang w:bidi="ar"/>
                    </w:rPr>
                  </w:pPr>
                  <w:r>
                    <w:rPr>
                      <w:rFonts w:hint="eastAsia"/>
                      <w:color w:val="auto"/>
                      <w:kern w:val="0"/>
                      <w:szCs w:val="21"/>
                      <w:lang w:bidi="ar"/>
                    </w:rPr>
                    <w:t>0.027</w:t>
                  </w:r>
                </w:p>
              </w:tc>
              <w:tc>
                <w:tcPr>
                  <w:tcW w:w="508" w:type="pct"/>
                  <w:vMerge w:val="continue"/>
                  <w:tcBorders>
                    <w:tl2br w:val="nil"/>
                    <w:tr2bl w:val="nil"/>
                  </w:tcBorders>
                  <w:shd w:val="clear" w:color="auto" w:fill="auto"/>
                  <w:vAlign w:val="center"/>
                </w:tcPr>
                <w:p>
                  <w:pPr>
                    <w:jc w:val="center"/>
                    <w:rPr>
                      <w:color w:val="auto"/>
                      <w:szCs w:val="21"/>
                    </w:rPr>
                  </w:pPr>
                </w:p>
              </w:tc>
              <w:tc>
                <w:tcPr>
                  <w:tcW w:w="508" w:type="pct"/>
                  <w:vMerge w:val="continue"/>
                  <w:tcBorders>
                    <w:tl2br w:val="nil"/>
                    <w:tr2bl w:val="nil"/>
                  </w:tcBorders>
                  <w:shd w:val="clear" w:color="auto" w:fill="auto"/>
                  <w:vAlign w:val="center"/>
                </w:tcPr>
                <w:p>
                  <w:pPr>
                    <w:jc w:val="center"/>
                    <w:rPr>
                      <w:color w:val="auto"/>
                      <w:szCs w:val="21"/>
                    </w:rPr>
                  </w:pPr>
                </w:p>
              </w:tc>
              <w:tc>
                <w:tcPr>
                  <w:tcW w:w="508" w:type="pct"/>
                  <w:vMerge w:val="continue"/>
                  <w:tcBorders>
                    <w:tl2br w:val="nil"/>
                    <w:tr2bl w:val="nil"/>
                  </w:tcBorders>
                  <w:shd w:val="clear" w:color="auto" w:fill="auto"/>
                  <w:noWrap/>
                  <w:vAlign w:val="center"/>
                </w:tcPr>
                <w:p>
                  <w:pPr>
                    <w:jc w:val="center"/>
                    <w:rPr>
                      <w:color w:val="auto"/>
                      <w:szCs w:val="21"/>
                    </w:rPr>
                  </w:pP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977" w:type="pct"/>
                  <w:gridSpan w:val="2"/>
                  <w:tcBorders>
                    <w:tl2br w:val="nil"/>
                    <w:tr2bl w:val="nil"/>
                  </w:tcBorders>
                  <w:shd w:val="clear" w:color="auto" w:fill="auto"/>
                  <w:vAlign w:val="center"/>
                </w:tcPr>
                <w:p>
                  <w:pPr>
                    <w:widowControl/>
                    <w:jc w:val="center"/>
                    <w:textAlignment w:val="center"/>
                    <w:rPr>
                      <w:color w:val="auto"/>
                      <w:kern w:val="0"/>
                      <w:szCs w:val="21"/>
                      <w:lang w:bidi="ar"/>
                    </w:rPr>
                  </w:pPr>
                  <w:r>
                    <w:rPr>
                      <w:color w:val="auto"/>
                      <w:kern w:val="0"/>
                      <w:szCs w:val="21"/>
                      <w:lang w:bidi="ar"/>
                    </w:rPr>
                    <w:t>危废仓库</w:t>
                  </w:r>
                </w:p>
              </w:tc>
              <w:tc>
                <w:tcPr>
                  <w:tcW w:w="505" w:type="pct"/>
                  <w:tcBorders>
                    <w:tl2br w:val="nil"/>
                    <w:tr2bl w:val="nil"/>
                  </w:tcBorders>
                  <w:shd w:val="clear" w:color="auto" w:fill="auto"/>
                  <w:vAlign w:val="center"/>
                </w:tcPr>
                <w:p>
                  <w:pPr>
                    <w:widowControl/>
                    <w:jc w:val="center"/>
                    <w:textAlignment w:val="center"/>
                    <w:rPr>
                      <w:color w:val="auto"/>
                      <w:kern w:val="0"/>
                      <w:szCs w:val="21"/>
                      <w:lang w:bidi="ar"/>
                    </w:rPr>
                  </w:pPr>
                  <w:r>
                    <w:rPr>
                      <w:color w:val="auto"/>
                      <w:kern w:val="0"/>
                      <w:szCs w:val="21"/>
                      <w:lang w:bidi="ar"/>
                    </w:rPr>
                    <w:t>非甲烷总烃</w:t>
                  </w:r>
                </w:p>
              </w:tc>
              <w:tc>
                <w:tcPr>
                  <w:tcW w:w="497" w:type="pct"/>
                  <w:tcBorders>
                    <w:tl2br w:val="nil"/>
                    <w:tr2bl w:val="nil"/>
                  </w:tcBorders>
                  <w:shd w:val="clear" w:color="auto" w:fill="auto"/>
                  <w:vAlign w:val="center"/>
                </w:tcPr>
                <w:p>
                  <w:pPr>
                    <w:widowControl/>
                    <w:jc w:val="center"/>
                    <w:textAlignment w:val="center"/>
                    <w:rPr>
                      <w:bCs/>
                      <w:color w:val="auto"/>
                      <w:szCs w:val="21"/>
                    </w:rPr>
                  </w:pPr>
                  <w:r>
                    <w:rPr>
                      <w:rFonts w:hint="eastAsia"/>
                      <w:bCs/>
                      <w:color w:val="auto"/>
                      <w:szCs w:val="21"/>
                    </w:rPr>
                    <w:t>0.0940</w:t>
                  </w:r>
                </w:p>
              </w:tc>
              <w:tc>
                <w:tcPr>
                  <w:tcW w:w="497" w:type="pct"/>
                  <w:tcBorders>
                    <w:tl2br w:val="nil"/>
                    <w:tr2bl w:val="nil"/>
                  </w:tcBorders>
                  <w:shd w:val="clear" w:color="auto" w:fill="auto"/>
                  <w:vAlign w:val="center"/>
                </w:tcPr>
                <w:p>
                  <w:pPr>
                    <w:widowControl/>
                    <w:jc w:val="center"/>
                    <w:textAlignment w:val="center"/>
                    <w:rPr>
                      <w:bCs/>
                      <w:color w:val="auto"/>
                      <w:szCs w:val="21"/>
                    </w:rPr>
                  </w:pPr>
                  <w:r>
                    <w:rPr>
                      <w:rFonts w:hint="eastAsia"/>
                      <w:bCs/>
                      <w:color w:val="auto"/>
                      <w:szCs w:val="21"/>
                    </w:rPr>
                    <w:t>0.0131</w:t>
                  </w:r>
                </w:p>
              </w:tc>
              <w:tc>
                <w:tcPr>
                  <w:tcW w:w="497" w:type="pct"/>
                  <w:tcBorders>
                    <w:tl2br w:val="nil"/>
                    <w:tr2bl w:val="nil"/>
                  </w:tcBorders>
                  <w:shd w:val="clear" w:color="auto" w:fill="auto"/>
                  <w:vAlign w:val="center"/>
                </w:tcPr>
                <w:p>
                  <w:pPr>
                    <w:widowControl/>
                    <w:jc w:val="center"/>
                    <w:textAlignment w:val="center"/>
                    <w:rPr>
                      <w:bCs/>
                      <w:color w:val="auto"/>
                      <w:szCs w:val="21"/>
                    </w:rPr>
                  </w:pPr>
                  <w:r>
                    <w:rPr>
                      <w:rFonts w:hint="eastAsia"/>
                      <w:bCs/>
                      <w:color w:val="auto"/>
                      <w:szCs w:val="21"/>
                    </w:rPr>
                    <w:t>0.0019</w:t>
                  </w:r>
                </w:p>
              </w:tc>
              <w:tc>
                <w:tcPr>
                  <w:tcW w:w="497" w:type="pct"/>
                  <w:tcBorders>
                    <w:tl2br w:val="nil"/>
                    <w:tr2bl w:val="nil"/>
                  </w:tcBorders>
                  <w:shd w:val="clear" w:color="auto" w:fill="auto"/>
                  <w:vAlign w:val="center"/>
                </w:tcPr>
                <w:p>
                  <w:pPr>
                    <w:widowControl/>
                    <w:jc w:val="center"/>
                    <w:textAlignment w:val="center"/>
                    <w:rPr>
                      <w:color w:val="auto"/>
                      <w:kern w:val="0"/>
                      <w:szCs w:val="21"/>
                      <w:lang w:bidi="ar"/>
                    </w:rPr>
                  </w:pPr>
                  <w:r>
                    <w:rPr>
                      <w:rFonts w:hint="eastAsia"/>
                      <w:color w:val="auto"/>
                      <w:kern w:val="0"/>
                      <w:szCs w:val="21"/>
                      <w:lang w:bidi="ar"/>
                    </w:rPr>
                    <w:t>0.0136</w:t>
                  </w:r>
                </w:p>
              </w:tc>
              <w:tc>
                <w:tcPr>
                  <w:tcW w:w="508" w:type="pct"/>
                  <w:tcBorders>
                    <w:tl2br w:val="nil"/>
                    <w:tr2bl w:val="nil"/>
                  </w:tcBorders>
                  <w:shd w:val="clear" w:color="auto" w:fill="auto"/>
                  <w:vAlign w:val="center"/>
                </w:tcPr>
                <w:p>
                  <w:pPr>
                    <w:jc w:val="center"/>
                    <w:rPr>
                      <w:color w:val="auto"/>
                      <w:szCs w:val="21"/>
                    </w:rPr>
                  </w:pPr>
                  <w:r>
                    <w:rPr>
                      <w:color w:val="auto"/>
                      <w:szCs w:val="21"/>
                    </w:rPr>
                    <w:t>6</w:t>
                  </w:r>
                </w:p>
              </w:tc>
              <w:tc>
                <w:tcPr>
                  <w:tcW w:w="508" w:type="pct"/>
                  <w:tcBorders>
                    <w:tl2br w:val="nil"/>
                    <w:tr2bl w:val="nil"/>
                  </w:tcBorders>
                  <w:shd w:val="clear" w:color="auto" w:fill="auto"/>
                  <w:vAlign w:val="center"/>
                </w:tcPr>
                <w:p>
                  <w:pPr>
                    <w:jc w:val="center"/>
                    <w:rPr>
                      <w:color w:val="auto"/>
                      <w:szCs w:val="21"/>
                    </w:rPr>
                  </w:pPr>
                  <w:r>
                    <w:rPr>
                      <w:color w:val="auto"/>
                      <w:szCs w:val="21"/>
                    </w:rPr>
                    <w:t>5</w:t>
                  </w:r>
                </w:p>
              </w:tc>
              <w:tc>
                <w:tcPr>
                  <w:tcW w:w="508" w:type="pct"/>
                  <w:tcBorders>
                    <w:tl2br w:val="nil"/>
                    <w:tr2bl w:val="nil"/>
                  </w:tcBorders>
                  <w:shd w:val="clear" w:color="auto" w:fill="auto"/>
                  <w:noWrap/>
                  <w:vAlign w:val="center"/>
                </w:tcPr>
                <w:p>
                  <w:pPr>
                    <w:jc w:val="center"/>
                    <w:rPr>
                      <w:color w:val="auto"/>
                      <w:szCs w:val="21"/>
                    </w:rPr>
                  </w:pPr>
                  <w:r>
                    <w:rPr>
                      <w:rFonts w:hint="eastAsia"/>
                      <w:color w:val="auto"/>
                      <w:szCs w:val="21"/>
                      <w:lang w:val="en-US" w:eastAsia="zh-CN"/>
                    </w:rPr>
                    <w:t>5</w:t>
                  </w:r>
                </w:p>
              </w:tc>
            </w:tr>
          </w:tbl>
          <w:p>
            <w:pPr>
              <w:pStyle w:val="3"/>
              <w:numPr>
                <w:ilvl w:val="0"/>
                <w:numId w:val="0"/>
              </w:numPr>
              <w:spacing w:line="360" w:lineRule="auto"/>
              <w:ind w:firstLine="480" w:firstLineChars="200"/>
              <w:rPr>
                <w:rFonts w:ascii="Calibri" w:hAnsi="Calibri" w:cs="Calibri"/>
                <w:color w:val="auto"/>
                <w:sz w:val="24"/>
              </w:rPr>
            </w:pPr>
            <w:r>
              <w:rPr>
                <w:rFonts w:ascii="Calibri" w:hAnsi="Calibri" w:cs="Calibri"/>
                <w:color w:val="auto"/>
                <w:sz w:val="24"/>
              </w:rPr>
              <w:t xml:space="preserve">     </w:t>
            </w:r>
          </w:p>
          <w:p>
            <w:pPr>
              <w:pStyle w:val="2"/>
              <w:rPr>
                <w:rFonts w:ascii="Calibri" w:hAnsi="Calibri" w:cs="Calibri"/>
                <w:color w:val="auto"/>
              </w:rPr>
            </w:pPr>
          </w:p>
        </w:tc>
      </w:tr>
    </w:tbl>
    <w:p>
      <w:pPr>
        <w:pStyle w:val="2"/>
        <w:rPr>
          <w:color w:val="auto"/>
        </w:rPr>
      </w:pPr>
    </w:p>
    <w:p>
      <w:pPr>
        <w:pStyle w:val="2"/>
        <w:rPr>
          <w:color w:val="auto"/>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0" w:num="1"/>
          <w:docGrid w:type="linesAndChars" w:linePitch="319" w:charSpace="0"/>
        </w:sectPr>
      </w:pPr>
      <w:r>
        <w:rPr>
          <w:color w:val="auto"/>
        </w:rPr>
        <w:br w:type="page"/>
      </w:r>
    </w:p>
    <w:p>
      <w:pPr>
        <w:widowControl/>
        <w:jc w:val="left"/>
        <w:rPr>
          <w:color w:val="auto"/>
          <w:kern w:val="0"/>
          <w:sz w:val="18"/>
          <w:szCs w:val="20"/>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7" w:hRule="atLeast"/>
        </w:trPr>
        <w:tc>
          <w:tcPr>
            <w:tcW w:w="296" w:type="dxa"/>
          </w:tcPr>
          <w:p>
            <w:pPr>
              <w:pStyle w:val="3"/>
              <w:numPr>
                <w:ilvl w:val="0"/>
                <w:numId w:val="0"/>
              </w:numPr>
              <w:rPr>
                <w:rFonts w:ascii="Calibri" w:hAnsi="Calibri" w:cs="Calibri"/>
                <w:color w:val="auto"/>
              </w:rPr>
            </w:pPr>
          </w:p>
        </w:tc>
        <w:tc>
          <w:tcPr>
            <w:tcW w:w="8006" w:type="dxa"/>
          </w:tcPr>
          <w:p>
            <w:pPr>
              <w:widowControl/>
              <w:spacing w:line="360" w:lineRule="auto"/>
              <w:ind w:firstLine="482" w:firstLineChars="200"/>
              <w:rPr>
                <w:rFonts w:ascii="Calibri" w:hAnsi="Calibri" w:cs="Calibri"/>
                <w:b/>
                <w:bCs/>
                <w:color w:val="auto"/>
                <w:kern w:val="0"/>
                <w:sz w:val="24"/>
                <w:szCs w:val="32"/>
              </w:rPr>
            </w:pPr>
            <w:r>
              <w:rPr>
                <w:rFonts w:ascii="Calibri" w:hAnsi="Calibri" w:cs="Calibri"/>
                <w:b/>
                <w:bCs/>
                <w:color w:val="auto"/>
                <w:kern w:val="0"/>
                <w:sz w:val="24"/>
                <w:szCs w:val="32"/>
              </w:rPr>
              <w:t>（2）风量合理性分析</w:t>
            </w:r>
          </w:p>
          <w:p>
            <w:pPr>
              <w:adjustRightInd w:val="0"/>
              <w:snapToGrid w:val="0"/>
              <w:spacing w:before="159" w:beforeLines="50" w:line="360" w:lineRule="auto"/>
              <w:ind w:firstLine="480" w:firstLineChars="200"/>
              <w:rPr>
                <w:rFonts w:ascii="Calibri" w:hAnsi="Calibri" w:cs="Calibri"/>
                <w:color w:val="auto"/>
                <w:sz w:val="24"/>
              </w:rPr>
            </w:pPr>
            <w:r>
              <w:rPr>
                <w:rFonts w:ascii="Calibri" w:hAnsi="Calibri" w:cs="Calibri"/>
                <w:color w:val="auto"/>
                <w:sz w:val="24"/>
              </w:rPr>
              <w:t>本项目</w:t>
            </w:r>
            <w:r>
              <w:rPr>
                <w:rFonts w:hint="eastAsia" w:ascii="Calibri" w:hAnsi="Calibri" w:cs="Calibri"/>
                <w:color w:val="auto"/>
                <w:sz w:val="24"/>
              </w:rPr>
              <w:t>冲压件工艺检验工序打磨产生粉尘经集气罩收集后由袋式除尘器收集处理，其余粉尘空间内无组织排放。喷粉工艺粉末固化工序产生非甲烷总烃经管道收集后由二级活性炭处理后15m高烟囱排放。</w:t>
            </w:r>
            <w:r>
              <w:rPr>
                <w:rFonts w:ascii="Calibri" w:hAnsi="Calibri" w:cs="Calibri"/>
                <w:color w:val="auto"/>
                <w:sz w:val="24"/>
              </w:rPr>
              <w:t>本项目风量合理性分析如下：</w:t>
            </w:r>
          </w:p>
          <w:p>
            <w:pPr>
              <w:pStyle w:val="17"/>
              <w:widowControl w:val="0"/>
              <w:adjustRightInd w:val="0"/>
              <w:spacing w:before="0" w:after="0" w:line="360" w:lineRule="auto"/>
              <w:ind w:firstLine="482" w:firstLineChars="200"/>
              <w:rPr>
                <w:rFonts w:ascii="Calibri" w:hAnsi="Calibri" w:cs="Calibri"/>
                <w:b/>
                <w:bCs/>
                <w:color w:val="auto"/>
                <w:sz w:val="24"/>
                <w:szCs w:val="24"/>
              </w:rPr>
            </w:pPr>
            <w:r>
              <w:rPr>
                <w:rFonts w:ascii="Calibri" w:hAnsi="Calibri" w:cs="Calibri"/>
                <w:b/>
                <w:bCs/>
                <w:color w:val="auto"/>
                <w:sz w:val="24"/>
                <w:szCs w:val="32"/>
              </w:rPr>
              <w:t>1）</w:t>
            </w:r>
            <w:r>
              <w:rPr>
                <w:rFonts w:ascii="Calibri" w:hAnsi="Calibri" w:cs="Calibri"/>
                <w:b/>
                <w:bCs/>
                <w:color w:val="auto"/>
                <w:sz w:val="24"/>
                <w:szCs w:val="24"/>
              </w:rPr>
              <w:t>集气罩的吸风量</w:t>
            </w:r>
          </w:p>
          <w:p>
            <w:pPr>
              <w:adjustRightInd w:val="0"/>
              <w:snapToGrid w:val="0"/>
              <w:spacing w:line="360" w:lineRule="auto"/>
              <w:ind w:left="420"/>
              <w:jc w:val="center"/>
              <w:rPr>
                <w:rFonts w:ascii="Calibri" w:hAnsi="Calibri" w:cs="Calibri"/>
                <w:color w:val="auto"/>
                <w:sz w:val="24"/>
                <w:vertAlign w:val="subscript"/>
              </w:rPr>
            </w:pPr>
            <w:r>
              <w:rPr>
                <w:rFonts w:ascii="Calibri" w:hAnsi="Calibri" w:cs="Calibri"/>
                <w:color w:val="auto"/>
                <w:sz w:val="24"/>
              </w:rPr>
              <w:t>Q=1.4×P×H×V</w:t>
            </w:r>
            <w:r>
              <w:rPr>
                <w:rFonts w:ascii="Calibri" w:hAnsi="Calibri" w:cs="Calibri"/>
                <w:color w:val="auto"/>
                <w:sz w:val="24"/>
                <w:vertAlign w:val="subscript"/>
              </w:rPr>
              <w:t>x</w:t>
            </w:r>
            <w:r>
              <w:rPr>
                <w:rFonts w:ascii="Calibri" w:hAnsi="Calibri" w:cs="Calibri"/>
                <w:color w:val="auto"/>
                <w:sz w:val="24"/>
              </w:rPr>
              <w:t>（m</w:t>
            </w:r>
            <w:r>
              <w:rPr>
                <w:rFonts w:ascii="Calibri" w:hAnsi="Calibri" w:cs="Calibri"/>
                <w:color w:val="auto"/>
                <w:sz w:val="24"/>
                <w:vertAlign w:val="superscript"/>
              </w:rPr>
              <w:t>3</w:t>
            </w:r>
            <w:r>
              <w:rPr>
                <w:rFonts w:ascii="Calibri" w:hAnsi="Calibri" w:cs="Calibri"/>
                <w:color w:val="auto"/>
                <w:sz w:val="24"/>
              </w:rPr>
              <w:t>/s）</w:t>
            </w:r>
          </w:p>
          <w:p>
            <w:pPr>
              <w:adjustRightInd w:val="0"/>
              <w:snapToGrid w:val="0"/>
              <w:spacing w:line="360" w:lineRule="auto"/>
              <w:ind w:left="420"/>
              <w:rPr>
                <w:rFonts w:ascii="Calibri" w:hAnsi="Calibri" w:cs="Calibri"/>
                <w:color w:val="auto"/>
                <w:sz w:val="24"/>
              </w:rPr>
            </w:pPr>
            <w:r>
              <w:rPr>
                <w:rFonts w:ascii="Calibri" w:hAnsi="Calibri" w:cs="Calibri"/>
                <w:color w:val="auto"/>
                <w:sz w:val="24"/>
              </w:rPr>
              <w:t>式中：P—罩口敞开面的周长，m；</w:t>
            </w:r>
          </w:p>
          <w:p>
            <w:pPr>
              <w:adjustRightInd w:val="0"/>
              <w:snapToGrid w:val="0"/>
              <w:spacing w:line="360" w:lineRule="auto"/>
              <w:ind w:left="420" w:firstLine="480" w:firstLineChars="200"/>
              <w:rPr>
                <w:rFonts w:ascii="Calibri" w:hAnsi="Calibri" w:cs="Calibri"/>
                <w:color w:val="auto"/>
                <w:sz w:val="24"/>
              </w:rPr>
            </w:pPr>
            <w:r>
              <w:rPr>
                <w:rFonts w:ascii="Calibri" w:hAnsi="Calibri" w:cs="Calibri"/>
                <w:color w:val="auto"/>
                <w:sz w:val="24"/>
              </w:rPr>
              <w:t>H—罩口距污染源的距离，m；</w:t>
            </w:r>
          </w:p>
          <w:p>
            <w:pPr>
              <w:adjustRightInd w:val="0"/>
              <w:snapToGrid w:val="0"/>
              <w:spacing w:line="360" w:lineRule="auto"/>
              <w:ind w:left="420" w:firstLine="480" w:firstLineChars="200"/>
              <w:rPr>
                <w:rFonts w:ascii="Calibri" w:hAnsi="Calibri" w:cs="Calibri"/>
                <w:color w:val="auto"/>
                <w:sz w:val="24"/>
              </w:rPr>
            </w:pPr>
            <w:r>
              <w:rPr>
                <w:rFonts w:ascii="Calibri" w:hAnsi="Calibri" w:cs="Calibri"/>
                <w:color w:val="auto"/>
                <w:sz w:val="24"/>
              </w:rPr>
              <w:t>V</w:t>
            </w:r>
            <w:r>
              <w:rPr>
                <w:rFonts w:ascii="Calibri" w:hAnsi="Calibri" w:cs="Calibri"/>
                <w:color w:val="auto"/>
                <w:sz w:val="24"/>
                <w:vertAlign w:val="subscript"/>
              </w:rPr>
              <w:t>x</w:t>
            </w:r>
            <w:r>
              <w:rPr>
                <w:rFonts w:ascii="Calibri" w:hAnsi="Calibri" w:cs="Calibri"/>
                <w:color w:val="auto"/>
                <w:sz w:val="24"/>
              </w:rPr>
              <w:t>—敞开断面处流速，在0.25~2.5m/s之间选取，本项目取0.3m/s；</w:t>
            </w:r>
          </w:p>
          <w:p>
            <w:pPr>
              <w:pStyle w:val="6"/>
              <w:numPr>
                <w:ilvl w:val="0"/>
                <w:numId w:val="16"/>
              </w:numPr>
              <w:adjustRightInd w:val="0"/>
              <w:snapToGrid w:val="0"/>
              <w:ind w:firstLineChars="0"/>
              <w:jc w:val="center"/>
              <w:rPr>
                <w:rFonts w:ascii="Calibri" w:hAnsi="Calibri" w:cs="Calibri"/>
                <w:b/>
                <w:color w:val="auto"/>
                <w:sz w:val="24"/>
                <w:szCs w:val="28"/>
              </w:rPr>
            </w:pPr>
            <w:r>
              <w:rPr>
                <w:rFonts w:ascii="Calibri" w:hAnsi="Calibri" w:cs="Calibri"/>
                <w:b/>
                <w:color w:val="auto"/>
                <w:sz w:val="24"/>
                <w:szCs w:val="28"/>
              </w:rPr>
              <w:t>本项目集气罩风量计算</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894"/>
              <w:gridCol w:w="972"/>
              <w:gridCol w:w="1004"/>
              <w:gridCol w:w="823"/>
              <w:gridCol w:w="1244"/>
              <w:gridCol w:w="15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工序</w:t>
                  </w:r>
                </w:p>
              </w:tc>
              <w:tc>
                <w:tcPr>
                  <w:tcW w:w="574"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P（m）</w:t>
                  </w:r>
                </w:p>
              </w:tc>
              <w:tc>
                <w:tcPr>
                  <w:tcW w:w="624"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H（m）</w:t>
                  </w:r>
                </w:p>
              </w:tc>
              <w:tc>
                <w:tcPr>
                  <w:tcW w:w="644"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V</w:t>
                  </w:r>
                  <w:r>
                    <w:rPr>
                      <w:rFonts w:ascii="Calibri" w:hAnsi="Calibri" w:cs="Calibri"/>
                      <w:b/>
                      <w:color w:val="auto"/>
                      <w:szCs w:val="21"/>
                      <w:vertAlign w:val="subscript"/>
                    </w:rPr>
                    <w:t>x</w:t>
                  </w:r>
                  <w:r>
                    <w:rPr>
                      <w:rFonts w:ascii="Calibri" w:hAnsi="Calibri" w:cs="Calibri"/>
                      <w:b/>
                      <w:color w:val="auto"/>
                      <w:szCs w:val="21"/>
                    </w:rPr>
                    <w:t>（m/s）</w:t>
                  </w:r>
                </w:p>
              </w:tc>
              <w:tc>
                <w:tcPr>
                  <w:tcW w:w="528"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数量</w:t>
                  </w:r>
                </w:p>
              </w:tc>
              <w:tc>
                <w:tcPr>
                  <w:tcW w:w="798"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Q（m</w:t>
                  </w:r>
                  <w:r>
                    <w:rPr>
                      <w:rFonts w:ascii="Calibri" w:hAnsi="Calibri" w:cs="Calibri"/>
                      <w:b/>
                      <w:color w:val="auto"/>
                      <w:szCs w:val="21"/>
                      <w:vertAlign w:val="superscript"/>
                    </w:rPr>
                    <w:t>3</w:t>
                  </w:r>
                  <w:r>
                    <w:rPr>
                      <w:rFonts w:ascii="Calibri" w:hAnsi="Calibri" w:cs="Calibri"/>
                      <w:b/>
                      <w:color w:val="auto"/>
                      <w:szCs w:val="21"/>
                    </w:rPr>
                    <w:t>/h）</w:t>
                  </w:r>
                </w:p>
              </w:tc>
              <w:tc>
                <w:tcPr>
                  <w:tcW w:w="977"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设置风量（m</w:t>
                  </w:r>
                  <w:r>
                    <w:rPr>
                      <w:rFonts w:ascii="Calibri" w:hAnsi="Calibri" w:cs="Calibri"/>
                      <w:b/>
                      <w:color w:val="auto"/>
                      <w:szCs w:val="21"/>
                      <w:vertAlign w:val="superscript"/>
                    </w:rPr>
                    <w:t>3</w:t>
                  </w:r>
                  <w:r>
                    <w:rPr>
                      <w:rFonts w:ascii="Calibri" w:hAnsi="Calibri" w:cs="Calibri"/>
                      <w:b/>
                      <w:color w:val="auto"/>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 w:type="pct"/>
                  <w:tcBorders>
                    <w:tl2br w:val="nil"/>
                    <w:tr2bl w:val="nil"/>
                  </w:tcBorders>
                  <w:vAlign w:val="center"/>
                </w:tcPr>
                <w:p>
                  <w:pPr>
                    <w:pStyle w:val="3"/>
                    <w:numPr>
                      <w:ilvl w:val="0"/>
                      <w:numId w:val="0"/>
                    </w:numPr>
                    <w:jc w:val="center"/>
                    <w:rPr>
                      <w:rFonts w:ascii="Calibri" w:hAnsi="Calibri" w:cs="Calibri"/>
                      <w:bCs/>
                      <w:color w:val="auto"/>
                      <w:szCs w:val="21"/>
                    </w:rPr>
                  </w:pPr>
                  <w:r>
                    <w:rPr>
                      <w:rFonts w:ascii="Calibri" w:hAnsi="Calibri" w:cs="Calibri"/>
                      <w:bCs/>
                      <w:color w:val="auto"/>
                      <w:szCs w:val="21"/>
                    </w:rPr>
                    <w:t>冲压件打磨</w:t>
                  </w:r>
                </w:p>
              </w:tc>
              <w:tc>
                <w:tcPr>
                  <w:tcW w:w="574" w:type="pct"/>
                  <w:tcBorders>
                    <w:tl2br w:val="nil"/>
                    <w:tr2bl w:val="nil"/>
                  </w:tcBorders>
                  <w:vAlign w:val="center"/>
                </w:tcPr>
                <w:p>
                  <w:pPr>
                    <w:pStyle w:val="3"/>
                    <w:numPr>
                      <w:ilvl w:val="0"/>
                      <w:numId w:val="0"/>
                    </w:numPr>
                    <w:jc w:val="center"/>
                    <w:rPr>
                      <w:rFonts w:ascii="Calibri" w:hAnsi="Calibri" w:cs="Calibri"/>
                      <w:bCs/>
                      <w:color w:val="auto"/>
                      <w:szCs w:val="21"/>
                    </w:rPr>
                  </w:pPr>
                  <w:r>
                    <w:rPr>
                      <w:rFonts w:ascii="Calibri" w:hAnsi="Calibri" w:cs="Calibri"/>
                      <w:bCs/>
                      <w:color w:val="auto"/>
                      <w:szCs w:val="21"/>
                    </w:rPr>
                    <w:t>4.4</w:t>
                  </w:r>
                </w:p>
              </w:tc>
              <w:tc>
                <w:tcPr>
                  <w:tcW w:w="624" w:type="pct"/>
                  <w:tcBorders>
                    <w:tl2br w:val="nil"/>
                    <w:tr2bl w:val="nil"/>
                  </w:tcBorders>
                  <w:vAlign w:val="center"/>
                </w:tcPr>
                <w:p>
                  <w:pPr>
                    <w:pStyle w:val="3"/>
                    <w:numPr>
                      <w:ilvl w:val="0"/>
                      <w:numId w:val="0"/>
                    </w:numPr>
                    <w:jc w:val="center"/>
                    <w:rPr>
                      <w:rFonts w:ascii="Calibri" w:hAnsi="Calibri" w:cs="Calibri"/>
                      <w:bCs/>
                      <w:color w:val="auto"/>
                      <w:szCs w:val="21"/>
                    </w:rPr>
                  </w:pPr>
                  <w:r>
                    <w:rPr>
                      <w:rFonts w:ascii="Calibri" w:hAnsi="Calibri" w:cs="Calibri"/>
                      <w:bCs/>
                      <w:color w:val="auto"/>
                      <w:szCs w:val="21"/>
                    </w:rPr>
                    <w:t>0.20</w:t>
                  </w:r>
                </w:p>
              </w:tc>
              <w:tc>
                <w:tcPr>
                  <w:tcW w:w="644" w:type="pct"/>
                  <w:tcBorders>
                    <w:tl2br w:val="nil"/>
                    <w:tr2bl w:val="nil"/>
                  </w:tcBorders>
                  <w:vAlign w:val="center"/>
                </w:tcPr>
                <w:p>
                  <w:pPr>
                    <w:pStyle w:val="3"/>
                    <w:numPr>
                      <w:ilvl w:val="0"/>
                      <w:numId w:val="0"/>
                    </w:numPr>
                    <w:jc w:val="center"/>
                    <w:rPr>
                      <w:rFonts w:ascii="Calibri" w:hAnsi="Calibri" w:cs="Calibri"/>
                      <w:bCs/>
                      <w:color w:val="auto"/>
                      <w:szCs w:val="21"/>
                    </w:rPr>
                  </w:pPr>
                  <w:r>
                    <w:rPr>
                      <w:rFonts w:ascii="Calibri" w:hAnsi="Calibri" w:cs="Calibri"/>
                      <w:bCs/>
                      <w:color w:val="auto"/>
                      <w:szCs w:val="21"/>
                    </w:rPr>
                    <w:t>0.3</w:t>
                  </w:r>
                </w:p>
              </w:tc>
              <w:tc>
                <w:tcPr>
                  <w:tcW w:w="528" w:type="pct"/>
                  <w:tcBorders>
                    <w:tl2br w:val="nil"/>
                    <w:tr2bl w:val="nil"/>
                  </w:tcBorders>
                  <w:vAlign w:val="center"/>
                </w:tcPr>
                <w:p>
                  <w:pPr>
                    <w:pStyle w:val="3"/>
                    <w:numPr>
                      <w:ilvl w:val="0"/>
                      <w:numId w:val="0"/>
                    </w:numPr>
                    <w:jc w:val="center"/>
                    <w:rPr>
                      <w:rFonts w:ascii="Calibri" w:hAnsi="Calibri" w:cs="Calibri"/>
                      <w:bCs/>
                      <w:color w:val="auto"/>
                      <w:szCs w:val="21"/>
                    </w:rPr>
                  </w:pPr>
                  <w:r>
                    <w:rPr>
                      <w:rFonts w:ascii="Calibri" w:hAnsi="Calibri" w:cs="Calibri"/>
                      <w:bCs/>
                      <w:color w:val="auto"/>
                      <w:szCs w:val="21"/>
                    </w:rPr>
                    <w:t>3</w:t>
                  </w:r>
                </w:p>
              </w:tc>
              <w:tc>
                <w:tcPr>
                  <w:tcW w:w="798" w:type="pct"/>
                  <w:tcBorders>
                    <w:tl2br w:val="nil"/>
                    <w:tr2bl w:val="nil"/>
                  </w:tcBorders>
                  <w:vAlign w:val="center"/>
                </w:tcPr>
                <w:p>
                  <w:pPr>
                    <w:pStyle w:val="3"/>
                    <w:numPr>
                      <w:ilvl w:val="0"/>
                      <w:numId w:val="0"/>
                    </w:numPr>
                    <w:jc w:val="center"/>
                    <w:rPr>
                      <w:rFonts w:ascii="Calibri" w:hAnsi="Calibri" w:cs="Calibri"/>
                      <w:bCs/>
                      <w:color w:val="auto"/>
                      <w:szCs w:val="21"/>
                    </w:rPr>
                  </w:pPr>
                  <w:r>
                    <w:rPr>
                      <w:rFonts w:ascii="Calibri" w:hAnsi="Calibri" w:cs="Calibri"/>
                      <w:bCs/>
                      <w:color w:val="auto"/>
                      <w:szCs w:val="21"/>
                    </w:rPr>
                    <w:t>3991</w:t>
                  </w:r>
                </w:p>
              </w:tc>
              <w:tc>
                <w:tcPr>
                  <w:tcW w:w="977" w:type="pct"/>
                  <w:tcBorders>
                    <w:tl2br w:val="nil"/>
                    <w:tr2bl w:val="nil"/>
                  </w:tcBorders>
                  <w:vAlign w:val="center"/>
                </w:tcPr>
                <w:p>
                  <w:pPr>
                    <w:pStyle w:val="3"/>
                    <w:numPr>
                      <w:ilvl w:val="0"/>
                      <w:numId w:val="0"/>
                    </w:numPr>
                    <w:jc w:val="center"/>
                    <w:rPr>
                      <w:rFonts w:ascii="Calibri" w:hAnsi="Calibri" w:cs="Calibri"/>
                      <w:bCs/>
                      <w:color w:val="auto"/>
                      <w:szCs w:val="21"/>
                    </w:rPr>
                  </w:pPr>
                  <w:r>
                    <w:rPr>
                      <w:rFonts w:ascii="Calibri" w:hAnsi="Calibri" w:cs="Calibri"/>
                      <w:bCs/>
                      <w:color w:val="auto"/>
                      <w:szCs w:val="21"/>
                    </w:rPr>
                    <w:t>5000</w:t>
                  </w:r>
                </w:p>
              </w:tc>
            </w:tr>
          </w:tbl>
          <w:p>
            <w:pPr>
              <w:adjustRightInd w:val="0"/>
              <w:snapToGrid w:val="0"/>
              <w:spacing w:before="159" w:beforeLines="50" w:line="360" w:lineRule="auto"/>
              <w:ind w:firstLine="482" w:firstLineChars="200"/>
              <w:rPr>
                <w:rFonts w:ascii="Calibri" w:hAnsi="Calibri" w:cs="Calibri"/>
                <w:b/>
                <w:bCs/>
                <w:color w:val="auto"/>
                <w:sz w:val="24"/>
              </w:rPr>
            </w:pPr>
            <w:r>
              <w:rPr>
                <w:rFonts w:ascii="Calibri" w:hAnsi="Calibri" w:cs="Calibri"/>
                <w:b/>
                <w:bCs/>
                <w:color w:val="auto"/>
                <w:sz w:val="24"/>
              </w:rPr>
              <w:t>2）设备配备管道吸风量</w:t>
            </w:r>
          </w:p>
          <w:p>
            <w:pPr>
              <w:adjustRightInd w:val="0"/>
              <w:snapToGrid w:val="0"/>
              <w:spacing w:line="360" w:lineRule="auto"/>
              <w:ind w:firstLine="480" w:firstLineChars="200"/>
              <w:rPr>
                <w:rFonts w:ascii="Calibri" w:hAnsi="Calibri" w:cs="Calibri"/>
                <w:color w:val="auto"/>
                <w:sz w:val="24"/>
              </w:rPr>
            </w:pPr>
            <w:r>
              <w:rPr>
                <w:rFonts w:ascii="Calibri" w:hAnsi="Calibri" w:cs="Calibri"/>
                <w:color w:val="auto"/>
                <w:sz w:val="24"/>
              </w:rPr>
              <w:t>设备配套管道风量按下式计算：</w:t>
            </w:r>
          </w:p>
          <w:p>
            <w:pPr>
              <w:adjustRightInd w:val="0"/>
              <w:snapToGrid w:val="0"/>
              <w:spacing w:line="360" w:lineRule="auto"/>
              <w:ind w:firstLine="480" w:firstLineChars="200"/>
              <w:jc w:val="center"/>
              <w:rPr>
                <w:rFonts w:ascii="Calibri" w:hAnsi="Calibri" w:cs="Calibri"/>
                <w:color w:val="auto"/>
                <w:sz w:val="24"/>
              </w:rPr>
            </w:pPr>
            <w:r>
              <w:rPr>
                <w:rFonts w:ascii="Calibri" w:hAnsi="Calibri" w:cs="Calibri"/>
                <w:color w:val="auto"/>
                <w:sz w:val="24"/>
              </w:rPr>
              <w:t>Q=πr</w:t>
            </w:r>
            <w:r>
              <w:rPr>
                <w:rFonts w:ascii="Calibri" w:hAnsi="Calibri" w:cs="Calibri"/>
                <w:color w:val="auto"/>
                <w:sz w:val="24"/>
                <w:vertAlign w:val="superscript"/>
              </w:rPr>
              <w:t>2</w:t>
            </w:r>
            <w:r>
              <w:rPr>
                <w:rFonts w:ascii="Calibri" w:hAnsi="Calibri" w:cs="Calibri"/>
                <w:color w:val="auto"/>
                <w:sz w:val="24"/>
              </w:rPr>
              <w:t>*V*3600（m</w:t>
            </w:r>
            <w:r>
              <w:rPr>
                <w:rFonts w:ascii="Calibri" w:hAnsi="Calibri" w:cs="Calibri"/>
                <w:color w:val="auto"/>
                <w:sz w:val="24"/>
                <w:vertAlign w:val="superscript"/>
              </w:rPr>
              <w:t>3</w:t>
            </w:r>
            <w:r>
              <w:rPr>
                <w:rFonts w:ascii="Calibri" w:hAnsi="Calibri" w:cs="Calibri"/>
                <w:color w:val="auto"/>
                <w:sz w:val="24"/>
              </w:rPr>
              <w:t>/h）</w:t>
            </w:r>
          </w:p>
          <w:p>
            <w:pPr>
              <w:adjustRightInd w:val="0"/>
              <w:snapToGrid w:val="0"/>
              <w:spacing w:line="360" w:lineRule="auto"/>
              <w:ind w:firstLine="480" w:firstLineChars="200"/>
              <w:rPr>
                <w:rFonts w:ascii="Calibri" w:hAnsi="Calibri" w:cs="Calibri"/>
                <w:color w:val="auto"/>
                <w:sz w:val="24"/>
              </w:rPr>
            </w:pPr>
            <w:r>
              <w:rPr>
                <w:rFonts w:ascii="Calibri" w:hAnsi="Calibri" w:cs="Calibri"/>
                <w:color w:val="auto"/>
                <w:sz w:val="24"/>
              </w:rPr>
              <w:t>式中：Q—风量，m</w:t>
            </w:r>
            <w:r>
              <w:rPr>
                <w:rFonts w:ascii="Calibri" w:hAnsi="Calibri" w:cs="Calibri"/>
                <w:color w:val="auto"/>
                <w:sz w:val="24"/>
                <w:vertAlign w:val="superscript"/>
              </w:rPr>
              <w:t>3</w:t>
            </w:r>
            <w:r>
              <w:rPr>
                <w:rFonts w:ascii="Calibri" w:hAnsi="Calibri" w:cs="Calibri"/>
                <w:color w:val="auto"/>
                <w:sz w:val="24"/>
              </w:rPr>
              <w:t>/h；v—操作口平均风速，m/s，本项目取10m/s；r管道半径，m。</w:t>
            </w:r>
          </w:p>
          <w:p>
            <w:pPr>
              <w:pStyle w:val="6"/>
              <w:numPr>
                <w:ilvl w:val="0"/>
                <w:numId w:val="16"/>
              </w:numPr>
              <w:adjustRightInd w:val="0"/>
              <w:snapToGrid w:val="0"/>
              <w:ind w:firstLineChars="0"/>
              <w:jc w:val="center"/>
              <w:rPr>
                <w:rFonts w:ascii="Calibri" w:hAnsi="Calibri" w:cs="Calibri"/>
                <w:b/>
                <w:color w:val="auto"/>
                <w:sz w:val="24"/>
                <w:szCs w:val="28"/>
              </w:rPr>
            </w:pPr>
            <w:r>
              <w:rPr>
                <w:rFonts w:ascii="Calibri" w:hAnsi="Calibri" w:cs="Calibri"/>
                <w:b/>
                <w:color w:val="auto"/>
                <w:sz w:val="24"/>
                <w:szCs w:val="28"/>
              </w:rPr>
              <w:t>本项目管道风量计算</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1066"/>
              <w:gridCol w:w="1072"/>
              <w:gridCol w:w="862"/>
              <w:gridCol w:w="1329"/>
              <w:gridCol w:w="17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工序</w:t>
                  </w:r>
                </w:p>
              </w:tc>
              <w:tc>
                <w:tcPr>
                  <w:tcW w:w="684"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r（m）</w:t>
                  </w:r>
                </w:p>
              </w:tc>
              <w:tc>
                <w:tcPr>
                  <w:tcW w:w="688"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V（m/s）</w:t>
                  </w:r>
                </w:p>
              </w:tc>
              <w:tc>
                <w:tcPr>
                  <w:tcW w:w="553"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数量</w:t>
                  </w:r>
                </w:p>
              </w:tc>
              <w:tc>
                <w:tcPr>
                  <w:tcW w:w="853"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Q（m</w:t>
                  </w:r>
                  <w:r>
                    <w:rPr>
                      <w:rFonts w:ascii="Calibri" w:hAnsi="Calibri" w:cs="Calibri"/>
                      <w:b/>
                      <w:color w:val="auto"/>
                      <w:szCs w:val="21"/>
                      <w:vertAlign w:val="superscript"/>
                    </w:rPr>
                    <w:t>3</w:t>
                  </w:r>
                  <w:r>
                    <w:rPr>
                      <w:rFonts w:ascii="Calibri" w:hAnsi="Calibri" w:cs="Calibri"/>
                      <w:b/>
                      <w:color w:val="auto"/>
                      <w:szCs w:val="21"/>
                    </w:rPr>
                    <w:t>/h）</w:t>
                  </w:r>
                </w:p>
              </w:tc>
              <w:tc>
                <w:tcPr>
                  <w:tcW w:w="1118"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设置风量（m</w:t>
                  </w:r>
                  <w:r>
                    <w:rPr>
                      <w:rFonts w:ascii="Calibri" w:hAnsi="Calibri" w:cs="Calibri"/>
                      <w:b/>
                      <w:color w:val="auto"/>
                      <w:szCs w:val="21"/>
                      <w:vertAlign w:val="superscript"/>
                    </w:rPr>
                    <w:t>3</w:t>
                  </w:r>
                  <w:r>
                    <w:rPr>
                      <w:rFonts w:ascii="Calibri" w:hAnsi="Calibri" w:cs="Calibri"/>
                      <w:b/>
                      <w:color w:val="auto"/>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pct"/>
                  <w:tcBorders>
                    <w:tl2br w:val="nil"/>
                    <w:tr2bl w:val="nil"/>
                  </w:tcBorders>
                  <w:vAlign w:val="center"/>
                </w:tcPr>
                <w:p>
                  <w:pPr>
                    <w:pStyle w:val="3"/>
                    <w:numPr>
                      <w:ilvl w:val="0"/>
                      <w:numId w:val="0"/>
                    </w:numPr>
                    <w:jc w:val="center"/>
                    <w:rPr>
                      <w:rFonts w:ascii="Calibri" w:hAnsi="Calibri" w:cs="Calibri"/>
                      <w:bCs/>
                      <w:color w:val="auto"/>
                      <w:szCs w:val="21"/>
                    </w:rPr>
                  </w:pPr>
                  <w:r>
                    <w:rPr>
                      <w:rFonts w:ascii="Calibri" w:hAnsi="Calibri" w:cs="Calibri"/>
                      <w:color w:val="auto"/>
                    </w:rPr>
                    <w:t>粉末固化</w:t>
                  </w:r>
                </w:p>
              </w:tc>
              <w:tc>
                <w:tcPr>
                  <w:tcW w:w="684" w:type="pct"/>
                  <w:tcBorders>
                    <w:tl2br w:val="nil"/>
                    <w:tr2bl w:val="nil"/>
                  </w:tcBorders>
                  <w:vAlign w:val="center"/>
                </w:tcPr>
                <w:p>
                  <w:pPr>
                    <w:pStyle w:val="3"/>
                    <w:numPr>
                      <w:ilvl w:val="0"/>
                      <w:numId w:val="0"/>
                    </w:numPr>
                    <w:jc w:val="center"/>
                    <w:rPr>
                      <w:rFonts w:ascii="Calibri" w:hAnsi="Calibri" w:cs="Calibri"/>
                      <w:bCs/>
                      <w:color w:val="auto"/>
                      <w:szCs w:val="21"/>
                    </w:rPr>
                  </w:pPr>
                  <w:r>
                    <w:rPr>
                      <w:rFonts w:ascii="Calibri" w:hAnsi="Calibri" w:cs="Calibri"/>
                      <w:bCs/>
                      <w:color w:val="auto"/>
                      <w:szCs w:val="21"/>
                    </w:rPr>
                    <w:t>0.20</w:t>
                  </w:r>
                </w:p>
              </w:tc>
              <w:tc>
                <w:tcPr>
                  <w:tcW w:w="688" w:type="pct"/>
                  <w:tcBorders>
                    <w:tl2br w:val="nil"/>
                    <w:tr2bl w:val="nil"/>
                  </w:tcBorders>
                  <w:vAlign w:val="center"/>
                </w:tcPr>
                <w:p>
                  <w:pPr>
                    <w:pStyle w:val="3"/>
                    <w:numPr>
                      <w:ilvl w:val="0"/>
                      <w:numId w:val="0"/>
                    </w:numPr>
                    <w:jc w:val="center"/>
                    <w:rPr>
                      <w:rFonts w:ascii="Calibri" w:hAnsi="Calibri" w:cs="Calibri"/>
                      <w:bCs/>
                      <w:color w:val="auto"/>
                      <w:szCs w:val="21"/>
                    </w:rPr>
                  </w:pPr>
                  <w:r>
                    <w:rPr>
                      <w:rFonts w:ascii="Calibri" w:hAnsi="Calibri" w:cs="Calibri"/>
                      <w:bCs/>
                      <w:color w:val="auto"/>
                      <w:szCs w:val="21"/>
                    </w:rPr>
                    <w:t>10</w:t>
                  </w:r>
                </w:p>
              </w:tc>
              <w:tc>
                <w:tcPr>
                  <w:tcW w:w="553" w:type="pct"/>
                  <w:tcBorders>
                    <w:tl2br w:val="nil"/>
                    <w:tr2bl w:val="nil"/>
                  </w:tcBorders>
                  <w:vAlign w:val="center"/>
                </w:tcPr>
                <w:p>
                  <w:pPr>
                    <w:pStyle w:val="3"/>
                    <w:numPr>
                      <w:ilvl w:val="0"/>
                      <w:numId w:val="0"/>
                    </w:numPr>
                    <w:jc w:val="center"/>
                    <w:rPr>
                      <w:rFonts w:ascii="Calibri" w:hAnsi="Calibri" w:cs="Calibri"/>
                      <w:bCs/>
                      <w:color w:val="auto"/>
                      <w:szCs w:val="21"/>
                    </w:rPr>
                  </w:pPr>
                  <w:r>
                    <w:rPr>
                      <w:rFonts w:ascii="Calibri" w:hAnsi="Calibri" w:cs="Calibri"/>
                      <w:bCs/>
                      <w:color w:val="auto"/>
                      <w:szCs w:val="21"/>
                    </w:rPr>
                    <w:t>1</w:t>
                  </w:r>
                </w:p>
              </w:tc>
              <w:tc>
                <w:tcPr>
                  <w:tcW w:w="853" w:type="pct"/>
                  <w:tcBorders>
                    <w:tl2br w:val="nil"/>
                    <w:tr2bl w:val="nil"/>
                  </w:tcBorders>
                  <w:vAlign w:val="center"/>
                </w:tcPr>
                <w:p>
                  <w:pPr>
                    <w:pStyle w:val="3"/>
                    <w:numPr>
                      <w:ilvl w:val="0"/>
                      <w:numId w:val="0"/>
                    </w:numPr>
                    <w:jc w:val="center"/>
                    <w:rPr>
                      <w:rFonts w:ascii="Calibri" w:hAnsi="Calibri" w:cs="Calibri"/>
                      <w:bCs/>
                      <w:color w:val="auto"/>
                      <w:szCs w:val="21"/>
                    </w:rPr>
                  </w:pPr>
                  <w:r>
                    <w:rPr>
                      <w:rFonts w:ascii="Calibri" w:hAnsi="Calibri" w:cs="Calibri"/>
                      <w:bCs/>
                      <w:color w:val="auto"/>
                      <w:szCs w:val="21"/>
                    </w:rPr>
                    <w:t>4521.6</w:t>
                  </w:r>
                </w:p>
              </w:tc>
              <w:tc>
                <w:tcPr>
                  <w:tcW w:w="1118" w:type="pct"/>
                  <w:tcBorders>
                    <w:tl2br w:val="nil"/>
                    <w:tr2bl w:val="nil"/>
                  </w:tcBorders>
                  <w:vAlign w:val="center"/>
                </w:tcPr>
                <w:p>
                  <w:pPr>
                    <w:pStyle w:val="3"/>
                    <w:numPr>
                      <w:ilvl w:val="0"/>
                      <w:numId w:val="0"/>
                    </w:numPr>
                    <w:jc w:val="center"/>
                    <w:rPr>
                      <w:rFonts w:ascii="Calibri" w:hAnsi="Calibri" w:cs="Calibri"/>
                      <w:bCs/>
                      <w:color w:val="auto"/>
                      <w:szCs w:val="21"/>
                    </w:rPr>
                  </w:pPr>
                  <w:r>
                    <w:rPr>
                      <w:rFonts w:ascii="Calibri" w:hAnsi="Calibri" w:cs="Calibri"/>
                      <w:bCs/>
                      <w:color w:val="auto"/>
                      <w:szCs w:val="21"/>
                    </w:rPr>
                    <w:t>5000</w:t>
                  </w:r>
                </w:p>
              </w:tc>
            </w:tr>
          </w:tbl>
          <w:p>
            <w:pPr>
              <w:pStyle w:val="2"/>
              <w:widowControl w:val="0"/>
              <w:adjustRightInd w:val="0"/>
              <w:spacing w:line="360" w:lineRule="auto"/>
              <w:ind w:firstLine="482" w:firstLineChars="200"/>
              <w:rPr>
                <w:rFonts w:ascii="Calibri" w:hAnsi="Calibri" w:cs="Calibri"/>
                <w:b/>
                <w:bCs/>
                <w:color w:val="auto"/>
                <w:sz w:val="24"/>
                <w:szCs w:val="32"/>
              </w:rPr>
            </w:pPr>
            <w:r>
              <w:rPr>
                <w:rFonts w:ascii="Calibri" w:hAnsi="Calibri" w:cs="Calibri"/>
                <w:b/>
                <w:bCs/>
                <w:color w:val="auto"/>
                <w:sz w:val="24"/>
                <w:szCs w:val="32"/>
              </w:rPr>
              <w:t>3）</w:t>
            </w:r>
            <w:r>
              <w:rPr>
                <w:color w:val="auto"/>
              </w:rPr>
              <w:commentReference w:id="21"/>
            </w:r>
            <w:r>
              <w:rPr>
                <w:rFonts w:hint="eastAsia" w:ascii="宋体" w:hAnsi="宋体" w:eastAsia="宋体" w:cs="宋体"/>
                <w:b/>
                <w:bCs/>
                <w:color w:val="auto"/>
                <w:sz w:val="24"/>
                <w:szCs w:val="24"/>
              </w:rPr>
              <w:t>整体抽风/换风风量</w:t>
            </w:r>
          </w:p>
          <w:p>
            <w:pPr>
              <w:adjustRightInd w:val="0"/>
              <w:snapToGrid w:val="0"/>
              <w:spacing w:line="360" w:lineRule="auto"/>
              <w:jc w:val="center"/>
              <w:rPr>
                <w:rFonts w:ascii="Calibri" w:hAnsi="Calibri" w:cs="Calibri"/>
                <w:color w:val="auto"/>
                <w:sz w:val="24"/>
              </w:rPr>
            </w:pPr>
            <w:r>
              <w:rPr>
                <w:rFonts w:ascii="Calibri" w:hAnsi="Calibri" w:cs="Calibri"/>
                <w:color w:val="auto"/>
                <w:sz w:val="24"/>
              </w:rPr>
              <w:t>风量=V总×N次</w:t>
            </w:r>
          </w:p>
          <w:p>
            <w:pPr>
              <w:adjustRightInd w:val="0"/>
              <w:snapToGrid w:val="0"/>
              <w:spacing w:line="360" w:lineRule="auto"/>
              <w:ind w:firstLine="480" w:firstLineChars="200"/>
              <w:rPr>
                <w:rFonts w:ascii="Calibri" w:hAnsi="Calibri" w:cs="Calibri"/>
                <w:color w:val="auto"/>
                <w:sz w:val="24"/>
              </w:rPr>
            </w:pPr>
            <w:r>
              <w:rPr>
                <w:rFonts w:ascii="Calibri" w:hAnsi="Calibri" w:cs="Calibri"/>
                <w:color w:val="auto"/>
                <w:sz w:val="24"/>
              </w:rPr>
              <w:t>式中：V总—代表换风场地的总体积；</w:t>
            </w:r>
          </w:p>
          <w:p>
            <w:pPr>
              <w:pStyle w:val="16"/>
              <w:adjustRightInd w:val="0"/>
              <w:snapToGrid w:val="0"/>
              <w:spacing w:after="0" w:line="360" w:lineRule="auto"/>
              <w:ind w:left="0" w:leftChars="0" w:firstLine="1200" w:firstLineChars="500"/>
              <w:rPr>
                <w:rFonts w:ascii="Calibri" w:hAnsi="Calibri" w:cs="Calibri"/>
                <w:color w:val="auto"/>
                <w:kern w:val="2"/>
                <w:sz w:val="24"/>
                <w:szCs w:val="24"/>
              </w:rPr>
            </w:pPr>
            <w:r>
              <w:rPr>
                <w:rFonts w:ascii="Calibri" w:hAnsi="Calibri" w:cs="Calibri"/>
                <w:color w:val="auto"/>
                <w:kern w:val="2"/>
                <w:sz w:val="24"/>
                <w:szCs w:val="24"/>
              </w:rPr>
              <w:t>V气—场地要求换气的次数。</w:t>
            </w:r>
          </w:p>
          <w:p>
            <w:pPr>
              <w:pStyle w:val="6"/>
              <w:numPr>
                <w:ilvl w:val="0"/>
                <w:numId w:val="16"/>
              </w:numPr>
              <w:adjustRightInd w:val="0"/>
              <w:snapToGrid w:val="0"/>
              <w:ind w:firstLine="482"/>
              <w:jc w:val="center"/>
              <w:rPr>
                <w:rFonts w:ascii="Calibri" w:hAnsi="Calibri" w:cs="Calibri"/>
                <w:b/>
                <w:color w:val="auto"/>
                <w:sz w:val="24"/>
                <w:szCs w:val="28"/>
              </w:rPr>
            </w:pPr>
            <w:r>
              <w:rPr>
                <w:rFonts w:ascii="Calibri" w:hAnsi="Calibri" w:cs="Calibri"/>
                <w:b/>
                <w:color w:val="auto"/>
                <w:sz w:val="24"/>
                <w:szCs w:val="28"/>
              </w:rPr>
              <w:t>本项目整体换风收集风量计算</w:t>
            </w:r>
          </w:p>
          <w:tbl>
            <w:tblPr>
              <w:tblStyle w:val="27"/>
              <w:tblW w:w="4991"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181"/>
              <w:gridCol w:w="1085"/>
              <w:gridCol w:w="960"/>
              <w:gridCol w:w="1237"/>
              <w:gridCol w:w="21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5"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污染源</w:t>
                  </w:r>
                </w:p>
              </w:tc>
              <w:tc>
                <w:tcPr>
                  <w:tcW w:w="759"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V（m</w:t>
                  </w:r>
                  <w:r>
                    <w:rPr>
                      <w:rFonts w:ascii="Calibri" w:hAnsi="Calibri" w:cs="Calibri"/>
                      <w:b/>
                      <w:color w:val="auto"/>
                      <w:szCs w:val="21"/>
                      <w:vertAlign w:val="superscript"/>
                    </w:rPr>
                    <w:t>3</w:t>
                  </w:r>
                  <w:r>
                    <w:rPr>
                      <w:rFonts w:ascii="Calibri" w:hAnsi="Calibri" w:cs="Calibri"/>
                      <w:b/>
                      <w:color w:val="auto"/>
                      <w:szCs w:val="21"/>
                    </w:rPr>
                    <w:t>）</w:t>
                  </w:r>
                </w:p>
              </w:tc>
              <w:tc>
                <w:tcPr>
                  <w:tcW w:w="697"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换风次数（次/h）</w:t>
                  </w:r>
                </w:p>
              </w:tc>
              <w:tc>
                <w:tcPr>
                  <w:tcW w:w="617"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数量</w:t>
                  </w:r>
                </w:p>
              </w:tc>
              <w:tc>
                <w:tcPr>
                  <w:tcW w:w="795"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Q（m</w:t>
                  </w:r>
                  <w:r>
                    <w:rPr>
                      <w:rFonts w:ascii="Calibri" w:hAnsi="Calibri" w:cs="Calibri"/>
                      <w:b/>
                      <w:color w:val="auto"/>
                      <w:szCs w:val="21"/>
                      <w:vertAlign w:val="superscript"/>
                    </w:rPr>
                    <w:t>3</w:t>
                  </w:r>
                  <w:r>
                    <w:rPr>
                      <w:rFonts w:ascii="Calibri" w:hAnsi="Calibri" w:cs="Calibri"/>
                      <w:b/>
                      <w:color w:val="auto"/>
                      <w:szCs w:val="21"/>
                    </w:rPr>
                    <w:t>/h）</w:t>
                  </w:r>
                </w:p>
              </w:tc>
              <w:tc>
                <w:tcPr>
                  <w:tcW w:w="1353" w:type="pct"/>
                  <w:tcBorders>
                    <w:tl2br w:val="nil"/>
                    <w:tr2bl w:val="nil"/>
                  </w:tcBorders>
                  <w:vAlign w:val="center"/>
                </w:tcPr>
                <w:p>
                  <w:pPr>
                    <w:pStyle w:val="3"/>
                    <w:numPr>
                      <w:ilvl w:val="0"/>
                      <w:numId w:val="0"/>
                    </w:numPr>
                    <w:jc w:val="center"/>
                    <w:rPr>
                      <w:rFonts w:ascii="Calibri" w:hAnsi="Calibri" w:cs="Calibri"/>
                      <w:b/>
                      <w:color w:val="auto"/>
                      <w:szCs w:val="21"/>
                    </w:rPr>
                  </w:pPr>
                  <w:r>
                    <w:rPr>
                      <w:rFonts w:ascii="Calibri" w:hAnsi="Calibri" w:cs="Calibri"/>
                      <w:b/>
                      <w:color w:val="auto"/>
                      <w:szCs w:val="21"/>
                    </w:rPr>
                    <w:t>设置风量（m</w:t>
                  </w:r>
                  <w:r>
                    <w:rPr>
                      <w:rFonts w:ascii="Calibri" w:hAnsi="Calibri" w:cs="Calibri"/>
                      <w:b/>
                      <w:color w:val="auto"/>
                      <w:szCs w:val="21"/>
                      <w:vertAlign w:val="superscript"/>
                    </w:rPr>
                    <w:t>3</w:t>
                  </w:r>
                  <w:r>
                    <w:rPr>
                      <w:rFonts w:ascii="Calibri" w:hAnsi="Calibri" w:cs="Calibri"/>
                      <w:b/>
                      <w:color w:val="auto"/>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5" w:type="pct"/>
                  <w:tcBorders>
                    <w:tl2br w:val="nil"/>
                    <w:tr2bl w:val="nil"/>
                  </w:tcBorders>
                  <w:vAlign w:val="center"/>
                </w:tcPr>
                <w:p>
                  <w:pPr>
                    <w:pStyle w:val="3"/>
                    <w:numPr>
                      <w:ilvl w:val="0"/>
                      <w:numId w:val="0"/>
                    </w:numPr>
                    <w:jc w:val="center"/>
                    <w:rPr>
                      <w:rFonts w:ascii="Calibri" w:hAnsi="Calibri" w:cs="Calibri"/>
                      <w:bCs/>
                      <w:color w:val="auto"/>
                      <w:szCs w:val="21"/>
                    </w:rPr>
                  </w:pPr>
                  <w:r>
                    <w:rPr>
                      <w:rFonts w:hint="eastAsia" w:ascii="Calibri" w:hAnsi="Calibri" w:cs="Calibri"/>
                      <w:bCs/>
                      <w:color w:val="auto"/>
                      <w:szCs w:val="21"/>
                    </w:rPr>
                    <w:t>喷粉</w:t>
                  </w:r>
                </w:p>
              </w:tc>
              <w:tc>
                <w:tcPr>
                  <w:tcW w:w="759" w:type="pct"/>
                  <w:tcBorders>
                    <w:tl2br w:val="nil"/>
                    <w:tr2bl w:val="nil"/>
                  </w:tcBorders>
                  <w:vAlign w:val="center"/>
                </w:tcPr>
                <w:p>
                  <w:pPr>
                    <w:pStyle w:val="3"/>
                    <w:numPr>
                      <w:ilvl w:val="0"/>
                      <w:numId w:val="0"/>
                    </w:numPr>
                    <w:jc w:val="center"/>
                    <w:rPr>
                      <w:rFonts w:ascii="Calibri" w:hAnsi="Calibri" w:cs="Calibri"/>
                      <w:bCs/>
                      <w:color w:val="auto"/>
                      <w:szCs w:val="21"/>
                    </w:rPr>
                  </w:pPr>
                  <w:r>
                    <w:rPr>
                      <w:rFonts w:hint="eastAsia" w:ascii="Calibri" w:hAnsi="Calibri" w:cs="Calibri"/>
                      <w:bCs/>
                      <w:color w:val="auto"/>
                      <w:szCs w:val="21"/>
                    </w:rPr>
                    <w:t>464.4</w:t>
                  </w:r>
                </w:p>
              </w:tc>
              <w:tc>
                <w:tcPr>
                  <w:tcW w:w="697" w:type="pct"/>
                  <w:tcBorders>
                    <w:tl2br w:val="nil"/>
                    <w:tr2bl w:val="nil"/>
                  </w:tcBorders>
                  <w:vAlign w:val="center"/>
                </w:tcPr>
                <w:p>
                  <w:pPr>
                    <w:pStyle w:val="3"/>
                    <w:numPr>
                      <w:ilvl w:val="0"/>
                      <w:numId w:val="0"/>
                    </w:numPr>
                    <w:jc w:val="center"/>
                    <w:rPr>
                      <w:rFonts w:ascii="Calibri" w:hAnsi="Calibri" w:cs="Calibri"/>
                      <w:bCs/>
                      <w:color w:val="auto"/>
                      <w:szCs w:val="21"/>
                    </w:rPr>
                  </w:pPr>
                  <w:r>
                    <w:rPr>
                      <w:rFonts w:hint="eastAsia" w:ascii="Calibri" w:hAnsi="Calibri" w:cs="Calibri"/>
                      <w:bCs/>
                      <w:color w:val="auto"/>
                      <w:szCs w:val="21"/>
                    </w:rPr>
                    <w:t>38</w:t>
                  </w:r>
                </w:p>
              </w:tc>
              <w:tc>
                <w:tcPr>
                  <w:tcW w:w="617" w:type="pct"/>
                  <w:tcBorders>
                    <w:tl2br w:val="nil"/>
                    <w:tr2bl w:val="nil"/>
                  </w:tcBorders>
                  <w:vAlign w:val="center"/>
                </w:tcPr>
                <w:p>
                  <w:pPr>
                    <w:pStyle w:val="3"/>
                    <w:numPr>
                      <w:ilvl w:val="0"/>
                      <w:numId w:val="0"/>
                    </w:numPr>
                    <w:jc w:val="center"/>
                    <w:rPr>
                      <w:rFonts w:ascii="Calibri" w:hAnsi="Calibri" w:cs="Calibri"/>
                      <w:color w:val="auto"/>
                      <w:szCs w:val="21"/>
                    </w:rPr>
                  </w:pPr>
                  <w:r>
                    <w:rPr>
                      <w:rFonts w:hint="eastAsia" w:ascii="Calibri" w:hAnsi="Calibri" w:cs="Calibri"/>
                      <w:color w:val="auto"/>
                      <w:szCs w:val="21"/>
                    </w:rPr>
                    <w:t>1</w:t>
                  </w:r>
                </w:p>
              </w:tc>
              <w:tc>
                <w:tcPr>
                  <w:tcW w:w="795" w:type="pct"/>
                  <w:tcBorders>
                    <w:tl2br w:val="nil"/>
                    <w:tr2bl w:val="nil"/>
                  </w:tcBorders>
                  <w:vAlign w:val="center"/>
                </w:tcPr>
                <w:p>
                  <w:pPr>
                    <w:pStyle w:val="3"/>
                    <w:numPr>
                      <w:ilvl w:val="0"/>
                      <w:numId w:val="0"/>
                    </w:numPr>
                    <w:jc w:val="center"/>
                    <w:rPr>
                      <w:rFonts w:ascii="Calibri" w:hAnsi="Calibri" w:cs="Calibri"/>
                      <w:bCs/>
                      <w:color w:val="auto"/>
                      <w:szCs w:val="21"/>
                    </w:rPr>
                  </w:pPr>
                  <w:r>
                    <w:rPr>
                      <w:rFonts w:hint="eastAsia" w:ascii="Calibri" w:hAnsi="Calibri" w:cs="Calibri"/>
                      <w:bCs/>
                      <w:color w:val="auto"/>
                      <w:szCs w:val="21"/>
                    </w:rPr>
                    <w:t>17647.2</w:t>
                  </w:r>
                </w:p>
              </w:tc>
              <w:tc>
                <w:tcPr>
                  <w:tcW w:w="1353" w:type="pct"/>
                  <w:tcBorders>
                    <w:tl2br w:val="nil"/>
                    <w:tr2bl w:val="nil"/>
                  </w:tcBorders>
                  <w:vAlign w:val="center"/>
                </w:tcPr>
                <w:p>
                  <w:pPr>
                    <w:pStyle w:val="3"/>
                    <w:numPr>
                      <w:ilvl w:val="0"/>
                      <w:numId w:val="0"/>
                    </w:numPr>
                    <w:jc w:val="center"/>
                    <w:rPr>
                      <w:rFonts w:ascii="Calibri" w:hAnsi="Calibri" w:cs="Calibri"/>
                      <w:bCs/>
                      <w:color w:val="auto"/>
                      <w:szCs w:val="21"/>
                    </w:rPr>
                  </w:pPr>
                  <w:r>
                    <w:rPr>
                      <w:rFonts w:hint="eastAsia" w:ascii="Calibri" w:hAnsi="Calibri" w:cs="Calibri"/>
                      <w:bCs/>
                      <w:color w:val="auto"/>
                      <w:szCs w:val="21"/>
                    </w:rPr>
                    <w:t>18000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5" w:type="pct"/>
                  <w:tcBorders>
                    <w:tl2br w:val="nil"/>
                    <w:tr2bl w:val="nil"/>
                  </w:tcBorders>
                  <w:vAlign w:val="center"/>
                </w:tcPr>
                <w:p>
                  <w:pPr>
                    <w:pStyle w:val="3"/>
                    <w:numPr>
                      <w:ilvl w:val="0"/>
                      <w:numId w:val="0"/>
                    </w:numPr>
                    <w:jc w:val="center"/>
                    <w:rPr>
                      <w:rFonts w:ascii="Calibri" w:hAnsi="Calibri" w:cs="Calibri"/>
                      <w:bCs/>
                      <w:color w:val="auto"/>
                      <w:szCs w:val="21"/>
                    </w:rPr>
                  </w:pPr>
                  <w:r>
                    <w:rPr>
                      <w:rFonts w:ascii="Calibri" w:hAnsi="Calibri" w:cs="Calibri"/>
                      <w:bCs/>
                      <w:color w:val="auto"/>
                      <w:szCs w:val="21"/>
                    </w:rPr>
                    <w:t>危废仓库</w:t>
                  </w:r>
                </w:p>
              </w:tc>
              <w:tc>
                <w:tcPr>
                  <w:tcW w:w="759" w:type="pct"/>
                  <w:tcBorders>
                    <w:tl2br w:val="nil"/>
                    <w:tr2bl w:val="nil"/>
                  </w:tcBorders>
                  <w:vAlign w:val="center"/>
                </w:tcPr>
                <w:p>
                  <w:pPr>
                    <w:pStyle w:val="3"/>
                    <w:numPr>
                      <w:ilvl w:val="0"/>
                      <w:numId w:val="0"/>
                    </w:numPr>
                    <w:jc w:val="center"/>
                    <w:rPr>
                      <w:rFonts w:ascii="Calibri" w:hAnsi="Calibri" w:cs="Calibri"/>
                      <w:bCs/>
                      <w:color w:val="auto"/>
                      <w:szCs w:val="21"/>
                    </w:rPr>
                  </w:pPr>
                  <w:r>
                    <w:rPr>
                      <w:rFonts w:hint="eastAsia" w:ascii="Calibri" w:hAnsi="Calibri" w:cs="Calibri"/>
                      <w:bCs/>
                      <w:color w:val="auto"/>
                      <w:szCs w:val="21"/>
                    </w:rPr>
                    <w:t>330</w:t>
                  </w:r>
                </w:p>
              </w:tc>
              <w:tc>
                <w:tcPr>
                  <w:tcW w:w="697" w:type="pct"/>
                  <w:tcBorders>
                    <w:tl2br w:val="nil"/>
                    <w:tr2bl w:val="nil"/>
                  </w:tcBorders>
                  <w:vAlign w:val="center"/>
                </w:tcPr>
                <w:p>
                  <w:pPr>
                    <w:pStyle w:val="3"/>
                    <w:numPr>
                      <w:ilvl w:val="0"/>
                      <w:numId w:val="0"/>
                    </w:numPr>
                    <w:jc w:val="center"/>
                    <w:rPr>
                      <w:rFonts w:ascii="Calibri" w:hAnsi="Calibri" w:cs="Calibri"/>
                      <w:bCs/>
                      <w:color w:val="auto"/>
                      <w:szCs w:val="21"/>
                    </w:rPr>
                  </w:pPr>
                  <w:r>
                    <w:rPr>
                      <w:rFonts w:hint="eastAsia" w:ascii="Calibri" w:hAnsi="Calibri" w:cs="Calibri"/>
                      <w:bCs/>
                      <w:color w:val="auto"/>
                      <w:szCs w:val="21"/>
                    </w:rPr>
                    <w:t>6</w:t>
                  </w:r>
                </w:p>
              </w:tc>
              <w:tc>
                <w:tcPr>
                  <w:tcW w:w="617" w:type="pct"/>
                  <w:tcBorders>
                    <w:tl2br w:val="nil"/>
                    <w:tr2bl w:val="nil"/>
                  </w:tcBorders>
                  <w:vAlign w:val="center"/>
                </w:tcPr>
                <w:p>
                  <w:pPr>
                    <w:pStyle w:val="3"/>
                    <w:numPr>
                      <w:ilvl w:val="0"/>
                      <w:numId w:val="0"/>
                    </w:numPr>
                    <w:jc w:val="center"/>
                    <w:rPr>
                      <w:rFonts w:ascii="Calibri" w:hAnsi="Calibri" w:cs="Calibri"/>
                      <w:color w:val="auto"/>
                      <w:szCs w:val="21"/>
                    </w:rPr>
                  </w:pPr>
                  <w:r>
                    <w:rPr>
                      <w:rFonts w:ascii="Calibri" w:hAnsi="Calibri" w:cs="Calibri"/>
                      <w:color w:val="auto"/>
                      <w:szCs w:val="21"/>
                    </w:rPr>
                    <w:t>1</w:t>
                  </w:r>
                </w:p>
              </w:tc>
              <w:tc>
                <w:tcPr>
                  <w:tcW w:w="795" w:type="pct"/>
                  <w:tcBorders>
                    <w:tl2br w:val="nil"/>
                    <w:tr2bl w:val="nil"/>
                  </w:tcBorders>
                  <w:vAlign w:val="center"/>
                </w:tcPr>
                <w:p>
                  <w:pPr>
                    <w:pStyle w:val="3"/>
                    <w:numPr>
                      <w:ilvl w:val="0"/>
                      <w:numId w:val="0"/>
                    </w:numPr>
                    <w:jc w:val="center"/>
                    <w:rPr>
                      <w:rFonts w:ascii="Calibri" w:hAnsi="Calibri" w:cs="Calibri"/>
                      <w:bCs/>
                      <w:color w:val="auto"/>
                      <w:szCs w:val="21"/>
                    </w:rPr>
                  </w:pPr>
                  <w:r>
                    <w:rPr>
                      <w:rFonts w:hint="eastAsia" w:ascii="Calibri" w:hAnsi="Calibri" w:cs="Calibri"/>
                      <w:bCs/>
                      <w:color w:val="auto"/>
                      <w:szCs w:val="21"/>
                    </w:rPr>
                    <w:t>1980</w:t>
                  </w:r>
                </w:p>
              </w:tc>
              <w:tc>
                <w:tcPr>
                  <w:tcW w:w="1353" w:type="pct"/>
                  <w:tcBorders>
                    <w:tl2br w:val="nil"/>
                    <w:tr2bl w:val="nil"/>
                  </w:tcBorders>
                  <w:vAlign w:val="center"/>
                </w:tcPr>
                <w:p>
                  <w:pPr>
                    <w:pStyle w:val="3"/>
                    <w:numPr>
                      <w:ilvl w:val="0"/>
                      <w:numId w:val="0"/>
                    </w:numPr>
                    <w:jc w:val="center"/>
                    <w:rPr>
                      <w:rFonts w:ascii="Calibri" w:hAnsi="Calibri" w:cs="Calibri"/>
                      <w:bCs/>
                      <w:color w:val="auto"/>
                      <w:szCs w:val="21"/>
                    </w:rPr>
                  </w:pPr>
                  <w:r>
                    <w:rPr>
                      <w:rFonts w:hint="eastAsia" w:ascii="Calibri" w:hAnsi="Calibri" w:cs="Calibri"/>
                      <w:bCs/>
                      <w:color w:val="auto"/>
                      <w:szCs w:val="21"/>
                    </w:rPr>
                    <w:t>2000</w:t>
                  </w:r>
                </w:p>
              </w:tc>
            </w:tr>
          </w:tbl>
          <w:p>
            <w:pPr>
              <w:adjustRightInd w:val="0"/>
              <w:snapToGrid w:val="0"/>
              <w:spacing w:before="159" w:beforeLines="50" w:line="360" w:lineRule="auto"/>
              <w:ind w:firstLine="480" w:firstLineChars="200"/>
              <w:rPr>
                <w:rFonts w:ascii="Calibri" w:hAnsi="Calibri" w:cs="Calibri"/>
                <w:color w:val="auto"/>
              </w:rPr>
            </w:pPr>
            <w:r>
              <w:rPr>
                <w:rFonts w:ascii="Calibri" w:hAnsi="Calibri" w:cs="Calibri"/>
                <w:color w:val="auto"/>
                <w:sz w:val="24"/>
              </w:rPr>
              <w:t>根据上述计算可知，</w:t>
            </w:r>
            <w:r>
              <w:rPr>
                <w:rFonts w:hint="eastAsia" w:ascii="Calibri" w:hAnsi="Calibri" w:cs="Calibri"/>
                <w:color w:val="auto"/>
                <w:sz w:val="24"/>
              </w:rPr>
              <w:t>冲压件工艺检验工序废气设置风量为5000</w:t>
            </w:r>
            <w:r>
              <w:rPr>
                <w:rFonts w:ascii="Calibri" w:hAnsi="Calibri" w:cs="Calibri"/>
                <w:color w:val="auto"/>
                <w:sz w:val="24"/>
              </w:rPr>
              <w:t>m</w:t>
            </w:r>
            <w:r>
              <w:rPr>
                <w:rFonts w:ascii="Calibri" w:hAnsi="Calibri" w:cs="Calibri"/>
                <w:color w:val="auto"/>
                <w:sz w:val="24"/>
                <w:vertAlign w:val="superscript"/>
              </w:rPr>
              <w:t>3</w:t>
            </w:r>
            <w:r>
              <w:rPr>
                <w:rFonts w:ascii="Calibri" w:hAnsi="Calibri" w:cs="Calibri"/>
                <w:color w:val="auto"/>
                <w:sz w:val="24"/>
              </w:rPr>
              <w:t>/h</w:t>
            </w:r>
            <w:r>
              <w:rPr>
                <w:rFonts w:hint="eastAsia" w:ascii="Calibri" w:hAnsi="Calibri" w:cs="Calibri"/>
                <w:color w:val="auto"/>
                <w:sz w:val="24"/>
              </w:rPr>
              <w:t>，喷粉工艺粉末固化工序废气设置风量为5000</w:t>
            </w:r>
            <w:r>
              <w:rPr>
                <w:rFonts w:ascii="Calibri" w:hAnsi="Calibri" w:cs="Calibri"/>
                <w:color w:val="auto"/>
                <w:sz w:val="24"/>
              </w:rPr>
              <w:t>m</w:t>
            </w:r>
            <w:r>
              <w:rPr>
                <w:rFonts w:ascii="Calibri" w:hAnsi="Calibri" w:cs="Calibri"/>
                <w:color w:val="auto"/>
                <w:sz w:val="24"/>
                <w:vertAlign w:val="superscript"/>
              </w:rPr>
              <w:t>3</w:t>
            </w:r>
            <w:r>
              <w:rPr>
                <w:rFonts w:ascii="Calibri" w:hAnsi="Calibri" w:cs="Calibri"/>
                <w:color w:val="auto"/>
                <w:sz w:val="24"/>
              </w:rPr>
              <w:t>/h，</w:t>
            </w:r>
            <w:r>
              <w:rPr>
                <w:rFonts w:hint="eastAsia" w:ascii="Calibri" w:hAnsi="Calibri" w:cs="Calibri"/>
                <w:color w:val="auto"/>
                <w:sz w:val="24"/>
              </w:rPr>
              <w:t>喷粉工序废气设置风量18000</w:t>
            </w:r>
            <w:r>
              <w:rPr>
                <w:rFonts w:ascii="Calibri" w:hAnsi="Calibri" w:cs="Calibri"/>
                <w:color w:val="auto"/>
                <w:sz w:val="24"/>
              </w:rPr>
              <w:t xml:space="preserve"> m</w:t>
            </w:r>
            <w:r>
              <w:rPr>
                <w:rFonts w:ascii="Calibri" w:hAnsi="Calibri" w:cs="Calibri"/>
                <w:color w:val="auto"/>
                <w:sz w:val="24"/>
                <w:vertAlign w:val="superscript"/>
              </w:rPr>
              <w:t>3</w:t>
            </w:r>
            <w:r>
              <w:rPr>
                <w:rFonts w:ascii="Calibri" w:hAnsi="Calibri" w:cs="Calibri"/>
                <w:color w:val="auto"/>
                <w:sz w:val="24"/>
              </w:rPr>
              <w:t>/h</w:t>
            </w:r>
            <w:r>
              <w:rPr>
                <w:rFonts w:hint="eastAsia" w:ascii="Calibri" w:hAnsi="Calibri" w:cs="Calibri"/>
                <w:color w:val="auto"/>
                <w:sz w:val="24"/>
              </w:rPr>
              <w:t>，</w:t>
            </w:r>
            <w:r>
              <w:rPr>
                <w:rFonts w:ascii="Calibri" w:hAnsi="Calibri" w:cs="Calibri"/>
                <w:color w:val="auto"/>
                <w:sz w:val="24"/>
              </w:rPr>
              <w:t>危废仓库设置风量为</w:t>
            </w:r>
            <w:r>
              <w:rPr>
                <w:rFonts w:hint="eastAsia" w:ascii="Calibri" w:hAnsi="Calibri" w:cs="Calibri"/>
                <w:color w:val="auto"/>
                <w:sz w:val="24"/>
              </w:rPr>
              <w:t>20</w:t>
            </w:r>
            <w:r>
              <w:rPr>
                <w:rFonts w:ascii="Calibri" w:hAnsi="Calibri" w:cs="Calibri"/>
                <w:color w:val="auto"/>
                <w:sz w:val="24"/>
              </w:rPr>
              <w:t>00m</w:t>
            </w:r>
            <w:r>
              <w:rPr>
                <w:rFonts w:ascii="Calibri" w:hAnsi="Calibri" w:cs="Calibri"/>
                <w:color w:val="auto"/>
                <w:sz w:val="24"/>
                <w:vertAlign w:val="superscript"/>
              </w:rPr>
              <w:t>3</w:t>
            </w:r>
            <w:r>
              <w:rPr>
                <w:rFonts w:ascii="Calibri" w:hAnsi="Calibri" w:cs="Calibri"/>
                <w:color w:val="auto"/>
                <w:sz w:val="24"/>
              </w:rPr>
              <w:t>/h，风量设置基本合理。</w:t>
            </w:r>
          </w:p>
          <w:p>
            <w:pPr>
              <w:widowControl/>
              <w:spacing w:line="360" w:lineRule="auto"/>
              <w:ind w:firstLine="482" w:firstLineChars="200"/>
              <w:rPr>
                <w:rFonts w:ascii="Calibri" w:hAnsi="Calibri" w:cs="Calibri"/>
                <w:color w:val="auto"/>
                <w:sz w:val="24"/>
              </w:rPr>
            </w:pPr>
            <w:r>
              <w:rPr>
                <w:rFonts w:ascii="Calibri" w:hAnsi="Calibri" w:cs="Calibri"/>
                <w:b/>
                <w:color w:val="auto"/>
                <w:sz w:val="24"/>
              </w:rPr>
              <w:t>（3）污染防治措施可行性分析：</w:t>
            </w:r>
          </w:p>
          <w:p>
            <w:pPr>
              <w:spacing w:line="360" w:lineRule="auto"/>
              <w:ind w:firstLine="482" w:firstLineChars="200"/>
              <w:rPr>
                <w:rFonts w:ascii="Calibri" w:hAnsi="Calibri" w:cs="Calibri"/>
                <w:b/>
                <w:bCs/>
                <w:color w:val="auto"/>
                <w:sz w:val="24"/>
              </w:rPr>
            </w:pPr>
            <w:r>
              <w:rPr>
                <w:rFonts w:ascii="Calibri" w:hAnsi="Calibri" w:cs="Calibri"/>
                <w:b/>
                <w:bCs/>
                <w:color w:val="auto"/>
                <w:sz w:val="24"/>
              </w:rPr>
              <w:t>本项目废气污染防治措施及其可行性情况如下表：</w:t>
            </w:r>
          </w:p>
          <w:p>
            <w:pPr>
              <w:pStyle w:val="6"/>
              <w:numPr>
                <w:ilvl w:val="0"/>
                <w:numId w:val="16"/>
              </w:numPr>
              <w:adjustRightInd w:val="0"/>
              <w:snapToGrid w:val="0"/>
              <w:ind w:firstLineChars="0"/>
              <w:jc w:val="center"/>
              <w:rPr>
                <w:rFonts w:ascii="Calibri" w:hAnsi="Calibri" w:cs="Calibri"/>
                <w:b/>
                <w:bCs/>
                <w:color w:val="auto"/>
                <w:sz w:val="24"/>
              </w:rPr>
            </w:pPr>
            <w:r>
              <w:rPr>
                <w:rFonts w:ascii="Calibri" w:hAnsi="Calibri" w:cs="Calibri"/>
                <w:b/>
                <w:bCs/>
                <w:color w:val="auto"/>
                <w:sz w:val="24"/>
              </w:rPr>
              <w:t>本项目废气种类及治理措施一览表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27"/>
              <w:gridCol w:w="1270"/>
              <w:gridCol w:w="1541"/>
              <w:gridCol w:w="1683"/>
              <w:gridCol w:w="22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0" w:type="pct"/>
                  <w:vAlign w:val="center"/>
                </w:tcPr>
                <w:p>
                  <w:pPr>
                    <w:autoSpaceDE w:val="0"/>
                    <w:autoSpaceDN w:val="0"/>
                    <w:adjustRightInd w:val="0"/>
                    <w:snapToGrid w:val="0"/>
                    <w:jc w:val="center"/>
                    <w:rPr>
                      <w:b/>
                      <w:bCs/>
                      <w:color w:val="auto"/>
                      <w:szCs w:val="21"/>
                    </w:rPr>
                  </w:pPr>
                  <w:r>
                    <w:rPr>
                      <w:b/>
                      <w:bCs/>
                      <w:color w:val="auto"/>
                      <w:szCs w:val="21"/>
                    </w:rPr>
                    <w:t>产生点</w:t>
                  </w:r>
                </w:p>
              </w:tc>
              <w:tc>
                <w:tcPr>
                  <w:tcW w:w="816" w:type="pct"/>
                  <w:tcMar>
                    <w:left w:w="0" w:type="dxa"/>
                    <w:right w:w="0" w:type="dxa"/>
                  </w:tcMar>
                  <w:vAlign w:val="center"/>
                </w:tcPr>
                <w:p>
                  <w:pPr>
                    <w:autoSpaceDE w:val="0"/>
                    <w:autoSpaceDN w:val="0"/>
                    <w:adjustRightInd w:val="0"/>
                    <w:snapToGrid w:val="0"/>
                    <w:jc w:val="center"/>
                    <w:rPr>
                      <w:b/>
                      <w:bCs/>
                      <w:color w:val="auto"/>
                      <w:szCs w:val="21"/>
                    </w:rPr>
                  </w:pPr>
                  <w:r>
                    <w:rPr>
                      <w:b/>
                      <w:bCs/>
                      <w:color w:val="auto"/>
                      <w:szCs w:val="21"/>
                    </w:rPr>
                    <w:t>污染物</w:t>
                  </w:r>
                </w:p>
              </w:tc>
              <w:tc>
                <w:tcPr>
                  <w:tcW w:w="990" w:type="pct"/>
                  <w:tcMar>
                    <w:left w:w="0" w:type="dxa"/>
                    <w:right w:w="0" w:type="dxa"/>
                  </w:tcMar>
                  <w:vAlign w:val="center"/>
                </w:tcPr>
                <w:p>
                  <w:pPr>
                    <w:autoSpaceDE w:val="0"/>
                    <w:autoSpaceDN w:val="0"/>
                    <w:adjustRightInd w:val="0"/>
                    <w:snapToGrid w:val="0"/>
                    <w:jc w:val="center"/>
                    <w:rPr>
                      <w:b/>
                      <w:bCs/>
                      <w:color w:val="auto"/>
                      <w:szCs w:val="21"/>
                    </w:rPr>
                  </w:pPr>
                  <w:r>
                    <w:rPr>
                      <w:b/>
                      <w:bCs/>
                      <w:color w:val="auto"/>
                      <w:szCs w:val="21"/>
                    </w:rPr>
                    <w:t>治理措施</w:t>
                  </w:r>
                </w:p>
              </w:tc>
              <w:tc>
                <w:tcPr>
                  <w:tcW w:w="1081" w:type="pct"/>
                  <w:tcMar>
                    <w:left w:w="0" w:type="dxa"/>
                    <w:right w:w="0" w:type="dxa"/>
                  </w:tcMar>
                  <w:vAlign w:val="center"/>
                </w:tcPr>
                <w:p>
                  <w:pPr>
                    <w:autoSpaceDE w:val="0"/>
                    <w:autoSpaceDN w:val="0"/>
                    <w:adjustRightInd w:val="0"/>
                    <w:snapToGrid w:val="0"/>
                    <w:jc w:val="center"/>
                    <w:rPr>
                      <w:b/>
                      <w:bCs/>
                      <w:color w:val="auto"/>
                      <w:szCs w:val="21"/>
                    </w:rPr>
                  </w:pPr>
                  <w:r>
                    <w:rPr>
                      <w:b/>
                      <w:bCs/>
                      <w:color w:val="auto"/>
                      <w:szCs w:val="21"/>
                    </w:rPr>
                    <w:t>是否为可行性技术</w:t>
                  </w:r>
                </w:p>
              </w:tc>
              <w:tc>
                <w:tcPr>
                  <w:tcW w:w="1453" w:type="pct"/>
                  <w:tcMar>
                    <w:left w:w="0" w:type="dxa"/>
                    <w:right w:w="0" w:type="dxa"/>
                  </w:tcMar>
                  <w:vAlign w:val="center"/>
                </w:tcPr>
                <w:p>
                  <w:pPr>
                    <w:autoSpaceDE w:val="0"/>
                    <w:autoSpaceDN w:val="0"/>
                    <w:adjustRightInd w:val="0"/>
                    <w:snapToGrid w:val="0"/>
                    <w:jc w:val="center"/>
                    <w:rPr>
                      <w:b/>
                      <w:bCs/>
                      <w:color w:val="auto"/>
                      <w:szCs w:val="21"/>
                    </w:rPr>
                  </w:pPr>
                  <w:r>
                    <w:rPr>
                      <w:b/>
                      <w:bCs/>
                      <w:color w:val="auto"/>
                      <w:szCs w:val="21"/>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60" w:type="pct"/>
                  <w:tcMar>
                    <w:left w:w="0" w:type="dxa"/>
                    <w:right w:w="0" w:type="dxa"/>
                  </w:tcMar>
                  <w:vAlign w:val="center"/>
                </w:tcPr>
                <w:p>
                  <w:pPr>
                    <w:widowControl/>
                    <w:jc w:val="center"/>
                    <w:textAlignment w:val="center"/>
                    <w:rPr>
                      <w:color w:val="auto"/>
                      <w:kern w:val="0"/>
                      <w:szCs w:val="21"/>
                      <w:lang w:bidi="ar"/>
                    </w:rPr>
                  </w:pPr>
                  <w:r>
                    <w:rPr>
                      <w:rFonts w:hint="eastAsia"/>
                      <w:color w:val="auto"/>
                      <w:kern w:val="0"/>
                      <w:szCs w:val="21"/>
                      <w:lang w:bidi="ar"/>
                    </w:rPr>
                    <w:t>打磨废气</w:t>
                  </w:r>
                </w:p>
              </w:tc>
              <w:tc>
                <w:tcPr>
                  <w:tcW w:w="816" w:type="pct"/>
                  <w:tcMar>
                    <w:left w:w="0" w:type="dxa"/>
                    <w:right w:w="0" w:type="dxa"/>
                  </w:tcMar>
                  <w:vAlign w:val="center"/>
                </w:tcPr>
                <w:p>
                  <w:pPr>
                    <w:pStyle w:val="16"/>
                    <w:spacing w:after="0"/>
                    <w:ind w:left="0" w:leftChars="0" w:firstLine="0" w:firstLineChars="0"/>
                    <w:jc w:val="center"/>
                    <w:rPr>
                      <w:color w:val="auto"/>
                      <w:szCs w:val="21"/>
                    </w:rPr>
                  </w:pPr>
                  <w:r>
                    <w:rPr>
                      <w:rFonts w:hint="eastAsia"/>
                      <w:color w:val="auto"/>
                      <w:szCs w:val="21"/>
                    </w:rPr>
                    <w:t>颗粒物</w:t>
                  </w:r>
                </w:p>
              </w:tc>
              <w:tc>
                <w:tcPr>
                  <w:tcW w:w="990" w:type="pct"/>
                  <w:tcMar>
                    <w:left w:w="0" w:type="dxa"/>
                    <w:right w:w="0" w:type="dxa"/>
                  </w:tcMar>
                  <w:vAlign w:val="center"/>
                </w:tcPr>
                <w:p>
                  <w:pPr>
                    <w:pStyle w:val="16"/>
                    <w:spacing w:after="0"/>
                    <w:ind w:left="0" w:leftChars="0" w:firstLine="0" w:firstLineChars="0"/>
                    <w:jc w:val="center"/>
                    <w:rPr>
                      <w:color w:val="auto"/>
                      <w:szCs w:val="21"/>
                    </w:rPr>
                  </w:pPr>
                  <w:r>
                    <w:rPr>
                      <w:rFonts w:hint="eastAsia"/>
                      <w:color w:val="auto"/>
                      <w:szCs w:val="21"/>
                    </w:rPr>
                    <w:t>袋式除尘器</w:t>
                  </w:r>
                </w:p>
              </w:tc>
              <w:tc>
                <w:tcPr>
                  <w:tcW w:w="1081" w:type="pct"/>
                  <w:tcMar>
                    <w:left w:w="0" w:type="dxa"/>
                    <w:right w:w="0" w:type="dxa"/>
                  </w:tcMar>
                  <w:vAlign w:val="center"/>
                </w:tcPr>
                <w:p>
                  <w:pPr>
                    <w:jc w:val="center"/>
                    <w:rPr>
                      <w:color w:val="auto"/>
                      <w:szCs w:val="21"/>
                    </w:rPr>
                  </w:pPr>
                  <w:r>
                    <w:rPr>
                      <w:color w:val="auto"/>
                      <w:szCs w:val="21"/>
                    </w:rPr>
                    <w:t>是☑  否□</w:t>
                  </w:r>
                </w:p>
              </w:tc>
              <w:tc>
                <w:tcPr>
                  <w:tcW w:w="1453" w:type="pct"/>
                  <w:tcMar>
                    <w:left w:w="0" w:type="dxa"/>
                    <w:right w:w="0" w:type="dxa"/>
                  </w:tcMar>
                  <w:vAlign w:val="center"/>
                </w:tcPr>
                <w:p>
                  <w:pPr>
                    <w:pStyle w:val="16"/>
                    <w:spacing w:after="0"/>
                    <w:ind w:left="0" w:leftChars="0" w:firstLine="0" w:firstLineChars="0"/>
                    <w:jc w:val="center"/>
                    <w:rPr>
                      <w:color w:val="auto"/>
                      <w:szCs w:val="21"/>
                    </w:rPr>
                  </w:pPr>
                  <w:r>
                    <w:rPr>
                      <w:rFonts w:hint="eastAsia"/>
                      <w:color w:val="auto"/>
                      <w:szCs w:val="21"/>
                    </w:rPr>
                    <w:t>《排污许可证申请与核发技术规范 铁路、船舶、航空航天和其他运输设备制造业》（HJ 1124-2020）附录C中推荐可行技术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60" w:type="pct"/>
                  <w:tcMar>
                    <w:left w:w="0" w:type="dxa"/>
                    <w:right w:w="0" w:type="dxa"/>
                  </w:tcMar>
                  <w:vAlign w:val="center"/>
                </w:tcPr>
                <w:p>
                  <w:pPr>
                    <w:widowControl/>
                    <w:jc w:val="center"/>
                    <w:textAlignment w:val="center"/>
                    <w:rPr>
                      <w:color w:val="auto"/>
                      <w:kern w:val="0"/>
                      <w:szCs w:val="21"/>
                      <w:lang w:bidi="ar"/>
                    </w:rPr>
                  </w:pPr>
                  <w:r>
                    <w:rPr>
                      <w:color w:val="auto"/>
                      <w:kern w:val="0"/>
                      <w:szCs w:val="21"/>
                      <w:lang w:bidi="ar"/>
                    </w:rPr>
                    <w:t>天然气燃烧</w:t>
                  </w:r>
                </w:p>
              </w:tc>
              <w:tc>
                <w:tcPr>
                  <w:tcW w:w="816" w:type="pct"/>
                  <w:tcMar>
                    <w:left w:w="0" w:type="dxa"/>
                    <w:right w:w="0" w:type="dxa"/>
                  </w:tcMar>
                  <w:vAlign w:val="center"/>
                </w:tcPr>
                <w:p>
                  <w:pPr>
                    <w:pStyle w:val="16"/>
                    <w:spacing w:after="0"/>
                    <w:ind w:left="0" w:leftChars="0" w:firstLine="0" w:firstLineChars="0"/>
                    <w:jc w:val="center"/>
                    <w:rPr>
                      <w:color w:val="auto"/>
                      <w:szCs w:val="21"/>
                      <w:lang w:bidi="ar"/>
                    </w:rPr>
                  </w:pPr>
                  <w:r>
                    <w:rPr>
                      <w:color w:val="auto"/>
                      <w:szCs w:val="21"/>
                    </w:rPr>
                    <w:t>颗粒物、二氧化硫、氮氧化物</w:t>
                  </w:r>
                </w:p>
              </w:tc>
              <w:tc>
                <w:tcPr>
                  <w:tcW w:w="990" w:type="pct"/>
                  <w:tcMar>
                    <w:left w:w="0" w:type="dxa"/>
                    <w:right w:w="0" w:type="dxa"/>
                  </w:tcMar>
                  <w:vAlign w:val="center"/>
                </w:tcPr>
                <w:p>
                  <w:pPr>
                    <w:pStyle w:val="16"/>
                    <w:spacing w:after="0"/>
                    <w:ind w:left="0" w:leftChars="0" w:firstLine="0" w:firstLineChars="0"/>
                    <w:jc w:val="center"/>
                    <w:rPr>
                      <w:color w:val="auto"/>
                      <w:szCs w:val="21"/>
                      <w:lang w:bidi="ar"/>
                    </w:rPr>
                  </w:pPr>
                  <w:r>
                    <w:rPr>
                      <w:rFonts w:hint="eastAsia"/>
                      <w:color w:val="auto"/>
                      <w:szCs w:val="21"/>
                    </w:rPr>
                    <w:t>直接排放</w:t>
                  </w:r>
                </w:p>
              </w:tc>
              <w:tc>
                <w:tcPr>
                  <w:tcW w:w="1081" w:type="pct"/>
                  <w:tcMar>
                    <w:left w:w="0" w:type="dxa"/>
                    <w:right w:w="0" w:type="dxa"/>
                  </w:tcMar>
                  <w:vAlign w:val="center"/>
                </w:tcPr>
                <w:p>
                  <w:pPr>
                    <w:jc w:val="center"/>
                    <w:rPr>
                      <w:color w:val="auto"/>
                      <w:szCs w:val="21"/>
                    </w:rPr>
                  </w:pPr>
                  <w:r>
                    <w:rPr>
                      <w:color w:val="auto"/>
                      <w:szCs w:val="21"/>
                    </w:rPr>
                    <w:t>̶</w:t>
                  </w:r>
                </w:p>
              </w:tc>
              <w:tc>
                <w:tcPr>
                  <w:tcW w:w="1453" w:type="pct"/>
                  <w:tcMar>
                    <w:left w:w="0" w:type="dxa"/>
                    <w:right w:w="0" w:type="dxa"/>
                  </w:tcMar>
                  <w:vAlign w:val="center"/>
                </w:tcPr>
                <w:p>
                  <w:pPr>
                    <w:pStyle w:val="16"/>
                    <w:spacing w:after="0"/>
                    <w:ind w:left="0" w:leftChars="0" w:firstLine="0" w:firstLineChars="0"/>
                    <w:jc w:val="center"/>
                    <w:rPr>
                      <w:color w:val="auto"/>
                      <w:szCs w:val="21"/>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60" w:type="pct"/>
                  <w:tcMar>
                    <w:left w:w="0" w:type="dxa"/>
                    <w:right w:w="0" w:type="dxa"/>
                  </w:tcMar>
                  <w:vAlign w:val="center"/>
                </w:tcPr>
                <w:p>
                  <w:pPr>
                    <w:widowControl/>
                    <w:jc w:val="center"/>
                    <w:textAlignment w:val="center"/>
                    <w:rPr>
                      <w:color w:val="auto"/>
                      <w:szCs w:val="21"/>
                    </w:rPr>
                  </w:pPr>
                  <w:r>
                    <w:rPr>
                      <w:rFonts w:hint="eastAsia"/>
                      <w:bCs/>
                      <w:color w:val="auto"/>
                      <w:szCs w:val="21"/>
                    </w:rPr>
                    <w:t>静电</w:t>
                  </w:r>
                  <w:r>
                    <w:rPr>
                      <w:bCs/>
                      <w:color w:val="auto"/>
                      <w:szCs w:val="21"/>
                    </w:rPr>
                    <w:t>喷</w:t>
                  </w:r>
                  <w:r>
                    <w:rPr>
                      <w:rFonts w:hint="eastAsia"/>
                      <w:bCs/>
                      <w:color w:val="auto"/>
                      <w:szCs w:val="21"/>
                    </w:rPr>
                    <w:t>粉</w:t>
                  </w:r>
                  <w:r>
                    <w:rPr>
                      <w:bCs/>
                      <w:color w:val="auto"/>
                      <w:szCs w:val="21"/>
                    </w:rPr>
                    <w:t>工序</w:t>
                  </w:r>
                </w:p>
              </w:tc>
              <w:tc>
                <w:tcPr>
                  <w:tcW w:w="816" w:type="pct"/>
                  <w:tcMar>
                    <w:left w:w="0" w:type="dxa"/>
                    <w:right w:w="0" w:type="dxa"/>
                  </w:tcMar>
                  <w:vAlign w:val="center"/>
                </w:tcPr>
                <w:p>
                  <w:pPr>
                    <w:widowControl/>
                    <w:jc w:val="center"/>
                    <w:textAlignment w:val="center"/>
                    <w:rPr>
                      <w:color w:val="auto"/>
                      <w:kern w:val="0"/>
                      <w:szCs w:val="21"/>
                      <w:lang w:bidi="ar"/>
                    </w:rPr>
                  </w:pPr>
                  <w:r>
                    <w:rPr>
                      <w:rFonts w:hint="eastAsia"/>
                      <w:color w:val="auto"/>
                      <w:szCs w:val="21"/>
                    </w:rPr>
                    <w:t>颗粒物</w:t>
                  </w:r>
                </w:p>
              </w:tc>
              <w:tc>
                <w:tcPr>
                  <w:tcW w:w="990" w:type="pct"/>
                  <w:tcMar>
                    <w:left w:w="0" w:type="dxa"/>
                    <w:right w:w="0" w:type="dxa"/>
                  </w:tcMar>
                  <w:vAlign w:val="center"/>
                </w:tcPr>
                <w:p>
                  <w:pPr>
                    <w:widowControl/>
                    <w:jc w:val="center"/>
                    <w:textAlignment w:val="center"/>
                    <w:rPr>
                      <w:color w:val="auto"/>
                      <w:kern w:val="0"/>
                      <w:szCs w:val="21"/>
                      <w:lang w:bidi="ar"/>
                    </w:rPr>
                  </w:pPr>
                  <w:r>
                    <w:rPr>
                      <w:color w:val="auto"/>
                      <w:szCs w:val="21"/>
                    </w:rPr>
                    <w:t>二级粉末回收系统（</w:t>
                  </w:r>
                  <w:r>
                    <w:rPr>
                      <w:color w:val="auto"/>
                      <w:kern w:val="0"/>
                      <w:szCs w:val="21"/>
                      <w:lang w:bidi="ar"/>
                    </w:rPr>
                    <w:t>旋风回收系统+滤芯回收系统</w:t>
                  </w:r>
                  <w:r>
                    <w:rPr>
                      <w:color w:val="auto"/>
                      <w:szCs w:val="21"/>
                    </w:rPr>
                    <w:t>）</w:t>
                  </w:r>
                </w:p>
              </w:tc>
              <w:tc>
                <w:tcPr>
                  <w:tcW w:w="1081" w:type="pct"/>
                  <w:tcMar>
                    <w:left w:w="0" w:type="dxa"/>
                    <w:right w:w="0" w:type="dxa"/>
                  </w:tcMar>
                  <w:vAlign w:val="center"/>
                </w:tcPr>
                <w:p>
                  <w:pPr>
                    <w:jc w:val="center"/>
                    <w:rPr>
                      <w:color w:val="auto"/>
                      <w:szCs w:val="21"/>
                    </w:rPr>
                  </w:pPr>
                  <w:r>
                    <w:rPr>
                      <w:color w:val="auto"/>
                      <w:szCs w:val="21"/>
                    </w:rPr>
                    <w:t>是☑  否□</w:t>
                  </w:r>
                </w:p>
              </w:tc>
              <w:tc>
                <w:tcPr>
                  <w:tcW w:w="1453" w:type="pct"/>
                  <w:tcMar>
                    <w:left w:w="0" w:type="dxa"/>
                    <w:right w:w="0" w:type="dxa"/>
                  </w:tcMar>
                  <w:vAlign w:val="center"/>
                </w:tcPr>
                <w:p>
                  <w:pPr>
                    <w:spacing w:line="280" w:lineRule="exact"/>
                    <w:jc w:val="center"/>
                    <w:rPr>
                      <w:color w:val="auto"/>
                      <w:szCs w:val="21"/>
                    </w:rPr>
                  </w:pPr>
                  <w:r>
                    <w:rPr>
                      <w:color w:val="auto"/>
                      <w:szCs w:val="21"/>
                    </w:rPr>
                    <w:t>简要分析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0" w:type="pct"/>
                  <w:tcMar>
                    <w:left w:w="0" w:type="dxa"/>
                    <w:right w:w="0" w:type="dxa"/>
                  </w:tcMar>
                  <w:vAlign w:val="center"/>
                </w:tcPr>
                <w:p>
                  <w:pPr>
                    <w:widowControl/>
                    <w:jc w:val="center"/>
                    <w:textAlignment w:val="center"/>
                    <w:rPr>
                      <w:color w:val="auto"/>
                      <w:kern w:val="0"/>
                      <w:szCs w:val="21"/>
                      <w:lang w:bidi="ar"/>
                    </w:rPr>
                  </w:pPr>
                  <w:r>
                    <w:rPr>
                      <w:rFonts w:hint="eastAsia"/>
                      <w:color w:val="auto"/>
                      <w:kern w:val="0"/>
                      <w:szCs w:val="21"/>
                      <w:lang w:bidi="ar"/>
                    </w:rPr>
                    <w:t>粉末固化工序</w:t>
                  </w:r>
                </w:p>
              </w:tc>
              <w:tc>
                <w:tcPr>
                  <w:tcW w:w="816" w:type="pct"/>
                  <w:tcMar>
                    <w:left w:w="0" w:type="dxa"/>
                    <w:right w:w="0" w:type="dxa"/>
                  </w:tcMar>
                  <w:vAlign w:val="center"/>
                </w:tcPr>
                <w:p>
                  <w:pPr>
                    <w:widowControl/>
                    <w:jc w:val="center"/>
                    <w:textAlignment w:val="center"/>
                    <w:rPr>
                      <w:color w:val="auto"/>
                      <w:kern w:val="0"/>
                      <w:szCs w:val="21"/>
                      <w:lang w:bidi="ar"/>
                    </w:rPr>
                  </w:pPr>
                  <w:r>
                    <w:rPr>
                      <w:color w:val="auto"/>
                      <w:kern w:val="0"/>
                      <w:szCs w:val="21"/>
                      <w:lang w:bidi="ar"/>
                    </w:rPr>
                    <w:t>非甲烷总烃</w:t>
                  </w:r>
                </w:p>
              </w:tc>
              <w:tc>
                <w:tcPr>
                  <w:tcW w:w="990" w:type="pct"/>
                  <w:tcMar>
                    <w:left w:w="0" w:type="dxa"/>
                    <w:right w:w="0" w:type="dxa"/>
                  </w:tcMar>
                  <w:vAlign w:val="center"/>
                </w:tcPr>
                <w:p>
                  <w:pPr>
                    <w:widowControl/>
                    <w:jc w:val="center"/>
                    <w:textAlignment w:val="center"/>
                    <w:rPr>
                      <w:color w:val="auto"/>
                      <w:kern w:val="0"/>
                      <w:szCs w:val="21"/>
                      <w:lang w:bidi="ar"/>
                    </w:rPr>
                  </w:pPr>
                  <w:r>
                    <w:rPr>
                      <w:color w:val="auto"/>
                      <w:kern w:val="0"/>
                      <w:szCs w:val="21"/>
                      <w:lang w:bidi="ar"/>
                    </w:rPr>
                    <w:t>二级活性炭吸附装置</w:t>
                  </w:r>
                </w:p>
              </w:tc>
              <w:tc>
                <w:tcPr>
                  <w:tcW w:w="1081" w:type="pct"/>
                  <w:tcMar>
                    <w:left w:w="0" w:type="dxa"/>
                    <w:right w:w="0" w:type="dxa"/>
                  </w:tcMar>
                  <w:vAlign w:val="center"/>
                </w:tcPr>
                <w:p>
                  <w:pPr>
                    <w:jc w:val="center"/>
                    <w:rPr>
                      <w:color w:val="auto"/>
                      <w:szCs w:val="21"/>
                    </w:rPr>
                  </w:pPr>
                  <w:r>
                    <w:rPr>
                      <w:color w:val="auto"/>
                      <w:szCs w:val="21"/>
                    </w:rPr>
                    <w:t>是☑  否□</w:t>
                  </w:r>
                </w:p>
              </w:tc>
              <w:tc>
                <w:tcPr>
                  <w:tcW w:w="1453" w:type="pct"/>
                  <w:vMerge w:val="restart"/>
                  <w:tcMar>
                    <w:left w:w="0" w:type="dxa"/>
                    <w:right w:w="0" w:type="dxa"/>
                  </w:tcMar>
                  <w:vAlign w:val="center"/>
                </w:tcPr>
                <w:p>
                  <w:pPr>
                    <w:spacing w:line="280" w:lineRule="exact"/>
                    <w:jc w:val="center"/>
                    <w:rPr>
                      <w:color w:val="auto"/>
                      <w:szCs w:val="21"/>
                    </w:rPr>
                  </w:pPr>
                  <w:r>
                    <w:rPr>
                      <w:rFonts w:hint="eastAsia"/>
                      <w:color w:val="auto"/>
                      <w:szCs w:val="21"/>
                    </w:rPr>
                    <w:t>《排污许可证申请与核发技术规范 铁路、船舶、航空航天和其他运输设备制造业》（HJ 1124-2020）附录C中推荐可行技术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60" w:type="pct"/>
                  <w:tcMar>
                    <w:left w:w="0" w:type="dxa"/>
                    <w:right w:w="0" w:type="dxa"/>
                  </w:tcMar>
                  <w:vAlign w:val="center"/>
                </w:tcPr>
                <w:p>
                  <w:pPr>
                    <w:widowControl/>
                    <w:jc w:val="center"/>
                    <w:textAlignment w:val="center"/>
                    <w:rPr>
                      <w:color w:val="auto"/>
                      <w:kern w:val="0"/>
                      <w:szCs w:val="21"/>
                      <w:lang w:bidi="ar"/>
                    </w:rPr>
                  </w:pPr>
                  <w:r>
                    <w:rPr>
                      <w:rFonts w:hint="eastAsia"/>
                      <w:color w:val="auto"/>
                      <w:kern w:val="0"/>
                      <w:szCs w:val="21"/>
                      <w:lang w:bidi="ar"/>
                    </w:rPr>
                    <w:t>危废仓库</w:t>
                  </w:r>
                </w:p>
              </w:tc>
              <w:tc>
                <w:tcPr>
                  <w:tcW w:w="816" w:type="pct"/>
                  <w:tcMar>
                    <w:left w:w="0" w:type="dxa"/>
                    <w:right w:w="0" w:type="dxa"/>
                  </w:tcMar>
                  <w:vAlign w:val="center"/>
                </w:tcPr>
                <w:p>
                  <w:pPr>
                    <w:widowControl/>
                    <w:jc w:val="center"/>
                    <w:textAlignment w:val="center"/>
                    <w:rPr>
                      <w:color w:val="auto"/>
                      <w:kern w:val="0"/>
                      <w:szCs w:val="21"/>
                      <w:lang w:bidi="ar"/>
                    </w:rPr>
                  </w:pPr>
                  <w:r>
                    <w:rPr>
                      <w:color w:val="auto"/>
                      <w:kern w:val="0"/>
                      <w:szCs w:val="21"/>
                      <w:lang w:bidi="ar"/>
                    </w:rPr>
                    <w:t>非甲烷总烃</w:t>
                  </w:r>
                </w:p>
              </w:tc>
              <w:tc>
                <w:tcPr>
                  <w:tcW w:w="990" w:type="pct"/>
                  <w:tcMar>
                    <w:left w:w="0" w:type="dxa"/>
                    <w:right w:w="0" w:type="dxa"/>
                  </w:tcMar>
                  <w:vAlign w:val="center"/>
                </w:tcPr>
                <w:p>
                  <w:pPr>
                    <w:widowControl/>
                    <w:jc w:val="center"/>
                    <w:textAlignment w:val="center"/>
                    <w:rPr>
                      <w:color w:val="auto"/>
                      <w:kern w:val="0"/>
                      <w:szCs w:val="21"/>
                      <w:lang w:bidi="ar"/>
                    </w:rPr>
                  </w:pPr>
                  <w:r>
                    <w:rPr>
                      <w:color w:val="auto"/>
                      <w:kern w:val="0"/>
                      <w:szCs w:val="21"/>
                      <w:lang w:bidi="ar"/>
                    </w:rPr>
                    <w:t>二级活性炭吸附装置</w:t>
                  </w:r>
                </w:p>
              </w:tc>
              <w:tc>
                <w:tcPr>
                  <w:tcW w:w="1081" w:type="pct"/>
                  <w:tcMar>
                    <w:left w:w="0" w:type="dxa"/>
                    <w:right w:w="0" w:type="dxa"/>
                  </w:tcMar>
                  <w:vAlign w:val="center"/>
                </w:tcPr>
                <w:p>
                  <w:pPr>
                    <w:jc w:val="center"/>
                    <w:rPr>
                      <w:color w:val="auto"/>
                      <w:szCs w:val="21"/>
                    </w:rPr>
                  </w:pPr>
                  <w:r>
                    <w:rPr>
                      <w:color w:val="auto"/>
                      <w:szCs w:val="21"/>
                    </w:rPr>
                    <w:t>是☑  否□</w:t>
                  </w:r>
                </w:p>
              </w:tc>
              <w:tc>
                <w:tcPr>
                  <w:tcW w:w="1453" w:type="pct"/>
                  <w:vMerge w:val="continue"/>
                  <w:tcMar>
                    <w:left w:w="0" w:type="dxa"/>
                    <w:right w:w="0" w:type="dxa"/>
                  </w:tcMar>
                  <w:vAlign w:val="center"/>
                </w:tcPr>
                <w:p>
                  <w:pPr>
                    <w:spacing w:line="280" w:lineRule="exact"/>
                    <w:jc w:val="center"/>
                    <w:rPr>
                      <w:color w:val="auto"/>
                      <w:szCs w:val="21"/>
                    </w:rPr>
                  </w:pPr>
                </w:p>
              </w:tc>
            </w:tr>
          </w:tbl>
          <w:p>
            <w:pPr>
              <w:spacing w:line="360" w:lineRule="auto"/>
              <w:ind w:firstLine="480" w:firstLineChars="200"/>
              <w:rPr>
                <w:rFonts w:ascii="Calibri" w:hAnsi="Calibri" w:cs="Calibri"/>
                <w:b/>
                <w:color w:val="auto"/>
                <w:sz w:val="24"/>
              </w:rPr>
            </w:pPr>
            <w:r>
              <w:rPr>
                <w:rFonts w:ascii="Calibri" w:hAnsi="Calibri" w:cs="Calibri"/>
                <w:color w:val="auto"/>
                <w:sz w:val="24"/>
              </w:rPr>
              <w:t>由上表可见，</w:t>
            </w:r>
            <w:r>
              <w:rPr>
                <w:rFonts w:hint="eastAsia" w:ascii="Calibri" w:hAnsi="Calibri" w:cs="Calibri"/>
                <w:color w:val="auto"/>
                <w:sz w:val="24"/>
              </w:rPr>
              <w:t>打磨工序颗粒物、天然气燃烧废气、静电喷粉工序颗粒物、粉末固化工序、危废仓库非甲烷总烃</w:t>
            </w:r>
            <w:r>
              <w:rPr>
                <w:rFonts w:ascii="Calibri" w:hAnsi="Calibri" w:cs="Calibri"/>
                <w:color w:val="auto"/>
                <w:sz w:val="24"/>
              </w:rPr>
              <w:t>各工序产生的废气均采用可行技术进行处理。本报告对各工序的污染防治设施进行简要分析。</w:t>
            </w:r>
          </w:p>
          <w:p>
            <w:pPr>
              <w:spacing w:line="360" w:lineRule="auto"/>
              <w:ind w:firstLine="480"/>
              <w:rPr>
                <w:rFonts w:ascii="Calibri" w:hAnsi="Calibri" w:cs="宋体"/>
                <w:b/>
                <w:bCs/>
                <w:color w:val="auto"/>
                <w:sz w:val="24"/>
              </w:rPr>
            </w:pPr>
            <w:r>
              <w:rPr>
                <w:rFonts w:ascii="Calibri" w:hAnsi="Calibri" w:cs="Calibri"/>
                <w:b/>
                <w:color w:val="auto"/>
                <w:sz w:val="24"/>
              </w:rPr>
              <w:t>①</w:t>
            </w:r>
            <w:r>
              <w:rPr>
                <w:rFonts w:hint="eastAsia" w:ascii="Calibri" w:hAnsi="Calibri" w:cs="宋体"/>
                <w:b/>
                <w:bCs/>
                <w:color w:val="auto"/>
                <w:sz w:val="24"/>
              </w:rPr>
              <w:t>布袋除尘器工作原理：</w:t>
            </w:r>
          </w:p>
          <w:p>
            <w:pPr>
              <w:spacing w:line="360" w:lineRule="auto"/>
              <w:ind w:firstLine="480" w:firstLineChars="200"/>
              <w:rPr>
                <w:rFonts w:ascii="Calibri" w:hAnsi="Calibri" w:cs="Calibri"/>
                <w:color w:val="auto"/>
                <w:sz w:val="24"/>
              </w:rPr>
            </w:pPr>
            <w:r>
              <w:rPr>
                <w:rFonts w:ascii="Calibri" w:hAnsi="Calibri" w:cs="Calibri"/>
                <w:color w:val="auto"/>
                <w:sz w:val="24"/>
              </w:rPr>
              <w:t>袋式除尘器是一种干式滤尘装置。滤料使用一段时间后，由于筛滤、碰撞、滞留、扩散、静电等效应，滤袋表面积聚了一层</w:t>
            </w:r>
            <w:r>
              <w:rPr>
                <w:color w:val="auto"/>
              </w:rPr>
              <w:fldChar w:fldCharType="begin"/>
            </w:r>
            <w:r>
              <w:rPr>
                <w:color w:val="auto"/>
              </w:rPr>
              <w:instrText xml:space="preserve"> HYPERLINK "https://baike.so.com/doc/662388-701218.html" \t "https://baike.so.com/doc/_blank" </w:instrText>
            </w:r>
            <w:r>
              <w:rPr>
                <w:color w:val="auto"/>
              </w:rPr>
              <w:fldChar w:fldCharType="separate"/>
            </w:r>
            <w:r>
              <w:rPr>
                <w:rStyle w:val="33"/>
                <w:rFonts w:ascii="Calibri" w:hAnsi="Calibri" w:cs="Calibri"/>
                <w:color w:val="auto"/>
                <w:sz w:val="24"/>
                <w:shd w:val="clear" w:color="auto" w:fill="FFFFFF"/>
              </w:rPr>
              <w:t>粉尘</w:t>
            </w:r>
            <w:r>
              <w:rPr>
                <w:rStyle w:val="33"/>
                <w:rFonts w:ascii="Calibri" w:hAnsi="Calibri" w:cs="Calibri"/>
                <w:color w:val="auto"/>
                <w:sz w:val="24"/>
                <w:shd w:val="clear" w:color="auto" w:fill="FFFFFF"/>
              </w:rPr>
              <w:fldChar w:fldCharType="end"/>
            </w:r>
            <w:r>
              <w:rPr>
                <w:rFonts w:ascii="Calibri" w:hAnsi="Calibri" w:cs="Calibri"/>
                <w:color w:val="auto"/>
                <w:sz w:val="24"/>
              </w:rPr>
              <w:t>，这层粉尘称为初层，在此以后的运动过程中，初层成了滤料的主要过滤层，依靠初层的作用，网孔较大的滤料也能获得较高的过滤效率。随着粉尘在滤料表面的积聚，</w:t>
            </w:r>
            <w:r>
              <w:rPr>
                <w:color w:val="auto"/>
              </w:rPr>
              <w:fldChar w:fldCharType="begin"/>
            </w:r>
            <w:r>
              <w:rPr>
                <w:color w:val="auto"/>
              </w:rPr>
              <w:instrText xml:space="preserve"> HYPERLINK "https://baike.so.com/doc/5335437-5570875.html" \t "https://baike.so.com/doc/_blank" </w:instrText>
            </w:r>
            <w:r>
              <w:rPr>
                <w:color w:val="auto"/>
              </w:rPr>
              <w:fldChar w:fldCharType="separate"/>
            </w:r>
            <w:r>
              <w:rPr>
                <w:rStyle w:val="33"/>
                <w:rFonts w:ascii="Calibri" w:hAnsi="Calibri" w:cs="Calibri"/>
                <w:color w:val="auto"/>
                <w:sz w:val="24"/>
                <w:shd w:val="clear" w:color="auto" w:fill="FFFFFF"/>
              </w:rPr>
              <w:t>除尘器</w:t>
            </w:r>
            <w:r>
              <w:rPr>
                <w:rStyle w:val="33"/>
                <w:rFonts w:ascii="Calibri" w:hAnsi="Calibri" w:cs="Calibri"/>
                <w:color w:val="auto"/>
                <w:sz w:val="24"/>
                <w:shd w:val="clear" w:color="auto" w:fill="FFFFFF"/>
              </w:rPr>
              <w:fldChar w:fldCharType="end"/>
            </w:r>
            <w:r>
              <w:rPr>
                <w:rFonts w:ascii="Calibri" w:hAnsi="Calibri" w:cs="Calibri"/>
                <w:color w:val="auto"/>
                <w:sz w:val="24"/>
              </w:rPr>
              <w:t>的效率和阻力都相应的增加，当滤料两侧的压力差很大时，会把有些已附着在滤料上的细小尘粒挤压过去，使除尘器效率下降。另外，</w:t>
            </w:r>
            <w:r>
              <w:rPr>
                <w:color w:val="auto"/>
              </w:rPr>
              <w:fldChar w:fldCharType="begin"/>
            </w:r>
            <w:r>
              <w:rPr>
                <w:color w:val="auto"/>
              </w:rPr>
              <w:instrText xml:space="preserve"> HYPERLINK "https://baike.so.com/doc/5335437-5570875.html" \t "https://baike.so.com/doc/_blank" </w:instrText>
            </w:r>
            <w:r>
              <w:rPr>
                <w:color w:val="auto"/>
              </w:rPr>
              <w:fldChar w:fldCharType="separate"/>
            </w:r>
            <w:r>
              <w:rPr>
                <w:rStyle w:val="33"/>
                <w:rFonts w:ascii="Calibri" w:hAnsi="Calibri" w:cs="Calibri"/>
                <w:color w:val="auto"/>
                <w:sz w:val="24"/>
                <w:shd w:val="clear" w:color="auto" w:fill="FFFFFF"/>
              </w:rPr>
              <w:t>除尘器</w:t>
            </w:r>
            <w:r>
              <w:rPr>
                <w:rStyle w:val="33"/>
                <w:rFonts w:ascii="Calibri" w:hAnsi="Calibri" w:cs="Calibri"/>
                <w:color w:val="auto"/>
                <w:sz w:val="24"/>
                <w:shd w:val="clear" w:color="auto" w:fill="FFFFFF"/>
              </w:rPr>
              <w:fldChar w:fldCharType="end"/>
            </w:r>
            <w:r>
              <w:rPr>
                <w:rFonts w:ascii="Calibri" w:hAnsi="Calibri" w:cs="Calibri"/>
                <w:color w:val="auto"/>
                <w:sz w:val="24"/>
              </w:rPr>
              <w:t>的阻力过高会使除尘系统的风量显著下降。因此，除尘器的阻力达到一定数值后，要及时清灰。清灰时不能破坏初层，以免效率下降。袋式除尘器结构主要由上部箱体、中部箱体、下部箱体（灰斗）、清灰系统和排灰机构等部分组成。</w:t>
            </w:r>
          </w:p>
          <w:p>
            <w:pPr>
              <w:spacing w:line="360" w:lineRule="auto"/>
              <w:ind w:firstLine="480" w:firstLineChars="200"/>
              <w:rPr>
                <w:rFonts w:ascii="Calibri" w:hAnsi="Calibri" w:cs="Calibri"/>
                <w:color w:val="auto"/>
                <w:sz w:val="24"/>
              </w:rPr>
            </w:pPr>
            <w:r>
              <w:rPr>
                <w:rFonts w:ascii="Calibri" w:hAnsi="Calibri" w:cs="Calibri"/>
                <w:color w:val="auto"/>
                <w:sz w:val="24"/>
              </w:rPr>
              <w:t>主要特点：</w:t>
            </w:r>
          </w:p>
          <w:p>
            <w:pPr>
              <w:spacing w:line="360" w:lineRule="auto"/>
              <w:ind w:firstLine="480" w:firstLineChars="200"/>
              <w:rPr>
                <w:rFonts w:ascii="Calibri" w:hAnsi="Calibri" w:cs="Calibri"/>
                <w:color w:val="auto"/>
                <w:sz w:val="24"/>
              </w:rPr>
            </w:pPr>
            <w:r>
              <w:rPr>
                <w:rFonts w:ascii="Calibri" w:hAnsi="Calibri" w:cs="Calibri"/>
                <w:color w:val="auto"/>
                <w:sz w:val="24"/>
              </w:rPr>
              <w:t>⑴除尘效率高，一般在99%以上，除尘器出口气体含尘浓度在数十mg/m</w:t>
            </w:r>
            <w:r>
              <w:rPr>
                <w:rFonts w:ascii="Calibri" w:hAnsi="Calibri" w:cs="Calibri"/>
                <w:color w:val="auto"/>
                <w:sz w:val="24"/>
                <w:vertAlign w:val="superscript"/>
              </w:rPr>
              <w:t>3</w:t>
            </w:r>
            <w:r>
              <w:rPr>
                <w:rFonts w:ascii="Calibri" w:hAnsi="Calibri" w:cs="Calibri"/>
                <w:color w:val="auto"/>
                <w:sz w:val="24"/>
              </w:rPr>
              <w:t>之内，对亚微米粒径的细尘有较高的分级效率。</w:t>
            </w:r>
          </w:p>
          <w:p>
            <w:pPr>
              <w:spacing w:line="360" w:lineRule="auto"/>
              <w:ind w:firstLine="480" w:firstLineChars="200"/>
              <w:rPr>
                <w:rFonts w:ascii="Calibri" w:hAnsi="Calibri" w:cs="Calibri"/>
                <w:color w:val="auto"/>
                <w:sz w:val="24"/>
              </w:rPr>
            </w:pPr>
            <w:r>
              <w:rPr>
                <w:rFonts w:ascii="Calibri" w:hAnsi="Calibri" w:cs="Calibri"/>
                <w:color w:val="auto"/>
                <w:sz w:val="24"/>
              </w:rPr>
              <w:t>⑵处理风量的范围广，小的仅1min数m</w:t>
            </w:r>
            <w:r>
              <w:rPr>
                <w:rFonts w:ascii="Calibri" w:hAnsi="Calibri" w:cs="Calibri"/>
                <w:color w:val="auto"/>
                <w:sz w:val="24"/>
                <w:vertAlign w:val="superscript"/>
              </w:rPr>
              <w:t>3</w:t>
            </w:r>
            <w:r>
              <w:rPr>
                <w:rFonts w:ascii="Calibri" w:hAnsi="Calibri" w:cs="Calibri"/>
                <w:color w:val="auto"/>
                <w:sz w:val="24"/>
              </w:rPr>
              <w:t>，大的可达1min数万m</w:t>
            </w:r>
            <w:r>
              <w:rPr>
                <w:rFonts w:ascii="Calibri" w:hAnsi="Calibri" w:cs="Calibri"/>
                <w:color w:val="auto"/>
                <w:sz w:val="24"/>
                <w:vertAlign w:val="superscript"/>
              </w:rPr>
              <w:t>3</w:t>
            </w:r>
            <w:r>
              <w:rPr>
                <w:rFonts w:ascii="Calibri" w:hAnsi="Calibri" w:cs="Calibri"/>
                <w:color w:val="auto"/>
                <w:sz w:val="24"/>
              </w:rPr>
              <w:t>，用于工业炉窑的烟气除尘，减少大气污染物的排放。</w:t>
            </w:r>
          </w:p>
          <w:p>
            <w:pPr>
              <w:spacing w:line="360" w:lineRule="auto"/>
              <w:ind w:firstLine="480" w:firstLineChars="200"/>
              <w:rPr>
                <w:rFonts w:ascii="Calibri" w:hAnsi="Calibri" w:cs="Calibri"/>
                <w:color w:val="auto"/>
                <w:sz w:val="24"/>
              </w:rPr>
            </w:pPr>
            <w:r>
              <w:rPr>
                <w:rFonts w:ascii="Calibri" w:hAnsi="Calibri" w:cs="Calibri"/>
                <w:color w:val="auto"/>
                <w:sz w:val="24"/>
              </w:rPr>
              <w:t>⑶结构简单，维护操作方便。</w:t>
            </w:r>
          </w:p>
          <w:p>
            <w:pPr>
              <w:spacing w:line="360" w:lineRule="auto"/>
              <w:ind w:firstLine="480" w:firstLineChars="200"/>
              <w:rPr>
                <w:rFonts w:ascii="Calibri" w:hAnsi="Calibri" w:cs="Calibri"/>
                <w:color w:val="auto"/>
                <w:sz w:val="24"/>
              </w:rPr>
            </w:pPr>
            <w:r>
              <w:rPr>
                <w:rFonts w:ascii="Calibri" w:hAnsi="Calibri" w:cs="Calibri"/>
                <w:color w:val="auto"/>
                <w:sz w:val="24"/>
              </w:rPr>
              <w:t>⑷在保证同样高除尘效率的前提下，造价低于电除尘器。</w:t>
            </w:r>
          </w:p>
          <w:p>
            <w:pPr>
              <w:spacing w:line="360" w:lineRule="auto"/>
              <w:ind w:firstLine="480" w:firstLineChars="200"/>
              <w:rPr>
                <w:rFonts w:ascii="Calibri" w:hAnsi="Calibri" w:cs="Calibri"/>
                <w:color w:val="auto"/>
                <w:sz w:val="24"/>
              </w:rPr>
            </w:pPr>
            <w:r>
              <w:rPr>
                <w:rFonts w:ascii="Calibri" w:hAnsi="Calibri" w:cs="Calibri"/>
                <w:color w:val="auto"/>
                <w:sz w:val="24"/>
              </w:rPr>
              <w:t>⑸采用玻璃纤维、聚四氟乙烯、P84等耐高温滤料时，可在200℃以上的高温条件下运行。</w:t>
            </w:r>
          </w:p>
          <w:p>
            <w:pPr>
              <w:spacing w:line="360" w:lineRule="auto"/>
              <w:ind w:firstLine="480" w:firstLineChars="200"/>
              <w:rPr>
                <w:rFonts w:ascii="Calibri" w:hAnsi="Calibri" w:cs="Calibri"/>
                <w:color w:val="auto"/>
                <w:sz w:val="24"/>
              </w:rPr>
            </w:pPr>
            <w:r>
              <w:rPr>
                <w:rFonts w:ascii="Calibri" w:hAnsi="Calibri" w:cs="Calibri"/>
                <w:color w:val="auto"/>
                <w:sz w:val="24"/>
              </w:rPr>
              <w:t>⑹对粉尘的特性不敏感，不受粉尘及电阻的影响。</w:t>
            </w:r>
          </w:p>
          <w:p>
            <w:pPr>
              <w:spacing w:line="480" w:lineRule="exact"/>
              <w:ind w:firstLine="480" w:firstLineChars="200"/>
              <w:jc w:val="left"/>
              <w:rPr>
                <w:rFonts w:ascii="Calibri" w:hAnsi="Calibri" w:cs="Calibri"/>
                <w:color w:val="auto"/>
                <w:sz w:val="24"/>
                <w:szCs w:val="22"/>
              </w:rPr>
            </w:pPr>
            <w:r>
              <w:rPr>
                <w:rFonts w:hint="eastAsia" w:ascii="Calibri" w:hAnsi="Calibri" w:cs="Calibri"/>
                <w:color w:val="auto"/>
                <w:sz w:val="24"/>
                <w:szCs w:val="22"/>
              </w:rPr>
              <w:t>对照《袋式除尘工程通用技术规范》（HJ2020-2012）袋式除尘工艺适用于各种风量下的含尘气体净化，且含尘空气的净化应优先采用袋式除尘工艺，袋式除尘器是一种成熟常用的除尘工艺，处理效率可达99%以上。</w:t>
            </w:r>
          </w:p>
          <w:p>
            <w:pPr>
              <w:spacing w:line="480" w:lineRule="exact"/>
              <w:ind w:firstLine="480" w:firstLineChars="200"/>
              <w:jc w:val="left"/>
              <w:rPr>
                <w:rFonts w:ascii="Calibri" w:hAnsi="Calibri" w:cs="Calibri"/>
                <w:color w:val="auto"/>
                <w:sz w:val="24"/>
                <w:szCs w:val="22"/>
              </w:rPr>
            </w:pPr>
            <w:r>
              <w:rPr>
                <w:rFonts w:hint="eastAsia" w:ascii="Calibri" w:hAnsi="Calibri" w:cs="Calibri"/>
                <w:color w:val="auto"/>
                <w:sz w:val="24"/>
                <w:szCs w:val="22"/>
              </w:rPr>
              <w:t>故本项目使用集气罩+布袋除尘装置去除效率取95%可行。</w:t>
            </w:r>
          </w:p>
          <w:p>
            <w:pPr>
              <w:tabs>
                <w:tab w:val="left" w:pos="2535"/>
              </w:tabs>
              <w:spacing w:line="360" w:lineRule="auto"/>
              <w:ind w:firstLine="482" w:firstLineChars="200"/>
              <w:rPr>
                <w:rFonts w:ascii="Calibri" w:hAnsi="Calibri" w:cs="Calibri"/>
                <w:b/>
                <w:bCs/>
                <w:color w:val="auto"/>
                <w:sz w:val="24"/>
              </w:rPr>
            </w:pPr>
            <w:r>
              <w:rPr>
                <w:rFonts w:hint="eastAsia" w:ascii="宋体" w:hAnsi="宋体" w:cs="宋体"/>
                <w:b/>
                <w:bCs/>
                <w:color w:val="auto"/>
                <w:sz w:val="24"/>
              </w:rPr>
              <w:t>②</w:t>
            </w:r>
            <w:r>
              <w:rPr>
                <w:rFonts w:ascii="Calibri" w:hAnsi="Calibri" w:cs="Calibri"/>
                <w:b/>
                <w:bCs/>
                <w:color w:val="auto"/>
                <w:sz w:val="24"/>
              </w:rPr>
              <w:t>二级活性炭吸附装置的工作原理：</w:t>
            </w:r>
          </w:p>
          <w:p>
            <w:pPr>
              <w:tabs>
                <w:tab w:val="left" w:pos="2535"/>
              </w:tabs>
              <w:spacing w:line="360" w:lineRule="auto"/>
              <w:ind w:firstLine="480" w:firstLineChars="200"/>
              <w:rPr>
                <w:rFonts w:ascii="Calibri" w:hAnsi="Calibri" w:cs="Calibri"/>
                <w:color w:val="auto"/>
                <w:sz w:val="24"/>
              </w:rPr>
            </w:pPr>
            <w:r>
              <w:rPr>
                <w:rFonts w:ascii="Calibri" w:hAnsi="Calibri" w:cs="Calibri"/>
                <w:color w:val="auto"/>
                <w:sz w:val="24"/>
              </w:rPr>
              <w:t>利用活性炭的微孔对溶剂分子或分子团吸附，当工业废气通过吸附介质时，其中的有机溶剂被“阻留”下来，从而使有机废气得到净化处理。活性炭具有比表面积大、吸附效率高等优点，对于烃类等小分子有机废气均有较好的吸附效果。</w:t>
            </w:r>
          </w:p>
          <w:p>
            <w:pPr>
              <w:pStyle w:val="6"/>
              <w:numPr>
                <w:ilvl w:val="0"/>
                <w:numId w:val="16"/>
              </w:numPr>
              <w:adjustRightInd w:val="0"/>
              <w:snapToGrid w:val="0"/>
              <w:ind w:firstLineChars="0"/>
              <w:jc w:val="center"/>
              <w:rPr>
                <w:rFonts w:ascii="Calibri" w:hAnsi="Calibri" w:cs="Calibri"/>
                <w:b/>
                <w:bCs/>
                <w:color w:val="auto"/>
                <w:sz w:val="24"/>
              </w:rPr>
            </w:pPr>
            <w:r>
              <w:rPr>
                <w:rFonts w:ascii="Calibri" w:hAnsi="Calibri" w:cs="Calibri"/>
                <w:b/>
                <w:bCs/>
                <w:color w:val="auto"/>
                <w:sz w:val="24"/>
              </w:rPr>
              <w:t>本项目活性炭吸附装置的技术性能及参数</w:t>
            </w:r>
          </w:p>
          <w:tbl>
            <w:tblPr>
              <w:tblStyle w:val="27"/>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2070"/>
              <w:gridCol w:w="2392"/>
              <w:gridCol w:w="23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92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
                      <w:color w:val="auto"/>
                      <w:szCs w:val="21"/>
                    </w:rPr>
                    <w:t>序号</w:t>
                  </w:r>
                </w:p>
              </w:tc>
              <w:tc>
                <w:tcPr>
                  <w:tcW w:w="207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
                      <w:color w:val="auto"/>
                      <w:szCs w:val="21"/>
                    </w:rPr>
                    <w:t>项目</w:t>
                  </w:r>
                </w:p>
              </w:tc>
              <w:tc>
                <w:tcPr>
                  <w:tcW w:w="2392" w:type="dxa"/>
                  <w:tcBorders>
                    <w:tl2br w:val="nil"/>
                    <w:tr2bl w:val="nil"/>
                  </w:tcBorders>
                  <w:vAlign w:val="center"/>
                </w:tcPr>
                <w:p>
                  <w:pPr>
                    <w:widowControl/>
                    <w:jc w:val="center"/>
                    <w:textAlignment w:val="center"/>
                    <w:rPr>
                      <w:rFonts w:ascii="Calibri" w:hAnsi="Calibri" w:cs="Calibri"/>
                      <w:color w:val="auto"/>
                    </w:rPr>
                  </w:pPr>
                  <w:r>
                    <w:rPr>
                      <w:rFonts w:ascii="Calibri" w:hAnsi="Calibri" w:cs="Calibri"/>
                      <w:b/>
                      <w:bCs/>
                      <w:color w:val="auto"/>
                      <w:kern w:val="0"/>
                      <w:szCs w:val="21"/>
                      <w:lang w:bidi="ar"/>
                    </w:rPr>
                    <w:t>DA0</w:t>
                  </w:r>
                  <w:r>
                    <w:rPr>
                      <w:rFonts w:hint="eastAsia" w:ascii="Calibri" w:hAnsi="Calibri" w:cs="Calibri"/>
                      <w:b/>
                      <w:bCs/>
                      <w:color w:val="auto"/>
                      <w:kern w:val="0"/>
                      <w:szCs w:val="21"/>
                      <w:lang w:bidi="ar"/>
                    </w:rPr>
                    <w:t>0</w:t>
                  </w:r>
                  <w:r>
                    <w:rPr>
                      <w:rFonts w:hint="eastAsia" w:ascii="Calibri" w:hAnsi="Calibri" w:cs="Calibri"/>
                      <w:b/>
                      <w:bCs/>
                      <w:color w:val="auto"/>
                      <w:kern w:val="0"/>
                      <w:szCs w:val="21"/>
                      <w:lang w:val="en-US" w:eastAsia="zh-CN" w:bidi="ar"/>
                    </w:rPr>
                    <w:t>3</w:t>
                  </w:r>
                  <w:r>
                    <w:rPr>
                      <w:rFonts w:ascii="Calibri" w:hAnsi="Calibri" w:cs="Calibri"/>
                      <w:b/>
                      <w:bCs/>
                      <w:color w:val="auto"/>
                      <w:kern w:val="0"/>
                      <w:szCs w:val="21"/>
                      <w:lang w:bidi="ar"/>
                    </w:rPr>
                    <w:t>活性炭装置技术参数</w:t>
                  </w:r>
                </w:p>
              </w:tc>
              <w:tc>
                <w:tcPr>
                  <w:tcW w:w="2392" w:type="dxa"/>
                  <w:tcBorders>
                    <w:tl2br w:val="nil"/>
                    <w:tr2bl w:val="nil"/>
                  </w:tcBorders>
                  <w:vAlign w:val="center"/>
                </w:tcPr>
                <w:p>
                  <w:pPr>
                    <w:widowControl/>
                    <w:jc w:val="center"/>
                    <w:textAlignment w:val="center"/>
                    <w:rPr>
                      <w:rFonts w:ascii="Calibri" w:hAnsi="Calibri" w:cs="Calibri"/>
                      <w:b/>
                      <w:bCs/>
                      <w:color w:val="auto"/>
                      <w:kern w:val="0"/>
                      <w:szCs w:val="21"/>
                      <w:lang w:bidi="ar"/>
                    </w:rPr>
                  </w:pPr>
                  <w:r>
                    <w:rPr>
                      <w:rFonts w:hint="eastAsia" w:ascii="Calibri" w:hAnsi="Calibri" w:cs="Calibri"/>
                      <w:b/>
                      <w:bCs/>
                      <w:color w:val="auto"/>
                      <w:kern w:val="0"/>
                      <w:szCs w:val="21"/>
                      <w:lang w:val="en-US" w:eastAsia="zh-CN" w:bidi="ar"/>
                    </w:rPr>
                    <w:t>危废仓库配套</w:t>
                  </w:r>
                  <w:r>
                    <w:rPr>
                      <w:rFonts w:ascii="Calibri" w:hAnsi="Calibri" w:cs="Calibri"/>
                      <w:b/>
                      <w:bCs/>
                      <w:color w:val="auto"/>
                      <w:kern w:val="0"/>
                      <w:szCs w:val="21"/>
                      <w:lang w:bidi="ar"/>
                    </w:rPr>
                    <w:t>活性炭装置技术参数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1</w:t>
                  </w:r>
                </w:p>
              </w:tc>
              <w:tc>
                <w:tcPr>
                  <w:tcW w:w="207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风量（m</w:t>
                  </w:r>
                  <w:r>
                    <w:rPr>
                      <w:rFonts w:ascii="Calibri" w:hAnsi="Calibri" w:cs="Calibri"/>
                      <w:bCs/>
                      <w:color w:val="auto"/>
                      <w:szCs w:val="21"/>
                      <w:vertAlign w:val="superscript"/>
                    </w:rPr>
                    <w:t>3</w:t>
                  </w:r>
                  <w:r>
                    <w:rPr>
                      <w:rFonts w:ascii="Calibri" w:hAnsi="Calibri" w:cs="Calibri"/>
                      <w:bCs/>
                      <w:color w:val="auto"/>
                      <w:szCs w:val="21"/>
                    </w:rPr>
                    <w:t>/h）</w:t>
                  </w:r>
                </w:p>
              </w:tc>
              <w:tc>
                <w:tcPr>
                  <w:tcW w:w="2392" w:type="dxa"/>
                  <w:tcBorders>
                    <w:tl2br w:val="nil"/>
                    <w:tr2bl w:val="nil"/>
                  </w:tcBorders>
                  <w:vAlign w:val="center"/>
                </w:tcPr>
                <w:p>
                  <w:pPr>
                    <w:widowControl/>
                    <w:jc w:val="center"/>
                    <w:textAlignment w:val="center"/>
                    <w:rPr>
                      <w:rFonts w:ascii="Calibri" w:hAnsi="Calibri" w:cs="Calibri"/>
                      <w:color w:val="auto"/>
                    </w:rPr>
                  </w:pPr>
                  <w:r>
                    <w:rPr>
                      <w:rFonts w:hint="eastAsia" w:ascii="Calibri" w:hAnsi="Calibri" w:cs="Calibri"/>
                      <w:color w:val="auto"/>
                      <w:kern w:val="0"/>
                      <w:szCs w:val="21"/>
                      <w:lang w:bidi="ar"/>
                    </w:rPr>
                    <w:t>5000</w:t>
                  </w:r>
                </w:p>
              </w:tc>
              <w:tc>
                <w:tcPr>
                  <w:tcW w:w="2392" w:type="dxa"/>
                  <w:tcBorders>
                    <w:tl2br w:val="nil"/>
                    <w:tr2bl w:val="nil"/>
                  </w:tcBorders>
                  <w:vAlign w:val="center"/>
                </w:tcPr>
                <w:p>
                  <w:pPr>
                    <w:widowControl/>
                    <w:jc w:val="center"/>
                    <w:textAlignment w:val="center"/>
                    <w:rPr>
                      <w:rFonts w:ascii="Calibri" w:hAnsi="Calibri" w:cs="Calibri"/>
                      <w:color w:val="auto"/>
                      <w:kern w:val="0"/>
                      <w:szCs w:val="21"/>
                      <w:lang w:bidi="ar"/>
                    </w:rPr>
                  </w:pPr>
                  <w:r>
                    <w:rPr>
                      <w:rFonts w:hint="eastAsia" w:ascii="Calibri" w:hAnsi="Calibri" w:cs="Calibri"/>
                      <w:color w:val="auto"/>
                      <w:kern w:val="0"/>
                      <w:szCs w:val="21"/>
                      <w:lang w:bidi="ar"/>
                    </w:rPr>
                    <w:t>2</w:t>
                  </w:r>
                  <w:r>
                    <w:rPr>
                      <w:rFonts w:ascii="Calibri" w:hAnsi="Calibri" w:cs="Calibri"/>
                      <w:color w:val="auto"/>
                      <w:kern w:val="0"/>
                      <w:szCs w:val="21"/>
                      <w:lang w:bidi="ar"/>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2</w:t>
                  </w:r>
                </w:p>
              </w:tc>
              <w:tc>
                <w:tcPr>
                  <w:tcW w:w="207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性状</w:t>
                  </w:r>
                </w:p>
              </w:tc>
              <w:tc>
                <w:tcPr>
                  <w:tcW w:w="2392" w:type="dxa"/>
                  <w:tcBorders>
                    <w:tl2br w:val="nil"/>
                    <w:tr2bl w:val="nil"/>
                  </w:tcBorders>
                  <w:vAlign w:val="center"/>
                </w:tcPr>
                <w:p>
                  <w:pPr>
                    <w:widowControl/>
                    <w:jc w:val="center"/>
                    <w:textAlignment w:val="center"/>
                    <w:rPr>
                      <w:rFonts w:ascii="Calibri" w:hAnsi="Calibri" w:cs="Calibri"/>
                      <w:color w:val="auto"/>
                    </w:rPr>
                  </w:pPr>
                  <w:r>
                    <w:rPr>
                      <w:rFonts w:ascii="Calibri" w:hAnsi="Calibri" w:cs="Calibri"/>
                      <w:color w:val="auto"/>
                      <w:kern w:val="0"/>
                      <w:szCs w:val="21"/>
                      <w:lang w:bidi="ar"/>
                    </w:rPr>
                    <w:t>颗粒状活性炭</w:t>
                  </w:r>
                </w:p>
              </w:tc>
              <w:tc>
                <w:tcPr>
                  <w:tcW w:w="2392" w:type="dxa"/>
                  <w:tcBorders>
                    <w:tl2br w:val="nil"/>
                    <w:tr2bl w:val="nil"/>
                  </w:tcBorders>
                  <w:vAlign w:val="center"/>
                </w:tcPr>
                <w:p>
                  <w:pPr>
                    <w:widowControl/>
                    <w:jc w:val="center"/>
                    <w:textAlignment w:val="center"/>
                    <w:rPr>
                      <w:rFonts w:ascii="Calibri" w:hAnsi="Calibri" w:cs="Calibri"/>
                      <w:color w:val="auto"/>
                      <w:kern w:val="0"/>
                      <w:szCs w:val="21"/>
                      <w:lang w:bidi="ar"/>
                    </w:rPr>
                  </w:pPr>
                  <w:r>
                    <w:rPr>
                      <w:rFonts w:ascii="Calibri" w:hAnsi="Calibri" w:cs="Calibri"/>
                      <w:color w:val="auto"/>
                      <w:kern w:val="0"/>
                      <w:szCs w:val="21"/>
                      <w:lang w:bidi="ar"/>
                    </w:rPr>
                    <w:t>颗粒状活性炭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3</w:t>
                  </w:r>
                </w:p>
              </w:tc>
              <w:tc>
                <w:tcPr>
                  <w:tcW w:w="2070" w:type="dxa"/>
                  <w:tcBorders>
                    <w:tl2br w:val="nil"/>
                    <w:tr2bl w:val="nil"/>
                  </w:tcBorders>
                  <w:vAlign w:val="center"/>
                </w:tcPr>
                <w:p>
                  <w:pPr>
                    <w:widowControl/>
                    <w:jc w:val="center"/>
                    <w:textAlignment w:val="center"/>
                    <w:rPr>
                      <w:rFonts w:ascii="Calibri" w:hAnsi="Calibri" w:cs="Calibri"/>
                      <w:color w:val="auto"/>
                    </w:rPr>
                  </w:pPr>
                  <w:r>
                    <w:rPr>
                      <w:rFonts w:ascii="Calibri" w:hAnsi="Calibri" w:cs="Calibri"/>
                      <w:color w:val="auto"/>
                      <w:kern w:val="0"/>
                      <w:szCs w:val="21"/>
                      <w:lang w:bidi="ar"/>
                    </w:rPr>
                    <w:t>碘值</w:t>
                  </w:r>
                  <w:r>
                    <w:rPr>
                      <w:rFonts w:ascii="Calibri" w:hAnsi="Calibri" w:cs="Calibri"/>
                      <w:bCs/>
                      <w:color w:val="auto"/>
                      <w:szCs w:val="21"/>
                    </w:rPr>
                    <w:t>（mg/g）</w:t>
                  </w:r>
                </w:p>
              </w:tc>
              <w:tc>
                <w:tcPr>
                  <w:tcW w:w="2392" w:type="dxa"/>
                  <w:tcBorders>
                    <w:tl2br w:val="nil"/>
                    <w:tr2bl w:val="nil"/>
                  </w:tcBorders>
                  <w:vAlign w:val="center"/>
                </w:tcPr>
                <w:p>
                  <w:pPr>
                    <w:widowControl/>
                    <w:jc w:val="center"/>
                    <w:textAlignment w:val="center"/>
                    <w:rPr>
                      <w:rFonts w:ascii="Calibri" w:hAnsi="Calibri" w:cs="Calibri"/>
                      <w:color w:val="auto"/>
                    </w:rPr>
                  </w:pPr>
                  <w:r>
                    <w:rPr>
                      <w:rFonts w:ascii="Calibri" w:hAnsi="Calibri" w:cs="Calibri"/>
                      <w:color w:val="auto"/>
                      <w:kern w:val="0"/>
                      <w:szCs w:val="21"/>
                      <w:lang w:bidi="ar"/>
                    </w:rPr>
                    <w:t>≥800</w:t>
                  </w:r>
                </w:p>
              </w:tc>
              <w:tc>
                <w:tcPr>
                  <w:tcW w:w="2392" w:type="dxa"/>
                  <w:tcBorders>
                    <w:tl2br w:val="nil"/>
                    <w:tr2bl w:val="nil"/>
                  </w:tcBorders>
                  <w:vAlign w:val="center"/>
                </w:tcPr>
                <w:p>
                  <w:pPr>
                    <w:widowControl/>
                    <w:jc w:val="center"/>
                    <w:textAlignment w:val="center"/>
                    <w:rPr>
                      <w:rFonts w:ascii="Calibri" w:hAnsi="Calibri" w:cs="Calibri"/>
                      <w:color w:val="auto"/>
                      <w:kern w:val="0"/>
                      <w:szCs w:val="21"/>
                      <w:lang w:bidi="ar"/>
                    </w:rPr>
                  </w:pPr>
                  <w:r>
                    <w:rPr>
                      <w:rFonts w:ascii="Calibri" w:hAnsi="Calibri" w:cs="Calibri"/>
                      <w:color w:val="auto"/>
                      <w:kern w:val="0"/>
                      <w:szCs w:val="21"/>
                      <w:lang w:bidi="ar"/>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4</w:t>
                  </w:r>
                </w:p>
              </w:tc>
              <w:tc>
                <w:tcPr>
                  <w:tcW w:w="207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动态吸附率</w:t>
                  </w:r>
                </w:p>
              </w:tc>
              <w:tc>
                <w:tcPr>
                  <w:tcW w:w="2392" w:type="dxa"/>
                  <w:tcBorders>
                    <w:tl2br w:val="nil"/>
                    <w:tr2bl w:val="nil"/>
                  </w:tcBorders>
                  <w:vAlign w:val="center"/>
                </w:tcPr>
                <w:p>
                  <w:pPr>
                    <w:widowControl/>
                    <w:jc w:val="center"/>
                    <w:textAlignment w:val="center"/>
                    <w:rPr>
                      <w:rFonts w:ascii="Calibri" w:hAnsi="Calibri" w:cs="Calibri"/>
                      <w:color w:val="auto"/>
                    </w:rPr>
                  </w:pPr>
                  <w:r>
                    <w:rPr>
                      <w:rFonts w:ascii="Calibri" w:hAnsi="Calibri" w:cs="Calibri"/>
                      <w:color w:val="auto"/>
                      <w:kern w:val="0"/>
                      <w:szCs w:val="21"/>
                      <w:lang w:bidi="ar"/>
                    </w:rPr>
                    <w:t>20%</w:t>
                  </w:r>
                </w:p>
              </w:tc>
              <w:tc>
                <w:tcPr>
                  <w:tcW w:w="2392" w:type="dxa"/>
                  <w:tcBorders>
                    <w:tl2br w:val="nil"/>
                    <w:tr2bl w:val="nil"/>
                  </w:tcBorders>
                  <w:vAlign w:val="center"/>
                </w:tcPr>
                <w:p>
                  <w:pPr>
                    <w:widowControl/>
                    <w:jc w:val="center"/>
                    <w:textAlignment w:val="center"/>
                    <w:rPr>
                      <w:rFonts w:ascii="Calibri" w:hAnsi="Calibri" w:cs="Calibri"/>
                      <w:color w:val="auto"/>
                      <w:kern w:val="0"/>
                      <w:szCs w:val="21"/>
                      <w:lang w:bidi="ar"/>
                    </w:rPr>
                  </w:pPr>
                  <w:r>
                    <w:rPr>
                      <w:rFonts w:ascii="Calibri" w:hAnsi="Calibri" w:cs="Calibri"/>
                      <w:color w:val="auto"/>
                      <w:kern w:val="0"/>
                      <w:szCs w:val="21"/>
                      <w:lang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5</w:t>
                  </w:r>
                </w:p>
              </w:tc>
              <w:tc>
                <w:tcPr>
                  <w:tcW w:w="207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风速（m/s）</w:t>
                  </w:r>
                </w:p>
              </w:tc>
              <w:tc>
                <w:tcPr>
                  <w:tcW w:w="2392" w:type="dxa"/>
                  <w:tcBorders>
                    <w:tl2br w:val="nil"/>
                    <w:tr2bl w:val="nil"/>
                  </w:tcBorders>
                  <w:vAlign w:val="center"/>
                </w:tcPr>
                <w:p>
                  <w:pPr>
                    <w:widowControl/>
                    <w:jc w:val="center"/>
                    <w:textAlignment w:val="center"/>
                    <w:rPr>
                      <w:rFonts w:ascii="Calibri" w:hAnsi="Calibri" w:cs="Calibri"/>
                      <w:color w:val="auto"/>
                    </w:rPr>
                  </w:pPr>
                  <w:r>
                    <w:rPr>
                      <w:rFonts w:ascii="Calibri" w:hAnsi="Calibri" w:cs="Calibri"/>
                      <w:color w:val="auto"/>
                      <w:kern w:val="0"/>
                      <w:szCs w:val="21"/>
                      <w:lang w:bidi="ar"/>
                    </w:rPr>
                    <w:t xml:space="preserve">0.10 </w:t>
                  </w:r>
                </w:p>
              </w:tc>
              <w:tc>
                <w:tcPr>
                  <w:tcW w:w="2392" w:type="dxa"/>
                  <w:tcBorders>
                    <w:tl2br w:val="nil"/>
                    <w:tr2bl w:val="nil"/>
                  </w:tcBorders>
                  <w:vAlign w:val="center"/>
                </w:tcPr>
                <w:p>
                  <w:pPr>
                    <w:widowControl/>
                    <w:jc w:val="center"/>
                    <w:textAlignment w:val="center"/>
                    <w:rPr>
                      <w:rFonts w:ascii="Calibri" w:hAnsi="Calibri" w:cs="Calibri"/>
                      <w:color w:val="auto"/>
                      <w:kern w:val="0"/>
                      <w:szCs w:val="21"/>
                      <w:lang w:bidi="ar"/>
                    </w:rPr>
                  </w:pPr>
                  <w:r>
                    <w:rPr>
                      <w:rFonts w:ascii="Calibri" w:hAnsi="Calibri" w:cs="Calibri"/>
                      <w:color w:val="auto"/>
                      <w:kern w:val="0"/>
                      <w:szCs w:val="21"/>
                      <w:lang w:bidi="ar"/>
                    </w:rPr>
                    <w:t xml:space="preserve">0.30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6</w:t>
                  </w:r>
                </w:p>
              </w:tc>
              <w:tc>
                <w:tcPr>
                  <w:tcW w:w="207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运行时间（h/d）</w:t>
                  </w:r>
                </w:p>
              </w:tc>
              <w:tc>
                <w:tcPr>
                  <w:tcW w:w="2392" w:type="dxa"/>
                  <w:tcBorders>
                    <w:tl2br w:val="nil"/>
                    <w:tr2bl w:val="nil"/>
                  </w:tcBorders>
                  <w:vAlign w:val="center"/>
                </w:tcPr>
                <w:p>
                  <w:pPr>
                    <w:widowControl/>
                    <w:jc w:val="center"/>
                    <w:textAlignment w:val="center"/>
                    <w:rPr>
                      <w:rFonts w:hint="default" w:ascii="Calibri" w:hAnsi="Calibri" w:cs="Calibri"/>
                      <w:color w:val="auto"/>
                      <w:lang w:val="en-US"/>
                    </w:rPr>
                  </w:pPr>
                  <w:r>
                    <w:rPr>
                      <w:rFonts w:hint="eastAsia" w:ascii="Calibri" w:hAnsi="Calibri" w:cs="Calibri"/>
                      <w:color w:val="auto"/>
                      <w:lang w:val="en-US" w:eastAsia="zh-CN"/>
                    </w:rPr>
                    <w:t>16</w:t>
                  </w:r>
                </w:p>
              </w:tc>
              <w:tc>
                <w:tcPr>
                  <w:tcW w:w="2392" w:type="dxa"/>
                  <w:tcBorders>
                    <w:tl2br w:val="nil"/>
                    <w:tr2bl w:val="nil"/>
                  </w:tcBorders>
                  <w:vAlign w:val="center"/>
                </w:tcPr>
                <w:p>
                  <w:pPr>
                    <w:widowControl/>
                    <w:jc w:val="center"/>
                    <w:textAlignment w:val="center"/>
                    <w:rPr>
                      <w:rFonts w:ascii="Calibri" w:hAnsi="Calibri" w:cs="Calibri"/>
                      <w:color w:val="auto"/>
                      <w:kern w:val="0"/>
                      <w:szCs w:val="21"/>
                      <w:lang w:bidi="ar"/>
                    </w:rPr>
                  </w:pPr>
                  <w:r>
                    <w:rPr>
                      <w:rFonts w:ascii="Calibri" w:hAnsi="Calibri" w:cs="Calibri"/>
                      <w:color w:val="auto"/>
                      <w:kern w:val="0"/>
                      <w:szCs w:val="21"/>
                      <w:lang w:bidi="ar"/>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7</w:t>
                  </w:r>
                </w:p>
              </w:tc>
              <w:tc>
                <w:tcPr>
                  <w:tcW w:w="207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填充量（kg/次）</w:t>
                  </w:r>
                </w:p>
              </w:tc>
              <w:tc>
                <w:tcPr>
                  <w:tcW w:w="2392" w:type="dxa"/>
                  <w:tcBorders>
                    <w:tl2br w:val="nil"/>
                    <w:tr2bl w:val="nil"/>
                  </w:tcBorders>
                  <w:vAlign w:val="center"/>
                </w:tcPr>
                <w:p>
                  <w:pPr>
                    <w:widowControl/>
                    <w:jc w:val="center"/>
                    <w:textAlignment w:val="center"/>
                    <w:rPr>
                      <w:rFonts w:ascii="Calibri" w:hAnsi="Calibri" w:cs="Calibri"/>
                      <w:color w:val="auto"/>
                    </w:rPr>
                  </w:pPr>
                  <w:r>
                    <w:rPr>
                      <w:rFonts w:hint="eastAsia" w:ascii="Calibri" w:hAnsi="Calibri" w:cs="Calibri"/>
                      <w:color w:val="auto"/>
                      <w:kern w:val="0"/>
                      <w:szCs w:val="21"/>
                      <w:lang w:bidi="ar"/>
                    </w:rPr>
                    <w:t>580</w:t>
                  </w:r>
                </w:p>
              </w:tc>
              <w:tc>
                <w:tcPr>
                  <w:tcW w:w="2392" w:type="dxa"/>
                  <w:tcBorders>
                    <w:tl2br w:val="nil"/>
                    <w:tr2bl w:val="nil"/>
                  </w:tcBorders>
                  <w:vAlign w:val="center"/>
                </w:tcPr>
                <w:p>
                  <w:pPr>
                    <w:widowControl/>
                    <w:jc w:val="center"/>
                    <w:textAlignment w:val="center"/>
                    <w:rPr>
                      <w:rFonts w:ascii="Calibri" w:hAnsi="Calibri" w:cs="Calibri"/>
                      <w:color w:val="auto"/>
                      <w:kern w:val="0"/>
                      <w:szCs w:val="21"/>
                      <w:lang w:bidi="ar"/>
                    </w:rPr>
                  </w:pPr>
                  <w:r>
                    <w:rPr>
                      <w:rFonts w:hint="eastAsia" w:ascii="Calibri" w:hAnsi="Calibri" w:cs="Calibri"/>
                      <w:color w:val="auto"/>
                      <w:kern w:val="0"/>
                      <w:szCs w:val="21"/>
                      <w:lang w:bidi="ar"/>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8</w:t>
                  </w:r>
                </w:p>
              </w:tc>
              <w:tc>
                <w:tcPr>
                  <w:tcW w:w="207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更换周期（天）</w:t>
                  </w:r>
                </w:p>
              </w:tc>
              <w:tc>
                <w:tcPr>
                  <w:tcW w:w="2392" w:type="dxa"/>
                  <w:tcBorders>
                    <w:tl2br w:val="nil"/>
                    <w:tr2bl w:val="nil"/>
                  </w:tcBorders>
                  <w:vAlign w:val="center"/>
                </w:tcPr>
                <w:p>
                  <w:pPr>
                    <w:widowControl/>
                    <w:jc w:val="center"/>
                    <w:textAlignment w:val="center"/>
                    <w:rPr>
                      <w:rFonts w:ascii="Calibri" w:hAnsi="Calibri" w:cs="Calibri"/>
                      <w:color w:val="auto"/>
                    </w:rPr>
                  </w:pPr>
                  <w:r>
                    <w:rPr>
                      <w:rFonts w:hint="eastAsia" w:ascii="Calibri" w:hAnsi="Calibri" w:cs="Calibri"/>
                      <w:color w:val="auto"/>
                      <w:kern w:val="0"/>
                      <w:szCs w:val="21"/>
                      <w:lang w:bidi="ar"/>
                    </w:rPr>
                    <w:t>90</w:t>
                  </w:r>
                </w:p>
              </w:tc>
              <w:tc>
                <w:tcPr>
                  <w:tcW w:w="2392" w:type="dxa"/>
                  <w:tcBorders>
                    <w:tl2br w:val="nil"/>
                    <w:tr2bl w:val="nil"/>
                  </w:tcBorders>
                  <w:vAlign w:val="center"/>
                </w:tcPr>
                <w:p>
                  <w:pPr>
                    <w:widowControl/>
                    <w:jc w:val="center"/>
                    <w:textAlignment w:val="center"/>
                    <w:rPr>
                      <w:rFonts w:ascii="Calibri" w:hAnsi="Calibri" w:cs="Calibri"/>
                      <w:color w:val="auto"/>
                      <w:kern w:val="0"/>
                      <w:szCs w:val="21"/>
                      <w:lang w:bidi="ar"/>
                    </w:rPr>
                  </w:pPr>
                  <w:r>
                    <w:rPr>
                      <w:rFonts w:hint="eastAsia" w:ascii="Calibri" w:hAnsi="Calibri" w:cs="Calibri"/>
                      <w:color w:val="auto"/>
                      <w:kern w:val="0"/>
                      <w:szCs w:val="21"/>
                      <w:lang w:bidi="ar"/>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9</w:t>
                  </w:r>
                </w:p>
              </w:tc>
              <w:tc>
                <w:tcPr>
                  <w:tcW w:w="207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活性炭级数</w:t>
                  </w:r>
                </w:p>
              </w:tc>
              <w:tc>
                <w:tcPr>
                  <w:tcW w:w="2392" w:type="dxa"/>
                  <w:tcBorders>
                    <w:tl2br w:val="nil"/>
                    <w:tr2bl w:val="nil"/>
                  </w:tcBorders>
                  <w:vAlign w:val="center"/>
                </w:tcPr>
                <w:p>
                  <w:pPr>
                    <w:widowControl/>
                    <w:jc w:val="center"/>
                    <w:textAlignment w:val="center"/>
                    <w:rPr>
                      <w:rFonts w:ascii="Calibri" w:hAnsi="Calibri" w:cs="Calibri"/>
                      <w:color w:val="auto"/>
                    </w:rPr>
                  </w:pPr>
                  <w:r>
                    <w:rPr>
                      <w:rFonts w:ascii="Calibri" w:hAnsi="Calibri" w:cs="Calibri"/>
                      <w:color w:val="auto"/>
                      <w:kern w:val="0"/>
                      <w:szCs w:val="21"/>
                      <w:lang w:bidi="ar"/>
                    </w:rPr>
                    <w:t>二级</w:t>
                  </w:r>
                </w:p>
              </w:tc>
              <w:tc>
                <w:tcPr>
                  <w:tcW w:w="2392" w:type="dxa"/>
                  <w:tcBorders>
                    <w:tl2br w:val="nil"/>
                    <w:tr2bl w:val="nil"/>
                  </w:tcBorders>
                  <w:vAlign w:val="center"/>
                </w:tcPr>
                <w:p>
                  <w:pPr>
                    <w:widowControl/>
                    <w:jc w:val="center"/>
                    <w:textAlignment w:val="center"/>
                    <w:rPr>
                      <w:rFonts w:ascii="Calibri" w:hAnsi="Calibri" w:cs="Calibri"/>
                      <w:color w:val="auto"/>
                      <w:kern w:val="0"/>
                      <w:szCs w:val="21"/>
                      <w:lang w:bidi="ar"/>
                    </w:rPr>
                  </w:pPr>
                  <w:r>
                    <w:rPr>
                      <w:rFonts w:ascii="Calibri" w:hAnsi="Calibri" w:cs="Calibri"/>
                      <w:color w:val="auto"/>
                      <w:kern w:val="0"/>
                      <w:szCs w:val="21"/>
                      <w:lang w:bidi="ar"/>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10</w:t>
                  </w:r>
                </w:p>
              </w:tc>
              <w:tc>
                <w:tcPr>
                  <w:tcW w:w="2070" w:type="dxa"/>
                  <w:tcBorders>
                    <w:tl2br w:val="nil"/>
                    <w:tr2bl w:val="nil"/>
                  </w:tcBorders>
                  <w:vAlign w:val="center"/>
                </w:tcPr>
                <w:p>
                  <w:pPr>
                    <w:autoSpaceDN w:val="0"/>
                    <w:snapToGrid w:val="0"/>
                    <w:jc w:val="center"/>
                    <w:rPr>
                      <w:rFonts w:ascii="Calibri" w:hAnsi="Calibri" w:cs="Calibri"/>
                      <w:color w:val="auto"/>
                    </w:rPr>
                  </w:pPr>
                  <w:r>
                    <w:rPr>
                      <w:rFonts w:ascii="Calibri" w:hAnsi="Calibri" w:cs="Calibri"/>
                      <w:bCs/>
                      <w:color w:val="auto"/>
                      <w:szCs w:val="21"/>
                    </w:rPr>
                    <w:t>设计吸附效率（%）</w:t>
                  </w:r>
                </w:p>
              </w:tc>
              <w:tc>
                <w:tcPr>
                  <w:tcW w:w="2392" w:type="dxa"/>
                  <w:tcBorders>
                    <w:tl2br w:val="nil"/>
                    <w:tr2bl w:val="nil"/>
                  </w:tcBorders>
                  <w:vAlign w:val="center"/>
                </w:tcPr>
                <w:p>
                  <w:pPr>
                    <w:widowControl/>
                    <w:jc w:val="center"/>
                    <w:textAlignment w:val="center"/>
                    <w:rPr>
                      <w:rFonts w:ascii="Calibri" w:hAnsi="Calibri" w:cs="Calibri"/>
                      <w:color w:val="auto"/>
                    </w:rPr>
                  </w:pPr>
                  <w:r>
                    <w:rPr>
                      <w:rFonts w:ascii="Calibri" w:hAnsi="Calibri" w:cs="Calibri"/>
                      <w:color w:val="auto"/>
                      <w:kern w:val="0"/>
                      <w:szCs w:val="21"/>
                      <w:lang w:bidi="ar"/>
                    </w:rPr>
                    <w:t>90%</w:t>
                  </w:r>
                </w:p>
              </w:tc>
              <w:tc>
                <w:tcPr>
                  <w:tcW w:w="2392" w:type="dxa"/>
                  <w:tcBorders>
                    <w:tl2br w:val="nil"/>
                    <w:tr2bl w:val="nil"/>
                  </w:tcBorders>
                  <w:vAlign w:val="center"/>
                </w:tcPr>
                <w:p>
                  <w:pPr>
                    <w:widowControl/>
                    <w:jc w:val="center"/>
                    <w:textAlignment w:val="center"/>
                    <w:rPr>
                      <w:rFonts w:ascii="Calibri" w:hAnsi="Calibri" w:cs="Calibri"/>
                      <w:color w:val="auto"/>
                      <w:kern w:val="0"/>
                      <w:szCs w:val="21"/>
                      <w:lang w:bidi="ar"/>
                    </w:rPr>
                  </w:pPr>
                  <w:r>
                    <w:rPr>
                      <w:rFonts w:ascii="Calibri" w:hAnsi="Calibri" w:cs="Calibri"/>
                      <w:color w:val="auto"/>
                      <w:kern w:val="0"/>
                      <w:szCs w:val="21"/>
                      <w:lang w:bidi="ar"/>
                    </w:rPr>
                    <w:t>90%</w:t>
                  </w:r>
                </w:p>
              </w:tc>
            </w:tr>
          </w:tbl>
          <w:p>
            <w:pPr>
              <w:tabs>
                <w:tab w:val="left" w:pos="2535"/>
              </w:tabs>
              <w:spacing w:line="360" w:lineRule="auto"/>
              <w:ind w:firstLine="480" w:firstLineChars="200"/>
              <w:rPr>
                <w:rFonts w:ascii="Calibri" w:hAnsi="Calibri" w:cs="Calibri"/>
                <w:color w:val="auto"/>
                <w:sz w:val="24"/>
              </w:rPr>
            </w:pPr>
            <w:r>
              <w:rPr>
                <w:rFonts w:ascii="Calibri" w:hAnsi="Calibri" w:cs="Calibri"/>
                <w:color w:val="auto"/>
                <w:sz w:val="24"/>
              </w:rPr>
              <w:t>采用活性炭吸附去除有机废气，其工艺较为成熟，废气</w:t>
            </w:r>
            <w:r>
              <w:rPr>
                <w:rFonts w:hint="eastAsia" w:ascii="Calibri" w:hAnsi="Calibri" w:cs="Calibri"/>
                <w:color w:val="auto"/>
                <w:sz w:val="24"/>
                <w:lang w:val="en-US" w:eastAsia="zh-CN"/>
              </w:rPr>
              <w:t>管道</w:t>
            </w:r>
            <w:r>
              <w:rPr>
                <w:rFonts w:ascii="Calibri" w:hAnsi="Calibri" w:cs="Calibri"/>
                <w:color w:val="auto"/>
                <w:sz w:val="24"/>
              </w:rPr>
              <w:t>收集、输送、过程控制参数和活性炭装运、处理等与《大气污染物治理工程技术导则》（HJ2000-2010）、《吸附法工业有机废气治理工程技术规范》（HJ2026-2013）要求相符。</w:t>
            </w:r>
          </w:p>
          <w:p>
            <w:pPr>
              <w:tabs>
                <w:tab w:val="left" w:pos="2535"/>
              </w:tabs>
              <w:spacing w:line="360" w:lineRule="auto"/>
              <w:ind w:firstLine="480" w:firstLineChars="200"/>
              <w:rPr>
                <w:rFonts w:ascii="Calibri" w:hAnsi="Calibri" w:cs="Calibri"/>
                <w:color w:val="auto"/>
                <w:sz w:val="24"/>
              </w:rPr>
            </w:pPr>
            <w:r>
              <w:rPr>
                <w:rFonts w:ascii="Calibri" w:hAnsi="Calibri" w:cs="Calibri"/>
                <w:color w:val="auto"/>
                <w:sz w:val="24"/>
              </w:rPr>
              <w:t>根据《广州松达电机有限公司年产电动机150000套建设项目竣工环境保护验收监测报告表》的监测数据，该项目产生的有机废气经集气罩收集后由过滤棉+二级活性炭处理后排放，过滤棉+二级活性炭装置对有机废气的去除效率在90%以上，监测数据见下表。</w:t>
            </w:r>
          </w:p>
          <w:p>
            <w:pPr>
              <w:pStyle w:val="6"/>
              <w:numPr>
                <w:ilvl w:val="0"/>
                <w:numId w:val="16"/>
              </w:numPr>
              <w:adjustRightInd w:val="0"/>
              <w:snapToGrid w:val="0"/>
              <w:ind w:firstLineChars="0"/>
              <w:jc w:val="center"/>
              <w:rPr>
                <w:rFonts w:ascii="Calibri" w:hAnsi="Calibri" w:cs="Calibri"/>
                <w:color w:val="auto"/>
                <w:sz w:val="24"/>
              </w:rPr>
            </w:pPr>
            <w:r>
              <w:rPr>
                <w:rFonts w:ascii="Calibri" w:hAnsi="Calibri" w:cs="Calibri"/>
                <w:b/>
                <w:bCs/>
                <w:color w:val="auto"/>
                <w:sz w:val="24"/>
              </w:rPr>
              <w:t>过滤棉+二级活性炭吸附工程实例</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1174"/>
              <w:gridCol w:w="666"/>
              <w:gridCol w:w="1245"/>
              <w:gridCol w:w="1048"/>
              <w:gridCol w:w="1245"/>
              <w:gridCol w:w="1048"/>
              <w:gridCol w:w="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vMerge w:val="restart"/>
                  <w:tcBorders>
                    <w:tl2br w:val="nil"/>
                    <w:tr2bl w:val="nil"/>
                  </w:tcBorders>
                  <w:vAlign w:val="center"/>
                </w:tcPr>
                <w:p>
                  <w:pPr>
                    <w:tabs>
                      <w:tab w:val="left" w:pos="2535"/>
                    </w:tabs>
                    <w:jc w:val="center"/>
                    <w:rPr>
                      <w:rFonts w:ascii="Calibri" w:hAnsi="Calibri" w:cs="Calibri"/>
                      <w:b/>
                      <w:bCs/>
                      <w:color w:val="auto"/>
                      <w:szCs w:val="21"/>
                    </w:rPr>
                  </w:pPr>
                  <w:r>
                    <w:rPr>
                      <w:rFonts w:ascii="Calibri" w:hAnsi="Calibri" w:cs="Calibri"/>
                      <w:b/>
                      <w:bCs/>
                      <w:color w:val="auto"/>
                      <w:szCs w:val="21"/>
                    </w:rPr>
                    <w:t>排气筒编号</w:t>
                  </w:r>
                </w:p>
              </w:tc>
              <w:tc>
                <w:tcPr>
                  <w:tcW w:w="701" w:type="pct"/>
                  <w:vMerge w:val="restart"/>
                  <w:tcBorders>
                    <w:tl2br w:val="nil"/>
                    <w:tr2bl w:val="nil"/>
                  </w:tcBorders>
                  <w:vAlign w:val="center"/>
                </w:tcPr>
                <w:p>
                  <w:pPr>
                    <w:tabs>
                      <w:tab w:val="left" w:pos="2535"/>
                    </w:tabs>
                    <w:jc w:val="center"/>
                    <w:rPr>
                      <w:rFonts w:ascii="Calibri" w:hAnsi="Calibri" w:cs="Calibri"/>
                      <w:b/>
                      <w:bCs/>
                      <w:color w:val="auto"/>
                      <w:szCs w:val="21"/>
                    </w:rPr>
                  </w:pPr>
                  <w:r>
                    <w:rPr>
                      <w:rFonts w:ascii="Calibri" w:hAnsi="Calibri" w:cs="Calibri"/>
                      <w:b/>
                      <w:bCs/>
                      <w:color w:val="auto"/>
                      <w:szCs w:val="21"/>
                    </w:rPr>
                    <w:t>监测时间</w:t>
                  </w:r>
                </w:p>
              </w:tc>
              <w:tc>
                <w:tcPr>
                  <w:tcW w:w="583" w:type="pct"/>
                  <w:vMerge w:val="restart"/>
                  <w:tcBorders>
                    <w:tl2br w:val="nil"/>
                    <w:tr2bl w:val="nil"/>
                  </w:tcBorders>
                  <w:vAlign w:val="center"/>
                </w:tcPr>
                <w:p>
                  <w:pPr>
                    <w:tabs>
                      <w:tab w:val="left" w:pos="2535"/>
                    </w:tabs>
                    <w:jc w:val="center"/>
                    <w:rPr>
                      <w:rFonts w:ascii="Calibri" w:hAnsi="Calibri" w:cs="Calibri"/>
                      <w:b/>
                      <w:bCs/>
                      <w:color w:val="auto"/>
                      <w:szCs w:val="21"/>
                    </w:rPr>
                  </w:pPr>
                  <w:r>
                    <w:rPr>
                      <w:rFonts w:ascii="Calibri" w:hAnsi="Calibri" w:cs="Calibri"/>
                      <w:b/>
                      <w:bCs/>
                      <w:color w:val="auto"/>
                      <w:szCs w:val="21"/>
                    </w:rPr>
                    <w:t>污染物种类</w:t>
                  </w:r>
                </w:p>
              </w:tc>
              <w:tc>
                <w:tcPr>
                  <w:tcW w:w="1358" w:type="pct"/>
                  <w:gridSpan w:val="2"/>
                  <w:tcBorders>
                    <w:tl2br w:val="nil"/>
                    <w:tr2bl w:val="nil"/>
                  </w:tcBorders>
                  <w:vAlign w:val="center"/>
                </w:tcPr>
                <w:p>
                  <w:pPr>
                    <w:tabs>
                      <w:tab w:val="left" w:pos="2535"/>
                    </w:tabs>
                    <w:jc w:val="center"/>
                    <w:rPr>
                      <w:rFonts w:ascii="Calibri" w:hAnsi="Calibri" w:cs="Calibri"/>
                      <w:b/>
                      <w:bCs/>
                      <w:color w:val="auto"/>
                      <w:szCs w:val="21"/>
                    </w:rPr>
                  </w:pPr>
                  <w:r>
                    <w:rPr>
                      <w:rFonts w:ascii="Calibri" w:hAnsi="Calibri" w:cs="Calibri"/>
                      <w:b/>
                      <w:bCs/>
                      <w:color w:val="auto"/>
                      <w:szCs w:val="21"/>
                    </w:rPr>
                    <w:t>处理前</w:t>
                  </w:r>
                </w:p>
              </w:tc>
              <w:tc>
                <w:tcPr>
                  <w:tcW w:w="1414" w:type="pct"/>
                  <w:gridSpan w:val="2"/>
                  <w:tcBorders>
                    <w:tl2br w:val="nil"/>
                    <w:tr2bl w:val="nil"/>
                  </w:tcBorders>
                  <w:vAlign w:val="center"/>
                </w:tcPr>
                <w:p>
                  <w:pPr>
                    <w:tabs>
                      <w:tab w:val="left" w:pos="2535"/>
                    </w:tabs>
                    <w:jc w:val="center"/>
                    <w:rPr>
                      <w:rFonts w:ascii="Calibri" w:hAnsi="Calibri" w:cs="Calibri"/>
                      <w:b/>
                      <w:bCs/>
                      <w:color w:val="auto"/>
                      <w:szCs w:val="21"/>
                    </w:rPr>
                  </w:pPr>
                  <w:r>
                    <w:rPr>
                      <w:rFonts w:ascii="Calibri" w:hAnsi="Calibri" w:cs="Calibri"/>
                      <w:b/>
                      <w:bCs/>
                      <w:color w:val="auto"/>
                      <w:szCs w:val="21"/>
                    </w:rPr>
                    <w:t>处理后</w:t>
                  </w:r>
                </w:p>
              </w:tc>
              <w:tc>
                <w:tcPr>
                  <w:tcW w:w="462" w:type="pct"/>
                  <w:vMerge w:val="restart"/>
                  <w:tcBorders>
                    <w:tl2br w:val="nil"/>
                    <w:tr2bl w:val="nil"/>
                  </w:tcBorders>
                  <w:vAlign w:val="center"/>
                </w:tcPr>
                <w:p>
                  <w:pPr>
                    <w:tabs>
                      <w:tab w:val="left" w:pos="2535"/>
                    </w:tabs>
                    <w:jc w:val="center"/>
                    <w:rPr>
                      <w:rFonts w:ascii="Calibri" w:hAnsi="Calibri" w:cs="Calibri"/>
                      <w:b/>
                      <w:bCs/>
                      <w:color w:val="auto"/>
                      <w:szCs w:val="21"/>
                    </w:rPr>
                  </w:pPr>
                  <w:r>
                    <w:rPr>
                      <w:rFonts w:ascii="Calibri" w:hAnsi="Calibri" w:cs="Calibri"/>
                      <w:b/>
                      <w:bCs/>
                      <w:color w:val="auto"/>
                      <w:szCs w:val="21"/>
                    </w:rPr>
                    <w:t>处理效率</w:t>
                  </w:r>
                </w:p>
                <w:p>
                  <w:pPr>
                    <w:tabs>
                      <w:tab w:val="left" w:pos="2535"/>
                    </w:tabs>
                    <w:jc w:val="center"/>
                    <w:rPr>
                      <w:rFonts w:ascii="Calibri" w:hAnsi="Calibri" w:cs="Calibri"/>
                      <w:b/>
                      <w:bCs/>
                      <w:color w:val="auto"/>
                      <w:szCs w:val="21"/>
                    </w:rPr>
                  </w:pPr>
                  <w:r>
                    <w:rPr>
                      <w:rFonts w:ascii="Calibri" w:hAnsi="Calibri" w:cs="Calibri"/>
                      <w:b/>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vMerge w:val="continue"/>
                  <w:tcBorders>
                    <w:tl2br w:val="nil"/>
                    <w:tr2bl w:val="nil"/>
                  </w:tcBorders>
                  <w:vAlign w:val="center"/>
                </w:tcPr>
                <w:p>
                  <w:pPr>
                    <w:tabs>
                      <w:tab w:val="left" w:pos="2535"/>
                    </w:tabs>
                    <w:jc w:val="center"/>
                    <w:rPr>
                      <w:rFonts w:ascii="Calibri" w:hAnsi="Calibri" w:cs="Calibri"/>
                      <w:color w:val="auto"/>
                      <w:szCs w:val="21"/>
                    </w:rPr>
                  </w:pPr>
                </w:p>
              </w:tc>
              <w:tc>
                <w:tcPr>
                  <w:tcW w:w="701" w:type="pct"/>
                  <w:vMerge w:val="continue"/>
                  <w:tcBorders>
                    <w:tl2br w:val="nil"/>
                    <w:tr2bl w:val="nil"/>
                  </w:tcBorders>
                  <w:vAlign w:val="center"/>
                </w:tcPr>
                <w:p>
                  <w:pPr>
                    <w:tabs>
                      <w:tab w:val="left" w:pos="2535"/>
                    </w:tabs>
                    <w:jc w:val="center"/>
                    <w:rPr>
                      <w:rFonts w:ascii="Calibri" w:hAnsi="Calibri" w:cs="Calibri"/>
                      <w:color w:val="auto"/>
                      <w:szCs w:val="21"/>
                    </w:rPr>
                  </w:pPr>
                </w:p>
              </w:tc>
              <w:tc>
                <w:tcPr>
                  <w:tcW w:w="583" w:type="pct"/>
                  <w:vMerge w:val="continue"/>
                  <w:tcBorders>
                    <w:tl2br w:val="nil"/>
                    <w:tr2bl w:val="nil"/>
                  </w:tcBorders>
                  <w:vAlign w:val="center"/>
                </w:tcPr>
                <w:p>
                  <w:pPr>
                    <w:tabs>
                      <w:tab w:val="left" w:pos="2535"/>
                    </w:tabs>
                    <w:jc w:val="center"/>
                    <w:rPr>
                      <w:rFonts w:ascii="Calibri" w:hAnsi="Calibri" w:cs="Calibri"/>
                      <w:color w:val="auto"/>
                      <w:szCs w:val="21"/>
                    </w:rPr>
                  </w:pPr>
                </w:p>
              </w:tc>
              <w:tc>
                <w:tcPr>
                  <w:tcW w:w="744" w:type="pct"/>
                  <w:tcBorders>
                    <w:tl2br w:val="nil"/>
                    <w:tr2bl w:val="nil"/>
                  </w:tcBorders>
                  <w:vAlign w:val="center"/>
                </w:tcPr>
                <w:p>
                  <w:pPr>
                    <w:tabs>
                      <w:tab w:val="left" w:pos="2535"/>
                    </w:tabs>
                    <w:jc w:val="center"/>
                    <w:rPr>
                      <w:rFonts w:ascii="Calibri" w:hAnsi="Calibri" w:cs="Calibri"/>
                      <w:b/>
                      <w:bCs/>
                      <w:color w:val="auto"/>
                      <w:szCs w:val="21"/>
                    </w:rPr>
                  </w:pPr>
                  <w:r>
                    <w:rPr>
                      <w:rFonts w:ascii="Calibri" w:hAnsi="Calibri" w:cs="Calibri"/>
                      <w:b/>
                      <w:bCs/>
                      <w:color w:val="auto"/>
                      <w:szCs w:val="21"/>
                    </w:rPr>
                    <w:t>产生浓度（mg/m</w:t>
                  </w:r>
                  <w:r>
                    <w:rPr>
                      <w:rFonts w:ascii="Calibri" w:hAnsi="Calibri" w:cs="Calibri"/>
                      <w:b/>
                      <w:bCs/>
                      <w:color w:val="auto"/>
                      <w:szCs w:val="21"/>
                      <w:vertAlign w:val="superscript"/>
                    </w:rPr>
                    <w:t>3</w:t>
                  </w:r>
                  <w:r>
                    <w:rPr>
                      <w:rFonts w:ascii="Calibri" w:hAnsi="Calibri" w:cs="Calibri"/>
                      <w:b/>
                      <w:bCs/>
                      <w:color w:val="auto"/>
                      <w:szCs w:val="21"/>
                    </w:rPr>
                    <w:t>）</w:t>
                  </w:r>
                </w:p>
              </w:tc>
              <w:tc>
                <w:tcPr>
                  <w:tcW w:w="613" w:type="pct"/>
                  <w:tcBorders>
                    <w:tl2br w:val="nil"/>
                    <w:tr2bl w:val="nil"/>
                  </w:tcBorders>
                  <w:vAlign w:val="center"/>
                </w:tcPr>
                <w:p>
                  <w:pPr>
                    <w:tabs>
                      <w:tab w:val="left" w:pos="2535"/>
                    </w:tabs>
                    <w:jc w:val="center"/>
                    <w:rPr>
                      <w:rFonts w:ascii="Calibri" w:hAnsi="Calibri" w:cs="Calibri"/>
                      <w:b/>
                      <w:bCs/>
                      <w:color w:val="auto"/>
                      <w:szCs w:val="21"/>
                    </w:rPr>
                  </w:pPr>
                  <w:r>
                    <w:rPr>
                      <w:rFonts w:ascii="Calibri" w:hAnsi="Calibri" w:cs="Calibri"/>
                      <w:b/>
                      <w:bCs/>
                      <w:color w:val="auto"/>
                      <w:szCs w:val="21"/>
                    </w:rPr>
                    <w:t>产生速率（kg/h）</w:t>
                  </w:r>
                </w:p>
              </w:tc>
              <w:tc>
                <w:tcPr>
                  <w:tcW w:w="803" w:type="pct"/>
                  <w:tcBorders>
                    <w:tl2br w:val="nil"/>
                    <w:tr2bl w:val="nil"/>
                  </w:tcBorders>
                  <w:vAlign w:val="center"/>
                </w:tcPr>
                <w:p>
                  <w:pPr>
                    <w:tabs>
                      <w:tab w:val="left" w:pos="2535"/>
                    </w:tabs>
                    <w:jc w:val="center"/>
                    <w:rPr>
                      <w:rFonts w:ascii="Calibri" w:hAnsi="Calibri" w:cs="Calibri"/>
                      <w:b/>
                      <w:bCs/>
                      <w:color w:val="auto"/>
                      <w:szCs w:val="21"/>
                    </w:rPr>
                  </w:pPr>
                  <w:r>
                    <w:rPr>
                      <w:rFonts w:ascii="Calibri" w:hAnsi="Calibri" w:cs="Calibri"/>
                      <w:b/>
                      <w:bCs/>
                      <w:color w:val="auto"/>
                      <w:szCs w:val="21"/>
                    </w:rPr>
                    <w:t>排放浓度（mg/m</w:t>
                  </w:r>
                  <w:r>
                    <w:rPr>
                      <w:rFonts w:ascii="Calibri" w:hAnsi="Calibri" w:cs="Calibri"/>
                      <w:b/>
                      <w:bCs/>
                      <w:color w:val="auto"/>
                      <w:szCs w:val="21"/>
                      <w:vertAlign w:val="superscript"/>
                    </w:rPr>
                    <w:t>3</w:t>
                  </w:r>
                  <w:r>
                    <w:rPr>
                      <w:rFonts w:ascii="Calibri" w:hAnsi="Calibri" w:cs="Calibri"/>
                      <w:b/>
                      <w:bCs/>
                      <w:color w:val="auto"/>
                      <w:szCs w:val="21"/>
                    </w:rPr>
                    <w:t>）</w:t>
                  </w:r>
                </w:p>
              </w:tc>
              <w:tc>
                <w:tcPr>
                  <w:tcW w:w="610" w:type="pct"/>
                  <w:tcBorders>
                    <w:tl2br w:val="nil"/>
                    <w:tr2bl w:val="nil"/>
                  </w:tcBorders>
                  <w:vAlign w:val="center"/>
                </w:tcPr>
                <w:p>
                  <w:pPr>
                    <w:tabs>
                      <w:tab w:val="left" w:pos="2535"/>
                    </w:tabs>
                    <w:jc w:val="center"/>
                    <w:rPr>
                      <w:rFonts w:ascii="Calibri" w:hAnsi="Calibri" w:cs="Calibri"/>
                      <w:b/>
                      <w:bCs/>
                      <w:color w:val="auto"/>
                      <w:szCs w:val="21"/>
                    </w:rPr>
                  </w:pPr>
                  <w:r>
                    <w:rPr>
                      <w:rFonts w:ascii="Calibri" w:hAnsi="Calibri" w:cs="Calibri"/>
                      <w:b/>
                      <w:bCs/>
                      <w:color w:val="auto"/>
                      <w:szCs w:val="21"/>
                    </w:rPr>
                    <w:t>排放速率（kg/h）</w:t>
                  </w:r>
                </w:p>
              </w:tc>
              <w:tc>
                <w:tcPr>
                  <w:tcW w:w="462" w:type="pct"/>
                  <w:vMerge w:val="continue"/>
                  <w:tcBorders>
                    <w:tl2br w:val="nil"/>
                    <w:tr2bl w:val="nil"/>
                  </w:tcBorders>
                  <w:vAlign w:val="center"/>
                </w:tcPr>
                <w:p>
                  <w:pPr>
                    <w:tabs>
                      <w:tab w:val="left" w:pos="2535"/>
                    </w:tabs>
                    <w:jc w:val="center"/>
                    <w:rPr>
                      <w:rFonts w:ascii="Calibri" w:hAnsi="Calibri" w:cs="Calibri"/>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vMerge w:val="restar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FQ01</w:t>
                  </w:r>
                </w:p>
              </w:tc>
              <w:tc>
                <w:tcPr>
                  <w:tcW w:w="701" w:type="pct"/>
                  <w:vMerge w:val="restar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2021.01.09</w:t>
                  </w:r>
                </w:p>
              </w:tc>
              <w:tc>
                <w:tcPr>
                  <w:tcW w:w="583" w:type="pct"/>
                  <w:vMerge w:val="restar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VOCs</w:t>
                  </w:r>
                </w:p>
              </w:tc>
              <w:tc>
                <w:tcPr>
                  <w:tcW w:w="744" w:type="pc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14.0</w:t>
                  </w:r>
                </w:p>
              </w:tc>
              <w:tc>
                <w:tcPr>
                  <w:tcW w:w="613" w:type="pc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0.098</w:t>
                  </w:r>
                </w:p>
              </w:tc>
              <w:tc>
                <w:tcPr>
                  <w:tcW w:w="803" w:type="pc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1.45</w:t>
                  </w:r>
                </w:p>
              </w:tc>
              <w:tc>
                <w:tcPr>
                  <w:tcW w:w="610" w:type="pc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0.007</w:t>
                  </w:r>
                </w:p>
              </w:tc>
              <w:tc>
                <w:tcPr>
                  <w:tcW w:w="462" w:type="pc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92.86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vMerge w:val="continue"/>
                  <w:tcBorders>
                    <w:tl2br w:val="nil"/>
                    <w:tr2bl w:val="nil"/>
                  </w:tcBorders>
                  <w:vAlign w:val="center"/>
                </w:tcPr>
                <w:p>
                  <w:pPr>
                    <w:tabs>
                      <w:tab w:val="left" w:pos="2535"/>
                    </w:tabs>
                    <w:jc w:val="center"/>
                    <w:rPr>
                      <w:rFonts w:ascii="Calibri" w:hAnsi="Calibri" w:cs="Calibri"/>
                      <w:color w:val="auto"/>
                      <w:szCs w:val="21"/>
                    </w:rPr>
                  </w:pPr>
                </w:p>
              </w:tc>
              <w:tc>
                <w:tcPr>
                  <w:tcW w:w="701" w:type="pct"/>
                  <w:vMerge w:val="continue"/>
                  <w:tcBorders>
                    <w:tl2br w:val="nil"/>
                    <w:tr2bl w:val="nil"/>
                  </w:tcBorders>
                  <w:vAlign w:val="center"/>
                </w:tcPr>
                <w:p>
                  <w:pPr>
                    <w:tabs>
                      <w:tab w:val="left" w:pos="2535"/>
                    </w:tabs>
                    <w:jc w:val="center"/>
                    <w:rPr>
                      <w:rFonts w:ascii="Calibri" w:hAnsi="Calibri" w:cs="Calibri"/>
                      <w:color w:val="auto"/>
                      <w:szCs w:val="21"/>
                    </w:rPr>
                  </w:pPr>
                </w:p>
              </w:tc>
              <w:tc>
                <w:tcPr>
                  <w:tcW w:w="583" w:type="pct"/>
                  <w:vMerge w:val="continue"/>
                  <w:tcBorders>
                    <w:tl2br w:val="nil"/>
                    <w:tr2bl w:val="nil"/>
                  </w:tcBorders>
                  <w:vAlign w:val="center"/>
                </w:tcPr>
                <w:p>
                  <w:pPr>
                    <w:tabs>
                      <w:tab w:val="left" w:pos="2535"/>
                    </w:tabs>
                    <w:jc w:val="center"/>
                    <w:rPr>
                      <w:rFonts w:ascii="Calibri" w:hAnsi="Calibri" w:cs="Calibri"/>
                      <w:color w:val="auto"/>
                      <w:szCs w:val="21"/>
                    </w:rPr>
                  </w:pPr>
                </w:p>
              </w:tc>
              <w:tc>
                <w:tcPr>
                  <w:tcW w:w="744" w:type="pc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16.0</w:t>
                  </w:r>
                </w:p>
              </w:tc>
              <w:tc>
                <w:tcPr>
                  <w:tcW w:w="613" w:type="pc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0.11</w:t>
                  </w:r>
                </w:p>
              </w:tc>
              <w:tc>
                <w:tcPr>
                  <w:tcW w:w="803" w:type="pc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1.44</w:t>
                  </w:r>
                </w:p>
              </w:tc>
              <w:tc>
                <w:tcPr>
                  <w:tcW w:w="610" w:type="pc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0.0067</w:t>
                  </w:r>
                </w:p>
              </w:tc>
              <w:tc>
                <w:tcPr>
                  <w:tcW w:w="462" w:type="pc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93.91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0" w:type="pct"/>
                  <w:vMerge w:val="continue"/>
                  <w:tcBorders>
                    <w:tl2br w:val="nil"/>
                    <w:tr2bl w:val="nil"/>
                  </w:tcBorders>
                  <w:vAlign w:val="center"/>
                </w:tcPr>
                <w:p>
                  <w:pPr>
                    <w:tabs>
                      <w:tab w:val="left" w:pos="2535"/>
                    </w:tabs>
                    <w:jc w:val="center"/>
                    <w:rPr>
                      <w:rFonts w:ascii="Calibri" w:hAnsi="Calibri" w:cs="Calibri"/>
                      <w:color w:val="auto"/>
                      <w:szCs w:val="21"/>
                    </w:rPr>
                  </w:pPr>
                </w:p>
              </w:tc>
              <w:tc>
                <w:tcPr>
                  <w:tcW w:w="701" w:type="pct"/>
                  <w:vMerge w:val="continue"/>
                  <w:tcBorders>
                    <w:tl2br w:val="nil"/>
                    <w:tr2bl w:val="nil"/>
                  </w:tcBorders>
                  <w:vAlign w:val="center"/>
                </w:tcPr>
                <w:p>
                  <w:pPr>
                    <w:tabs>
                      <w:tab w:val="left" w:pos="2535"/>
                    </w:tabs>
                    <w:jc w:val="center"/>
                    <w:rPr>
                      <w:rFonts w:ascii="Calibri" w:hAnsi="Calibri" w:cs="Calibri"/>
                      <w:color w:val="auto"/>
                      <w:szCs w:val="21"/>
                    </w:rPr>
                  </w:pPr>
                </w:p>
              </w:tc>
              <w:tc>
                <w:tcPr>
                  <w:tcW w:w="583" w:type="pct"/>
                  <w:vMerge w:val="continue"/>
                  <w:tcBorders>
                    <w:tl2br w:val="nil"/>
                    <w:tr2bl w:val="nil"/>
                  </w:tcBorders>
                  <w:vAlign w:val="center"/>
                </w:tcPr>
                <w:p>
                  <w:pPr>
                    <w:tabs>
                      <w:tab w:val="left" w:pos="2535"/>
                    </w:tabs>
                    <w:jc w:val="center"/>
                    <w:rPr>
                      <w:rFonts w:ascii="Calibri" w:hAnsi="Calibri" w:cs="Calibri"/>
                      <w:color w:val="auto"/>
                      <w:szCs w:val="21"/>
                    </w:rPr>
                  </w:pPr>
                </w:p>
              </w:tc>
              <w:tc>
                <w:tcPr>
                  <w:tcW w:w="744" w:type="pc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16.9</w:t>
                  </w:r>
                </w:p>
              </w:tc>
              <w:tc>
                <w:tcPr>
                  <w:tcW w:w="613" w:type="pc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0.12</w:t>
                  </w:r>
                </w:p>
              </w:tc>
              <w:tc>
                <w:tcPr>
                  <w:tcW w:w="803" w:type="pc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1.69</w:t>
                  </w:r>
                </w:p>
              </w:tc>
              <w:tc>
                <w:tcPr>
                  <w:tcW w:w="610" w:type="pc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0.0084</w:t>
                  </w:r>
                </w:p>
              </w:tc>
              <w:tc>
                <w:tcPr>
                  <w:tcW w:w="462" w:type="pct"/>
                  <w:tcBorders>
                    <w:tl2br w:val="nil"/>
                    <w:tr2bl w:val="nil"/>
                  </w:tcBorders>
                  <w:vAlign w:val="center"/>
                </w:tcPr>
                <w:p>
                  <w:pPr>
                    <w:tabs>
                      <w:tab w:val="left" w:pos="2535"/>
                    </w:tabs>
                    <w:jc w:val="center"/>
                    <w:rPr>
                      <w:rFonts w:ascii="Calibri" w:hAnsi="Calibri" w:cs="Calibri"/>
                      <w:color w:val="auto"/>
                      <w:szCs w:val="21"/>
                    </w:rPr>
                  </w:pPr>
                  <w:r>
                    <w:rPr>
                      <w:rFonts w:ascii="Calibri" w:hAnsi="Calibri" w:cs="Calibri"/>
                      <w:color w:val="auto"/>
                      <w:szCs w:val="21"/>
                    </w:rPr>
                    <w:t>93.00</w:t>
                  </w:r>
                </w:p>
              </w:tc>
            </w:tr>
          </w:tbl>
          <w:p>
            <w:pPr>
              <w:pStyle w:val="3"/>
              <w:numPr>
                <w:ilvl w:val="0"/>
                <w:numId w:val="0"/>
              </w:numPr>
              <w:rPr>
                <w:rFonts w:ascii="Calibri" w:hAnsi="Calibri" w:cs="Calibri"/>
                <w:color w:val="auto"/>
              </w:rPr>
            </w:pPr>
          </w:p>
        </w:tc>
      </w:tr>
    </w:tbl>
    <w:p>
      <w:pPr>
        <w:pStyle w:val="3"/>
        <w:rPr>
          <w:color w:val="auto"/>
        </w:rPr>
        <w:sectPr>
          <w:pgSz w:w="11906" w:h="16838"/>
          <w:pgMar w:top="1440" w:right="1797" w:bottom="1440" w:left="1797" w:header="851" w:footer="992" w:gutter="0"/>
          <w:pgBorders>
            <w:top w:val="none" w:sz="0" w:space="0"/>
            <w:left w:val="none" w:sz="0" w:space="0"/>
            <w:bottom w:val="none" w:sz="0" w:space="0"/>
            <w:right w:val="none" w:sz="0" w:space="0"/>
          </w:pgBorders>
          <w:cols w:space="0" w:num="1"/>
          <w:docGrid w:type="lines" w:linePitch="319"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
        <w:gridCol w:w="8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3" w:type="dxa"/>
          </w:tcPr>
          <w:p>
            <w:pPr>
              <w:pStyle w:val="3"/>
              <w:numPr>
                <w:ilvl w:val="0"/>
                <w:numId w:val="0"/>
              </w:numPr>
              <w:rPr>
                <w:rFonts w:ascii="Calibri" w:hAnsi="Calibri" w:cs="Calibri"/>
                <w:color w:val="auto"/>
              </w:rPr>
            </w:pPr>
          </w:p>
        </w:tc>
        <w:tc>
          <w:tcPr>
            <w:tcW w:w="8103" w:type="dxa"/>
          </w:tcPr>
          <w:p>
            <w:pPr>
              <w:spacing w:line="360" w:lineRule="auto"/>
              <w:ind w:firstLine="482" w:firstLineChars="200"/>
              <w:rPr>
                <w:rFonts w:ascii="Calibri" w:hAnsi="Calibri" w:cs="Calibri"/>
                <w:color w:val="auto"/>
              </w:rPr>
            </w:pPr>
            <w:r>
              <w:rPr>
                <w:rFonts w:hint="eastAsia" w:ascii="宋体" w:hAnsi="宋体" w:cs="宋体"/>
                <w:b/>
                <w:bCs/>
                <w:color w:val="auto"/>
                <w:sz w:val="24"/>
              </w:rPr>
              <w:t>③</w:t>
            </w:r>
            <w:r>
              <w:rPr>
                <w:rFonts w:ascii="Calibri" w:hAnsi="Calibri" w:cs="Calibri"/>
                <w:b/>
                <w:color w:val="auto"/>
                <w:sz w:val="24"/>
              </w:rPr>
              <w:t>二级粉末回收系统原理：</w:t>
            </w:r>
          </w:p>
          <w:p>
            <w:pPr>
              <w:widowControl/>
              <w:spacing w:line="360" w:lineRule="auto"/>
              <w:ind w:firstLine="480" w:firstLineChars="200"/>
              <w:jc w:val="left"/>
              <w:rPr>
                <w:rFonts w:ascii="Calibri" w:hAnsi="Calibri" w:cs="Calibri"/>
                <w:color w:val="auto"/>
                <w:kern w:val="0"/>
                <w:sz w:val="24"/>
                <w:lang w:bidi="ar"/>
              </w:rPr>
            </w:pPr>
            <w:r>
              <w:rPr>
                <w:rFonts w:ascii="Calibri" w:hAnsi="Calibri" w:cs="Calibri"/>
                <w:color w:val="auto"/>
                <w:kern w:val="0"/>
                <w:sz w:val="24"/>
                <w:lang w:bidi="ar"/>
              </w:rPr>
              <w:t>旋风回收系统（大旋风分离器一级回收系统）加滤芯回收系统（转翼式滤芯过滤器二级回收系统），共同构成二级粉末回收系统，是目前很成熟的喷粉室粉末回收系统，它由水平的多个轴入式旋风分离器组合成多管小旋风系统。多管小旋风回收装置对粉末进行第一级回收，回收后的粉末在装置的下部由回输粉泵回输到粉筛装置对粉进行筛选，而后回到喷粉枪供粉桶与新粉混合重新使用，该级的回收分离效率实际可达～90%，剩余的细微粉末随风进入第二级滤芯回收系统，该级回收装置结构紧凑，聚酯长纤维滤芯捕捉混合气体中小于 0.1μm 的微小粒子，粉末回收率可达 99﹪以上。回收分离的细微粉末落入底部粉斗箱内，这部分粉末因粒度和其它特性都很差不能立即重复使用，可由用户根据自身实际情况及产品工艺要求与其它粉未参合使用或弃用。同时，由于粉末在风道及回收系统中的特殊分布，考虑其安全性，在风道及回收系统的适当位置，设置有安全泄爆装置。</w:t>
            </w:r>
          </w:p>
          <w:p>
            <w:pPr>
              <w:widowControl/>
              <w:spacing w:line="360" w:lineRule="auto"/>
              <w:ind w:firstLine="480" w:firstLineChars="200"/>
              <w:jc w:val="left"/>
              <w:rPr>
                <w:rFonts w:ascii="Calibri" w:hAnsi="Calibri" w:cs="Calibri"/>
                <w:color w:val="auto"/>
                <w:sz w:val="24"/>
              </w:rPr>
            </w:pPr>
            <w:r>
              <w:rPr>
                <w:rFonts w:ascii="Calibri" w:hAnsi="Calibri" w:cs="Calibri"/>
                <w:color w:val="auto"/>
                <w:kern w:val="0"/>
                <w:sz w:val="24"/>
                <w:lang w:bidi="ar"/>
              </w:rPr>
              <w:t>回收装置清理系统为保持二级回收系统中的滤芯长期有效的过滤效果，滤芯内设有脉冲反吹装置，可在喷粉室工作过程中，通过 CMOS 数字集成电路脉冲控制仪控制电磁阀对滤芯筒壁进行自动化的周期性清理喷吹，使筒壁积粉落入回收箱内。脉冲频率（喷吹间隔）和脉冲宽度（喷吹时间）可通过控制仪调节旋钮根据具体工艺情况进行调节。</w:t>
            </w:r>
          </w:p>
          <w:p>
            <w:pPr>
              <w:widowControl/>
              <w:spacing w:line="360" w:lineRule="auto"/>
              <w:ind w:firstLine="480" w:firstLineChars="200"/>
              <w:jc w:val="left"/>
              <w:rPr>
                <w:rFonts w:ascii="Calibri" w:hAnsi="Calibri" w:cs="Calibri"/>
                <w:color w:val="auto"/>
                <w:sz w:val="24"/>
              </w:rPr>
            </w:pPr>
            <w:r>
              <w:rPr>
                <w:rFonts w:ascii="Calibri" w:hAnsi="Calibri" w:cs="Calibri"/>
                <w:color w:val="auto"/>
                <w:kern w:val="0"/>
                <w:sz w:val="24"/>
                <w:lang w:bidi="ar"/>
              </w:rPr>
              <w:t xml:space="preserve">清理粉输送在整个喷粉系统作业中,喷室和旋风回收系统不断地产生清理粉,由粉体的物理特性可知若不及时返回利用将对其特性产生严重影响，为此，本设备在上述两个环节专设有清理粉的回输粉泵及相应配管，可自动及时将清理粉回输到喷粉枪供粉桶内。 </w:t>
            </w:r>
          </w:p>
          <w:p>
            <w:pPr>
              <w:widowControl/>
              <w:spacing w:line="360" w:lineRule="auto"/>
              <w:ind w:firstLine="480" w:firstLineChars="200"/>
              <w:jc w:val="left"/>
              <w:rPr>
                <w:rFonts w:ascii="Calibri" w:hAnsi="Calibri" w:cs="Calibri"/>
                <w:color w:val="auto"/>
                <w:sz w:val="24"/>
              </w:rPr>
            </w:pPr>
            <w:r>
              <w:rPr>
                <w:rFonts w:ascii="Calibri" w:hAnsi="Calibri" w:cs="Calibri"/>
                <w:color w:val="auto"/>
                <w:kern w:val="0"/>
                <w:sz w:val="24"/>
                <w:lang w:bidi="ar"/>
              </w:rPr>
              <w:t>同时，设备更是考虑到粉体涂装现场管理要求和实践经验，在喷粉室屏敝房外设置粉体添供间，人工在此间将工作须添供的粉末注入料斗内，此粉由专设的输粉泵及管路自动输送至喷粉枪供粉桶内，彻底解决了传统的人工在喷粉室屏敝房内进行作业添供粉所引起的环境状况恶化问题。</w:t>
            </w:r>
          </w:p>
          <w:p>
            <w:pPr>
              <w:spacing w:line="360" w:lineRule="auto"/>
              <w:ind w:firstLine="480" w:firstLineChars="200"/>
              <w:rPr>
                <w:rFonts w:ascii="Calibri" w:hAnsi="Calibri" w:cs="Calibri"/>
                <w:b/>
                <w:bCs/>
                <w:color w:val="auto"/>
                <w:sz w:val="24"/>
              </w:rPr>
            </w:pPr>
            <w:r>
              <w:rPr>
                <w:rFonts w:ascii="Calibri" w:hAnsi="Calibri" w:cs="Calibri"/>
                <w:color w:val="auto"/>
                <w:sz w:val="24"/>
              </w:rPr>
              <w:t>本项目</w:t>
            </w:r>
            <w:r>
              <w:rPr>
                <w:rFonts w:ascii="Calibri" w:hAnsi="Calibri" w:cs="Calibri"/>
                <w:color w:val="auto"/>
                <w:kern w:val="0"/>
                <w:sz w:val="24"/>
              </w:rPr>
              <w:t>脉冲滤筒除尘</w:t>
            </w:r>
            <w:r>
              <w:rPr>
                <w:rFonts w:ascii="Calibri" w:hAnsi="Calibri" w:cs="Calibri"/>
                <w:color w:val="auto"/>
                <w:sz w:val="24"/>
              </w:rPr>
              <w:t>装置技术性能及参数见下表。</w:t>
            </w:r>
          </w:p>
          <w:p>
            <w:pPr>
              <w:pStyle w:val="6"/>
              <w:numPr>
                <w:ilvl w:val="0"/>
                <w:numId w:val="16"/>
              </w:numPr>
              <w:spacing w:line="360" w:lineRule="auto"/>
              <w:ind w:firstLineChars="0"/>
              <w:jc w:val="center"/>
              <w:rPr>
                <w:rFonts w:ascii="Calibri" w:hAnsi="Calibri" w:cs="Calibri"/>
                <w:b/>
                <w:bCs/>
                <w:color w:val="auto"/>
                <w:sz w:val="24"/>
              </w:rPr>
            </w:pPr>
            <w:r>
              <w:rPr>
                <w:rFonts w:ascii="Calibri" w:hAnsi="Calibri" w:cs="Calibri"/>
                <w:b/>
                <w:bCs/>
                <w:color w:val="auto"/>
                <w:sz w:val="24"/>
              </w:rPr>
              <w:t xml:space="preserve"> </w:t>
            </w:r>
            <w:r>
              <w:rPr>
                <w:rFonts w:hint="eastAsia" w:ascii="Calibri" w:hAnsi="Calibri" w:cs="Calibri"/>
                <w:b/>
                <w:bCs/>
                <w:color w:val="auto"/>
                <w:sz w:val="24"/>
              </w:rPr>
              <w:t>转翼式滤芯过滤器二级回收系统</w:t>
            </w:r>
            <w:r>
              <w:rPr>
                <w:rFonts w:ascii="Calibri" w:hAnsi="Calibri" w:cs="Calibri"/>
                <w:b/>
                <w:bCs/>
                <w:color w:val="auto"/>
                <w:sz w:val="24"/>
              </w:rPr>
              <w:t>技术性能及参数</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0" w:type="dxa"/>
                <w:bottom w:w="0" w:type="dxa"/>
                <w:right w:w="0" w:type="dxa"/>
              </w:tblCellMar>
            </w:tblPr>
            <w:tblGrid>
              <w:gridCol w:w="770"/>
              <w:gridCol w:w="1872"/>
              <w:gridCol w:w="2620"/>
              <w:gridCol w:w="2622"/>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488" w:type="pct"/>
                  <w:tcBorders>
                    <w:tl2br w:val="nil"/>
                    <w:tr2bl w:val="nil"/>
                  </w:tcBorders>
                  <w:shd w:val="clear" w:color="auto" w:fill="auto"/>
                  <w:vAlign w:val="center"/>
                </w:tcPr>
                <w:p>
                  <w:pPr>
                    <w:adjustRightInd w:val="0"/>
                    <w:snapToGrid w:val="0"/>
                    <w:jc w:val="center"/>
                    <w:rPr>
                      <w:b/>
                      <w:color w:val="auto"/>
                      <w:szCs w:val="21"/>
                    </w:rPr>
                  </w:pPr>
                  <w:r>
                    <w:rPr>
                      <w:b/>
                      <w:color w:val="auto"/>
                      <w:szCs w:val="21"/>
                    </w:rPr>
                    <w:t>序号</w:t>
                  </w:r>
                </w:p>
              </w:tc>
              <w:tc>
                <w:tcPr>
                  <w:tcW w:w="1187" w:type="pct"/>
                  <w:tcBorders>
                    <w:tl2br w:val="nil"/>
                    <w:tr2bl w:val="nil"/>
                  </w:tcBorders>
                  <w:shd w:val="clear" w:color="auto" w:fill="auto"/>
                  <w:vAlign w:val="center"/>
                </w:tcPr>
                <w:p>
                  <w:pPr>
                    <w:adjustRightInd w:val="0"/>
                    <w:snapToGrid w:val="0"/>
                    <w:jc w:val="center"/>
                    <w:rPr>
                      <w:b/>
                      <w:color w:val="auto"/>
                      <w:szCs w:val="21"/>
                    </w:rPr>
                  </w:pPr>
                  <w:r>
                    <w:rPr>
                      <w:rFonts w:hint="eastAsia"/>
                      <w:b/>
                      <w:color w:val="auto"/>
                      <w:szCs w:val="21"/>
                    </w:rPr>
                    <w:t>设备</w:t>
                  </w:r>
                </w:p>
              </w:tc>
              <w:tc>
                <w:tcPr>
                  <w:tcW w:w="1661" w:type="pct"/>
                  <w:tcBorders>
                    <w:tl2br w:val="nil"/>
                    <w:tr2bl w:val="nil"/>
                  </w:tcBorders>
                  <w:shd w:val="clear" w:color="auto" w:fill="auto"/>
                  <w:vAlign w:val="center"/>
                </w:tcPr>
                <w:p>
                  <w:pPr>
                    <w:adjustRightInd w:val="0"/>
                    <w:snapToGrid w:val="0"/>
                    <w:jc w:val="center"/>
                    <w:rPr>
                      <w:b/>
                      <w:color w:val="auto"/>
                      <w:szCs w:val="21"/>
                    </w:rPr>
                  </w:pPr>
                  <w:r>
                    <w:rPr>
                      <w:rFonts w:hint="eastAsia"/>
                      <w:b/>
                      <w:color w:val="auto"/>
                      <w:szCs w:val="21"/>
                    </w:rPr>
                    <w:t>项目</w:t>
                  </w:r>
                </w:p>
              </w:tc>
              <w:tc>
                <w:tcPr>
                  <w:tcW w:w="1662" w:type="pct"/>
                  <w:tcBorders>
                    <w:tl2br w:val="nil"/>
                    <w:tr2bl w:val="nil"/>
                  </w:tcBorders>
                  <w:shd w:val="clear" w:color="auto" w:fill="auto"/>
                  <w:vAlign w:val="center"/>
                </w:tcPr>
                <w:p>
                  <w:pPr>
                    <w:adjustRightInd w:val="0"/>
                    <w:snapToGrid w:val="0"/>
                    <w:jc w:val="center"/>
                    <w:rPr>
                      <w:b/>
                      <w:color w:val="auto"/>
                      <w:szCs w:val="21"/>
                    </w:rPr>
                  </w:pPr>
                  <w:r>
                    <w:rPr>
                      <w:rFonts w:hint="eastAsia"/>
                      <w:b/>
                      <w:color w:val="auto"/>
                      <w:szCs w:val="21"/>
                    </w:rPr>
                    <w:t>规格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488" w:type="pct"/>
                  <w:tcBorders>
                    <w:tl2br w:val="nil"/>
                    <w:tr2bl w:val="nil"/>
                  </w:tcBorders>
                  <w:shd w:val="clear" w:color="auto" w:fill="auto"/>
                  <w:vAlign w:val="center"/>
                </w:tcPr>
                <w:p>
                  <w:pPr>
                    <w:adjustRightInd w:val="0"/>
                    <w:snapToGrid w:val="0"/>
                    <w:jc w:val="center"/>
                    <w:rPr>
                      <w:color w:val="auto"/>
                      <w:szCs w:val="21"/>
                    </w:rPr>
                  </w:pPr>
                  <w:r>
                    <w:rPr>
                      <w:color w:val="auto"/>
                      <w:szCs w:val="21"/>
                    </w:rPr>
                    <w:t>1</w:t>
                  </w:r>
                </w:p>
              </w:tc>
              <w:tc>
                <w:tcPr>
                  <w:tcW w:w="1187" w:type="pct"/>
                  <w:vMerge w:val="restar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抽风风机</w:t>
                  </w:r>
                </w:p>
              </w:tc>
              <w:tc>
                <w:tcPr>
                  <w:tcW w:w="1661"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型号</w:t>
                  </w:r>
                </w:p>
              </w:tc>
              <w:tc>
                <w:tcPr>
                  <w:tcW w:w="1662"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南方离心风机37kw（1台/套）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488" w:type="pct"/>
                  <w:tcBorders>
                    <w:tl2br w:val="nil"/>
                    <w:tr2bl w:val="nil"/>
                  </w:tcBorders>
                  <w:shd w:val="clear" w:color="auto" w:fill="auto"/>
                  <w:vAlign w:val="center"/>
                </w:tcPr>
                <w:p>
                  <w:pPr>
                    <w:adjustRightInd w:val="0"/>
                    <w:snapToGrid w:val="0"/>
                    <w:jc w:val="center"/>
                    <w:rPr>
                      <w:color w:val="auto"/>
                      <w:szCs w:val="21"/>
                    </w:rPr>
                  </w:pPr>
                  <w:r>
                    <w:rPr>
                      <w:color w:val="auto"/>
                      <w:szCs w:val="21"/>
                    </w:rPr>
                    <w:t>2</w:t>
                  </w:r>
                </w:p>
              </w:tc>
              <w:tc>
                <w:tcPr>
                  <w:tcW w:w="1187" w:type="pct"/>
                  <w:vMerge w:val="continue"/>
                  <w:tcBorders>
                    <w:tl2br w:val="nil"/>
                    <w:tr2bl w:val="nil"/>
                  </w:tcBorders>
                  <w:shd w:val="clear" w:color="auto" w:fill="auto"/>
                  <w:vAlign w:val="center"/>
                </w:tcPr>
                <w:p>
                  <w:pPr>
                    <w:autoSpaceDE w:val="0"/>
                    <w:autoSpaceDN w:val="0"/>
                    <w:adjustRightInd w:val="0"/>
                    <w:snapToGrid w:val="0"/>
                    <w:jc w:val="center"/>
                    <w:rPr>
                      <w:color w:val="auto"/>
                      <w:szCs w:val="21"/>
                    </w:rPr>
                  </w:pPr>
                </w:p>
              </w:tc>
              <w:tc>
                <w:tcPr>
                  <w:tcW w:w="1661"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最大风量</w:t>
                  </w:r>
                </w:p>
              </w:tc>
              <w:tc>
                <w:tcPr>
                  <w:tcW w:w="1662"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18000m</w:t>
                  </w:r>
                  <w:r>
                    <w:rPr>
                      <w:color w:val="auto"/>
                      <w:szCs w:val="21"/>
                      <w:vertAlign w:val="superscript"/>
                    </w:rPr>
                    <w:t>3</w:t>
                  </w:r>
                  <w:r>
                    <w:rPr>
                      <w:color w:val="auto"/>
                      <w:szCs w:val="21"/>
                    </w:rPr>
                    <w:t>/h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488" w:type="pct"/>
                  <w:tcBorders>
                    <w:tl2br w:val="nil"/>
                    <w:tr2bl w:val="nil"/>
                  </w:tcBorders>
                  <w:shd w:val="clear" w:color="auto" w:fill="auto"/>
                  <w:vAlign w:val="center"/>
                </w:tcPr>
                <w:p>
                  <w:pPr>
                    <w:adjustRightInd w:val="0"/>
                    <w:snapToGrid w:val="0"/>
                    <w:jc w:val="center"/>
                    <w:rPr>
                      <w:color w:val="auto"/>
                      <w:szCs w:val="21"/>
                    </w:rPr>
                  </w:pPr>
                  <w:r>
                    <w:rPr>
                      <w:color w:val="auto"/>
                      <w:szCs w:val="21"/>
                    </w:rPr>
                    <w:t>3</w:t>
                  </w:r>
                </w:p>
              </w:tc>
              <w:tc>
                <w:tcPr>
                  <w:tcW w:w="1187" w:type="pct"/>
                  <w:vMerge w:val="continue"/>
                  <w:tcBorders>
                    <w:tl2br w:val="nil"/>
                    <w:tr2bl w:val="nil"/>
                  </w:tcBorders>
                  <w:shd w:val="clear" w:color="auto" w:fill="auto"/>
                  <w:vAlign w:val="center"/>
                </w:tcPr>
                <w:p>
                  <w:pPr>
                    <w:autoSpaceDE w:val="0"/>
                    <w:autoSpaceDN w:val="0"/>
                    <w:adjustRightInd w:val="0"/>
                    <w:snapToGrid w:val="0"/>
                    <w:jc w:val="center"/>
                    <w:rPr>
                      <w:color w:val="auto"/>
                      <w:szCs w:val="21"/>
                    </w:rPr>
                  </w:pPr>
                </w:p>
              </w:tc>
              <w:tc>
                <w:tcPr>
                  <w:tcW w:w="1661"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全压</w:t>
                  </w:r>
                </w:p>
              </w:tc>
              <w:tc>
                <w:tcPr>
                  <w:tcW w:w="1662"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5600pa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488" w:type="pct"/>
                  <w:tcBorders>
                    <w:tl2br w:val="nil"/>
                    <w:tr2bl w:val="nil"/>
                  </w:tcBorders>
                  <w:shd w:val="clear" w:color="auto" w:fill="auto"/>
                  <w:vAlign w:val="center"/>
                </w:tcPr>
                <w:p>
                  <w:pPr>
                    <w:adjustRightInd w:val="0"/>
                    <w:snapToGrid w:val="0"/>
                    <w:jc w:val="center"/>
                    <w:rPr>
                      <w:color w:val="auto"/>
                      <w:szCs w:val="21"/>
                    </w:rPr>
                  </w:pPr>
                  <w:r>
                    <w:rPr>
                      <w:color w:val="auto"/>
                      <w:szCs w:val="21"/>
                    </w:rPr>
                    <w:t>4</w:t>
                  </w:r>
                </w:p>
              </w:tc>
              <w:tc>
                <w:tcPr>
                  <w:tcW w:w="1187" w:type="pct"/>
                  <w:vMerge w:val="continue"/>
                  <w:tcBorders>
                    <w:tl2br w:val="nil"/>
                    <w:tr2bl w:val="nil"/>
                  </w:tcBorders>
                  <w:shd w:val="clear" w:color="auto" w:fill="auto"/>
                  <w:vAlign w:val="center"/>
                </w:tcPr>
                <w:p>
                  <w:pPr>
                    <w:autoSpaceDE w:val="0"/>
                    <w:autoSpaceDN w:val="0"/>
                    <w:adjustRightInd w:val="0"/>
                    <w:snapToGrid w:val="0"/>
                    <w:jc w:val="center"/>
                    <w:rPr>
                      <w:color w:val="auto"/>
                      <w:szCs w:val="21"/>
                    </w:rPr>
                  </w:pPr>
                </w:p>
              </w:tc>
              <w:tc>
                <w:tcPr>
                  <w:tcW w:w="1661"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功率</w:t>
                  </w:r>
                </w:p>
              </w:tc>
              <w:tc>
                <w:tcPr>
                  <w:tcW w:w="1662"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37kw，防爆电机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488" w:type="pct"/>
                  <w:tcBorders>
                    <w:tl2br w:val="nil"/>
                    <w:tr2bl w:val="nil"/>
                  </w:tcBorders>
                  <w:shd w:val="clear" w:color="auto" w:fill="auto"/>
                  <w:vAlign w:val="center"/>
                </w:tcPr>
                <w:p>
                  <w:pPr>
                    <w:adjustRightInd w:val="0"/>
                    <w:snapToGrid w:val="0"/>
                    <w:jc w:val="center"/>
                    <w:rPr>
                      <w:color w:val="auto"/>
                      <w:szCs w:val="21"/>
                    </w:rPr>
                  </w:pPr>
                  <w:r>
                    <w:rPr>
                      <w:color w:val="auto"/>
                      <w:szCs w:val="21"/>
                    </w:rPr>
                    <w:t>5</w:t>
                  </w:r>
                </w:p>
              </w:tc>
              <w:tc>
                <w:tcPr>
                  <w:tcW w:w="1187" w:type="pct"/>
                  <w:vMerge w:val="restar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过滤滤芯</w:t>
                  </w:r>
                </w:p>
              </w:tc>
              <w:tc>
                <w:tcPr>
                  <w:tcW w:w="1661"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规格</w:t>
                  </w:r>
                </w:p>
              </w:tc>
              <w:tc>
                <w:tcPr>
                  <w:tcW w:w="1662"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2*12=24套，外径Ф320*H600mm</w:t>
                  </w:r>
                  <w:r>
                    <w:rPr>
                      <w:color w:val="auto"/>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488" w:type="pct"/>
                  <w:tcBorders>
                    <w:tl2br w:val="nil"/>
                    <w:tr2bl w:val="nil"/>
                  </w:tcBorders>
                  <w:shd w:val="clear" w:color="auto" w:fill="auto"/>
                  <w:vAlign w:val="center"/>
                </w:tcPr>
                <w:p>
                  <w:pPr>
                    <w:adjustRightInd w:val="0"/>
                    <w:snapToGrid w:val="0"/>
                    <w:jc w:val="center"/>
                    <w:rPr>
                      <w:color w:val="auto"/>
                      <w:szCs w:val="21"/>
                    </w:rPr>
                  </w:pPr>
                  <w:r>
                    <w:rPr>
                      <w:color w:val="auto"/>
                      <w:szCs w:val="21"/>
                    </w:rPr>
                    <w:t>6</w:t>
                  </w:r>
                </w:p>
              </w:tc>
              <w:tc>
                <w:tcPr>
                  <w:tcW w:w="1187" w:type="pct"/>
                  <w:vMerge w:val="continue"/>
                  <w:tcBorders>
                    <w:tl2br w:val="nil"/>
                    <w:tr2bl w:val="nil"/>
                  </w:tcBorders>
                  <w:shd w:val="clear" w:color="auto" w:fill="auto"/>
                  <w:vAlign w:val="center"/>
                </w:tcPr>
                <w:p>
                  <w:pPr>
                    <w:autoSpaceDE w:val="0"/>
                    <w:autoSpaceDN w:val="0"/>
                    <w:adjustRightInd w:val="0"/>
                    <w:snapToGrid w:val="0"/>
                    <w:jc w:val="center"/>
                    <w:rPr>
                      <w:color w:val="auto"/>
                      <w:szCs w:val="21"/>
                    </w:rPr>
                  </w:pPr>
                </w:p>
              </w:tc>
              <w:tc>
                <w:tcPr>
                  <w:tcW w:w="1661"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单个通风量</w:t>
                  </w:r>
                </w:p>
              </w:tc>
              <w:tc>
                <w:tcPr>
                  <w:tcW w:w="1662"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1200m</w:t>
                  </w:r>
                  <w:r>
                    <w:rPr>
                      <w:color w:val="auto"/>
                      <w:szCs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488" w:type="pct"/>
                  <w:tcBorders>
                    <w:tl2br w:val="nil"/>
                    <w:tr2bl w:val="nil"/>
                  </w:tcBorders>
                  <w:shd w:val="clear" w:color="auto" w:fill="auto"/>
                  <w:vAlign w:val="center"/>
                </w:tcPr>
                <w:p>
                  <w:pPr>
                    <w:adjustRightInd w:val="0"/>
                    <w:snapToGrid w:val="0"/>
                    <w:jc w:val="center"/>
                    <w:rPr>
                      <w:color w:val="auto"/>
                      <w:szCs w:val="21"/>
                    </w:rPr>
                  </w:pPr>
                  <w:r>
                    <w:rPr>
                      <w:color w:val="auto"/>
                      <w:szCs w:val="21"/>
                    </w:rPr>
                    <w:t>7</w:t>
                  </w:r>
                </w:p>
              </w:tc>
              <w:tc>
                <w:tcPr>
                  <w:tcW w:w="1187" w:type="pct"/>
                  <w:vMerge w:val="continue"/>
                  <w:tcBorders>
                    <w:tl2br w:val="nil"/>
                    <w:tr2bl w:val="nil"/>
                  </w:tcBorders>
                  <w:shd w:val="clear" w:color="auto" w:fill="auto"/>
                  <w:vAlign w:val="center"/>
                </w:tcPr>
                <w:p>
                  <w:pPr>
                    <w:autoSpaceDE w:val="0"/>
                    <w:autoSpaceDN w:val="0"/>
                    <w:adjustRightInd w:val="0"/>
                    <w:snapToGrid w:val="0"/>
                    <w:jc w:val="center"/>
                    <w:rPr>
                      <w:color w:val="auto"/>
                      <w:szCs w:val="21"/>
                    </w:rPr>
                  </w:pPr>
                </w:p>
              </w:tc>
              <w:tc>
                <w:tcPr>
                  <w:tcW w:w="1661"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单个过滤面积</w:t>
                  </w:r>
                </w:p>
              </w:tc>
              <w:tc>
                <w:tcPr>
                  <w:tcW w:w="1662"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7.5m</w:t>
                  </w:r>
                  <w:r>
                    <w:rPr>
                      <w:color w:val="auto"/>
                      <w:szCs w:val="21"/>
                      <w:vertAlign w:val="superscript"/>
                    </w:rPr>
                    <w:t>2</w:t>
                  </w:r>
                  <w:r>
                    <w:rPr>
                      <w:color w:val="auto"/>
                      <w:szCs w:val="21"/>
                    </w:rPr>
                    <w:t>/个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488" w:type="pct"/>
                  <w:tcBorders>
                    <w:tl2br w:val="nil"/>
                    <w:tr2bl w:val="nil"/>
                  </w:tcBorders>
                  <w:shd w:val="clear" w:color="auto" w:fill="auto"/>
                  <w:vAlign w:val="center"/>
                </w:tcPr>
                <w:p>
                  <w:pPr>
                    <w:adjustRightInd w:val="0"/>
                    <w:snapToGrid w:val="0"/>
                    <w:jc w:val="center"/>
                    <w:rPr>
                      <w:color w:val="auto"/>
                      <w:szCs w:val="21"/>
                    </w:rPr>
                  </w:pPr>
                  <w:r>
                    <w:rPr>
                      <w:color w:val="auto"/>
                      <w:szCs w:val="21"/>
                    </w:rPr>
                    <w:t>8</w:t>
                  </w:r>
                </w:p>
              </w:tc>
              <w:tc>
                <w:tcPr>
                  <w:tcW w:w="1187" w:type="pct"/>
                  <w:vMerge w:val="continue"/>
                  <w:tcBorders>
                    <w:tl2br w:val="nil"/>
                    <w:tr2bl w:val="nil"/>
                  </w:tcBorders>
                  <w:shd w:val="clear" w:color="auto" w:fill="auto"/>
                  <w:vAlign w:val="center"/>
                </w:tcPr>
                <w:p>
                  <w:pPr>
                    <w:autoSpaceDE w:val="0"/>
                    <w:autoSpaceDN w:val="0"/>
                    <w:adjustRightInd w:val="0"/>
                    <w:snapToGrid w:val="0"/>
                    <w:jc w:val="center"/>
                    <w:rPr>
                      <w:color w:val="auto"/>
                      <w:szCs w:val="21"/>
                    </w:rPr>
                  </w:pPr>
                </w:p>
              </w:tc>
              <w:tc>
                <w:tcPr>
                  <w:tcW w:w="1661"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折数</w:t>
                  </w:r>
                </w:p>
              </w:tc>
              <w:tc>
                <w:tcPr>
                  <w:tcW w:w="1662"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130折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488" w:type="pct"/>
                  <w:tcBorders>
                    <w:tl2br w:val="nil"/>
                    <w:tr2bl w:val="nil"/>
                  </w:tcBorders>
                  <w:shd w:val="clear" w:color="auto" w:fill="auto"/>
                  <w:vAlign w:val="center"/>
                </w:tcPr>
                <w:p>
                  <w:pPr>
                    <w:adjustRightInd w:val="0"/>
                    <w:snapToGrid w:val="0"/>
                    <w:jc w:val="center"/>
                    <w:rPr>
                      <w:color w:val="auto"/>
                      <w:szCs w:val="21"/>
                    </w:rPr>
                  </w:pPr>
                  <w:r>
                    <w:rPr>
                      <w:color w:val="auto"/>
                      <w:szCs w:val="21"/>
                    </w:rPr>
                    <w:t>9</w:t>
                  </w:r>
                </w:p>
              </w:tc>
              <w:tc>
                <w:tcPr>
                  <w:tcW w:w="2848" w:type="pct"/>
                  <w:gridSpan w:val="2"/>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平衡旋转式转翼清理装置</w:t>
                  </w:r>
                </w:p>
              </w:tc>
              <w:tc>
                <w:tcPr>
                  <w:tcW w:w="1662"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12套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488" w:type="pct"/>
                  <w:tcBorders>
                    <w:tl2br w:val="nil"/>
                    <w:tr2bl w:val="nil"/>
                  </w:tcBorders>
                  <w:shd w:val="clear" w:color="auto" w:fill="auto"/>
                  <w:vAlign w:val="center"/>
                </w:tcPr>
                <w:p>
                  <w:pPr>
                    <w:adjustRightInd w:val="0"/>
                    <w:snapToGrid w:val="0"/>
                    <w:jc w:val="center"/>
                    <w:rPr>
                      <w:color w:val="auto"/>
                      <w:szCs w:val="21"/>
                    </w:rPr>
                  </w:pPr>
                  <w:r>
                    <w:rPr>
                      <w:color w:val="auto"/>
                      <w:szCs w:val="21"/>
                    </w:rPr>
                    <w:t>10</w:t>
                  </w:r>
                </w:p>
              </w:tc>
              <w:tc>
                <w:tcPr>
                  <w:tcW w:w="2848" w:type="pct"/>
                  <w:gridSpan w:val="2"/>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时间控制脉冲阀反吹打尘装置</w:t>
                  </w:r>
                </w:p>
              </w:tc>
              <w:tc>
                <w:tcPr>
                  <w:tcW w:w="1662"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12套3-5次/min，非防爆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488" w:type="pct"/>
                  <w:tcBorders>
                    <w:tl2br w:val="nil"/>
                    <w:tr2bl w:val="nil"/>
                  </w:tcBorders>
                  <w:shd w:val="clear" w:color="auto" w:fill="auto"/>
                  <w:vAlign w:val="center"/>
                </w:tcPr>
                <w:p>
                  <w:pPr>
                    <w:adjustRightInd w:val="0"/>
                    <w:snapToGrid w:val="0"/>
                    <w:jc w:val="center"/>
                    <w:rPr>
                      <w:color w:val="auto"/>
                      <w:szCs w:val="21"/>
                    </w:rPr>
                  </w:pPr>
                  <w:r>
                    <w:rPr>
                      <w:color w:val="auto"/>
                      <w:szCs w:val="21"/>
                    </w:rPr>
                    <w:t>11</w:t>
                  </w:r>
                </w:p>
              </w:tc>
              <w:tc>
                <w:tcPr>
                  <w:tcW w:w="2848" w:type="pct"/>
                  <w:gridSpan w:val="2"/>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高密度消声吸音装置</w:t>
                  </w:r>
                </w:p>
              </w:tc>
              <w:tc>
                <w:tcPr>
                  <w:tcW w:w="1662" w:type="pct"/>
                  <w:tcBorders>
                    <w:tl2br w:val="nil"/>
                    <w:tr2bl w:val="nil"/>
                  </w:tcBorders>
                  <w:shd w:val="clear" w:color="auto" w:fill="auto"/>
                  <w:vAlign w:val="center"/>
                </w:tcPr>
                <w:p>
                  <w:pPr>
                    <w:autoSpaceDE w:val="0"/>
                    <w:autoSpaceDN w:val="0"/>
                    <w:adjustRightInd w:val="0"/>
                    <w:snapToGrid w:val="0"/>
                    <w:jc w:val="center"/>
                    <w:rPr>
                      <w:color w:val="auto"/>
                      <w:szCs w:val="21"/>
                    </w:rPr>
                  </w:pPr>
                  <w:r>
                    <w:rPr>
                      <w:color w:val="auto"/>
                      <w:szCs w:val="21"/>
                    </w:rPr>
                    <w:t>1套</w:t>
                  </w:r>
                </w:p>
              </w:tc>
            </w:tr>
          </w:tbl>
          <w:p>
            <w:pPr>
              <w:adjustRightInd w:val="0"/>
              <w:snapToGrid w:val="0"/>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工程实例：</w:t>
            </w:r>
            <w:r>
              <w:rPr>
                <w:rFonts w:hint="default" w:ascii="Times New Roman" w:hAnsi="Times New Roman" w:cs="Times New Roman"/>
                <w:color w:val="auto"/>
                <w:sz w:val="24"/>
              </w:rPr>
              <w:t>威埃姆输送机械（无锡）有限公司等离子切割工序产生的颗粒物经脉冲式滤筒除尘器处理，进出口颗粒物废气浓度均大于50mg/m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，出口颗粒物废气平均浓度为1.367mg/m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，则脉冲式滤筒除尘器对有颗粒物的处理效率大于97.3%，因此本项目脉冲式滤筒除尘器去除效率以95%计可行。</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脉冲式滤筒除尘器环境管理要求：根据粉尘量的大小，合理调整脉冲自动清灰间隔以及脉冲宽度。对贮存在集灰斗的粉尘要定时、定期清理。设备定期保养，确保正常运行。</w:t>
            </w:r>
          </w:p>
          <w:p>
            <w:pPr>
              <w:pStyle w:val="3"/>
              <w:numPr>
                <w:ilvl w:val="0"/>
                <w:numId w:val="0"/>
              </w:numPr>
              <w:rPr>
                <w:rFonts w:ascii="Calibri" w:hAnsi="Calibri" w:cs="Calibri"/>
                <w:color w:val="auto"/>
              </w:rPr>
            </w:pPr>
          </w:p>
          <w:p>
            <w:pPr>
              <w:pStyle w:val="3"/>
              <w:numPr>
                <w:ilvl w:val="0"/>
                <w:numId w:val="0"/>
              </w:numPr>
              <w:rPr>
                <w:rFonts w:ascii="Calibri" w:hAnsi="Calibri" w:cs="Calibri"/>
                <w:color w:val="auto"/>
              </w:rPr>
            </w:pPr>
          </w:p>
          <w:p>
            <w:pPr>
              <w:pStyle w:val="3"/>
              <w:numPr>
                <w:ilvl w:val="0"/>
                <w:numId w:val="0"/>
              </w:numPr>
              <w:rPr>
                <w:rFonts w:ascii="Calibri" w:hAnsi="Calibri" w:cs="Calibri"/>
                <w:color w:val="auto"/>
              </w:rPr>
            </w:pPr>
          </w:p>
          <w:p>
            <w:pPr>
              <w:pStyle w:val="3"/>
              <w:numPr>
                <w:ilvl w:val="0"/>
                <w:numId w:val="0"/>
              </w:numPr>
              <w:rPr>
                <w:rFonts w:ascii="Calibri" w:hAnsi="Calibri" w:cs="Calibri"/>
                <w:color w:val="auto"/>
              </w:rPr>
            </w:pPr>
          </w:p>
          <w:p>
            <w:pPr>
              <w:pStyle w:val="3"/>
              <w:numPr>
                <w:ilvl w:val="0"/>
                <w:numId w:val="0"/>
              </w:numPr>
              <w:rPr>
                <w:rFonts w:ascii="Calibri" w:hAnsi="Calibri" w:cs="Calibri"/>
                <w:color w:val="auto"/>
              </w:rPr>
            </w:pPr>
          </w:p>
          <w:p>
            <w:pPr>
              <w:pStyle w:val="3"/>
              <w:numPr>
                <w:ilvl w:val="0"/>
                <w:numId w:val="0"/>
              </w:numPr>
              <w:rPr>
                <w:rFonts w:ascii="Calibri" w:hAnsi="Calibri" w:cs="Calibri"/>
                <w:color w:val="auto"/>
              </w:rPr>
            </w:pPr>
          </w:p>
          <w:p>
            <w:pPr>
              <w:pStyle w:val="3"/>
              <w:numPr>
                <w:ilvl w:val="0"/>
                <w:numId w:val="0"/>
              </w:numPr>
              <w:rPr>
                <w:rFonts w:ascii="Calibri" w:hAnsi="Calibri" w:cs="Calibri"/>
                <w:color w:val="auto"/>
              </w:rPr>
            </w:pPr>
          </w:p>
          <w:p>
            <w:pPr>
              <w:pStyle w:val="3"/>
              <w:numPr>
                <w:ilvl w:val="0"/>
                <w:numId w:val="0"/>
              </w:numPr>
              <w:rPr>
                <w:rFonts w:ascii="Calibri" w:hAnsi="Calibri" w:cs="Calibri"/>
                <w:color w:val="auto"/>
              </w:rPr>
            </w:pPr>
          </w:p>
          <w:p>
            <w:pPr>
              <w:pStyle w:val="3"/>
              <w:numPr>
                <w:ilvl w:val="0"/>
                <w:numId w:val="0"/>
              </w:numPr>
              <w:rPr>
                <w:rFonts w:ascii="Calibri" w:hAnsi="Calibri" w:cs="Calibri"/>
                <w:color w:val="auto"/>
              </w:rPr>
            </w:pPr>
          </w:p>
          <w:p>
            <w:pPr>
              <w:pStyle w:val="3"/>
              <w:numPr>
                <w:ilvl w:val="0"/>
                <w:numId w:val="0"/>
              </w:numPr>
              <w:rPr>
                <w:rFonts w:ascii="Calibri" w:hAnsi="Calibri" w:cs="Calibri"/>
                <w:color w:val="auto"/>
              </w:rPr>
            </w:pPr>
          </w:p>
          <w:p>
            <w:pPr>
              <w:pStyle w:val="3"/>
              <w:numPr>
                <w:ilvl w:val="0"/>
                <w:numId w:val="0"/>
              </w:numPr>
              <w:rPr>
                <w:rFonts w:ascii="Calibri" w:hAnsi="Calibri" w:cs="Calibri"/>
                <w:color w:val="auto"/>
              </w:rPr>
            </w:pPr>
          </w:p>
          <w:p>
            <w:pPr>
              <w:pStyle w:val="3"/>
              <w:numPr>
                <w:ilvl w:val="0"/>
                <w:numId w:val="0"/>
              </w:numPr>
              <w:rPr>
                <w:rFonts w:ascii="Calibri" w:hAnsi="Calibri" w:cs="Calibri"/>
                <w:color w:val="auto"/>
              </w:rPr>
            </w:pPr>
          </w:p>
          <w:p>
            <w:pPr>
              <w:pStyle w:val="3"/>
              <w:numPr>
                <w:ilvl w:val="0"/>
                <w:numId w:val="0"/>
              </w:numPr>
              <w:rPr>
                <w:rFonts w:ascii="Calibri" w:hAnsi="Calibri" w:cs="Calibri"/>
                <w:color w:val="auto"/>
              </w:rPr>
            </w:pPr>
          </w:p>
          <w:p>
            <w:pPr>
              <w:pStyle w:val="3"/>
              <w:numPr>
                <w:ilvl w:val="0"/>
                <w:numId w:val="0"/>
              </w:numPr>
              <w:rPr>
                <w:rFonts w:ascii="Calibri" w:hAnsi="Calibri" w:cs="Calibri"/>
                <w:color w:val="auto"/>
              </w:rPr>
            </w:pPr>
          </w:p>
          <w:p>
            <w:pPr>
              <w:pStyle w:val="3"/>
              <w:numPr>
                <w:ilvl w:val="0"/>
                <w:numId w:val="0"/>
              </w:numPr>
              <w:rPr>
                <w:rFonts w:ascii="Calibri" w:hAnsi="Calibri" w:cs="Calibri"/>
                <w:color w:val="auto"/>
              </w:rPr>
            </w:pPr>
          </w:p>
        </w:tc>
      </w:tr>
    </w:tbl>
    <w:p>
      <w:pPr>
        <w:pStyle w:val="2"/>
        <w:rPr>
          <w:color w:val="auto"/>
        </w:rPr>
      </w:pPr>
      <w:r>
        <w:rPr>
          <w:color w:val="auto"/>
        </w:rPr>
        <w:br w:type="page"/>
      </w:r>
    </w:p>
    <w:p>
      <w:pPr>
        <w:pStyle w:val="3"/>
        <w:rPr>
          <w:color w:val="auto"/>
        </w:rPr>
        <w:sectPr>
          <w:pgSz w:w="11906" w:h="16838"/>
          <w:pgMar w:top="1440" w:right="1797" w:bottom="1440" w:left="1797" w:header="851" w:footer="992" w:gutter="0"/>
          <w:pgBorders>
            <w:top w:val="none" w:sz="0" w:space="0"/>
            <w:left w:val="none" w:sz="0" w:space="0"/>
            <w:bottom w:val="none" w:sz="0" w:space="0"/>
            <w:right w:val="none" w:sz="0" w:space="0"/>
          </w:pgBorders>
          <w:cols w:space="0" w:num="1"/>
          <w:docGrid w:type="lines" w:linePitch="319" w:charSpace="0"/>
        </w:sectPr>
      </w:pPr>
    </w:p>
    <w:tbl>
      <w:tblPr>
        <w:tblStyle w:val="26"/>
        <w:tblW w:w="140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8"/>
        <w:gridCol w:w="136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8" w:type="dxa"/>
            <w:tcMar>
              <w:left w:w="28" w:type="dxa"/>
              <w:right w:w="28" w:type="dxa"/>
            </w:tcMar>
            <w:vAlign w:val="center"/>
          </w:tcPr>
          <w:p>
            <w:pPr>
              <w:pStyle w:val="2"/>
              <w:rPr>
                <w:color w:val="auto"/>
              </w:rPr>
            </w:pPr>
          </w:p>
        </w:tc>
        <w:tc>
          <w:tcPr>
            <w:tcW w:w="13690" w:type="dxa"/>
            <w:vAlign w:val="center"/>
          </w:tcPr>
          <w:p>
            <w:pPr>
              <w:pStyle w:val="16"/>
              <w:adjustRightInd w:val="0"/>
              <w:snapToGrid w:val="0"/>
              <w:spacing w:after="0" w:line="360" w:lineRule="auto"/>
              <w:ind w:left="0" w:leftChars="0" w:firstLine="482"/>
              <w:rPr>
                <w:b/>
                <w:bCs/>
                <w:color w:val="auto"/>
                <w:sz w:val="24"/>
                <w:szCs w:val="24"/>
              </w:rPr>
            </w:pPr>
            <w:r>
              <w:rPr>
                <w:b/>
                <w:bCs/>
                <w:color w:val="auto"/>
                <w:sz w:val="24"/>
                <w:szCs w:val="24"/>
              </w:rPr>
              <w:t>（3）</w:t>
            </w:r>
            <w:r>
              <w:rPr>
                <w:rFonts w:hint="eastAsia"/>
                <w:b/>
                <w:bCs/>
                <w:color w:val="auto"/>
                <w:sz w:val="24"/>
                <w:szCs w:val="24"/>
              </w:rPr>
              <w:t>废气排放</w:t>
            </w:r>
            <w:r>
              <w:rPr>
                <w:b/>
                <w:bCs/>
                <w:color w:val="auto"/>
                <w:sz w:val="24"/>
                <w:szCs w:val="24"/>
              </w:rPr>
              <w:t>基本情况及达标分析</w:t>
            </w:r>
          </w:p>
          <w:p>
            <w:pPr>
              <w:pStyle w:val="17"/>
              <w:ind w:firstLine="480" w:firstLineChars="200"/>
              <w:rPr>
                <w:color w:val="auto"/>
                <w:sz w:val="24"/>
                <w:szCs w:val="24"/>
              </w:rPr>
            </w:pPr>
            <w:r>
              <w:rPr>
                <w:color w:val="auto"/>
                <w:sz w:val="24"/>
                <w:szCs w:val="24"/>
              </w:rPr>
              <w:t>本项目建成后，全厂废气排气口基本情况如</w:t>
            </w:r>
            <w:r>
              <w:rPr>
                <w:rFonts w:hint="eastAsia"/>
                <w:color w:val="auto"/>
                <w:sz w:val="24"/>
                <w:szCs w:val="24"/>
              </w:rPr>
              <w:t>下表</w:t>
            </w:r>
            <w:r>
              <w:rPr>
                <w:color w:val="auto"/>
                <w:sz w:val="24"/>
                <w:szCs w:val="24"/>
              </w:rPr>
              <w:t>。</w:t>
            </w:r>
          </w:p>
          <w:p>
            <w:pPr>
              <w:pStyle w:val="6"/>
              <w:numPr>
                <w:ilvl w:val="0"/>
                <w:numId w:val="16"/>
              </w:numPr>
              <w:adjustRightInd w:val="0"/>
              <w:snapToGrid w:val="0"/>
              <w:ind w:firstLineChars="0"/>
              <w:jc w:val="center"/>
              <w:rPr>
                <w:b/>
                <w:bCs/>
                <w:color w:val="auto"/>
                <w:sz w:val="24"/>
              </w:rPr>
            </w:pPr>
            <w:r>
              <w:rPr>
                <w:b/>
                <w:bCs/>
                <w:color w:val="auto"/>
                <w:sz w:val="24"/>
              </w:rPr>
              <w:t>废气排放口基本情况表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023"/>
              <w:gridCol w:w="1371"/>
              <w:gridCol w:w="1268"/>
              <w:gridCol w:w="759"/>
              <w:gridCol w:w="714"/>
              <w:gridCol w:w="1031"/>
              <w:gridCol w:w="458"/>
              <w:gridCol w:w="1328"/>
              <w:gridCol w:w="1470"/>
              <w:gridCol w:w="1355"/>
              <w:gridCol w:w="1347"/>
              <w:gridCol w:w="134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80" w:type="pct"/>
                  <w:vMerge w:val="restart"/>
                  <w:vAlign w:val="center"/>
                </w:tcPr>
                <w:p>
                  <w:pPr>
                    <w:jc w:val="center"/>
                    <w:rPr>
                      <w:b/>
                      <w:bCs/>
                      <w:color w:val="auto"/>
                      <w:szCs w:val="21"/>
                    </w:rPr>
                  </w:pPr>
                  <w:r>
                    <w:rPr>
                      <w:b/>
                      <w:bCs/>
                      <w:color w:val="auto"/>
                      <w:szCs w:val="21"/>
                    </w:rPr>
                    <w:t>点源</w:t>
                  </w:r>
                </w:p>
                <w:p>
                  <w:pPr>
                    <w:jc w:val="center"/>
                    <w:rPr>
                      <w:b/>
                      <w:bCs/>
                      <w:color w:val="auto"/>
                      <w:szCs w:val="21"/>
                    </w:rPr>
                  </w:pPr>
                  <w:r>
                    <w:rPr>
                      <w:b/>
                      <w:bCs/>
                      <w:color w:val="auto"/>
                      <w:szCs w:val="21"/>
                    </w:rPr>
                    <w:t>编号</w:t>
                  </w:r>
                </w:p>
              </w:tc>
              <w:tc>
                <w:tcPr>
                  <w:tcW w:w="980" w:type="pct"/>
                  <w:gridSpan w:val="2"/>
                  <w:vAlign w:val="center"/>
                </w:tcPr>
                <w:p>
                  <w:pPr>
                    <w:jc w:val="center"/>
                    <w:rPr>
                      <w:b/>
                      <w:bCs/>
                      <w:color w:val="auto"/>
                      <w:szCs w:val="21"/>
                    </w:rPr>
                  </w:pPr>
                  <w:r>
                    <w:rPr>
                      <w:b/>
                      <w:bCs/>
                      <w:color w:val="auto"/>
                      <w:szCs w:val="21"/>
                    </w:rPr>
                    <w:t>排气筒底部</w:t>
                  </w:r>
                </w:p>
                <w:p>
                  <w:pPr>
                    <w:jc w:val="center"/>
                    <w:rPr>
                      <w:b/>
                      <w:bCs/>
                      <w:color w:val="auto"/>
                      <w:szCs w:val="21"/>
                    </w:rPr>
                  </w:pPr>
                  <w:r>
                    <w:rPr>
                      <w:b/>
                      <w:bCs/>
                      <w:color w:val="auto"/>
                      <w:szCs w:val="21"/>
                    </w:rPr>
                    <w:t>中心坐标/°</w:t>
                  </w:r>
                </w:p>
              </w:tc>
              <w:tc>
                <w:tcPr>
                  <w:tcW w:w="282" w:type="pct"/>
                  <w:vMerge w:val="restart"/>
                  <w:vAlign w:val="center"/>
                </w:tcPr>
                <w:p>
                  <w:pPr>
                    <w:jc w:val="center"/>
                    <w:rPr>
                      <w:b/>
                      <w:bCs/>
                      <w:color w:val="auto"/>
                      <w:szCs w:val="21"/>
                    </w:rPr>
                  </w:pPr>
                  <w:r>
                    <w:rPr>
                      <w:b/>
                      <w:bCs/>
                      <w:color w:val="auto"/>
                      <w:szCs w:val="21"/>
                    </w:rPr>
                    <w:t>排气筒高度/m</w:t>
                  </w:r>
                </w:p>
              </w:tc>
              <w:tc>
                <w:tcPr>
                  <w:tcW w:w="265" w:type="pct"/>
                  <w:vMerge w:val="restart"/>
                  <w:vAlign w:val="center"/>
                </w:tcPr>
                <w:p>
                  <w:pPr>
                    <w:jc w:val="center"/>
                    <w:rPr>
                      <w:b/>
                      <w:bCs/>
                      <w:color w:val="auto"/>
                      <w:szCs w:val="21"/>
                    </w:rPr>
                  </w:pPr>
                  <w:r>
                    <w:rPr>
                      <w:b/>
                      <w:bCs/>
                      <w:color w:val="auto"/>
                      <w:szCs w:val="21"/>
                    </w:rPr>
                    <w:t>排气筒内径/m</w:t>
                  </w:r>
                </w:p>
              </w:tc>
              <w:tc>
                <w:tcPr>
                  <w:tcW w:w="383" w:type="pct"/>
                  <w:vMerge w:val="restart"/>
                  <w:vAlign w:val="center"/>
                </w:tcPr>
                <w:p>
                  <w:pPr>
                    <w:jc w:val="center"/>
                    <w:rPr>
                      <w:b/>
                      <w:bCs/>
                      <w:color w:val="auto"/>
                      <w:szCs w:val="21"/>
                    </w:rPr>
                  </w:pPr>
                  <w:r>
                    <w:rPr>
                      <w:b/>
                      <w:bCs/>
                      <w:color w:val="auto"/>
                      <w:szCs w:val="21"/>
                    </w:rPr>
                    <w:t>年排放小时数/h</w:t>
                  </w:r>
                </w:p>
              </w:tc>
              <w:tc>
                <w:tcPr>
                  <w:tcW w:w="170" w:type="pct"/>
                  <w:vMerge w:val="restart"/>
                  <w:vAlign w:val="center"/>
                </w:tcPr>
                <w:p>
                  <w:pPr>
                    <w:jc w:val="center"/>
                    <w:rPr>
                      <w:b/>
                      <w:bCs/>
                      <w:color w:val="auto"/>
                      <w:szCs w:val="21"/>
                    </w:rPr>
                  </w:pPr>
                  <w:r>
                    <w:rPr>
                      <w:b/>
                      <w:bCs/>
                      <w:color w:val="auto"/>
                      <w:szCs w:val="21"/>
                    </w:rPr>
                    <w:t>烟气</w:t>
                  </w:r>
                </w:p>
                <w:p>
                  <w:pPr>
                    <w:jc w:val="center"/>
                    <w:rPr>
                      <w:b/>
                      <w:bCs/>
                      <w:color w:val="auto"/>
                      <w:szCs w:val="21"/>
                    </w:rPr>
                  </w:pPr>
                  <w:r>
                    <w:rPr>
                      <w:b/>
                      <w:bCs/>
                      <w:color w:val="auto"/>
                      <w:szCs w:val="21"/>
                    </w:rPr>
                    <w:t>温度/℃</w:t>
                  </w:r>
                </w:p>
              </w:tc>
              <w:tc>
                <w:tcPr>
                  <w:tcW w:w="1542" w:type="pct"/>
                  <w:gridSpan w:val="3"/>
                  <w:vAlign w:val="center"/>
                </w:tcPr>
                <w:p>
                  <w:pPr>
                    <w:jc w:val="center"/>
                    <w:rPr>
                      <w:b/>
                      <w:bCs/>
                      <w:color w:val="auto"/>
                      <w:szCs w:val="21"/>
                    </w:rPr>
                  </w:pPr>
                  <w:r>
                    <w:rPr>
                      <w:b/>
                      <w:bCs/>
                      <w:color w:val="auto"/>
                      <w:szCs w:val="21"/>
                    </w:rPr>
                    <w:t>污染物排放情况</w:t>
                  </w:r>
                </w:p>
              </w:tc>
              <w:tc>
                <w:tcPr>
                  <w:tcW w:w="998" w:type="pct"/>
                  <w:gridSpan w:val="2"/>
                  <w:vAlign w:val="center"/>
                </w:tcPr>
                <w:p>
                  <w:pPr>
                    <w:jc w:val="center"/>
                    <w:rPr>
                      <w:b/>
                      <w:bCs/>
                      <w:color w:val="auto"/>
                      <w:szCs w:val="21"/>
                    </w:rPr>
                  </w:pPr>
                  <w:r>
                    <w:rPr>
                      <w:b/>
                      <w:bCs/>
                      <w:color w:val="auto"/>
                      <w:szCs w:val="21"/>
                    </w:rPr>
                    <w:t>污</w:t>
                  </w:r>
                  <w:r>
                    <w:rPr>
                      <w:color w:val="auto"/>
                    </w:rPr>
                    <w:commentReference w:id="22"/>
                  </w:r>
                  <w:r>
                    <w:rPr>
                      <w:b/>
                      <w:bCs/>
                      <w:color w:val="auto"/>
                      <w:szCs w:val="21"/>
                    </w:rPr>
                    <w:t>染物排放标准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80" w:type="pct"/>
                  <w:vMerge w:val="continue"/>
                  <w:vAlign w:val="center"/>
                </w:tcPr>
                <w:p>
                  <w:pPr>
                    <w:widowControl/>
                    <w:jc w:val="left"/>
                    <w:rPr>
                      <w:b/>
                      <w:bCs/>
                      <w:color w:val="auto"/>
                      <w:szCs w:val="21"/>
                    </w:rPr>
                  </w:pPr>
                </w:p>
              </w:tc>
              <w:tc>
                <w:tcPr>
                  <w:tcW w:w="509" w:type="pct"/>
                  <w:vAlign w:val="center"/>
                </w:tcPr>
                <w:p>
                  <w:pPr>
                    <w:jc w:val="center"/>
                    <w:rPr>
                      <w:b/>
                      <w:bCs/>
                      <w:color w:val="auto"/>
                      <w:szCs w:val="21"/>
                    </w:rPr>
                  </w:pPr>
                  <w:r>
                    <w:rPr>
                      <w:b/>
                      <w:bCs/>
                      <w:color w:val="auto"/>
                      <w:szCs w:val="21"/>
                    </w:rPr>
                    <w:t>X</w:t>
                  </w:r>
                </w:p>
              </w:tc>
              <w:tc>
                <w:tcPr>
                  <w:tcW w:w="471" w:type="pct"/>
                  <w:vAlign w:val="center"/>
                </w:tcPr>
                <w:p>
                  <w:pPr>
                    <w:jc w:val="center"/>
                    <w:rPr>
                      <w:b/>
                      <w:bCs/>
                      <w:color w:val="auto"/>
                      <w:szCs w:val="21"/>
                    </w:rPr>
                  </w:pPr>
                  <w:r>
                    <w:rPr>
                      <w:b/>
                      <w:bCs/>
                      <w:color w:val="auto"/>
                      <w:szCs w:val="21"/>
                    </w:rPr>
                    <w:t>Y</w:t>
                  </w:r>
                </w:p>
              </w:tc>
              <w:tc>
                <w:tcPr>
                  <w:tcW w:w="282" w:type="pct"/>
                  <w:vMerge w:val="continue"/>
                  <w:vAlign w:val="center"/>
                </w:tcPr>
                <w:p>
                  <w:pPr>
                    <w:widowControl/>
                    <w:jc w:val="left"/>
                    <w:rPr>
                      <w:b/>
                      <w:bCs/>
                      <w:color w:val="auto"/>
                      <w:szCs w:val="21"/>
                    </w:rPr>
                  </w:pPr>
                </w:p>
              </w:tc>
              <w:tc>
                <w:tcPr>
                  <w:tcW w:w="265" w:type="pct"/>
                  <w:vMerge w:val="continue"/>
                  <w:vAlign w:val="center"/>
                </w:tcPr>
                <w:p>
                  <w:pPr>
                    <w:widowControl/>
                    <w:jc w:val="left"/>
                    <w:rPr>
                      <w:b/>
                      <w:bCs/>
                      <w:color w:val="auto"/>
                      <w:szCs w:val="21"/>
                    </w:rPr>
                  </w:pPr>
                </w:p>
              </w:tc>
              <w:tc>
                <w:tcPr>
                  <w:tcW w:w="383" w:type="pct"/>
                  <w:vMerge w:val="continue"/>
                  <w:vAlign w:val="center"/>
                </w:tcPr>
                <w:p>
                  <w:pPr>
                    <w:widowControl/>
                    <w:jc w:val="left"/>
                    <w:rPr>
                      <w:b/>
                      <w:bCs/>
                      <w:color w:val="auto"/>
                      <w:szCs w:val="21"/>
                    </w:rPr>
                  </w:pPr>
                </w:p>
              </w:tc>
              <w:tc>
                <w:tcPr>
                  <w:tcW w:w="170" w:type="pct"/>
                  <w:vMerge w:val="continue"/>
                  <w:vAlign w:val="center"/>
                </w:tcPr>
                <w:p>
                  <w:pPr>
                    <w:widowControl/>
                    <w:jc w:val="left"/>
                    <w:rPr>
                      <w:b/>
                      <w:bCs/>
                      <w:color w:val="auto"/>
                      <w:szCs w:val="21"/>
                    </w:rPr>
                  </w:pPr>
                </w:p>
              </w:tc>
              <w:tc>
                <w:tcPr>
                  <w:tcW w:w="493" w:type="pct"/>
                  <w:vAlign w:val="center"/>
                </w:tcPr>
                <w:p>
                  <w:pPr>
                    <w:jc w:val="center"/>
                    <w:rPr>
                      <w:b/>
                      <w:bCs/>
                      <w:color w:val="auto"/>
                      <w:szCs w:val="21"/>
                    </w:rPr>
                  </w:pPr>
                  <w:r>
                    <w:rPr>
                      <w:b/>
                      <w:bCs/>
                      <w:color w:val="auto"/>
                      <w:szCs w:val="21"/>
                    </w:rPr>
                    <w:t>污染物名称</w:t>
                  </w:r>
                </w:p>
              </w:tc>
              <w:tc>
                <w:tcPr>
                  <w:tcW w:w="546" w:type="pct"/>
                  <w:vAlign w:val="center"/>
                </w:tcPr>
                <w:p>
                  <w:pPr>
                    <w:jc w:val="center"/>
                    <w:rPr>
                      <w:b/>
                      <w:bCs/>
                      <w:color w:val="auto"/>
                      <w:szCs w:val="21"/>
                    </w:rPr>
                  </w:pPr>
                  <w:r>
                    <w:rPr>
                      <w:b/>
                      <w:bCs/>
                      <w:color w:val="auto"/>
                      <w:szCs w:val="21"/>
                    </w:rPr>
                    <w:t>排放浓度（mg/m</w:t>
                  </w:r>
                  <w:r>
                    <w:rPr>
                      <w:b/>
                      <w:bCs/>
                      <w:color w:val="auto"/>
                      <w:szCs w:val="21"/>
                      <w:vertAlign w:val="superscript"/>
                    </w:rPr>
                    <w:t>3</w:t>
                  </w:r>
                  <w:r>
                    <w:rPr>
                      <w:b/>
                      <w:bCs/>
                      <w:color w:val="auto"/>
                      <w:szCs w:val="21"/>
                    </w:rPr>
                    <w:t>）</w:t>
                  </w:r>
                </w:p>
              </w:tc>
              <w:tc>
                <w:tcPr>
                  <w:tcW w:w="503" w:type="pct"/>
                  <w:vAlign w:val="center"/>
                </w:tcPr>
                <w:p>
                  <w:pPr>
                    <w:jc w:val="center"/>
                    <w:rPr>
                      <w:b/>
                      <w:bCs/>
                      <w:color w:val="auto"/>
                      <w:szCs w:val="21"/>
                    </w:rPr>
                  </w:pPr>
                  <w:r>
                    <w:rPr>
                      <w:b/>
                      <w:bCs/>
                      <w:color w:val="auto"/>
                      <w:szCs w:val="21"/>
                    </w:rPr>
                    <w:t>排放速率（kg/h）</w:t>
                  </w:r>
                </w:p>
              </w:tc>
              <w:tc>
                <w:tcPr>
                  <w:tcW w:w="500" w:type="pct"/>
                  <w:vAlign w:val="center"/>
                </w:tcPr>
                <w:p>
                  <w:pPr>
                    <w:jc w:val="center"/>
                    <w:rPr>
                      <w:b/>
                      <w:bCs/>
                      <w:color w:val="auto"/>
                      <w:szCs w:val="21"/>
                    </w:rPr>
                  </w:pPr>
                  <w:r>
                    <w:rPr>
                      <w:b/>
                      <w:bCs/>
                      <w:color w:val="auto"/>
                      <w:szCs w:val="21"/>
                    </w:rPr>
                    <w:t>浓度（mg/m</w:t>
                  </w:r>
                  <w:r>
                    <w:rPr>
                      <w:b/>
                      <w:bCs/>
                      <w:color w:val="auto"/>
                      <w:szCs w:val="21"/>
                      <w:vertAlign w:val="superscript"/>
                    </w:rPr>
                    <w:t>3</w:t>
                  </w:r>
                  <w:r>
                    <w:rPr>
                      <w:b/>
                      <w:bCs/>
                      <w:color w:val="auto"/>
                      <w:szCs w:val="21"/>
                    </w:rPr>
                    <w:t>）</w:t>
                  </w:r>
                </w:p>
              </w:tc>
              <w:tc>
                <w:tcPr>
                  <w:tcW w:w="498" w:type="pct"/>
                  <w:vAlign w:val="center"/>
                </w:tcPr>
                <w:p>
                  <w:pPr>
                    <w:jc w:val="center"/>
                    <w:rPr>
                      <w:b/>
                      <w:bCs/>
                      <w:color w:val="auto"/>
                      <w:szCs w:val="21"/>
                    </w:rPr>
                  </w:pPr>
                  <w:r>
                    <w:rPr>
                      <w:b/>
                      <w:bCs/>
                      <w:color w:val="auto"/>
                      <w:szCs w:val="21"/>
                    </w:rPr>
                    <w:t>速率（kg/h）</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80" w:type="pct"/>
                  <w:vMerge w:val="restart"/>
                  <w:vAlign w:val="center"/>
                </w:tcPr>
                <w:p>
                  <w:pPr>
                    <w:widowControl/>
                    <w:spacing w:line="320" w:lineRule="exact"/>
                    <w:jc w:val="center"/>
                    <w:rPr>
                      <w:color w:val="auto"/>
                      <w:szCs w:val="21"/>
                    </w:rPr>
                  </w:pPr>
                  <w:r>
                    <w:rPr>
                      <w:color w:val="auto"/>
                      <w:szCs w:val="21"/>
                    </w:rPr>
                    <w:t>DA001</w:t>
                  </w:r>
                </w:p>
              </w:tc>
              <w:tc>
                <w:tcPr>
                  <w:tcW w:w="509" w:type="pct"/>
                  <w:vMerge w:val="restart"/>
                  <w:vAlign w:val="center"/>
                </w:tcPr>
                <w:p>
                  <w:pPr>
                    <w:widowControl/>
                    <w:jc w:val="right"/>
                    <w:textAlignment w:val="center"/>
                    <w:rPr>
                      <w:color w:val="auto"/>
                      <w:szCs w:val="21"/>
                    </w:rPr>
                  </w:pPr>
                  <w:r>
                    <w:rPr>
                      <w:rFonts w:hint="eastAsia"/>
                      <w:color w:val="auto"/>
                      <w:szCs w:val="21"/>
                    </w:rPr>
                    <w:t>120.412390438</w:t>
                  </w:r>
                </w:p>
              </w:tc>
              <w:tc>
                <w:tcPr>
                  <w:tcW w:w="471" w:type="pct"/>
                  <w:vMerge w:val="restart"/>
                  <w:vAlign w:val="center"/>
                </w:tcPr>
                <w:p>
                  <w:pPr>
                    <w:widowControl/>
                    <w:jc w:val="right"/>
                    <w:textAlignment w:val="center"/>
                    <w:rPr>
                      <w:color w:val="auto"/>
                      <w:szCs w:val="21"/>
                    </w:rPr>
                  </w:pPr>
                  <w:r>
                    <w:rPr>
                      <w:rFonts w:hint="eastAsia"/>
                      <w:color w:val="auto"/>
                      <w:szCs w:val="21"/>
                    </w:rPr>
                    <w:t>31.575367284</w:t>
                  </w:r>
                </w:p>
              </w:tc>
              <w:tc>
                <w:tcPr>
                  <w:tcW w:w="282" w:type="pct"/>
                  <w:vMerge w:val="restart"/>
                  <w:vAlign w:val="center"/>
                </w:tcPr>
                <w:p>
                  <w:pPr>
                    <w:jc w:val="center"/>
                    <w:rPr>
                      <w:color w:val="auto"/>
                      <w:szCs w:val="21"/>
                    </w:rPr>
                  </w:pPr>
                  <w:r>
                    <w:rPr>
                      <w:color w:val="auto"/>
                      <w:szCs w:val="21"/>
                    </w:rPr>
                    <w:t>15</w:t>
                  </w:r>
                </w:p>
              </w:tc>
              <w:tc>
                <w:tcPr>
                  <w:tcW w:w="265" w:type="pct"/>
                  <w:vMerge w:val="restart"/>
                  <w:vAlign w:val="center"/>
                </w:tcPr>
                <w:p>
                  <w:pPr>
                    <w:adjustRightInd w:val="0"/>
                    <w:snapToGrid w:val="0"/>
                    <w:jc w:val="center"/>
                    <w:rPr>
                      <w:color w:val="auto"/>
                      <w:szCs w:val="21"/>
                    </w:rPr>
                  </w:pPr>
                  <w:r>
                    <w:rPr>
                      <w:color w:val="auto"/>
                      <w:szCs w:val="21"/>
                    </w:rPr>
                    <w:t>0.4</w:t>
                  </w:r>
                </w:p>
              </w:tc>
              <w:tc>
                <w:tcPr>
                  <w:tcW w:w="383" w:type="pct"/>
                  <w:vMerge w:val="restart"/>
                  <w:vAlign w:val="center"/>
                </w:tcPr>
                <w:p>
                  <w:pPr>
                    <w:adjustRightInd w:val="0"/>
                    <w:snapToGrid w:val="0"/>
                    <w:jc w:val="center"/>
                    <w:rPr>
                      <w:color w:val="auto"/>
                      <w:szCs w:val="21"/>
                    </w:rPr>
                  </w:pPr>
                  <w:r>
                    <w:rPr>
                      <w:rFonts w:hint="eastAsia"/>
                      <w:color w:val="auto"/>
                      <w:szCs w:val="21"/>
                    </w:rPr>
                    <w:t>4800</w:t>
                  </w:r>
                </w:p>
              </w:tc>
              <w:tc>
                <w:tcPr>
                  <w:tcW w:w="170" w:type="pct"/>
                  <w:vMerge w:val="restart"/>
                  <w:vAlign w:val="center"/>
                </w:tcPr>
                <w:p>
                  <w:pPr>
                    <w:adjustRightInd w:val="0"/>
                    <w:snapToGrid w:val="0"/>
                    <w:jc w:val="center"/>
                    <w:rPr>
                      <w:color w:val="auto"/>
                      <w:szCs w:val="21"/>
                    </w:rPr>
                  </w:pPr>
                  <w:r>
                    <w:rPr>
                      <w:color w:val="auto"/>
                      <w:szCs w:val="21"/>
                    </w:rPr>
                    <w:t>50</w:t>
                  </w:r>
                </w:p>
              </w:tc>
              <w:tc>
                <w:tcPr>
                  <w:tcW w:w="493" w:type="pct"/>
                  <w:vAlign w:val="center"/>
                </w:tcPr>
                <w:p>
                  <w:pPr>
                    <w:adjustRightInd w:val="0"/>
                    <w:snapToGrid w:val="0"/>
                    <w:jc w:val="center"/>
                    <w:rPr>
                      <w:color w:val="auto"/>
                      <w:szCs w:val="21"/>
                    </w:rPr>
                  </w:pPr>
                  <w:r>
                    <w:rPr>
                      <w:color w:val="auto"/>
                      <w:szCs w:val="21"/>
                    </w:rPr>
                    <w:t>颗粒物</w:t>
                  </w:r>
                </w:p>
              </w:tc>
              <w:tc>
                <w:tcPr>
                  <w:tcW w:w="546" w:type="pct"/>
                  <w:vAlign w:val="center"/>
                </w:tcPr>
                <w:p>
                  <w:pPr>
                    <w:widowControl/>
                    <w:jc w:val="center"/>
                    <w:textAlignment w:val="center"/>
                    <w:rPr>
                      <w:color w:val="auto"/>
                      <w:kern w:val="0"/>
                      <w:szCs w:val="21"/>
                      <w:lang w:bidi="ar"/>
                    </w:rPr>
                  </w:pPr>
                  <w:r>
                    <w:rPr>
                      <w:color w:val="auto"/>
                      <w:szCs w:val="21"/>
                    </w:rPr>
                    <w:t>3.5750</w:t>
                  </w:r>
                </w:p>
              </w:tc>
              <w:tc>
                <w:tcPr>
                  <w:tcW w:w="503" w:type="pct"/>
                  <w:vAlign w:val="center"/>
                </w:tcPr>
                <w:p>
                  <w:pPr>
                    <w:widowControl/>
                    <w:jc w:val="center"/>
                    <w:textAlignment w:val="center"/>
                    <w:rPr>
                      <w:color w:val="auto"/>
                      <w:kern w:val="0"/>
                      <w:szCs w:val="21"/>
                      <w:lang w:bidi="ar"/>
                    </w:rPr>
                  </w:pPr>
                  <w:r>
                    <w:rPr>
                      <w:color w:val="auto"/>
                      <w:szCs w:val="21"/>
                    </w:rPr>
                    <w:t>0.0107</w:t>
                  </w:r>
                </w:p>
              </w:tc>
              <w:tc>
                <w:tcPr>
                  <w:tcW w:w="500" w:type="pct"/>
                  <w:vAlign w:val="center"/>
                </w:tcPr>
                <w:p>
                  <w:pPr>
                    <w:adjustRightInd w:val="0"/>
                    <w:snapToGrid w:val="0"/>
                    <w:jc w:val="center"/>
                    <w:rPr>
                      <w:color w:val="auto"/>
                      <w:kern w:val="0"/>
                      <w:szCs w:val="21"/>
                      <w:lang w:bidi="ar"/>
                    </w:rPr>
                  </w:pPr>
                  <w:r>
                    <w:rPr>
                      <w:rFonts w:hint="eastAsia"/>
                      <w:color w:val="auto"/>
                      <w:szCs w:val="21"/>
                    </w:rPr>
                    <w:t>20</w:t>
                  </w:r>
                </w:p>
              </w:tc>
              <w:tc>
                <w:tcPr>
                  <w:tcW w:w="498" w:type="pct"/>
                  <w:vAlign w:val="center"/>
                </w:tcPr>
                <w:p>
                  <w:pPr>
                    <w:jc w:val="center"/>
                    <w:rPr>
                      <w:color w:val="auto"/>
                      <w:kern w:val="0"/>
                      <w:szCs w:val="21"/>
                      <w:lang w:bidi="ar"/>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80" w:type="pct"/>
                  <w:vMerge w:val="continue"/>
                  <w:vAlign w:val="center"/>
                </w:tcPr>
                <w:p>
                  <w:pPr>
                    <w:widowControl/>
                    <w:spacing w:line="320" w:lineRule="exact"/>
                    <w:jc w:val="center"/>
                    <w:rPr>
                      <w:color w:val="auto"/>
                      <w:szCs w:val="21"/>
                    </w:rPr>
                  </w:pPr>
                </w:p>
              </w:tc>
              <w:tc>
                <w:tcPr>
                  <w:tcW w:w="509" w:type="pct"/>
                  <w:vMerge w:val="continue"/>
                  <w:vAlign w:val="center"/>
                </w:tcPr>
                <w:p>
                  <w:pPr>
                    <w:jc w:val="center"/>
                    <w:rPr>
                      <w:color w:val="auto"/>
                      <w:szCs w:val="21"/>
                    </w:rPr>
                  </w:pPr>
                </w:p>
              </w:tc>
              <w:tc>
                <w:tcPr>
                  <w:tcW w:w="471" w:type="pct"/>
                  <w:vMerge w:val="continue"/>
                  <w:vAlign w:val="center"/>
                </w:tcPr>
                <w:p>
                  <w:pPr>
                    <w:jc w:val="center"/>
                    <w:rPr>
                      <w:color w:val="auto"/>
                      <w:szCs w:val="21"/>
                    </w:rPr>
                  </w:pPr>
                </w:p>
              </w:tc>
              <w:tc>
                <w:tcPr>
                  <w:tcW w:w="282" w:type="pct"/>
                  <w:vMerge w:val="continue"/>
                  <w:vAlign w:val="center"/>
                </w:tcPr>
                <w:p>
                  <w:pPr>
                    <w:jc w:val="center"/>
                    <w:rPr>
                      <w:color w:val="auto"/>
                      <w:szCs w:val="21"/>
                    </w:rPr>
                  </w:pPr>
                </w:p>
              </w:tc>
              <w:tc>
                <w:tcPr>
                  <w:tcW w:w="265" w:type="pct"/>
                  <w:vMerge w:val="continue"/>
                  <w:vAlign w:val="center"/>
                </w:tcPr>
                <w:p>
                  <w:pPr>
                    <w:adjustRightInd w:val="0"/>
                    <w:snapToGrid w:val="0"/>
                    <w:jc w:val="center"/>
                    <w:rPr>
                      <w:color w:val="auto"/>
                      <w:szCs w:val="21"/>
                    </w:rPr>
                  </w:pPr>
                </w:p>
              </w:tc>
              <w:tc>
                <w:tcPr>
                  <w:tcW w:w="383" w:type="pct"/>
                  <w:vMerge w:val="continue"/>
                  <w:vAlign w:val="center"/>
                </w:tcPr>
                <w:p>
                  <w:pPr>
                    <w:adjustRightInd w:val="0"/>
                    <w:snapToGrid w:val="0"/>
                    <w:jc w:val="center"/>
                    <w:rPr>
                      <w:color w:val="auto"/>
                      <w:szCs w:val="21"/>
                    </w:rPr>
                  </w:pPr>
                </w:p>
              </w:tc>
              <w:tc>
                <w:tcPr>
                  <w:tcW w:w="170" w:type="pct"/>
                  <w:vMerge w:val="continue"/>
                  <w:vAlign w:val="center"/>
                </w:tcPr>
                <w:p>
                  <w:pPr>
                    <w:adjustRightInd w:val="0"/>
                    <w:snapToGrid w:val="0"/>
                    <w:jc w:val="center"/>
                    <w:rPr>
                      <w:color w:val="auto"/>
                      <w:szCs w:val="21"/>
                    </w:rPr>
                  </w:pPr>
                </w:p>
              </w:tc>
              <w:tc>
                <w:tcPr>
                  <w:tcW w:w="493" w:type="pct"/>
                  <w:vAlign w:val="center"/>
                </w:tcPr>
                <w:p>
                  <w:pPr>
                    <w:adjustRightInd w:val="0"/>
                    <w:snapToGrid w:val="0"/>
                    <w:jc w:val="center"/>
                    <w:rPr>
                      <w:color w:val="auto"/>
                      <w:szCs w:val="21"/>
                    </w:rPr>
                  </w:pPr>
                  <w:r>
                    <w:rPr>
                      <w:color w:val="auto"/>
                      <w:szCs w:val="21"/>
                    </w:rPr>
                    <w:t>二氧化硫</w:t>
                  </w:r>
                </w:p>
              </w:tc>
              <w:tc>
                <w:tcPr>
                  <w:tcW w:w="546" w:type="pct"/>
                  <w:vAlign w:val="center"/>
                </w:tcPr>
                <w:p>
                  <w:pPr>
                    <w:widowControl/>
                    <w:jc w:val="center"/>
                    <w:textAlignment w:val="center"/>
                    <w:rPr>
                      <w:color w:val="auto"/>
                      <w:kern w:val="0"/>
                      <w:szCs w:val="21"/>
                      <w:lang w:bidi="ar"/>
                    </w:rPr>
                  </w:pPr>
                  <w:r>
                    <w:rPr>
                      <w:color w:val="auto"/>
                      <w:szCs w:val="21"/>
                    </w:rPr>
                    <w:t>0.5000</w:t>
                  </w:r>
                </w:p>
              </w:tc>
              <w:tc>
                <w:tcPr>
                  <w:tcW w:w="503" w:type="pct"/>
                  <w:vAlign w:val="center"/>
                </w:tcPr>
                <w:p>
                  <w:pPr>
                    <w:widowControl/>
                    <w:jc w:val="center"/>
                    <w:textAlignment w:val="center"/>
                    <w:rPr>
                      <w:color w:val="auto"/>
                      <w:kern w:val="0"/>
                      <w:szCs w:val="21"/>
                      <w:lang w:bidi="ar"/>
                    </w:rPr>
                  </w:pPr>
                  <w:r>
                    <w:rPr>
                      <w:color w:val="auto"/>
                      <w:szCs w:val="21"/>
                    </w:rPr>
                    <w:t>0.0015</w:t>
                  </w:r>
                </w:p>
              </w:tc>
              <w:tc>
                <w:tcPr>
                  <w:tcW w:w="500" w:type="pct"/>
                  <w:vAlign w:val="center"/>
                </w:tcPr>
                <w:p>
                  <w:pPr>
                    <w:adjustRightInd w:val="0"/>
                    <w:snapToGrid w:val="0"/>
                    <w:jc w:val="center"/>
                    <w:rPr>
                      <w:color w:val="auto"/>
                      <w:kern w:val="0"/>
                      <w:szCs w:val="21"/>
                      <w:lang w:bidi="ar"/>
                    </w:rPr>
                  </w:pPr>
                  <w:r>
                    <w:rPr>
                      <w:rFonts w:hint="eastAsia"/>
                      <w:color w:val="auto"/>
                    </w:rPr>
                    <w:t>80</w:t>
                  </w:r>
                </w:p>
              </w:tc>
              <w:tc>
                <w:tcPr>
                  <w:tcW w:w="498" w:type="pct"/>
                  <w:vAlign w:val="center"/>
                </w:tcPr>
                <w:p>
                  <w:pPr>
                    <w:jc w:val="center"/>
                    <w:rPr>
                      <w:color w:val="auto"/>
                      <w:kern w:val="0"/>
                      <w:szCs w:val="21"/>
                      <w:lang w:bidi="ar"/>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80" w:type="pct"/>
                  <w:vMerge w:val="continue"/>
                  <w:vAlign w:val="center"/>
                </w:tcPr>
                <w:p>
                  <w:pPr>
                    <w:widowControl/>
                    <w:spacing w:line="320" w:lineRule="exact"/>
                    <w:jc w:val="center"/>
                    <w:rPr>
                      <w:color w:val="auto"/>
                      <w:szCs w:val="21"/>
                    </w:rPr>
                  </w:pPr>
                </w:p>
              </w:tc>
              <w:tc>
                <w:tcPr>
                  <w:tcW w:w="509" w:type="pct"/>
                  <w:vMerge w:val="continue"/>
                  <w:vAlign w:val="center"/>
                </w:tcPr>
                <w:p>
                  <w:pPr>
                    <w:jc w:val="center"/>
                    <w:rPr>
                      <w:color w:val="auto"/>
                      <w:szCs w:val="21"/>
                    </w:rPr>
                  </w:pPr>
                </w:p>
              </w:tc>
              <w:tc>
                <w:tcPr>
                  <w:tcW w:w="471" w:type="pct"/>
                  <w:vMerge w:val="continue"/>
                  <w:vAlign w:val="center"/>
                </w:tcPr>
                <w:p>
                  <w:pPr>
                    <w:jc w:val="center"/>
                    <w:rPr>
                      <w:color w:val="auto"/>
                      <w:szCs w:val="21"/>
                    </w:rPr>
                  </w:pPr>
                </w:p>
              </w:tc>
              <w:tc>
                <w:tcPr>
                  <w:tcW w:w="282" w:type="pct"/>
                  <w:vMerge w:val="continue"/>
                  <w:vAlign w:val="center"/>
                </w:tcPr>
                <w:p>
                  <w:pPr>
                    <w:jc w:val="center"/>
                    <w:rPr>
                      <w:color w:val="auto"/>
                      <w:szCs w:val="21"/>
                    </w:rPr>
                  </w:pPr>
                </w:p>
              </w:tc>
              <w:tc>
                <w:tcPr>
                  <w:tcW w:w="265" w:type="pct"/>
                  <w:vMerge w:val="continue"/>
                  <w:vAlign w:val="center"/>
                </w:tcPr>
                <w:p>
                  <w:pPr>
                    <w:adjustRightInd w:val="0"/>
                    <w:snapToGrid w:val="0"/>
                    <w:jc w:val="center"/>
                    <w:rPr>
                      <w:color w:val="auto"/>
                      <w:szCs w:val="21"/>
                    </w:rPr>
                  </w:pPr>
                </w:p>
              </w:tc>
              <w:tc>
                <w:tcPr>
                  <w:tcW w:w="383" w:type="pct"/>
                  <w:vMerge w:val="continue"/>
                  <w:vAlign w:val="center"/>
                </w:tcPr>
                <w:p>
                  <w:pPr>
                    <w:adjustRightInd w:val="0"/>
                    <w:snapToGrid w:val="0"/>
                    <w:jc w:val="center"/>
                    <w:rPr>
                      <w:color w:val="auto"/>
                      <w:szCs w:val="21"/>
                    </w:rPr>
                  </w:pPr>
                </w:p>
              </w:tc>
              <w:tc>
                <w:tcPr>
                  <w:tcW w:w="170" w:type="pct"/>
                  <w:vMerge w:val="continue"/>
                  <w:vAlign w:val="center"/>
                </w:tcPr>
                <w:p>
                  <w:pPr>
                    <w:adjustRightInd w:val="0"/>
                    <w:snapToGrid w:val="0"/>
                    <w:jc w:val="center"/>
                    <w:rPr>
                      <w:color w:val="auto"/>
                      <w:szCs w:val="21"/>
                    </w:rPr>
                  </w:pPr>
                </w:p>
              </w:tc>
              <w:tc>
                <w:tcPr>
                  <w:tcW w:w="493" w:type="pct"/>
                  <w:vAlign w:val="center"/>
                </w:tcPr>
                <w:p>
                  <w:pPr>
                    <w:adjustRightInd w:val="0"/>
                    <w:snapToGrid w:val="0"/>
                    <w:jc w:val="center"/>
                    <w:rPr>
                      <w:color w:val="auto"/>
                      <w:szCs w:val="21"/>
                    </w:rPr>
                  </w:pPr>
                  <w:r>
                    <w:rPr>
                      <w:color w:val="auto"/>
                      <w:szCs w:val="21"/>
                    </w:rPr>
                    <w:t>氮氧化物</w:t>
                  </w:r>
                </w:p>
              </w:tc>
              <w:tc>
                <w:tcPr>
                  <w:tcW w:w="546" w:type="pct"/>
                  <w:vAlign w:val="center"/>
                </w:tcPr>
                <w:p>
                  <w:pPr>
                    <w:widowControl/>
                    <w:jc w:val="center"/>
                    <w:textAlignment w:val="center"/>
                    <w:rPr>
                      <w:color w:val="auto"/>
                      <w:kern w:val="0"/>
                      <w:szCs w:val="21"/>
                      <w:lang w:bidi="ar"/>
                    </w:rPr>
                  </w:pPr>
                  <w:r>
                    <w:rPr>
                      <w:color w:val="auto"/>
                      <w:szCs w:val="21"/>
                    </w:rPr>
                    <w:t>19.8403</w:t>
                  </w:r>
                </w:p>
              </w:tc>
              <w:tc>
                <w:tcPr>
                  <w:tcW w:w="503" w:type="pct"/>
                  <w:vAlign w:val="center"/>
                </w:tcPr>
                <w:p>
                  <w:pPr>
                    <w:widowControl/>
                    <w:jc w:val="center"/>
                    <w:textAlignment w:val="center"/>
                    <w:rPr>
                      <w:color w:val="auto"/>
                      <w:kern w:val="0"/>
                      <w:szCs w:val="21"/>
                      <w:lang w:bidi="ar"/>
                    </w:rPr>
                  </w:pPr>
                  <w:r>
                    <w:rPr>
                      <w:color w:val="auto"/>
                      <w:szCs w:val="21"/>
                    </w:rPr>
                    <w:t>0.0595</w:t>
                  </w:r>
                </w:p>
              </w:tc>
              <w:tc>
                <w:tcPr>
                  <w:tcW w:w="500" w:type="pct"/>
                  <w:vAlign w:val="center"/>
                </w:tcPr>
                <w:p>
                  <w:pPr>
                    <w:adjustRightInd w:val="0"/>
                    <w:snapToGrid w:val="0"/>
                    <w:jc w:val="center"/>
                    <w:rPr>
                      <w:color w:val="auto"/>
                      <w:kern w:val="0"/>
                      <w:szCs w:val="21"/>
                      <w:lang w:bidi="ar"/>
                    </w:rPr>
                  </w:pPr>
                  <w:r>
                    <w:rPr>
                      <w:rFonts w:hint="eastAsia"/>
                      <w:color w:val="auto"/>
                      <w:szCs w:val="21"/>
                    </w:rPr>
                    <w:t>180</w:t>
                  </w:r>
                </w:p>
              </w:tc>
              <w:tc>
                <w:tcPr>
                  <w:tcW w:w="498" w:type="pct"/>
                  <w:vAlign w:val="center"/>
                </w:tcPr>
                <w:p>
                  <w:pPr>
                    <w:jc w:val="center"/>
                    <w:rPr>
                      <w:color w:val="auto"/>
                      <w:kern w:val="0"/>
                      <w:szCs w:val="21"/>
                      <w:lang w:bidi="ar"/>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80" w:type="pct"/>
                  <w:vAlign w:val="center"/>
                </w:tcPr>
                <w:p>
                  <w:pPr>
                    <w:widowControl/>
                    <w:spacing w:line="320" w:lineRule="exact"/>
                    <w:jc w:val="center"/>
                    <w:rPr>
                      <w:color w:val="auto"/>
                      <w:szCs w:val="21"/>
                      <w:highlight w:val="yellow"/>
                    </w:rPr>
                  </w:pPr>
                  <w:r>
                    <w:rPr>
                      <w:color w:val="auto"/>
                      <w:szCs w:val="21"/>
                    </w:rPr>
                    <w:t>DA00</w:t>
                  </w:r>
                  <w:r>
                    <w:rPr>
                      <w:rFonts w:hint="eastAsia"/>
                      <w:color w:val="auto"/>
                      <w:szCs w:val="21"/>
                    </w:rPr>
                    <w:t>2</w:t>
                  </w:r>
                </w:p>
              </w:tc>
              <w:tc>
                <w:tcPr>
                  <w:tcW w:w="509" w:type="pct"/>
                  <w:vAlign w:val="center"/>
                </w:tcPr>
                <w:p>
                  <w:pPr>
                    <w:widowControl/>
                    <w:jc w:val="right"/>
                    <w:textAlignment w:val="center"/>
                    <w:rPr>
                      <w:color w:val="auto"/>
                      <w:szCs w:val="21"/>
                      <w:highlight w:val="yellow"/>
                    </w:rPr>
                  </w:pPr>
                  <w:r>
                    <w:rPr>
                      <w:rFonts w:hint="eastAsia"/>
                      <w:color w:val="auto"/>
                      <w:szCs w:val="21"/>
                    </w:rPr>
                    <w:t>120.412173179</w:t>
                  </w:r>
                </w:p>
              </w:tc>
              <w:tc>
                <w:tcPr>
                  <w:tcW w:w="471" w:type="pct"/>
                  <w:vAlign w:val="center"/>
                </w:tcPr>
                <w:p>
                  <w:pPr>
                    <w:widowControl/>
                    <w:jc w:val="right"/>
                    <w:textAlignment w:val="center"/>
                    <w:rPr>
                      <w:color w:val="auto"/>
                      <w:szCs w:val="21"/>
                      <w:highlight w:val="yellow"/>
                    </w:rPr>
                  </w:pPr>
                  <w:r>
                    <w:rPr>
                      <w:rFonts w:hint="eastAsia"/>
                      <w:color w:val="auto"/>
                      <w:szCs w:val="21"/>
                    </w:rPr>
                    <w:t>31.575479937</w:t>
                  </w:r>
                </w:p>
              </w:tc>
              <w:tc>
                <w:tcPr>
                  <w:tcW w:w="282" w:type="pct"/>
                  <w:vAlign w:val="center"/>
                </w:tcPr>
                <w:p>
                  <w:pPr>
                    <w:jc w:val="center"/>
                    <w:rPr>
                      <w:color w:val="auto"/>
                      <w:szCs w:val="21"/>
                    </w:rPr>
                  </w:pPr>
                  <w:r>
                    <w:rPr>
                      <w:color w:val="auto"/>
                      <w:szCs w:val="21"/>
                    </w:rPr>
                    <w:t>15</w:t>
                  </w:r>
                </w:p>
              </w:tc>
              <w:tc>
                <w:tcPr>
                  <w:tcW w:w="265" w:type="pct"/>
                  <w:vAlign w:val="center"/>
                </w:tcPr>
                <w:p>
                  <w:pPr>
                    <w:adjustRightInd w:val="0"/>
                    <w:snapToGrid w:val="0"/>
                    <w:jc w:val="center"/>
                    <w:rPr>
                      <w:color w:val="auto"/>
                      <w:szCs w:val="21"/>
                    </w:rPr>
                  </w:pPr>
                  <w:r>
                    <w:rPr>
                      <w:color w:val="auto"/>
                      <w:szCs w:val="21"/>
                    </w:rPr>
                    <w:t>0.4</w:t>
                  </w:r>
                </w:p>
              </w:tc>
              <w:tc>
                <w:tcPr>
                  <w:tcW w:w="383" w:type="pct"/>
                  <w:vAlign w:val="center"/>
                </w:tcPr>
                <w:p>
                  <w:pPr>
                    <w:adjustRightInd w:val="0"/>
                    <w:snapToGrid w:val="0"/>
                    <w:jc w:val="center"/>
                    <w:rPr>
                      <w:color w:val="auto"/>
                      <w:szCs w:val="21"/>
                    </w:rPr>
                  </w:pPr>
                  <w:r>
                    <w:rPr>
                      <w:rFonts w:hint="eastAsia"/>
                      <w:color w:val="auto"/>
                      <w:szCs w:val="21"/>
                    </w:rPr>
                    <w:t>4800</w:t>
                  </w:r>
                </w:p>
              </w:tc>
              <w:tc>
                <w:tcPr>
                  <w:tcW w:w="170" w:type="pct"/>
                  <w:vAlign w:val="center"/>
                </w:tcPr>
                <w:p>
                  <w:pPr>
                    <w:adjustRightInd w:val="0"/>
                    <w:snapToGrid w:val="0"/>
                    <w:jc w:val="center"/>
                    <w:rPr>
                      <w:color w:val="auto"/>
                      <w:szCs w:val="21"/>
                    </w:rPr>
                  </w:pPr>
                  <w:r>
                    <w:rPr>
                      <w:rFonts w:hint="eastAsia"/>
                      <w:color w:val="auto"/>
                      <w:szCs w:val="21"/>
                    </w:rPr>
                    <w:t>25</w:t>
                  </w:r>
                </w:p>
              </w:tc>
              <w:tc>
                <w:tcPr>
                  <w:tcW w:w="493" w:type="pct"/>
                  <w:vAlign w:val="center"/>
                </w:tcPr>
                <w:p>
                  <w:pPr>
                    <w:adjustRightInd w:val="0"/>
                    <w:snapToGrid w:val="0"/>
                    <w:jc w:val="center"/>
                    <w:rPr>
                      <w:color w:val="auto"/>
                      <w:szCs w:val="21"/>
                    </w:rPr>
                  </w:pPr>
                  <w:r>
                    <w:rPr>
                      <w:rFonts w:hint="eastAsia"/>
                      <w:color w:val="auto"/>
                      <w:szCs w:val="21"/>
                    </w:rPr>
                    <w:t>颗粒物</w:t>
                  </w:r>
                </w:p>
              </w:tc>
              <w:tc>
                <w:tcPr>
                  <w:tcW w:w="546" w:type="pct"/>
                  <w:vAlign w:val="center"/>
                </w:tcPr>
                <w:p>
                  <w:pPr>
                    <w:widowControl/>
                    <w:jc w:val="center"/>
                    <w:textAlignment w:val="center"/>
                    <w:rPr>
                      <w:color w:val="auto"/>
                      <w:kern w:val="0"/>
                      <w:szCs w:val="21"/>
                      <w:lang w:bidi="ar"/>
                    </w:rPr>
                  </w:pPr>
                  <w:r>
                    <w:rPr>
                      <w:rFonts w:hint="eastAsia"/>
                      <w:color w:val="auto"/>
                      <w:szCs w:val="21"/>
                    </w:rPr>
                    <w:t>3.2986</w:t>
                  </w:r>
                  <w:r>
                    <w:rPr>
                      <w:color w:val="auto"/>
                      <w:szCs w:val="21"/>
                    </w:rPr>
                    <w:t xml:space="preserve"> </w:t>
                  </w:r>
                </w:p>
              </w:tc>
              <w:tc>
                <w:tcPr>
                  <w:tcW w:w="503" w:type="pct"/>
                  <w:vAlign w:val="center"/>
                </w:tcPr>
                <w:p>
                  <w:pPr>
                    <w:widowControl/>
                    <w:jc w:val="center"/>
                    <w:textAlignment w:val="center"/>
                    <w:rPr>
                      <w:color w:val="auto"/>
                      <w:kern w:val="0"/>
                      <w:szCs w:val="21"/>
                      <w:lang w:bidi="ar"/>
                    </w:rPr>
                  </w:pPr>
                  <w:r>
                    <w:rPr>
                      <w:color w:val="auto"/>
                      <w:szCs w:val="21"/>
                    </w:rPr>
                    <w:t>0.0</w:t>
                  </w:r>
                  <w:r>
                    <w:rPr>
                      <w:rFonts w:hint="eastAsia"/>
                      <w:color w:val="auto"/>
                      <w:szCs w:val="21"/>
                    </w:rPr>
                    <w:t>594</w:t>
                  </w:r>
                  <w:r>
                    <w:rPr>
                      <w:color w:val="auto"/>
                      <w:szCs w:val="21"/>
                    </w:rPr>
                    <w:t xml:space="preserve"> </w:t>
                  </w:r>
                </w:p>
              </w:tc>
              <w:tc>
                <w:tcPr>
                  <w:tcW w:w="500" w:type="pct"/>
                  <w:vAlign w:val="center"/>
                </w:tcPr>
                <w:p>
                  <w:pPr>
                    <w:adjustRightInd w:val="0"/>
                    <w:snapToGrid w:val="0"/>
                    <w:jc w:val="center"/>
                    <w:rPr>
                      <w:color w:val="auto"/>
                      <w:szCs w:val="21"/>
                    </w:rPr>
                  </w:pPr>
                  <w:r>
                    <w:rPr>
                      <w:rFonts w:hint="eastAsia"/>
                      <w:color w:val="auto"/>
                      <w:szCs w:val="21"/>
                    </w:rPr>
                    <w:t>10</w:t>
                  </w:r>
                </w:p>
              </w:tc>
              <w:tc>
                <w:tcPr>
                  <w:tcW w:w="498" w:type="pct"/>
                  <w:vAlign w:val="center"/>
                </w:tcPr>
                <w:p>
                  <w:pPr>
                    <w:adjustRightInd w:val="0"/>
                    <w:snapToGrid w:val="0"/>
                    <w:jc w:val="center"/>
                    <w:rPr>
                      <w:color w:val="auto"/>
                      <w:szCs w:val="21"/>
                    </w:rPr>
                  </w:pPr>
                  <w:r>
                    <w:rPr>
                      <w:rFonts w:hint="eastAsia"/>
                      <w:color w:val="auto"/>
                      <w:szCs w:val="21"/>
                    </w:rPr>
                    <w:t>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380" w:type="pct"/>
                  <w:vAlign w:val="center"/>
                </w:tcPr>
                <w:p>
                  <w:pPr>
                    <w:widowControl/>
                    <w:spacing w:line="320" w:lineRule="exact"/>
                    <w:jc w:val="center"/>
                    <w:rPr>
                      <w:color w:val="auto"/>
                      <w:szCs w:val="21"/>
                    </w:rPr>
                  </w:pPr>
                  <w:r>
                    <w:rPr>
                      <w:color w:val="auto"/>
                      <w:szCs w:val="21"/>
                    </w:rPr>
                    <w:t>DA00</w:t>
                  </w:r>
                  <w:r>
                    <w:rPr>
                      <w:rFonts w:hint="eastAsia"/>
                      <w:color w:val="auto"/>
                      <w:szCs w:val="21"/>
                    </w:rPr>
                    <w:t>3</w:t>
                  </w:r>
                </w:p>
              </w:tc>
              <w:tc>
                <w:tcPr>
                  <w:tcW w:w="509" w:type="pct"/>
                  <w:vAlign w:val="center"/>
                </w:tcPr>
                <w:p>
                  <w:pPr>
                    <w:widowControl/>
                    <w:jc w:val="right"/>
                    <w:textAlignment w:val="center"/>
                    <w:rPr>
                      <w:color w:val="auto"/>
                      <w:szCs w:val="21"/>
                    </w:rPr>
                  </w:pPr>
                  <w:r>
                    <w:rPr>
                      <w:rFonts w:hint="eastAsia"/>
                      <w:color w:val="auto"/>
                      <w:szCs w:val="21"/>
                    </w:rPr>
                    <w:t>120.412532595</w:t>
                  </w:r>
                </w:p>
              </w:tc>
              <w:tc>
                <w:tcPr>
                  <w:tcW w:w="471" w:type="pct"/>
                  <w:vAlign w:val="center"/>
                </w:tcPr>
                <w:p>
                  <w:pPr>
                    <w:widowControl/>
                    <w:jc w:val="right"/>
                    <w:textAlignment w:val="center"/>
                    <w:rPr>
                      <w:color w:val="auto"/>
                      <w:szCs w:val="21"/>
                    </w:rPr>
                  </w:pPr>
                  <w:r>
                    <w:rPr>
                      <w:rFonts w:hint="eastAsia"/>
                      <w:color w:val="auto"/>
                      <w:szCs w:val="21"/>
                    </w:rPr>
                    <w:t>31.575268042</w:t>
                  </w:r>
                </w:p>
              </w:tc>
              <w:tc>
                <w:tcPr>
                  <w:tcW w:w="282" w:type="pct"/>
                  <w:vAlign w:val="center"/>
                </w:tcPr>
                <w:p>
                  <w:pPr>
                    <w:jc w:val="center"/>
                    <w:rPr>
                      <w:color w:val="auto"/>
                      <w:szCs w:val="21"/>
                    </w:rPr>
                  </w:pPr>
                  <w:r>
                    <w:rPr>
                      <w:color w:val="auto"/>
                      <w:szCs w:val="21"/>
                    </w:rPr>
                    <w:t>15</w:t>
                  </w:r>
                </w:p>
              </w:tc>
              <w:tc>
                <w:tcPr>
                  <w:tcW w:w="265" w:type="pct"/>
                  <w:vAlign w:val="center"/>
                </w:tcPr>
                <w:p>
                  <w:pPr>
                    <w:adjustRightInd w:val="0"/>
                    <w:snapToGrid w:val="0"/>
                    <w:jc w:val="center"/>
                    <w:rPr>
                      <w:color w:val="auto"/>
                      <w:szCs w:val="21"/>
                    </w:rPr>
                  </w:pPr>
                  <w:r>
                    <w:rPr>
                      <w:color w:val="auto"/>
                      <w:szCs w:val="21"/>
                    </w:rPr>
                    <w:t>0.4</w:t>
                  </w:r>
                </w:p>
              </w:tc>
              <w:tc>
                <w:tcPr>
                  <w:tcW w:w="383" w:type="pct"/>
                  <w:vAlign w:val="center"/>
                </w:tcPr>
                <w:p>
                  <w:pPr>
                    <w:adjustRightInd w:val="0"/>
                    <w:snapToGrid w:val="0"/>
                    <w:jc w:val="center"/>
                    <w:rPr>
                      <w:color w:val="auto"/>
                      <w:szCs w:val="21"/>
                    </w:rPr>
                  </w:pPr>
                  <w:r>
                    <w:rPr>
                      <w:rFonts w:hint="eastAsia"/>
                      <w:color w:val="auto"/>
                      <w:szCs w:val="21"/>
                    </w:rPr>
                    <w:t>48</w:t>
                  </w:r>
                  <w:r>
                    <w:rPr>
                      <w:color w:val="auto"/>
                      <w:szCs w:val="21"/>
                    </w:rPr>
                    <w:t>00</w:t>
                  </w:r>
                </w:p>
              </w:tc>
              <w:tc>
                <w:tcPr>
                  <w:tcW w:w="170" w:type="pct"/>
                  <w:vAlign w:val="center"/>
                </w:tcPr>
                <w:p>
                  <w:pPr>
                    <w:adjustRightInd w:val="0"/>
                    <w:snapToGrid w:val="0"/>
                    <w:jc w:val="center"/>
                    <w:rPr>
                      <w:color w:val="auto"/>
                      <w:szCs w:val="21"/>
                    </w:rPr>
                  </w:pPr>
                  <w:r>
                    <w:rPr>
                      <w:color w:val="auto"/>
                      <w:szCs w:val="21"/>
                    </w:rPr>
                    <w:t>50</w:t>
                  </w:r>
                </w:p>
              </w:tc>
              <w:tc>
                <w:tcPr>
                  <w:tcW w:w="493" w:type="pct"/>
                  <w:vAlign w:val="center"/>
                </w:tcPr>
                <w:p>
                  <w:pPr>
                    <w:adjustRightInd w:val="0"/>
                    <w:snapToGrid w:val="0"/>
                    <w:jc w:val="center"/>
                    <w:rPr>
                      <w:color w:val="auto"/>
                      <w:szCs w:val="21"/>
                    </w:rPr>
                  </w:pPr>
                  <w:r>
                    <w:rPr>
                      <w:color w:val="auto"/>
                      <w:szCs w:val="21"/>
                    </w:rPr>
                    <w:t>非甲烷总烃</w:t>
                  </w:r>
                </w:p>
              </w:tc>
              <w:tc>
                <w:tcPr>
                  <w:tcW w:w="546" w:type="pct"/>
                  <w:vAlign w:val="center"/>
                </w:tcPr>
                <w:p>
                  <w:pPr>
                    <w:widowControl/>
                    <w:jc w:val="center"/>
                    <w:textAlignment w:val="center"/>
                    <w:rPr>
                      <w:color w:val="auto"/>
                      <w:szCs w:val="21"/>
                    </w:rPr>
                  </w:pPr>
                  <w:r>
                    <w:rPr>
                      <w:color w:val="auto"/>
                      <w:szCs w:val="21"/>
                    </w:rPr>
                    <w:t xml:space="preserve">2.1375 </w:t>
                  </w:r>
                </w:p>
              </w:tc>
              <w:tc>
                <w:tcPr>
                  <w:tcW w:w="503" w:type="pct"/>
                  <w:vAlign w:val="center"/>
                </w:tcPr>
                <w:p>
                  <w:pPr>
                    <w:widowControl/>
                    <w:jc w:val="center"/>
                    <w:textAlignment w:val="center"/>
                    <w:rPr>
                      <w:color w:val="auto"/>
                      <w:szCs w:val="21"/>
                    </w:rPr>
                  </w:pPr>
                  <w:r>
                    <w:rPr>
                      <w:color w:val="auto"/>
                      <w:szCs w:val="21"/>
                    </w:rPr>
                    <w:t xml:space="preserve">0.0107 </w:t>
                  </w:r>
                </w:p>
              </w:tc>
              <w:tc>
                <w:tcPr>
                  <w:tcW w:w="500" w:type="pct"/>
                  <w:vAlign w:val="center"/>
                </w:tcPr>
                <w:p>
                  <w:pPr>
                    <w:jc w:val="center"/>
                    <w:rPr>
                      <w:rFonts w:hint="default" w:eastAsia="宋体"/>
                      <w:color w:val="auto"/>
                      <w:szCs w:val="21"/>
                      <w:lang w:val="en-US" w:eastAsia="zh-CN"/>
                    </w:rPr>
                  </w:pPr>
                  <w:r>
                    <w:rPr>
                      <w:rFonts w:hint="eastAsia"/>
                      <w:color w:val="auto"/>
                      <w:kern w:val="0"/>
                      <w:szCs w:val="21"/>
                      <w:lang w:val="en-US" w:eastAsia="zh-CN" w:bidi="ar"/>
                    </w:rPr>
                    <w:t>50</w:t>
                  </w:r>
                </w:p>
              </w:tc>
              <w:tc>
                <w:tcPr>
                  <w:tcW w:w="498" w:type="pct"/>
                  <w:vAlign w:val="center"/>
                </w:tcPr>
                <w:p>
                  <w:pPr>
                    <w:jc w:val="center"/>
                    <w:rPr>
                      <w:rFonts w:hint="default" w:eastAsia="宋体"/>
                      <w:color w:val="auto"/>
                      <w:kern w:val="0"/>
                      <w:szCs w:val="21"/>
                      <w:lang w:val="en-US" w:eastAsia="zh-CN" w:bidi="ar"/>
                    </w:rPr>
                  </w:pPr>
                  <w:r>
                    <w:rPr>
                      <w:rFonts w:hint="eastAsia"/>
                      <w:color w:val="auto"/>
                      <w:kern w:val="0"/>
                      <w:szCs w:val="21"/>
                      <w:lang w:val="en-US" w:eastAsia="zh-CN" w:bidi="ar"/>
                    </w:rPr>
                    <w:t>1.8</w:t>
                  </w:r>
                </w:p>
              </w:tc>
            </w:tr>
          </w:tbl>
          <w:p>
            <w:pPr>
              <w:pStyle w:val="17"/>
              <w:spacing w:before="159" w:beforeLines="50" w:after="0" w:line="360" w:lineRule="auto"/>
              <w:ind w:firstLine="480" w:firstLineChars="200"/>
              <w:rPr>
                <w:color w:val="auto"/>
                <w:kern w:val="2"/>
                <w:sz w:val="24"/>
                <w:szCs w:val="24"/>
              </w:rPr>
            </w:pPr>
            <w:r>
              <w:rPr>
                <w:color w:val="auto"/>
                <w:kern w:val="2"/>
                <w:sz w:val="24"/>
                <w:szCs w:val="24"/>
              </w:rPr>
              <w:t>由上表可知，天然气燃烧废气颗粒物、二氧化硫、氮氧化物的排放浓度及速率达到</w:t>
            </w:r>
            <w:r>
              <w:rPr>
                <w:rFonts w:hint="eastAsia"/>
                <w:color w:val="auto"/>
                <w:kern w:val="2"/>
                <w:sz w:val="24"/>
                <w:szCs w:val="24"/>
              </w:rPr>
              <w:t>江苏省地方标准《工业炉窑大气污染物排放标准》（DB 32/3728-2020）表1标准，</w:t>
            </w:r>
            <w:r>
              <w:rPr>
                <w:color w:val="auto"/>
                <w:kern w:val="2"/>
                <w:sz w:val="24"/>
                <w:szCs w:val="24"/>
              </w:rPr>
              <w:t>非甲烷总烃的排放浓度及速率</w:t>
            </w:r>
            <w:r>
              <w:rPr>
                <w:rFonts w:hint="eastAsia"/>
                <w:color w:val="auto"/>
                <w:kern w:val="2"/>
                <w:sz w:val="24"/>
                <w:szCs w:val="24"/>
              </w:rPr>
              <w:t>达到江苏省地方标准《表面涂装（工程机械和钢结构行业）大气污染物排放标准》（DB32/4147-2021）表1标准，颗粒物</w:t>
            </w:r>
            <w:r>
              <w:rPr>
                <w:color w:val="auto"/>
                <w:kern w:val="2"/>
                <w:sz w:val="24"/>
                <w:szCs w:val="24"/>
              </w:rPr>
              <w:t>的排放浓度及速率</w:t>
            </w:r>
            <w:r>
              <w:rPr>
                <w:rFonts w:hint="eastAsia"/>
                <w:color w:val="auto"/>
                <w:kern w:val="2"/>
                <w:sz w:val="24"/>
                <w:szCs w:val="24"/>
              </w:rPr>
              <w:t>达到</w:t>
            </w:r>
            <w:r>
              <w:rPr>
                <w:color w:val="auto"/>
                <w:kern w:val="2"/>
                <w:sz w:val="24"/>
                <w:szCs w:val="24"/>
              </w:rPr>
              <w:t>江苏省地方标准《大气污染物综合排放标准》（DB32/4041-2021）表1中标准。</w:t>
            </w:r>
          </w:p>
          <w:p>
            <w:pPr>
              <w:rPr>
                <w:color w:val="auto"/>
              </w:rPr>
            </w:pPr>
          </w:p>
          <w:p>
            <w:pPr>
              <w:spacing w:before="159" w:beforeLines="50" w:line="360" w:lineRule="auto"/>
              <w:ind w:firstLine="480" w:firstLineChars="200"/>
              <w:rPr>
                <w:color w:val="auto"/>
                <w:sz w:val="24"/>
              </w:rPr>
            </w:pPr>
          </w:p>
        </w:tc>
      </w:tr>
    </w:tbl>
    <w:p>
      <w:pPr>
        <w:pStyle w:val="2"/>
        <w:rPr>
          <w:color w:val="auto"/>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0" w:num="1"/>
          <w:docGrid w:type="linesAndChars" w:linePitch="319" w:charSpace="0"/>
        </w:sectPr>
      </w:pPr>
    </w:p>
    <w:tbl>
      <w:tblPr>
        <w:tblStyle w:val="26"/>
        <w:tblW w:w="509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37"/>
        <w:gridCol w:w="82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196" w:type="pct"/>
            <w:tcMar>
              <w:left w:w="28" w:type="dxa"/>
              <w:right w:w="28" w:type="dxa"/>
            </w:tcMar>
            <w:vAlign w:val="center"/>
          </w:tcPr>
          <w:p>
            <w:pPr>
              <w:pStyle w:val="3"/>
              <w:numPr>
                <w:ilvl w:val="0"/>
                <w:numId w:val="0"/>
              </w:numPr>
              <w:rPr>
                <w:color w:val="auto"/>
              </w:rPr>
            </w:pPr>
          </w:p>
        </w:tc>
        <w:tc>
          <w:tcPr>
            <w:tcW w:w="4804" w:type="pct"/>
            <w:vAlign w:val="center"/>
          </w:tcPr>
          <w:p>
            <w:pPr>
              <w:spacing w:line="360" w:lineRule="auto"/>
              <w:ind w:firstLine="482" w:firstLineChars="200"/>
              <w:rPr>
                <w:b/>
                <w:bCs/>
                <w:color w:val="auto"/>
                <w:sz w:val="24"/>
              </w:rPr>
            </w:pPr>
            <w:r>
              <w:rPr>
                <w:b/>
                <w:bCs/>
                <w:color w:val="auto"/>
                <w:sz w:val="24"/>
              </w:rPr>
              <w:t>（4）卫生防护距离计算</w:t>
            </w:r>
          </w:p>
          <w:p>
            <w:pPr>
              <w:spacing w:line="360" w:lineRule="auto"/>
              <w:ind w:firstLine="480" w:firstLineChars="200"/>
              <w:rPr>
                <w:color w:val="auto"/>
                <w:sz w:val="24"/>
              </w:rPr>
            </w:pPr>
            <w:r>
              <w:rPr>
                <w:color w:val="auto"/>
                <w:sz w:val="24"/>
              </w:rPr>
              <w:t>①主要特征大气有害物质</w:t>
            </w:r>
          </w:p>
          <w:p>
            <w:pPr>
              <w:spacing w:line="360" w:lineRule="auto"/>
              <w:ind w:firstLine="480" w:firstLineChars="200"/>
              <w:rPr>
                <w:color w:val="auto"/>
                <w:sz w:val="24"/>
              </w:rPr>
            </w:pPr>
            <w:r>
              <w:rPr>
                <w:color w:val="auto"/>
                <w:sz w:val="24"/>
              </w:rPr>
              <w:t>根据《大气有害物质无组织排放 卫生防护距离推导技术导则》（GB/T 39499-2020）选取特征大气有害物质，确定等标排放量（Q</w:t>
            </w:r>
            <w:r>
              <w:rPr>
                <w:color w:val="auto"/>
                <w:sz w:val="24"/>
                <w:vertAlign w:val="subscript"/>
              </w:rPr>
              <w:t>C</w:t>
            </w:r>
            <w:r>
              <w:rPr>
                <w:color w:val="auto"/>
                <w:sz w:val="24"/>
              </w:rPr>
              <w:t>/C</w:t>
            </w:r>
            <w:r>
              <w:rPr>
                <w:color w:val="auto"/>
                <w:sz w:val="24"/>
                <w:vertAlign w:val="subscript"/>
              </w:rPr>
              <w:t>m</w:t>
            </w:r>
            <w:r>
              <w:rPr>
                <w:color w:val="auto"/>
                <w:sz w:val="24"/>
              </w:rPr>
              <w:t>），最终确定卫生防护距离相关的主要特征大气有害物质1~2种。本项目大气污染物等标排放量情况如下表：</w:t>
            </w:r>
          </w:p>
          <w:p>
            <w:pPr>
              <w:pStyle w:val="6"/>
              <w:numPr>
                <w:ilvl w:val="0"/>
                <w:numId w:val="16"/>
              </w:numPr>
              <w:adjustRightInd w:val="0"/>
              <w:snapToGrid w:val="0"/>
              <w:ind w:firstLineChars="0"/>
              <w:jc w:val="center"/>
              <w:rPr>
                <w:b/>
                <w:color w:val="auto"/>
                <w:sz w:val="24"/>
              </w:rPr>
            </w:pPr>
            <w:r>
              <w:rPr>
                <w:b/>
                <w:color w:val="auto"/>
                <w:sz w:val="24"/>
              </w:rPr>
              <w:t>大气污染物等标排放量情况表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275"/>
              <w:gridCol w:w="1271"/>
              <w:gridCol w:w="1284"/>
              <w:gridCol w:w="1822"/>
              <w:gridCol w:w="9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pct"/>
                  <w:vAlign w:val="center"/>
                </w:tcPr>
                <w:p>
                  <w:pPr>
                    <w:autoSpaceDE w:val="0"/>
                    <w:autoSpaceDN w:val="0"/>
                    <w:snapToGrid w:val="0"/>
                    <w:jc w:val="center"/>
                    <w:rPr>
                      <w:b/>
                      <w:color w:val="auto"/>
                      <w:szCs w:val="21"/>
                    </w:rPr>
                  </w:pPr>
                  <w:r>
                    <w:rPr>
                      <w:b/>
                      <w:color w:val="auto"/>
                      <w:szCs w:val="21"/>
                    </w:rPr>
                    <w:t>污染源位置</w:t>
                  </w:r>
                </w:p>
              </w:tc>
              <w:tc>
                <w:tcPr>
                  <w:tcW w:w="792" w:type="pct"/>
                  <w:vAlign w:val="center"/>
                </w:tcPr>
                <w:p>
                  <w:pPr>
                    <w:autoSpaceDE w:val="0"/>
                    <w:autoSpaceDN w:val="0"/>
                    <w:snapToGrid w:val="0"/>
                    <w:jc w:val="center"/>
                    <w:rPr>
                      <w:b/>
                      <w:color w:val="auto"/>
                      <w:szCs w:val="21"/>
                    </w:rPr>
                  </w:pPr>
                  <w:r>
                    <w:rPr>
                      <w:b/>
                      <w:color w:val="auto"/>
                      <w:szCs w:val="21"/>
                    </w:rPr>
                    <w:t>污染物名称</w:t>
                  </w:r>
                </w:p>
              </w:tc>
              <w:tc>
                <w:tcPr>
                  <w:tcW w:w="790" w:type="pct"/>
                  <w:vAlign w:val="center"/>
                </w:tcPr>
                <w:p>
                  <w:pPr>
                    <w:jc w:val="center"/>
                    <w:rPr>
                      <w:b/>
                      <w:color w:val="auto"/>
                      <w:szCs w:val="21"/>
                    </w:rPr>
                  </w:pPr>
                  <w:r>
                    <w:rPr>
                      <w:b/>
                      <w:bCs/>
                      <w:color w:val="auto"/>
                      <w:szCs w:val="21"/>
                    </w:rPr>
                    <w:t>Q</w:t>
                  </w:r>
                  <w:r>
                    <w:rPr>
                      <w:b/>
                      <w:bCs/>
                      <w:color w:val="auto"/>
                      <w:szCs w:val="21"/>
                      <w:vertAlign w:val="subscript"/>
                    </w:rPr>
                    <w:t>c</w:t>
                  </w:r>
                  <w:r>
                    <w:rPr>
                      <w:b/>
                      <w:bCs/>
                      <w:color w:val="auto"/>
                      <w:szCs w:val="21"/>
                    </w:rPr>
                    <w:t>（kg/h）</w:t>
                  </w:r>
                </w:p>
              </w:tc>
              <w:tc>
                <w:tcPr>
                  <w:tcW w:w="798" w:type="pct"/>
                  <w:vAlign w:val="center"/>
                </w:tcPr>
                <w:p>
                  <w:pPr>
                    <w:jc w:val="center"/>
                    <w:rPr>
                      <w:b/>
                      <w:color w:val="auto"/>
                      <w:szCs w:val="21"/>
                    </w:rPr>
                  </w:pPr>
                  <w:r>
                    <w:rPr>
                      <w:b/>
                      <w:bCs/>
                      <w:color w:val="auto"/>
                      <w:szCs w:val="21"/>
                    </w:rPr>
                    <w:t>C</w:t>
                  </w:r>
                  <w:r>
                    <w:rPr>
                      <w:b/>
                      <w:bCs/>
                      <w:color w:val="auto"/>
                      <w:szCs w:val="21"/>
                      <w:vertAlign w:val="subscript"/>
                    </w:rPr>
                    <w:t>m</w:t>
                  </w:r>
                  <w:r>
                    <w:rPr>
                      <w:b/>
                      <w:bCs/>
                      <w:color w:val="auto"/>
                      <w:szCs w:val="21"/>
                    </w:rPr>
                    <w:t>（mg/m</w:t>
                  </w:r>
                  <w:r>
                    <w:rPr>
                      <w:b/>
                      <w:bCs/>
                      <w:color w:val="auto"/>
                      <w:szCs w:val="21"/>
                      <w:vertAlign w:val="superscript"/>
                    </w:rPr>
                    <w:t>3</w:t>
                  </w:r>
                  <w:r>
                    <w:rPr>
                      <w:b/>
                      <w:bCs/>
                      <w:color w:val="auto"/>
                      <w:szCs w:val="21"/>
                    </w:rPr>
                    <w:t>）</w:t>
                  </w:r>
                </w:p>
              </w:tc>
              <w:tc>
                <w:tcPr>
                  <w:tcW w:w="1132" w:type="pct"/>
                  <w:vAlign w:val="center"/>
                </w:tcPr>
                <w:p>
                  <w:pPr>
                    <w:autoSpaceDN w:val="0"/>
                    <w:snapToGrid w:val="0"/>
                    <w:jc w:val="center"/>
                    <w:textAlignment w:val="center"/>
                    <w:rPr>
                      <w:b/>
                      <w:bCs/>
                      <w:color w:val="auto"/>
                      <w:szCs w:val="21"/>
                    </w:rPr>
                  </w:pPr>
                  <w:r>
                    <w:rPr>
                      <w:b/>
                      <w:bCs/>
                      <w:color w:val="auto"/>
                      <w:szCs w:val="21"/>
                    </w:rPr>
                    <w:t>等标排放量（Q</w:t>
                  </w:r>
                  <w:r>
                    <w:rPr>
                      <w:b/>
                      <w:bCs/>
                      <w:color w:val="auto"/>
                      <w:szCs w:val="21"/>
                      <w:vertAlign w:val="subscript"/>
                    </w:rPr>
                    <w:t>c</w:t>
                  </w:r>
                  <w:r>
                    <w:rPr>
                      <w:b/>
                      <w:bCs/>
                      <w:color w:val="auto"/>
                      <w:szCs w:val="21"/>
                    </w:rPr>
                    <w:t>/C</w:t>
                  </w:r>
                  <w:r>
                    <w:rPr>
                      <w:b/>
                      <w:bCs/>
                      <w:color w:val="auto"/>
                      <w:szCs w:val="21"/>
                      <w:vertAlign w:val="subscript"/>
                    </w:rPr>
                    <w:t>m</w:t>
                  </w:r>
                  <w:r>
                    <w:rPr>
                      <w:b/>
                      <w:bCs/>
                      <w:color w:val="auto"/>
                      <w:szCs w:val="21"/>
                    </w:rPr>
                    <w:t>）</w:t>
                  </w:r>
                </w:p>
              </w:tc>
              <w:tc>
                <w:tcPr>
                  <w:tcW w:w="607" w:type="pct"/>
                  <w:vAlign w:val="center"/>
                </w:tcPr>
                <w:p>
                  <w:pPr>
                    <w:autoSpaceDN w:val="0"/>
                    <w:snapToGrid w:val="0"/>
                    <w:jc w:val="center"/>
                    <w:textAlignment w:val="center"/>
                    <w:rPr>
                      <w:b/>
                      <w:color w:val="auto"/>
                      <w:szCs w:val="21"/>
                    </w:rPr>
                  </w:pPr>
                  <w:r>
                    <w:rPr>
                      <w:b/>
                      <w:color w:val="auto"/>
                      <w:szCs w:val="21"/>
                    </w:rPr>
                    <w:t>排序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pct"/>
                  <w:vAlign w:val="center"/>
                </w:tcPr>
                <w:p>
                  <w:pPr>
                    <w:widowControl/>
                    <w:jc w:val="center"/>
                    <w:textAlignment w:val="center"/>
                    <w:rPr>
                      <w:color w:val="auto"/>
                      <w:szCs w:val="21"/>
                    </w:rPr>
                  </w:pPr>
                  <w:r>
                    <w:rPr>
                      <w:rFonts w:hint="eastAsia"/>
                      <w:color w:val="auto"/>
                      <w:szCs w:val="21"/>
                    </w:rPr>
                    <w:t>车间一</w:t>
                  </w:r>
                </w:p>
              </w:tc>
              <w:tc>
                <w:tcPr>
                  <w:tcW w:w="792" w:type="pct"/>
                  <w:vAlign w:val="center"/>
                </w:tcPr>
                <w:p>
                  <w:pPr>
                    <w:widowControl/>
                    <w:jc w:val="center"/>
                    <w:textAlignment w:val="center"/>
                    <w:rPr>
                      <w:color w:val="auto"/>
                      <w:szCs w:val="21"/>
                    </w:rPr>
                  </w:pPr>
                  <w:r>
                    <w:rPr>
                      <w:rFonts w:hint="eastAsia"/>
                      <w:color w:val="auto"/>
                      <w:szCs w:val="21"/>
                    </w:rPr>
                    <w:t>颗粒物</w:t>
                  </w:r>
                </w:p>
              </w:tc>
              <w:tc>
                <w:tcPr>
                  <w:tcW w:w="790" w:type="pct"/>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0.0014</w:t>
                  </w:r>
                </w:p>
              </w:tc>
              <w:tc>
                <w:tcPr>
                  <w:tcW w:w="798" w:type="pct"/>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bidi="ar"/>
                    </w:rPr>
                    <w:t>0.</w:t>
                  </w:r>
                  <w:r>
                    <w:rPr>
                      <w:rFonts w:hint="eastAsia"/>
                      <w:color w:val="auto"/>
                      <w:kern w:val="0"/>
                      <w:szCs w:val="21"/>
                      <w:lang w:val="en-US" w:eastAsia="zh-CN" w:bidi="ar"/>
                    </w:rPr>
                    <w:t>2731</w:t>
                  </w:r>
                </w:p>
              </w:tc>
              <w:tc>
                <w:tcPr>
                  <w:tcW w:w="1132" w:type="pct"/>
                  <w:vAlign w:val="center"/>
                </w:tcPr>
                <w:p>
                  <w:pPr>
                    <w:widowControl/>
                    <w:jc w:val="center"/>
                    <w:textAlignment w:val="center"/>
                    <w:rPr>
                      <w:color w:val="auto"/>
                      <w:szCs w:val="21"/>
                    </w:rPr>
                  </w:pPr>
                  <w:r>
                    <w:rPr>
                      <w:color w:val="auto"/>
                      <w:szCs w:val="21"/>
                    </w:rPr>
                    <w:t>0.00</w:t>
                  </w:r>
                  <w:r>
                    <w:rPr>
                      <w:rFonts w:hint="eastAsia"/>
                      <w:color w:val="auto"/>
                      <w:szCs w:val="21"/>
                    </w:rPr>
                    <w:t>5</w:t>
                  </w:r>
                </w:p>
              </w:tc>
              <w:tc>
                <w:tcPr>
                  <w:tcW w:w="607" w:type="pct"/>
                  <w:vAlign w:val="center"/>
                </w:tcPr>
                <w:p>
                  <w:pPr>
                    <w:jc w:val="center"/>
                    <w:rPr>
                      <w:color w:val="auto"/>
                      <w:szCs w:val="21"/>
                    </w:rPr>
                  </w:pPr>
                  <w:r>
                    <w:rPr>
                      <w:rFonts w:hint="eastAsia"/>
                      <w:color w:val="auto"/>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pct"/>
                  <w:vMerge w:val="restart"/>
                  <w:vAlign w:val="center"/>
                </w:tcPr>
                <w:p>
                  <w:pPr>
                    <w:widowControl/>
                    <w:jc w:val="center"/>
                    <w:textAlignment w:val="center"/>
                    <w:rPr>
                      <w:color w:val="auto"/>
                      <w:szCs w:val="21"/>
                    </w:rPr>
                  </w:pPr>
                  <w:r>
                    <w:rPr>
                      <w:rFonts w:hint="eastAsia"/>
                      <w:color w:val="auto"/>
                      <w:szCs w:val="21"/>
                    </w:rPr>
                    <w:t>车间三</w:t>
                  </w:r>
                </w:p>
              </w:tc>
              <w:tc>
                <w:tcPr>
                  <w:tcW w:w="792" w:type="pct"/>
                  <w:vAlign w:val="center"/>
                </w:tcPr>
                <w:p>
                  <w:pPr>
                    <w:widowControl/>
                    <w:jc w:val="center"/>
                    <w:textAlignment w:val="center"/>
                    <w:rPr>
                      <w:color w:val="auto"/>
                      <w:szCs w:val="21"/>
                    </w:rPr>
                  </w:pPr>
                  <w:r>
                    <w:rPr>
                      <w:color w:val="auto"/>
                      <w:szCs w:val="21"/>
                    </w:rPr>
                    <w:t>颗粒物</w:t>
                  </w:r>
                </w:p>
              </w:tc>
              <w:tc>
                <w:tcPr>
                  <w:tcW w:w="790" w:type="pct"/>
                  <w:vAlign w:val="center"/>
                </w:tcPr>
                <w:p>
                  <w:pPr>
                    <w:widowControl/>
                    <w:jc w:val="center"/>
                    <w:textAlignment w:val="center"/>
                    <w:rPr>
                      <w:color w:val="auto"/>
                      <w:kern w:val="0"/>
                      <w:szCs w:val="21"/>
                      <w:lang w:bidi="ar"/>
                    </w:rPr>
                  </w:pPr>
                  <w:r>
                    <w:rPr>
                      <w:rFonts w:hint="eastAsia"/>
                      <w:color w:val="auto"/>
                      <w:kern w:val="0"/>
                      <w:szCs w:val="21"/>
                      <w:lang w:bidi="ar"/>
                    </w:rPr>
                    <w:t>0.0625</w:t>
                  </w:r>
                </w:p>
              </w:tc>
              <w:tc>
                <w:tcPr>
                  <w:tcW w:w="798" w:type="pct"/>
                  <w:vAlign w:val="center"/>
                </w:tcPr>
                <w:p>
                  <w:pPr>
                    <w:widowControl/>
                    <w:jc w:val="center"/>
                    <w:textAlignment w:val="center"/>
                    <w:rPr>
                      <w:color w:val="auto"/>
                      <w:kern w:val="0"/>
                      <w:szCs w:val="21"/>
                    </w:rPr>
                  </w:pPr>
                  <w:r>
                    <w:rPr>
                      <w:rFonts w:hint="eastAsia"/>
                      <w:color w:val="auto"/>
                      <w:kern w:val="0"/>
                      <w:szCs w:val="21"/>
                    </w:rPr>
                    <w:t>3.4722</w:t>
                  </w:r>
                </w:p>
              </w:tc>
              <w:tc>
                <w:tcPr>
                  <w:tcW w:w="1132" w:type="pct"/>
                  <w:vAlign w:val="center"/>
                </w:tcPr>
                <w:p>
                  <w:pPr>
                    <w:widowControl/>
                    <w:jc w:val="center"/>
                    <w:textAlignment w:val="center"/>
                    <w:rPr>
                      <w:color w:val="auto"/>
                      <w:szCs w:val="21"/>
                    </w:rPr>
                  </w:pPr>
                  <w:r>
                    <w:rPr>
                      <w:color w:val="auto"/>
                      <w:szCs w:val="21"/>
                    </w:rPr>
                    <w:t>0.0180</w:t>
                  </w:r>
                </w:p>
              </w:tc>
              <w:tc>
                <w:tcPr>
                  <w:tcW w:w="607" w:type="pct"/>
                  <w:vAlign w:val="center"/>
                </w:tcPr>
                <w:p>
                  <w:pPr>
                    <w:jc w:val="center"/>
                    <w:rPr>
                      <w:color w:val="auto"/>
                      <w:szCs w:val="21"/>
                    </w:rPr>
                  </w:pPr>
                  <w:r>
                    <w:rPr>
                      <w:rFonts w:hint="eastAsia"/>
                      <w:color w:val="auto"/>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pct"/>
                  <w:vMerge w:val="continue"/>
                  <w:vAlign w:val="center"/>
                </w:tcPr>
                <w:p>
                  <w:pPr>
                    <w:widowControl/>
                    <w:jc w:val="center"/>
                    <w:textAlignment w:val="center"/>
                    <w:rPr>
                      <w:color w:val="auto"/>
                      <w:szCs w:val="21"/>
                    </w:rPr>
                  </w:pPr>
                </w:p>
              </w:tc>
              <w:tc>
                <w:tcPr>
                  <w:tcW w:w="792" w:type="pct"/>
                  <w:vMerge w:val="restart"/>
                  <w:vAlign w:val="center"/>
                </w:tcPr>
                <w:p>
                  <w:pPr>
                    <w:widowControl/>
                    <w:jc w:val="center"/>
                    <w:textAlignment w:val="center"/>
                    <w:rPr>
                      <w:color w:val="auto"/>
                      <w:szCs w:val="21"/>
                    </w:rPr>
                  </w:pPr>
                  <w:r>
                    <w:rPr>
                      <w:color w:val="auto"/>
                      <w:szCs w:val="21"/>
                    </w:rPr>
                    <w:t>非甲烷总烃</w:t>
                  </w:r>
                </w:p>
              </w:tc>
              <w:tc>
                <w:tcPr>
                  <w:tcW w:w="790" w:type="pct"/>
                  <w:vAlign w:val="center"/>
                </w:tcPr>
                <w:p>
                  <w:pPr>
                    <w:widowControl/>
                    <w:jc w:val="center"/>
                    <w:textAlignment w:val="center"/>
                    <w:rPr>
                      <w:color w:val="auto"/>
                      <w:kern w:val="0"/>
                      <w:szCs w:val="21"/>
                      <w:lang w:bidi="ar"/>
                    </w:rPr>
                  </w:pPr>
                  <w:r>
                    <w:rPr>
                      <w:rFonts w:hint="eastAsia"/>
                      <w:color w:val="auto"/>
                      <w:kern w:val="0"/>
                      <w:szCs w:val="21"/>
                      <w:lang w:bidi="ar"/>
                    </w:rPr>
                    <w:t>0.0056</w:t>
                  </w:r>
                </w:p>
              </w:tc>
              <w:tc>
                <w:tcPr>
                  <w:tcW w:w="798" w:type="pct"/>
                  <w:vAlign w:val="center"/>
                </w:tcPr>
                <w:p>
                  <w:pPr>
                    <w:widowControl/>
                    <w:jc w:val="center"/>
                    <w:textAlignment w:val="center"/>
                    <w:rPr>
                      <w:color w:val="auto"/>
                      <w:kern w:val="0"/>
                      <w:szCs w:val="21"/>
                    </w:rPr>
                  </w:pPr>
                  <w:r>
                    <w:rPr>
                      <w:rFonts w:hint="eastAsia"/>
                      <w:color w:val="auto"/>
                      <w:kern w:val="0"/>
                      <w:szCs w:val="21"/>
                    </w:rPr>
                    <w:t>1.125</w:t>
                  </w:r>
                </w:p>
              </w:tc>
              <w:tc>
                <w:tcPr>
                  <w:tcW w:w="1132" w:type="pct"/>
                  <w:vAlign w:val="center"/>
                </w:tcPr>
                <w:p>
                  <w:pPr>
                    <w:widowControl/>
                    <w:jc w:val="center"/>
                    <w:textAlignment w:val="center"/>
                    <w:rPr>
                      <w:color w:val="auto"/>
                      <w:szCs w:val="21"/>
                    </w:rPr>
                  </w:pPr>
                  <w:r>
                    <w:rPr>
                      <w:color w:val="auto"/>
                      <w:szCs w:val="21"/>
                    </w:rPr>
                    <w:t>0.0050</w:t>
                  </w:r>
                </w:p>
              </w:tc>
              <w:tc>
                <w:tcPr>
                  <w:tcW w:w="607" w:type="pct"/>
                  <w:vAlign w:val="center"/>
                </w:tcPr>
                <w:p>
                  <w:pPr>
                    <w:jc w:val="center"/>
                    <w:rPr>
                      <w:color w:val="auto"/>
                      <w:szCs w:val="21"/>
                    </w:rPr>
                  </w:pPr>
                  <w:r>
                    <w:rPr>
                      <w:rFonts w:hint="eastAsia"/>
                      <w:color w:val="auto"/>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2" w:type="pct"/>
                  <w:vAlign w:val="center"/>
                </w:tcPr>
                <w:p>
                  <w:pPr>
                    <w:widowControl/>
                    <w:jc w:val="center"/>
                    <w:textAlignment w:val="center"/>
                    <w:rPr>
                      <w:color w:val="auto"/>
                      <w:szCs w:val="21"/>
                    </w:rPr>
                  </w:pPr>
                  <w:r>
                    <w:rPr>
                      <w:rFonts w:hint="eastAsia"/>
                      <w:color w:val="auto"/>
                      <w:szCs w:val="21"/>
                    </w:rPr>
                    <w:t>危废仓库</w:t>
                  </w:r>
                </w:p>
              </w:tc>
              <w:tc>
                <w:tcPr>
                  <w:tcW w:w="792" w:type="pct"/>
                  <w:vMerge w:val="continue"/>
                  <w:vAlign w:val="center"/>
                </w:tcPr>
                <w:p>
                  <w:pPr>
                    <w:widowControl/>
                    <w:jc w:val="center"/>
                    <w:textAlignment w:val="center"/>
                    <w:rPr>
                      <w:color w:val="auto"/>
                      <w:szCs w:val="21"/>
                    </w:rPr>
                  </w:pPr>
                </w:p>
              </w:tc>
              <w:tc>
                <w:tcPr>
                  <w:tcW w:w="790" w:type="pct"/>
                  <w:vAlign w:val="center"/>
                </w:tcPr>
                <w:p>
                  <w:pPr>
                    <w:widowControl/>
                    <w:jc w:val="center"/>
                    <w:textAlignment w:val="center"/>
                    <w:rPr>
                      <w:color w:val="auto"/>
                      <w:kern w:val="0"/>
                      <w:szCs w:val="21"/>
                      <w:lang w:bidi="ar"/>
                    </w:rPr>
                  </w:pPr>
                  <w:r>
                    <w:rPr>
                      <w:rFonts w:hint="eastAsia"/>
                      <w:color w:val="auto"/>
                      <w:kern w:val="0"/>
                      <w:szCs w:val="21"/>
                      <w:lang w:bidi="ar"/>
                    </w:rPr>
                    <w:t>0.0019</w:t>
                  </w:r>
                </w:p>
              </w:tc>
              <w:tc>
                <w:tcPr>
                  <w:tcW w:w="798" w:type="pct"/>
                  <w:vAlign w:val="center"/>
                </w:tcPr>
                <w:p>
                  <w:pPr>
                    <w:widowControl/>
                    <w:jc w:val="center"/>
                    <w:textAlignment w:val="center"/>
                    <w:rPr>
                      <w:color w:val="auto"/>
                      <w:kern w:val="0"/>
                      <w:szCs w:val="21"/>
                    </w:rPr>
                  </w:pPr>
                  <w:r>
                    <w:rPr>
                      <w:rFonts w:hint="eastAsia"/>
                      <w:color w:val="auto"/>
                      <w:kern w:val="0"/>
                      <w:szCs w:val="21"/>
                    </w:rPr>
                    <w:t>0.947</w:t>
                  </w:r>
                </w:p>
              </w:tc>
              <w:tc>
                <w:tcPr>
                  <w:tcW w:w="1132" w:type="pct"/>
                  <w:vAlign w:val="center"/>
                </w:tcPr>
                <w:p>
                  <w:pPr>
                    <w:widowControl/>
                    <w:jc w:val="center"/>
                    <w:textAlignment w:val="center"/>
                    <w:rPr>
                      <w:color w:val="auto"/>
                      <w:szCs w:val="21"/>
                    </w:rPr>
                  </w:pPr>
                  <w:r>
                    <w:rPr>
                      <w:rFonts w:hint="eastAsia"/>
                      <w:color w:val="auto"/>
                      <w:szCs w:val="21"/>
                    </w:rPr>
                    <w:t>0.002</w:t>
                  </w:r>
                </w:p>
              </w:tc>
              <w:tc>
                <w:tcPr>
                  <w:tcW w:w="607" w:type="pct"/>
                  <w:vAlign w:val="center"/>
                </w:tcPr>
                <w:p>
                  <w:pPr>
                    <w:jc w:val="center"/>
                    <w:rPr>
                      <w:color w:val="auto"/>
                      <w:szCs w:val="21"/>
                    </w:rPr>
                  </w:pPr>
                  <w:r>
                    <w:rPr>
                      <w:rFonts w:hint="eastAsia"/>
                      <w:color w:val="auto"/>
                      <w:szCs w:val="21"/>
                    </w:rPr>
                    <w:t>4</w:t>
                  </w:r>
                </w:p>
              </w:tc>
            </w:tr>
          </w:tbl>
          <w:p>
            <w:pPr>
              <w:snapToGrid w:val="0"/>
              <w:spacing w:before="159" w:beforeLines="50" w:line="360" w:lineRule="auto"/>
              <w:ind w:firstLine="480" w:firstLineChars="200"/>
              <w:rPr>
                <w:color w:val="auto"/>
                <w:sz w:val="24"/>
              </w:rPr>
            </w:pPr>
            <w:r>
              <w:rPr>
                <w:color w:val="auto"/>
                <w:sz w:val="24"/>
              </w:rPr>
              <w:t>根据上表可见，生产厂房选取颗粒物、非甲烷总烃为主要特征大气有害物质计算卫生防护距离。</w:t>
            </w:r>
          </w:p>
          <w:p>
            <w:pPr>
              <w:pStyle w:val="2"/>
              <w:spacing w:before="0" w:after="0" w:line="360" w:lineRule="auto"/>
              <w:ind w:right="0" w:firstLine="480" w:firstLineChars="200"/>
              <w:rPr>
                <w:color w:val="auto"/>
                <w:sz w:val="24"/>
                <w:szCs w:val="28"/>
              </w:rPr>
            </w:pPr>
            <w:r>
              <w:rPr>
                <w:color w:val="auto"/>
                <w:sz w:val="24"/>
                <w:szCs w:val="28"/>
              </w:rPr>
              <w:t>②卫生防护距离计算</w:t>
            </w:r>
          </w:p>
          <w:p>
            <w:pPr>
              <w:snapToGrid w:val="0"/>
              <w:spacing w:line="360" w:lineRule="auto"/>
              <w:ind w:firstLine="480" w:firstLineChars="200"/>
              <w:rPr>
                <w:color w:val="auto"/>
                <w:sz w:val="24"/>
              </w:rPr>
            </w:pPr>
            <w:r>
              <w:rPr>
                <w:color w:val="auto"/>
                <w:sz w:val="24"/>
              </w:rPr>
              <w:t>采用GB/T3840-1991中7.4推荐的估算方法进行计算，具体计算公式如下：</w:t>
            </w:r>
          </w:p>
          <w:p>
            <w:pPr>
              <w:snapToGrid w:val="0"/>
              <w:spacing w:line="360" w:lineRule="auto"/>
              <w:ind w:firstLine="555"/>
              <w:jc w:val="center"/>
              <w:rPr>
                <w:color w:val="auto"/>
                <w:sz w:val="24"/>
              </w:rPr>
            </w:pPr>
            <w:r>
              <w:rPr>
                <w:color w:val="auto"/>
                <w:position w:val="-24"/>
                <w:sz w:val="24"/>
              </w:rPr>
              <w:object>
                <v:shape id="_x0000_i1025" o:spt="75" type="#_x0000_t75" style="height:30.75pt;width:139.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p>
          <w:p>
            <w:pPr>
              <w:snapToGrid w:val="0"/>
              <w:spacing w:line="360" w:lineRule="auto"/>
              <w:ind w:firstLine="480" w:firstLineChars="200"/>
              <w:rPr>
                <w:color w:val="auto"/>
                <w:sz w:val="24"/>
              </w:rPr>
            </w:pPr>
            <w:r>
              <w:rPr>
                <w:color w:val="auto"/>
                <w:sz w:val="24"/>
              </w:rPr>
              <w:t>式中：Q</w:t>
            </w:r>
            <w:r>
              <w:rPr>
                <w:color w:val="auto"/>
                <w:sz w:val="24"/>
                <w:vertAlign w:val="subscript"/>
              </w:rPr>
              <w:t>c</w:t>
            </w:r>
            <w:r>
              <w:rPr>
                <w:color w:val="auto"/>
                <w:sz w:val="24"/>
              </w:rPr>
              <w:t>----大气有害物质的无组织排放量，kg/h；</w:t>
            </w:r>
          </w:p>
          <w:p>
            <w:pPr>
              <w:snapToGrid w:val="0"/>
              <w:spacing w:line="360" w:lineRule="auto"/>
              <w:ind w:firstLine="480" w:firstLineChars="200"/>
              <w:rPr>
                <w:color w:val="auto"/>
                <w:sz w:val="24"/>
              </w:rPr>
            </w:pPr>
            <w:r>
              <w:rPr>
                <w:color w:val="auto"/>
                <w:sz w:val="24"/>
              </w:rPr>
              <w:t>C</w:t>
            </w:r>
            <w:r>
              <w:rPr>
                <w:color w:val="auto"/>
                <w:sz w:val="24"/>
                <w:vertAlign w:val="subscript"/>
              </w:rPr>
              <w:t>m</w:t>
            </w:r>
            <w:r>
              <w:rPr>
                <w:color w:val="auto"/>
                <w:sz w:val="24"/>
              </w:rPr>
              <w:t>----大气有害物质环境空气质量的标准限值，mg/m</w:t>
            </w:r>
            <w:r>
              <w:rPr>
                <w:color w:val="auto"/>
                <w:sz w:val="24"/>
                <w:vertAlign w:val="superscript"/>
              </w:rPr>
              <w:t>3</w:t>
            </w:r>
            <w:r>
              <w:rPr>
                <w:color w:val="auto"/>
                <w:sz w:val="24"/>
              </w:rPr>
              <w:t>；</w:t>
            </w:r>
          </w:p>
          <w:p>
            <w:pPr>
              <w:snapToGrid w:val="0"/>
              <w:spacing w:line="360" w:lineRule="auto"/>
              <w:ind w:firstLine="480" w:firstLineChars="200"/>
              <w:rPr>
                <w:color w:val="auto"/>
                <w:sz w:val="24"/>
              </w:rPr>
            </w:pPr>
            <w:r>
              <w:rPr>
                <w:color w:val="auto"/>
                <w:sz w:val="24"/>
              </w:rPr>
              <w:t>L----大气有害物质卫生防护距离初值，m；</w:t>
            </w:r>
          </w:p>
          <w:p>
            <w:pPr>
              <w:snapToGrid w:val="0"/>
              <w:spacing w:line="360" w:lineRule="auto"/>
              <w:ind w:firstLine="480" w:firstLineChars="200"/>
              <w:rPr>
                <w:color w:val="auto"/>
                <w:sz w:val="24"/>
              </w:rPr>
            </w:pPr>
            <w:r>
              <w:rPr>
                <w:color w:val="auto"/>
                <w:sz w:val="24"/>
              </w:rPr>
              <w:t>r----大气有害物质无组织排放源所在生产单元的等效半径，m。根据该生产单元占地面积S（m</w:t>
            </w:r>
            <w:r>
              <w:rPr>
                <w:color w:val="auto"/>
                <w:sz w:val="24"/>
                <w:vertAlign w:val="superscript"/>
              </w:rPr>
              <w:t>2</w:t>
            </w:r>
            <w:r>
              <w:rPr>
                <w:color w:val="auto"/>
                <w:sz w:val="24"/>
              </w:rPr>
              <w:t>）计算，r =（s/π）</w:t>
            </w:r>
            <w:r>
              <w:rPr>
                <w:color w:val="auto"/>
                <w:sz w:val="24"/>
                <w:vertAlign w:val="superscript"/>
              </w:rPr>
              <w:t>0.5</w:t>
            </w:r>
            <w:r>
              <w:rPr>
                <w:color w:val="auto"/>
                <w:sz w:val="24"/>
              </w:rPr>
              <w:t xml:space="preserve"> ；</w:t>
            </w:r>
          </w:p>
          <w:p>
            <w:pPr>
              <w:snapToGrid w:val="0"/>
              <w:spacing w:line="360" w:lineRule="auto"/>
              <w:ind w:firstLine="480" w:firstLineChars="200"/>
              <w:rPr>
                <w:color w:val="auto"/>
                <w:sz w:val="24"/>
              </w:rPr>
            </w:pPr>
            <w:r>
              <w:rPr>
                <w:color w:val="auto"/>
                <w:sz w:val="24"/>
              </w:rPr>
              <w:t>A、B、C、D----卫生防护距离计算系数，无因次。</w:t>
            </w:r>
          </w:p>
          <w:p>
            <w:pPr>
              <w:spacing w:line="360" w:lineRule="auto"/>
              <w:ind w:firstLine="480" w:firstLineChars="200"/>
              <w:rPr>
                <w:color w:val="auto"/>
                <w:sz w:val="24"/>
              </w:rPr>
            </w:pPr>
            <w:r>
              <w:rPr>
                <w:color w:val="auto"/>
                <w:sz w:val="24"/>
              </w:rPr>
              <w:t>卫生防护距离在100m内时，级差为50m；超过100m，但小于1000m时，级差为100m；超过1000m时，级差为200m。当推导出的卫生防护距离初值在同一级别时，该企业的卫生防护距离提高一级，不在同一级别时，以卫生防护距离终值较大者为准。</w:t>
            </w:r>
          </w:p>
          <w:p>
            <w:pPr>
              <w:spacing w:line="360" w:lineRule="auto"/>
              <w:ind w:firstLine="480" w:firstLineChars="200"/>
              <w:rPr>
                <w:color w:val="auto"/>
                <w:sz w:val="24"/>
              </w:rPr>
            </w:pPr>
            <w:r>
              <w:rPr>
                <w:color w:val="auto"/>
                <w:sz w:val="24"/>
              </w:rPr>
              <w:t>该地区的平均风速为2.63m/s，A、B、C、D值的选取见</w:t>
            </w:r>
            <w:r>
              <w:rPr>
                <w:rFonts w:hint="eastAsia"/>
                <w:color w:val="auto"/>
                <w:sz w:val="24"/>
              </w:rPr>
              <w:t>下表</w:t>
            </w:r>
            <w:r>
              <w:rPr>
                <w:color w:val="auto"/>
                <w:sz w:val="24"/>
              </w:rPr>
              <w:t>。</w:t>
            </w:r>
          </w:p>
          <w:p>
            <w:pPr>
              <w:pStyle w:val="6"/>
              <w:numPr>
                <w:ilvl w:val="0"/>
                <w:numId w:val="16"/>
              </w:numPr>
              <w:adjustRightInd w:val="0"/>
              <w:snapToGrid w:val="0"/>
              <w:ind w:firstLineChars="0"/>
              <w:jc w:val="center"/>
              <w:rPr>
                <w:b/>
                <w:bCs/>
                <w:color w:val="auto"/>
                <w:sz w:val="24"/>
              </w:rPr>
            </w:pPr>
            <w:r>
              <w:rPr>
                <w:b/>
                <w:bCs/>
                <w:color w:val="auto"/>
                <w:sz w:val="24"/>
              </w:rPr>
              <w:t>卫生防护距离计算系数</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3"/>
              <w:gridCol w:w="843"/>
              <w:gridCol w:w="740"/>
              <w:gridCol w:w="739"/>
              <w:gridCol w:w="742"/>
              <w:gridCol w:w="739"/>
              <w:gridCol w:w="739"/>
              <w:gridCol w:w="742"/>
              <w:gridCol w:w="739"/>
              <w:gridCol w:w="739"/>
              <w:gridCol w:w="7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restart"/>
                  <w:tcBorders>
                    <w:top w:val="single" w:color="auto" w:sz="12" w:space="0"/>
                    <w:bottom w:val="single" w:color="auto" w:sz="4" w:space="0"/>
                    <w:right w:val="single" w:color="auto" w:sz="4" w:space="0"/>
                  </w:tcBorders>
                  <w:vAlign w:val="center"/>
                </w:tcPr>
                <w:p>
                  <w:pPr>
                    <w:jc w:val="center"/>
                    <w:rPr>
                      <w:color w:val="auto"/>
                      <w:szCs w:val="21"/>
                    </w:rPr>
                  </w:pPr>
                  <w:r>
                    <w:rPr>
                      <w:color w:val="auto"/>
                      <w:szCs w:val="21"/>
                    </w:rPr>
                    <w:t>计算</w:t>
                  </w:r>
                </w:p>
                <w:p>
                  <w:pPr>
                    <w:jc w:val="center"/>
                    <w:rPr>
                      <w:color w:val="auto"/>
                      <w:szCs w:val="21"/>
                    </w:rPr>
                  </w:pPr>
                  <w:r>
                    <w:rPr>
                      <w:color w:val="auto"/>
                      <w:szCs w:val="21"/>
                    </w:rPr>
                    <w:t>系数</w:t>
                  </w:r>
                </w:p>
              </w:tc>
              <w:tc>
                <w:tcPr>
                  <w:tcW w:w="523" w:type="pct"/>
                  <w:vMerge w:val="restart"/>
                  <w:tcBorders>
                    <w:top w:val="single" w:color="auto" w:sz="12"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5年平均风速</w:t>
                  </w:r>
                </w:p>
                <w:p>
                  <w:pPr>
                    <w:jc w:val="center"/>
                    <w:rPr>
                      <w:color w:val="auto"/>
                      <w:szCs w:val="21"/>
                    </w:rPr>
                  </w:pPr>
                  <w:r>
                    <w:rPr>
                      <w:color w:val="auto"/>
                      <w:szCs w:val="21"/>
                    </w:rPr>
                    <w:t>m/s</w:t>
                  </w:r>
                </w:p>
              </w:tc>
              <w:tc>
                <w:tcPr>
                  <w:tcW w:w="4139" w:type="pct"/>
                  <w:gridSpan w:val="9"/>
                  <w:tcBorders>
                    <w:top w:val="single" w:color="auto" w:sz="12" w:space="0"/>
                    <w:left w:val="single" w:color="auto" w:sz="4" w:space="0"/>
                    <w:bottom w:val="single" w:color="auto" w:sz="4" w:space="0"/>
                  </w:tcBorders>
                  <w:vAlign w:val="center"/>
                </w:tcPr>
                <w:p>
                  <w:pPr>
                    <w:jc w:val="center"/>
                    <w:rPr>
                      <w:color w:val="auto"/>
                      <w:szCs w:val="21"/>
                    </w:rPr>
                  </w:pPr>
                  <w:r>
                    <w:rPr>
                      <w:color w:val="auto"/>
                      <w:szCs w:val="21"/>
                    </w:rPr>
                    <w:t>卫生防护距离L，m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continue"/>
                  <w:tcBorders>
                    <w:top w:val="single" w:color="auto" w:sz="4" w:space="0"/>
                    <w:bottom w:val="single" w:color="auto" w:sz="4" w:space="0"/>
                    <w:right w:val="single" w:color="auto" w:sz="4" w:space="0"/>
                  </w:tcBorders>
                  <w:vAlign w:val="center"/>
                </w:tcPr>
                <w:p>
                  <w:pPr>
                    <w:jc w:val="center"/>
                    <w:rPr>
                      <w:color w:val="auto"/>
                      <w:szCs w:val="21"/>
                    </w:rPr>
                  </w:pPr>
                </w:p>
              </w:tc>
              <w:tc>
                <w:tcPr>
                  <w:tcW w:w="523"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137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L≤1000</w:t>
                  </w:r>
                </w:p>
              </w:tc>
              <w:tc>
                <w:tcPr>
                  <w:tcW w:w="137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1000＜L≤2000</w:t>
                  </w:r>
                </w:p>
              </w:tc>
              <w:tc>
                <w:tcPr>
                  <w:tcW w:w="1380" w:type="pct"/>
                  <w:gridSpan w:val="3"/>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L＞2000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continue"/>
                  <w:tcBorders>
                    <w:top w:val="single" w:color="auto" w:sz="4" w:space="0"/>
                    <w:bottom w:val="single" w:color="auto" w:sz="4" w:space="0"/>
                    <w:right w:val="single" w:color="auto" w:sz="4" w:space="0"/>
                  </w:tcBorders>
                  <w:vAlign w:val="center"/>
                </w:tcPr>
                <w:p>
                  <w:pPr>
                    <w:jc w:val="center"/>
                    <w:rPr>
                      <w:color w:val="auto"/>
                      <w:szCs w:val="21"/>
                    </w:rPr>
                  </w:pPr>
                </w:p>
              </w:tc>
              <w:tc>
                <w:tcPr>
                  <w:tcW w:w="523"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4139" w:type="pct"/>
                  <w:gridSpan w:val="9"/>
                  <w:tcBorders>
                    <w:top w:val="single" w:color="auto" w:sz="4" w:space="0"/>
                    <w:left w:val="single" w:color="auto" w:sz="4" w:space="0"/>
                    <w:bottom w:val="single" w:color="auto" w:sz="4" w:space="0"/>
                  </w:tcBorders>
                  <w:vAlign w:val="center"/>
                </w:tcPr>
                <w:p>
                  <w:pPr>
                    <w:pStyle w:val="47"/>
                    <w:jc w:val="center"/>
                    <w:rPr>
                      <w:color w:val="auto"/>
                      <w:sz w:val="21"/>
                      <w:szCs w:val="21"/>
                    </w:rPr>
                  </w:pPr>
                  <w:r>
                    <w:rPr>
                      <w:color w:val="auto"/>
                      <w:sz w:val="21"/>
                      <w:szCs w:val="21"/>
                    </w:rPr>
                    <w:t>工业大气污染源构成类别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continue"/>
                  <w:tcBorders>
                    <w:top w:val="single" w:color="auto" w:sz="4" w:space="0"/>
                    <w:bottom w:val="single" w:color="auto" w:sz="4" w:space="0"/>
                    <w:right w:val="single" w:color="auto" w:sz="4" w:space="0"/>
                  </w:tcBorders>
                  <w:vAlign w:val="center"/>
                </w:tcPr>
                <w:p>
                  <w:pPr>
                    <w:jc w:val="center"/>
                    <w:rPr>
                      <w:color w:val="auto"/>
                      <w:szCs w:val="21"/>
                    </w:rPr>
                  </w:pPr>
                </w:p>
              </w:tc>
              <w:tc>
                <w:tcPr>
                  <w:tcW w:w="523" w:type="pct"/>
                  <w:vMerge w:val="continue"/>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Ⅰ</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Ⅱ</w:t>
                  </w:r>
                </w:p>
              </w:tc>
              <w:tc>
                <w:tcPr>
                  <w:tcW w:w="460"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Ⅲ</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Ⅰ</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Ⅱ</w:t>
                  </w:r>
                </w:p>
              </w:tc>
              <w:tc>
                <w:tcPr>
                  <w:tcW w:w="460"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Ⅲ</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Ⅰ</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Ⅱ</w:t>
                  </w:r>
                </w:p>
              </w:tc>
              <w:tc>
                <w:tcPr>
                  <w:tcW w:w="461" w:type="pct"/>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restart"/>
                  <w:tcBorders>
                    <w:top w:val="single" w:color="auto" w:sz="4" w:space="0"/>
                    <w:bottom w:val="single" w:color="auto" w:sz="4" w:space="0"/>
                    <w:right w:val="single" w:color="auto" w:sz="4" w:space="0"/>
                  </w:tcBorders>
                  <w:vAlign w:val="center"/>
                </w:tcPr>
                <w:p>
                  <w:pPr>
                    <w:jc w:val="center"/>
                    <w:rPr>
                      <w:color w:val="auto"/>
                      <w:szCs w:val="21"/>
                    </w:rPr>
                  </w:pPr>
                  <w:r>
                    <w:rPr>
                      <w:color w:val="auto"/>
                      <w:szCs w:val="21"/>
                    </w:rPr>
                    <w:t>A</w:t>
                  </w:r>
                </w:p>
              </w:tc>
              <w:tc>
                <w:tcPr>
                  <w:tcW w:w="523"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400</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400</w:t>
                  </w:r>
                </w:p>
              </w:tc>
              <w:tc>
                <w:tcPr>
                  <w:tcW w:w="460"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400</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400</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400</w:t>
                  </w:r>
                </w:p>
              </w:tc>
              <w:tc>
                <w:tcPr>
                  <w:tcW w:w="460"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400</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80</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80</w:t>
                  </w:r>
                </w:p>
              </w:tc>
              <w:tc>
                <w:tcPr>
                  <w:tcW w:w="461" w:type="pct"/>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continue"/>
                  <w:tcBorders>
                    <w:top w:val="single" w:color="auto" w:sz="4" w:space="0"/>
                    <w:bottom w:val="single" w:color="auto" w:sz="4" w:space="0"/>
                    <w:right w:val="single" w:color="auto" w:sz="4" w:space="0"/>
                  </w:tcBorders>
                  <w:vAlign w:val="center"/>
                </w:tcPr>
                <w:p>
                  <w:pPr>
                    <w:jc w:val="center"/>
                    <w:rPr>
                      <w:color w:val="auto"/>
                      <w:szCs w:val="21"/>
                    </w:rPr>
                  </w:pPr>
                </w:p>
              </w:tc>
              <w:tc>
                <w:tcPr>
                  <w:tcW w:w="523"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2～4</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700</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470</w:t>
                  </w:r>
                </w:p>
              </w:tc>
              <w:tc>
                <w:tcPr>
                  <w:tcW w:w="460"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350</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700</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470</w:t>
                  </w:r>
                </w:p>
              </w:tc>
              <w:tc>
                <w:tcPr>
                  <w:tcW w:w="460"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350</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380</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250</w:t>
                  </w:r>
                </w:p>
              </w:tc>
              <w:tc>
                <w:tcPr>
                  <w:tcW w:w="461" w:type="pct"/>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continue"/>
                  <w:tcBorders>
                    <w:top w:val="single" w:color="auto" w:sz="4" w:space="0"/>
                    <w:bottom w:val="single" w:color="auto" w:sz="4" w:space="0"/>
                    <w:right w:val="single" w:color="auto" w:sz="4" w:space="0"/>
                  </w:tcBorders>
                  <w:vAlign w:val="center"/>
                </w:tcPr>
                <w:p>
                  <w:pPr>
                    <w:jc w:val="center"/>
                    <w:rPr>
                      <w:color w:val="auto"/>
                      <w:szCs w:val="21"/>
                    </w:rPr>
                  </w:pPr>
                </w:p>
              </w:tc>
              <w:tc>
                <w:tcPr>
                  <w:tcW w:w="523"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＞4</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530</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350</w:t>
                  </w:r>
                </w:p>
              </w:tc>
              <w:tc>
                <w:tcPr>
                  <w:tcW w:w="460"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260</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530</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350</w:t>
                  </w:r>
                </w:p>
              </w:tc>
              <w:tc>
                <w:tcPr>
                  <w:tcW w:w="460"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260</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290</w:t>
                  </w:r>
                </w:p>
              </w:tc>
              <w:tc>
                <w:tcPr>
                  <w:tcW w:w="459"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190</w:t>
                  </w:r>
                </w:p>
              </w:tc>
              <w:tc>
                <w:tcPr>
                  <w:tcW w:w="461" w:type="pct"/>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restart"/>
                  <w:tcBorders>
                    <w:top w:val="single" w:color="auto" w:sz="4" w:space="0"/>
                    <w:bottom w:val="single" w:color="auto" w:sz="4" w:space="0"/>
                    <w:right w:val="single" w:color="auto" w:sz="4" w:space="0"/>
                  </w:tcBorders>
                  <w:vAlign w:val="center"/>
                </w:tcPr>
                <w:p>
                  <w:pPr>
                    <w:jc w:val="center"/>
                    <w:rPr>
                      <w:color w:val="auto"/>
                      <w:szCs w:val="21"/>
                    </w:rPr>
                  </w:pPr>
                  <w:r>
                    <w:rPr>
                      <w:color w:val="auto"/>
                      <w:szCs w:val="21"/>
                    </w:rPr>
                    <w:t>B</w:t>
                  </w:r>
                </w:p>
              </w:tc>
              <w:tc>
                <w:tcPr>
                  <w:tcW w:w="523"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w:t>
                  </w:r>
                </w:p>
              </w:tc>
              <w:tc>
                <w:tcPr>
                  <w:tcW w:w="137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0.01</w:t>
                  </w:r>
                </w:p>
              </w:tc>
              <w:tc>
                <w:tcPr>
                  <w:tcW w:w="137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0.015</w:t>
                  </w:r>
                </w:p>
              </w:tc>
              <w:tc>
                <w:tcPr>
                  <w:tcW w:w="1380" w:type="pct"/>
                  <w:gridSpan w:val="3"/>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continue"/>
                  <w:tcBorders>
                    <w:top w:val="single" w:color="auto" w:sz="4" w:space="0"/>
                    <w:bottom w:val="single" w:color="auto" w:sz="4" w:space="0"/>
                    <w:right w:val="single" w:color="auto" w:sz="4" w:space="0"/>
                  </w:tcBorders>
                  <w:vAlign w:val="center"/>
                </w:tcPr>
                <w:p>
                  <w:pPr>
                    <w:jc w:val="center"/>
                    <w:rPr>
                      <w:color w:val="auto"/>
                      <w:szCs w:val="21"/>
                    </w:rPr>
                  </w:pPr>
                </w:p>
              </w:tc>
              <w:tc>
                <w:tcPr>
                  <w:tcW w:w="523"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w:t>
                  </w:r>
                </w:p>
              </w:tc>
              <w:tc>
                <w:tcPr>
                  <w:tcW w:w="137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0.021</w:t>
                  </w:r>
                </w:p>
              </w:tc>
              <w:tc>
                <w:tcPr>
                  <w:tcW w:w="137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0.036</w:t>
                  </w:r>
                </w:p>
              </w:tc>
              <w:tc>
                <w:tcPr>
                  <w:tcW w:w="1380" w:type="pct"/>
                  <w:gridSpan w:val="3"/>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restart"/>
                  <w:tcBorders>
                    <w:top w:val="single" w:color="auto" w:sz="4" w:space="0"/>
                    <w:bottom w:val="single" w:color="auto" w:sz="4" w:space="0"/>
                    <w:right w:val="single" w:color="auto" w:sz="4" w:space="0"/>
                  </w:tcBorders>
                  <w:vAlign w:val="center"/>
                </w:tcPr>
                <w:p>
                  <w:pPr>
                    <w:jc w:val="center"/>
                    <w:rPr>
                      <w:color w:val="auto"/>
                      <w:szCs w:val="21"/>
                    </w:rPr>
                  </w:pPr>
                  <w:r>
                    <w:rPr>
                      <w:color w:val="auto"/>
                      <w:szCs w:val="21"/>
                    </w:rPr>
                    <w:t>C</w:t>
                  </w:r>
                </w:p>
              </w:tc>
              <w:tc>
                <w:tcPr>
                  <w:tcW w:w="523"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w:t>
                  </w:r>
                </w:p>
              </w:tc>
              <w:tc>
                <w:tcPr>
                  <w:tcW w:w="137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1.85</w:t>
                  </w:r>
                </w:p>
              </w:tc>
              <w:tc>
                <w:tcPr>
                  <w:tcW w:w="137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1.79</w:t>
                  </w:r>
                </w:p>
              </w:tc>
              <w:tc>
                <w:tcPr>
                  <w:tcW w:w="1380" w:type="pct"/>
                  <w:gridSpan w:val="3"/>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1.79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continue"/>
                  <w:tcBorders>
                    <w:top w:val="single" w:color="auto" w:sz="4" w:space="0"/>
                    <w:bottom w:val="single" w:color="auto" w:sz="4" w:space="0"/>
                    <w:right w:val="single" w:color="auto" w:sz="4" w:space="0"/>
                  </w:tcBorders>
                  <w:vAlign w:val="center"/>
                </w:tcPr>
                <w:p>
                  <w:pPr>
                    <w:jc w:val="center"/>
                    <w:rPr>
                      <w:color w:val="auto"/>
                      <w:szCs w:val="21"/>
                    </w:rPr>
                  </w:pPr>
                </w:p>
              </w:tc>
              <w:tc>
                <w:tcPr>
                  <w:tcW w:w="523"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w:t>
                  </w:r>
                </w:p>
              </w:tc>
              <w:tc>
                <w:tcPr>
                  <w:tcW w:w="137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1.85</w:t>
                  </w:r>
                </w:p>
              </w:tc>
              <w:tc>
                <w:tcPr>
                  <w:tcW w:w="137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1.77</w:t>
                  </w:r>
                </w:p>
              </w:tc>
              <w:tc>
                <w:tcPr>
                  <w:tcW w:w="1380" w:type="pct"/>
                  <w:gridSpan w:val="3"/>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restart"/>
                  <w:tcBorders>
                    <w:top w:val="single" w:color="auto" w:sz="4" w:space="0"/>
                    <w:bottom w:val="single" w:color="auto" w:sz="4" w:space="0"/>
                    <w:right w:val="single" w:color="auto" w:sz="4" w:space="0"/>
                  </w:tcBorders>
                  <w:vAlign w:val="center"/>
                </w:tcPr>
                <w:p>
                  <w:pPr>
                    <w:jc w:val="center"/>
                    <w:rPr>
                      <w:color w:val="auto"/>
                      <w:szCs w:val="21"/>
                    </w:rPr>
                  </w:pPr>
                  <w:r>
                    <w:rPr>
                      <w:color w:val="auto"/>
                      <w:szCs w:val="21"/>
                    </w:rPr>
                    <w:t>D</w:t>
                  </w:r>
                </w:p>
              </w:tc>
              <w:tc>
                <w:tcPr>
                  <w:tcW w:w="523" w:type="pct"/>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w:t>
                  </w:r>
                </w:p>
              </w:tc>
              <w:tc>
                <w:tcPr>
                  <w:tcW w:w="137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0.78</w:t>
                  </w:r>
                </w:p>
              </w:tc>
              <w:tc>
                <w:tcPr>
                  <w:tcW w:w="1379" w:type="pct"/>
                  <w:gridSpan w:val="3"/>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0.78</w:t>
                  </w:r>
                </w:p>
              </w:tc>
              <w:tc>
                <w:tcPr>
                  <w:tcW w:w="1380" w:type="pct"/>
                  <w:gridSpan w:val="3"/>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337" w:type="pct"/>
                  <w:vMerge w:val="continue"/>
                  <w:tcBorders>
                    <w:top w:val="single" w:color="auto" w:sz="4" w:space="0"/>
                    <w:bottom w:val="single" w:color="auto" w:sz="12" w:space="0"/>
                    <w:right w:val="single" w:color="auto" w:sz="4" w:space="0"/>
                  </w:tcBorders>
                  <w:vAlign w:val="center"/>
                </w:tcPr>
                <w:p>
                  <w:pPr>
                    <w:jc w:val="center"/>
                    <w:rPr>
                      <w:color w:val="auto"/>
                      <w:szCs w:val="21"/>
                    </w:rPr>
                  </w:pPr>
                </w:p>
              </w:tc>
              <w:tc>
                <w:tcPr>
                  <w:tcW w:w="523" w:type="pct"/>
                  <w:tcBorders>
                    <w:top w:val="single" w:color="auto" w:sz="4" w:space="0"/>
                    <w:left w:val="single" w:color="auto" w:sz="4" w:space="0"/>
                    <w:bottom w:val="single" w:color="auto" w:sz="12" w:space="0"/>
                    <w:right w:val="single" w:color="auto" w:sz="4" w:space="0"/>
                  </w:tcBorders>
                  <w:vAlign w:val="center"/>
                </w:tcPr>
                <w:p>
                  <w:pPr>
                    <w:jc w:val="center"/>
                    <w:rPr>
                      <w:color w:val="auto"/>
                      <w:szCs w:val="21"/>
                    </w:rPr>
                  </w:pPr>
                  <w:r>
                    <w:rPr>
                      <w:color w:val="auto"/>
                      <w:szCs w:val="21"/>
                    </w:rPr>
                    <w:t>＞2</w:t>
                  </w:r>
                </w:p>
              </w:tc>
              <w:tc>
                <w:tcPr>
                  <w:tcW w:w="1379" w:type="pct"/>
                  <w:gridSpan w:val="3"/>
                  <w:tcBorders>
                    <w:top w:val="single" w:color="auto" w:sz="4" w:space="0"/>
                    <w:left w:val="single" w:color="auto" w:sz="4" w:space="0"/>
                    <w:bottom w:val="single" w:color="auto" w:sz="12" w:space="0"/>
                    <w:right w:val="single" w:color="auto" w:sz="4" w:space="0"/>
                  </w:tcBorders>
                  <w:vAlign w:val="center"/>
                </w:tcPr>
                <w:p>
                  <w:pPr>
                    <w:jc w:val="center"/>
                    <w:rPr>
                      <w:color w:val="auto"/>
                      <w:szCs w:val="21"/>
                    </w:rPr>
                  </w:pPr>
                  <w:r>
                    <w:rPr>
                      <w:color w:val="auto"/>
                      <w:szCs w:val="21"/>
                    </w:rPr>
                    <w:t>0.84</w:t>
                  </w:r>
                </w:p>
              </w:tc>
              <w:tc>
                <w:tcPr>
                  <w:tcW w:w="1379" w:type="pct"/>
                  <w:gridSpan w:val="3"/>
                  <w:tcBorders>
                    <w:top w:val="single" w:color="auto" w:sz="4" w:space="0"/>
                    <w:left w:val="single" w:color="auto" w:sz="4" w:space="0"/>
                    <w:bottom w:val="single" w:color="auto" w:sz="12" w:space="0"/>
                    <w:right w:val="single" w:color="auto" w:sz="4" w:space="0"/>
                  </w:tcBorders>
                  <w:vAlign w:val="center"/>
                </w:tcPr>
                <w:p>
                  <w:pPr>
                    <w:jc w:val="center"/>
                    <w:rPr>
                      <w:color w:val="auto"/>
                      <w:szCs w:val="21"/>
                    </w:rPr>
                  </w:pPr>
                  <w:r>
                    <w:rPr>
                      <w:color w:val="auto"/>
                      <w:szCs w:val="21"/>
                    </w:rPr>
                    <w:t>0.84</w:t>
                  </w:r>
                </w:p>
              </w:tc>
              <w:tc>
                <w:tcPr>
                  <w:tcW w:w="1380" w:type="pct"/>
                  <w:gridSpan w:val="3"/>
                  <w:tcBorders>
                    <w:top w:val="single" w:color="auto" w:sz="4" w:space="0"/>
                    <w:left w:val="single" w:color="auto" w:sz="4" w:space="0"/>
                    <w:bottom w:val="single" w:color="auto" w:sz="12" w:space="0"/>
                  </w:tcBorders>
                  <w:vAlign w:val="center"/>
                </w:tcPr>
                <w:p>
                  <w:pPr>
                    <w:jc w:val="center"/>
                    <w:rPr>
                      <w:color w:val="auto"/>
                      <w:szCs w:val="21"/>
                    </w:rPr>
                  </w:pPr>
                  <w:r>
                    <w:rPr>
                      <w:color w:val="auto"/>
                      <w:szCs w:val="21"/>
                    </w:rPr>
                    <w:t>0.76</w:t>
                  </w:r>
                </w:p>
              </w:tc>
            </w:tr>
          </w:tbl>
          <w:p>
            <w:pPr>
              <w:ind w:firstLine="420" w:firstLineChars="200"/>
              <w:rPr>
                <w:color w:val="auto"/>
                <w:szCs w:val="21"/>
              </w:rPr>
            </w:pPr>
            <w:r>
              <w:rPr>
                <w:color w:val="auto"/>
                <w:szCs w:val="21"/>
              </w:rPr>
              <w:t>注：工业企业大气污染源构成分为三类：</w:t>
            </w:r>
          </w:p>
          <w:p>
            <w:pPr>
              <w:ind w:firstLine="420" w:firstLineChars="200"/>
              <w:rPr>
                <w:color w:val="auto"/>
                <w:szCs w:val="21"/>
              </w:rPr>
            </w:pPr>
            <w:r>
              <w:rPr>
                <w:color w:val="auto"/>
                <w:szCs w:val="21"/>
              </w:rPr>
              <w:t>Ⅰ类：与无组织排放源共存的排放同种有害气体的排气筒的排放量，大于标准规定的允许排放量的三分之一者。</w:t>
            </w:r>
          </w:p>
          <w:p>
            <w:pPr>
              <w:ind w:firstLine="420" w:firstLineChars="200"/>
              <w:rPr>
                <w:color w:val="auto"/>
                <w:szCs w:val="21"/>
              </w:rPr>
            </w:pPr>
            <w:r>
              <w:rPr>
                <w:color w:val="auto"/>
                <w:szCs w:val="21"/>
              </w:rPr>
              <w:t>Ⅱ类：与无组织排放源共存的排放同种有害气体的排气筒的排放量，小于标准规定的允许排放量的三分之一，或虽无排放同种大气污染物之排气筒共存，但无组织排放的有害物质的容许浓度指标是按急性反应指标确定者。</w:t>
            </w:r>
          </w:p>
          <w:p>
            <w:pPr>
              <w:ind w:firstLine="420" w:firstLineChars="200"/>
              <w:rPr>
                <w:color w:val="auto"/>
                <w:szCs w:val="21"/>
              </w:rPr>
            </w:pPr>
            <w:r>
              <w:rPr>
                <w:color w:val="auto"/>
                <w:szCs w:val="21"/>
              </w:rPr>
              <w:t>Ⅲ类：无排放同种有害物质的排气筒与无组织排放源共存，且无组织排放的有害物质容许浓度是按慢性反应指标确定者。</w:t>
            </w:r>
          </w:p>
          <w:p>
            <w:pPr>
              <w:snapToGrid w:val="0"/>
              <w:spacing w:line="360" w:lineRule="auto"/>
              <w:ind w:right="6" w:firstLine="480" w:firstLineChars="200"/>
              <w:rPr>
                <w:b/>
                <w:bCs/>
                <w:color w:val="auto"/>
                <w:sz w:val="24"/>
                <w:szCs w:val="28"/>
              </w:rPr>
            </w:pPr>
            <w:r>
              <w:rPr>
                <w:color w:val="auto"/>
                <w:sz w:val="24"/>
              </w:rPr>
              <w:t>本项目卫生防护距离见</w:t>
            </w:r>
            <w:r>
              <w:rPr>
                <w:rFonts w:hint="eastAsia"/>
                <w:color w:val="auto"/>
                <w:sz w:val="24"/>
              </w:rPr>
              <w:t>下表</w:t>
            </w:r>
            <w:r>
              <w:rPr>
                <w:color w:val="auto"/>
                <w:sz w:val="24"/>
              </w:rPr>
              <w:t>。</w:t>
            </w:r>
          </w:p>
          <w:p>
            <w:pPr>
              <w:pStyle w:val="6"/>
              <w:numPr>
                <w:ilvl w:val="0"/>
                <w:numId w:val="16"/>
              </w:numPr>
              <w:adjustRightInd w:val="0"/>
              <w:snapToGrid w:val="0"/>
              <w:spacing w:line="360" w:lineRule="auto"/>
              <w:ind w:firstLineChars="0"/>
              <w:jc w:val="center"/>
              <w:rPr>
                <w:b/>
                <w:bCs/>
                <w:color w:val="auto"/>
                <w:sz w:val="24"/>
                <w:szCs w:val="28"/>
              </w:rPr>
            </w:pPr>
            <w:r>
              <w:rPr>
                <w:b/>
                <w:bCs/>
                <w:color w:val="auto"/>
                <w:sz w:val="24"/>
                <w:szCs w:val="28"/>
              </w:rPr>
              <w:t>本项目卫生防护距离计算表</w:t>
            </w:r>
          </w:p>
          <w:tbl>
            <w:tblPr>
              <w:tblStyle w:val="26"/>
              <w:tblW w:w="4997"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108" w:type="dxa"/>
                <w:bottom w:w="0" w:type="dxa"/>
                <w:right w:w="108" w:type="dxa"/>
              </w:tblCellMar>
            </w:tblPr>
            <w:tblGrid>
              <w:gridCol w:w="938"/>
              <w:gridCol w:w="979"/>
              <w:gridCol w:w="978"/>
              <w:gridCol w:w="1143"/>
              <w:gridCol w:w="609"/>
              <w:gridCol w:w="781"/>
              <w:gridCol w:w="644"/>
              <w:gridCol w:w="628"/>
              <w:gridCol w:w="792"/>
              <w:gridCol w:w="559"/>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340" w:hRule="atLeast"/>
                <w:jc w:val="center"/>
              </w:trPr>
              <w:tc>
                <w:tcPr>
                  <w:tcW w:w="581" w:type="pct"/>
                  <w:vMerge w:val="restart"/>
                  <w:vAlign w:val="center"/>
                </w:tcPr>
                <w:p>
                  <w:pPr>
                    <w:jc w:val="center"/>
                    <w:rPr>
                      <w:b/>
                      <w:bCs/>
                      <w:color w:val="auto"/>
                      <w:szCs w:val="21"/>
                    </w:rPr>
                  </w:pPr>
                  <w:r>
                    <w:rPr>
                      <w:b/>
                      <w:bCs/>
                      <w:color w:val="auto"/>
                      <w:szCs w:val="21"/>
                    </w:rPr>
                    <w:t>污染源位置</w:t>
                  </w:r>
                </w:p>
              </w:tc>
              <w:tc>
                <w:tcPr>
                  <w:tcW w:w="607" w:type="pct"/>
                  <w:vMerge w:val="restart"/>
                  <w:vAlign w:val="center"/>
                </w:tcPr>
                <w:p>
                  <w:pPr>
                    <w:jc w:val="center"/>
                    <w:rPr>
                      <w:b/>
                      <w:bCs/>
                      <w:color w:val="auto"/>
                      <w:szCs w:val="21"/>
                    </w:rPr>
                  </w:pPr>
                  <w:r>
                    <w:rPr>
                      <w:b/>
                      <w:bCs/>
                      <w:color w:val="auto"/>
                      <w:szCs w:val="21"/>
                    </w:rPr>
                    <w:t>污染物名称</w:t>
                  </w:r>
                </w:p>
              </w:tc>
              <w:tc>
                <w:tcPr>
                  <w:tcW w:w="606" w:type="pct"/>
                  <w:vMerge w:val="restart"/>
                  <w:vAlign w:val="center"/>
                </w:tcPr>
                <w:p>
                  <w:pPr>
                    <w:jc w:val="center"/>
                    <w:rPr>
                      <w:b/>
                      <w:bCs/>
                      <w:color w:val="auto"/>
                      <w:szCs w:val="21"/>
                    </w:rPr>
                  </w:pPr>
                  <w:r>
                    <w:rPr>
                      <w:b/>
                      <w:bCs/>
                      <w:color w:val="auto"/>
                      <w:szCs w:val="21"/>
                    </w:rPr>
                    <w:t>Q</w:t>
                  </w:r>
                  <w:r>
                    <w:rPr>
                      <w:b/>
                      <w:bCs/>
                      <w:color w:val="auto"/>
                      <w:szCs w:val="21"/>
                      <w:vertAlign w:val="subscript"/>
                    </w:rPr>
                    <w:t>c</w:t>
                  </w:r>
                </w:p>
                <w:p>
                  <w:pPr>
                    <w:jc w:val="center"/>
                    <w:rPr>
                      <w:b/>
                      <w:bCs/>
                      <w:color w:val="auto"/>
                      <w:szCs w:val="21"/>
                    </w:rPr>
                  </w:pPr>
                  <w:r>
                    <w:rPr>
                      <w:b/>
                      <w:bCs/>
                      <w:color w:val="auto"/>
                      <w:szCs w:val="21"/>
                    </w:rPr>
                    <w:t>（kg/h）</w:t>
                  </w:r>
                </w:p>
              </w:tc>
              <w:tc>
                <w:tcPr>
                  <w:tcW w:w="709" w:type="pct"/>
                  <w:vMerge w:val="restart"/>
                  <w:vAlign w:val="center"/>
                </w:tcPr>
                <w:p>
                  <w:pPr>
                    <w:jc w:val="center"/>
                    <w:rPr>
                      <w:b/>
                      <w:bCs/>
                      <w:color w:val="auto"/>
                      <w:szCs w:val="21"/>
                    </w:rPr>
                  </w:pPr>
                  <w:r>
                    <w:rPr>
                      <w:b/>
                      <w:bCs/>
                      <w:color w:val="auto"/>
                      <w:szCs w:val="21"/>
                    </w:rPr>
                    <w:t>C</w:t>
                  </w:r>
                  <w:r>
                    <w:rPr>
                      <w:b/>
                      <w:bCs/>
                      <w:color w:val="auto"/>
                      <w:szCs w:val="21"/>
                      <w:vertAlign w:val="subscript"/>
                    </w:rPr>
                    <w:t>m</w:t>
                  </w:r>
                  <w:r>
                    <w:rPr>
                      <w:b/>
                      <w:bCs/>
                      <w:color w:val="auto"/>
                      <w:szCs w:val="21"/>
                    </w:rPr>
                    <w:t>（mg/m</w:t>
                  </w:r>
                  <w:r>
                    <w:rPr>
                      <w:b/>
                      <w:bCs/>
                      <w:color w:val="auto"/>
                      <w:szCs w:val="21"/>
                      <w:vertAlign w:val="superscript"/>
                    </w:rPr>
                    <w:t>3</w:t>
                  </w:r>
                  <w:r>
                    <w:rPr>
                      <w:b/>
                      <w:bCs/>
                      <w:color w:val="auto"/>
                      <w:szCs w:val="21"/>
                    </w:rPr>
                    <w:t>）</w:t>
                  </w:r>
                </w:p>
              </w:tc>
              <w:tc>
                <w:tcPr>
                  <w:tcW w:w="378" w:type="pct"/>
                  <w:vMerge w:val="restart"/>
                  <w:vAlign w:val="center"/>
                </w:tcPr>
                <w:p>
                  <w:pPr>
                    <w:jc w:val="center"/>
                    <w:rPr>
                      <w:b/>
                      <w:bCs/>
                      <w:color w:val="auto"/>
                      <w:szCs w:val="21"/>
                    </w:rPr>
                  </w:pPr>
                  <w:r>
                    <w:rPr>
                      <w:b/>
                      <w:bCs/>
                      <w:color w:val="auto"/>
                      <w:szCs w:val="21"/>
                    </w:rPr>
                    <w:t>A</w:t>
                  </w:r>
                </w:p>
              </w:tc>
              <w:tc>
                <w:tcPr>
                  <w:tcW w:w="485" w:type="pct"/>
                  <w:vMerge w:val="restart"/>
                  <w:vAlign w:val="center"/>
                </w:tcPr>
                <w:p>
                  <w:pPr>
                    <w:jc w:val="center"/>
                    <w:rPr>
                      <w:b/>
                      <w:bCs/>
                      <w:color w:val="auto"/>
                      <w:szCs w:val="21"/>
                    </w:rPr>
                  </w:pPr>
                  <w:r>
                    <w:rPr>
                      <w:b/>
                      <w:bCs/>
                      <w:color w:val="auto"/>
                      <w:szCs w:val="21"/>
                    </w:rPr>
                    <w:t>B</w:t>
                  </w:r>
                </w:p>
              </w:tc>
              <w:tc>
                <w:tcPr>
                  <w:tcW w:w="400" w:type="pct"/>
                  <w:vMerge w:val="restart"/>
                  <w:vAlign w:val="center"/>
                </w:tcPr>
                <w:p>
                  <w:pPr>
                    <w:jc w:val="center"/>
                    <w:rPr>
                      <w:b/>
                      <w:bCs/>
                      <w:color w:val="auto"/>
                      <w:szCs w:val="21"/>
                    </w:rPr>
                  </w:pPr>
                  <w:r>
                    <w:rPr>
                      <w:b/>
                      <w:bCs/>
                      <w:color w:val="auto"/>
                      <w:szCs w:val="21"/>
                    </w:rPr>
                    <w:t>C</w:t>
                  </w:r>
                </w:p>
              </w:tc>
              <w:tc>
                <w:tcPr>
                  <w:tcW w:w="390" w:type="pct"/>
                  <w:vMerge w:val="restart"/>
                  <w:vAlign w:val="center"/>
                </w:tcPr>
                <w:p>
                  <w:pPr>
                    <w:jc w:val="center"/>
                    <w:rPr>
                      <w:b/>
                      <w:bCs/>
                      <w:color w:val="auto"/>
                      <w:szCs w:val="21"/>
                    </w:rPr>
                  </w:pPr>
                  <w:r>
                    <w:rPr>
                      <w:b/>
                      <w:bCs/>
                      <w:color w:val="auto"/>
                      <w:szCs w:val="21"/>
                    </w:rPr>
                    <w:t>D</w:t>
                  </w:r>
                </w:p>
              </w:tc>
              <w:tc>
                <w:tcPr>
                  <w:tcW w:w="839" w:type="pct"/>
                  <w:gridSpan w:val="2"/>
                  <w:vAlign w:val="center"/>
                </w:tcPr>
                <w:p>
                  <w:pPr>
                    <w:jc w:val="center"/>
                    <w:rPr>
                      <w:b/>
                      <w:bCs/>
                      <w:color w:val="auto"/>
                      <w:szCs w:val="21"/>
                    </w:rPr>
                  </w:pPr>
                  <w:r>
                    <w:rPr>
                      <w:b/>
                      <w:bCs/>
                      <w:color w:val="auto"/>
                      <w:szCs w:val="21"/>
                    </w:rPr>
                    <w:t>卫生防护距离（m）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340" w:hRule="atLeast"/>
                <w:jc w:val="center"/>
              </w:trPr>
              <w:tc>
                <w:tcPr>
                  <w:tcW w:w="581" w:type="pct"/>
                  <w:vMerge w:val="continue"/>
                  <w:vAlign w:val="center"/>
                </w:tcPr>
                <w:p>
                  <w:pPr>
                    <w:widowControl/>
                    <w:jc w:val="left"/>
                    <w:rPr>
                      <w:b/>
                      <w:bCs/>
                      <w:color w:val="auto"/>
                      <w:szCs w:val="21"/>
                    </w:rPr>
                  </w:pPr>
                </w:p>
              </w:tc>
              <w:tc>
                <w:tcPr>
                  <w:tcW w:w="607" w:type="pct"/>
                  <w:vMerge w:val="continue"/>
                  <w:vAlign w:val="center"/>
                </w:tcPr>
                <w:p>
                  <w:pPr>
                    <w:widowControl/>
                    <w:jc w:val="left"/>
                    <w:rPr>
                      <w:b/>
                      <w:bCs/>
                      <w:color w:val="auto"/>
                      <w:szCs w:val="21"/>
                    </w:rPr>
                  </w:pPr>
                </w:p>
              </w:tc>
              <w:tc>
                <w:tcPr>
                  <w:tcW w:w="606" w:type="pct"/>
                  <w:vMerge w:val="continue"/>
                  <w:vAlign w:val="center"/>
                </w:tcPr>
                <w:p>
                  <w:pPr>
                    <w:widowControl/>
                    <w:jc w:val="left"/>
                    <w:rPr>
                      <w:b/>
                      <w:bCs/>
                      <w:color w:val="auto"/>
                      <w:szCs w:val="21"/>
                    </w:rPr>
                  </w:pPr>
                </w:p>
              </w:tc>
              <w:tc>
                <w:tcPr>
                  <w:tcW w:w="709" w:type="pct"/>
                  <w:vMerge w:val="continue"/>
                  <w:vAlign w:val="center"/>
                </w:tcPr>
                <w:p>
                  <w:pPr>
                    <w:widowControl/>
                    <w:jc w:val="left"/>
                    <w:rPr>
                      <w:b/>
                      <w:bCs/>
                      <w:color w:val="auto"/>
                      <w:szCs w:val="21"/>
                    </w:rPr>
                  </w:pPr>
                </w:p>
              </w:tc>
              <w:tc>
                <w:tcPr>
                  <w:tcW w:w="378" w:type="pct"/>
                  <w:vMerge w:val="continue"/>
                  <w:vAlign w:val="center"/>
                </w:tcPr>
                <w:p>
                  <w:pPr>
                    <w:widowControl/>
                    <w:jc w:val="left"/>
                    <w:rPr>
                      <w:b/>
                      <w:bCs/>
                      <w:color w:val="auto"/>
                      <w:szCs w:val="21"/>
                    </w:rPr>
                  </w:pPr>
                </w:p>
              </w:tc>
              <w:tc>
                <w:tcPr>
                  <w:tcW w:w="485" w:type="pct"/>
                  <w:vMerge w:val="continue"/>
                  <w:vAlign w:val="center"/>
                </w:tcPr>
                <w:p>
                  <w:pPr>
                    <w:widowControl/>
                    <w:jc w:val="left"/>
                    <w:rPr>
                      <w:b/>
                      <w:bCs/>
                      <w:color w:val="auto"/>
                      <w:szCs w:val="21"/>
                    </w:rPr>
                  </w:pPr>
                </w:p>
              </w:tc>
              <w:tc>
                <w:tcPr>
                  <w:tcW w:w="400" w:type="pct"/>
                  <w:vMerge w:val="continue"/>
                  <w:vAlign w:val="center"/>
                </w:tcPr>
                <w:p>
                  <w:pPr>
                    <w:widowControl/>
                    <w:jc w:val="left"/>
                    <w:rPr>
                      <w:b/>
                      <w:bCs/>
                      <w:color w:val="auto"/>
                      <w:szCs w:val="21"/>
                    </w:rPr>
                  </w:pPr>
                </w:p>
              </w:tc>
              <w:tc>
                <w:tcPr>
                  <w:tcW w:w="390" w:type="pct"/>
                  <w:vMerge w:val="continue"/>
                  <w:vAlign w:val="center"/>
                </w:tcPr>
                <w:p>
                  <w:pPr>
                    <w:widowControl/>
                    <w:jc w:val="left"/>
                    <w:rPr>
                      <w:b/>
                      <w:bCs/>
                      <w:color w:val="auto"/>
                      <w:szCs w:val="21"/>
                    </w:rPr>
                  </w:pPr>
                </w:p>
              </w:tc>
              <w:tc>
                <w:tcPr>
                  <w:tcW w:w="492" w:type="pct"/>
                  <w:vAlign w:val="center"/>
                </w:tcPr>
                <w:p>
                  <w:pPr>
                    <w:jc w:val="center"/>
                    <w:rPr>
                      <w:b/>
                      <w:bCs/>
                      <w:color w:val="auto"/>
                      <w:szCs w:val="21"/>
                    </w:rPr>
                  </w:pPr>
                  <w:r>
                    <w:rPr>
                      <w:b/>
                      <w:bCs/>
                      <w:color w:val="auto"/>
                      <w:szCs w:val="21"/>
                    </w:rPr>
                    <w:t>L</w:t>
                  </w:r>
                  <w:r>
                    <w:rPr>
                      <w:b/>
                      <w:bCs/>
                      <w:color w:val="auto"/>
                      <w:szCs w:val="21"/>
                      <w:vertAlign w:val="subscript"/>
                    </w:rPr>
                    <w:t>计</w:t>
                  </w:r>
                </w:p>
              </w:tc>
              <w:tc>
                <w:tcPr>
                  <w:tcW w:w="347" w:type="pct"/>
                  <w:vAlign w:val="center"/>
                </w:tcPr>
                <w:p>
                  <w:pPr>
                    <w:jc w:val="center"/>
                    <w:rPr>
                      <w:b/>
                      <w:bCs/>
                      <w:color w:val="auto"/>
                      <w:szCs w:val="21"/>
                    </w:rPr>
                  </w:pPr>
                  <w:r>
                    <w:rPr>
                      <w:b/>
                      <w:bCs/>
                      <w:color w:val="auto"/>
                      <w:szCs w:val="21"/>
                    </w:rPr>
                    <w:t>L</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423" w:hRule="atLeast"/>
                <w:jc w:val="center"/>
              </w:trPr>
              <w:tc>
                <w:tcPr>
                  <w:tcW w:w="581" w:type="pct"/>
                  <w:vAlign w:val="center"/>
                </w:tcPr>
                <w:p>
                  <w:pPr>
                    <w:wordWrap w:val="0"/>
                    <w:adjustRightInd w:val="0"/>
                    <w:snapToGrid w:val="0"/>
                    <w:jc w:val="center"/>
                    <w:rPr>
                      <w:color w:val="auto"/>
                      <w:szCs w:val="21"/>
                    </w:rPr>
                  </w:pPr>
                  <w:r>
                    <w:rPr>
                      <w:rFonts w:hint="eastAsia"/>
                      <w:color w:val="auto"/>
                      <w:szCs w:val="21"/>
                    </w:rPr>
                    <w:t>车间一</w:t>
                  </w:r>
                </w:p>
              </w:tc>
              <w:tc>
                <w:tcPr>
                  <w:tcW w:w="607" w:type="pct"/>
                  <w:vAlign w:val="center"/>
                </w:tcPr>
                <w:p>
                  <w:pPr>
                    <w:wordWrap w:val="0"/>
                    <w:adjustRightInd w:val="0"/>
                    <w:snapToGrid w:val="0"/>
                    <w:jc w:val="center"/>
                    <w:rPr>
                      <w:color w:val="auto"/>
                      <w:kern w:val="0"/>
                      <w:szCs w:val="21"/>
                    </w:rPr>
                  </w:pPr>
                  <w:r>
                    <w:rPr>
                      <w:color w:val="auto"/>
                      <w:szCs w:val="21"/>
                    </w:rPr>
                    <w:t>颗粒物</w:t>
                  </w:r>
                </w:p>
              </w:tc>
              <w:tc>
                <w:tcPr>
                  <w:tcW w:w="977" w:type="dxa"/>
                  <w:vAlign w:val="center"/>
                </w:tcPr>
                <w:p>
                  <w:pPr>
                    <w:widowControl/>
                    <w:jc w:val="center"/>
                    <w:textAlignment w:val="center"/>
                    <w:rPr>
                      <w:color w:val="auto"/>
                      <w:kern w:val="0"/>
                      <w:szCs w:val="21"/>
                      <w:lang w:bidi="ar"/>
                    </w:rPr>
                  </w:pPr>
                  <w:r>
                    <w:rPr>
                      <w:rFonts w:hint="eastAsia"/>
                      <w:color w:val="auto"/>
                      <w:kern w:val="0"/>
                      <w:szCs w:val="21"/>
                      <w:lang w:val="en-US" w:eastAsia="zh-CN" w:bidi="ar"/>
                    </w:rPr>
                    <w:t>0.0014</w:t>
                  </w:r>
                </w:p>
              </w:tc>
              <w:tc>
                <w:tcPr>
                  <w:tcW w:w="1143" w:type="dxa"/>
                  <w:vAlign w:val="center"/>
                </w:tcPr>
                <w:p>
                  <w:pPr>
                    <w:widowControl/>
                    <w:jc w:val="center"/>
                    <w:textAlignment w:val="center"/>
                    <w:rPr>
                      <w:color w:val="auto"/>
                      <w:kern w:val="0"/>
                      <w:szCs w:val="21"/>
                      <w:lang w:bidi="ar"/>
                    </w:rPr>
                  </w:pPr>
                  <w:r>
                    <w:rPr>
                      <w:rFonts w:hint="eastAsia"/>
                      <w:color w:val="auto"/>
                      <w:kern w:val="0"/>
                      <w:szCs w:val="21"/>
                      <w:lang w:bidi="ar"/>
                    </w:rPr>
                    <w:t>0.</w:t>
                  </w:r>
                  <w:r>
                    <w:rPr>
                      <w:rFonts w:hint="eastAsia"/>
                      <w:color w:val="auto"/>
                      <w:kern w:val="0"/>
                      <w:szCs w:val="21"/>
                      <w:lang w:val="en-US" w:eastAsia="zh-CN" w:bidi="ar"/>
                    </w:rPr>
                    <w:t>2731</w:t>
                  </w:r>
                </w:p>
              </w:tc>
              <w:tc>
                <w:tcPr>
                  <w:tcW w:w="378" w:type="pct"/>
                  <w:vAlign w:val="center"/>
                </w:tcPr>
                <w:p>
                  <w:pPr>
                    <w:adjustRightInd w:val="0"/>
                    <w:snapToGrid w:val="0"/>
                    <w:jc w:val="center"/>
                    <w:rPr>
                      <w:color w:val="auto"/>
                      <w:szCs w:val="21"/>
                    </w:rPr>
                  </w:pPr>
                  <w:r>
                    <w:rPr>
                      <w:color w:val="auto"/>
                      <w:szCs w:val="21"/>
                    </w:rPr>
                    <w:t>470</w:t>
                  </w:r>
                </w:p>
              </w:tc>
              <w:tc>
                <w:tcPr>
                  <w:tcW w:w="485" w:type="pct"/>
                  <w:vAlign w:val="center"/>
                </w:tcPr>
                <w:p>
                  <w:pPr>
                    <w:adjustRightInd w:val="0"/>
                    <w:snapToGrid w:val="0"/>
                    <w:jc w:val="center"/>
                    <w:rPr>
                      <w:color w:val="auto"/>
                      <w:szCs w:val="21"/>
                    </w:rPr>
                  </w:pPr>
                  <w:r>
                    <w:rPr>
                      <w:color w:val="auto"/>
                      <w:szCs w:val="21"/>
                    </w:rPr>
                    <w:t>0.021</w:t>
                  </w:r>
                </w:p>
              </w:tc>
              <w:tc>
                <w:tcPr>
                  <w:tcW w:w="400" w:type="pct"/>
                  <w:vAlign w:val="center"/>
                </w:tcPr>
                <w:p>
                  <w:pPr>
                    <w:adjustRightInd w:val="0"/>
                    <w:snapToGrid w:val="0"/>
                    <w:jc w:val="center"/>
                    <w:rPr>
                      <w:color w:val="auto"/>
                      <w:szCs w:val="21"/>
                    </w:rPr>
                  </w:pPr>
                  <w:r>
                    <w:rPr>
                      <w:color w:val="auto"/>
                      <w:szCs w:val="21"/>
                    </w:rPr>
                    <w:t>1.85</w:t>
                  </w:r>
                </w:p>
              </w:tc>
              <w:tc>
                <w:tcPr>
                  <w:tcW w:w="390" w:type="pct"/>
                  <w:vAlign w:val="center"/>
                </w:tcPr>
                <w:p>
                  <w:pPr>
                    <w:adjustRightInd w:val="0"/>
                    <w:snapToGrid w:val="0"/>
                    <w:jc w:val="center"/>
                    <w:rPr>
                      <w:color w:val="auto"/>
                      <w:szCs w:val="21"/>
                    </w:rPr>
                  </w:pPr>
                  <w:r>
                    <w:rPr>
                      <w:color w:val="auto"/>
                      <w:szCs w:val="21"/>
                    </w:rPr>
                    <w:t>0.84</w:t>
                  </w:r>
                </w:p>
              </w:tc>
              <w:tc>
                <w:tcPr>
                  <w:tcW w:w="492" w:type="pct"/>
                  <w:vAlign w:val="center"/>
                </w:tcPr>
                <w:p>
                  <w:pPr>
                    <w:widowControl/>
                    <w:jc w:val="center"/>
                    <w:textAlignment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157</w:t>
                  </w:r>
                </w:p>
              </w:tc>
              <w:tc>
                <w:tcPr>
                  <w:tcW w:w="347" w:type="pct"/>
                  <w:vAlign w:val="center"/>
                </w:tcPr>
                <w:p>
                  <w:pPr>
                    <w:adjustRightInd w:val="0"/>
                    <w:snapToGrid w:val="0"/>
                    <w:jc w:val="center"/>
                    <w:rPr>
                      <w:color w:val="auto"/>
                      <w:szCs w:val="21"/>
                    </w:rPr>
                  </w:pPr>
                  <w:r>
                    <w:rPr>
                      <w:color w:val="auto"/>
                      <w:szCs w:val="21"/>
                    </w:rPr>
                    <w:t>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423" w:hRule="atLeast"/>
                <w:jc w:val="center"/>
              </w:trPr>
              <w:tc>
                <w:tcPr>
                  <w:tcW w:w="581" w:type="pct"/>
                  <w:vMerge w:val="restart"/>
                  <w:vAlign w:val="center"/>
                </w:tcPr>
                <w:p>
                  <w:pPr>
                    <w:wordWrap w:val="0"/>
                    <w:adjustRightInd w:val="0"/>
                    <w:snapToGrid w:val="0"/>
                    <w:jc w:val="center"/>
                    <w:rPr>
                      <w:color w:val="auto"/>
                    </w:rPr>
                  </w:pPr>
                  <w:r>
                    <w:rPr>
                      <w:rFonts w:hint="eastAsia"/>
                      <w:color w:val="auto"/>
                      <w:szCs w:val="21"/>
                    </w:rPr>
                    <w:t>车间三</w:t>
                  </w:r>
                </w:p>
              </w:tc>
              <w:tc>
                <w:tcPr>
                  <w:tcW w:w="607" w:type="pct"/>
                  <w:vAlign w:val="center"/>
                </w:tcPr>
                <w:p>
                  <w:pPr>
                    <w:wordWrap w:val="0"/>
                    <w:adjustRightInd w:val="0"/>
                    <w:snapToGrid w:val="0"/>
                    <w:jc w:val="center"/>
                    <w:rPr>
                      <w:color w:val="auto"/>
                      <w:kern w:val="0"/>
                      <w:szCs w:val="21"/>
                    </w:rPr>
                  </w:pPr>
                  <w:r>
                    <w:rPr>
                      <w:color w:val="auto"/>
                      <w:szCs w:val="21"/>
                    </w:rPr>
                    <w:t>颗粒物</w:t>
                  </w:r>
                </w:p>
              </w:tc>
              <w:tc>
                <w:tcPr>
                  <w:tcW w:w="977" w:type="dxa"/>
                  <w:vAlign w:val="center"/>
                </w:tcPr>
                <w:p>
                  <w:pPr>
                    <w:widowControl/>
                    <w:jc w:val="center"/>
                    <w:textAlignment w:val="center"/>
                    <w:rPr>
                      <w:color w:val="auto"/>
                      <w:kern w:val="0"/>
                      <w:szCs w:val="21"/>
                    </w:rPr>
                  </w:pPr>
                  <w:r>
                    <w:rPr>
                      <w:rFonts w:hint="eastAsia"/>
                      <w:color w:val="auto"/>
                      <w:kern w:val="0"/>
                      <w:szCs w:val="21"/>
                      <w:lang w:bidi="ar"/>
                    </w:rPr>
                    <w:t>0.0625</w:t>
                  </w:r>
                </w:p>
              </w:tc>
              <w:tc>
                <w:tcPr>
                  <w:tcW w:w="1143" w:type="dxa"/>
                  <w:vAlign w:val="center"/>
                </w:tcPr>
                <w:p>
                  <w:pPr>
                    <w:widowControl/>
                    <w:jc w:val="center"/>
                    <w:textAlignment w:val="center"/>
                    <w:rPr>
                      <w:color w:val="auto"/>
                      <w:kern w:val="0"/>
                      <w:szCs w:val="21"/>
                    </w:rPr>
                  </w:pPr>
                  <w:r>
                    <w:rPr>
                      <w:rFonts w:hint="eastAsia"/>
                      <w:color w:val="auto"/>
                      <w:kern w:val="0"/>
                      <w:szCs w:val="21"/>
                    </w:rPr>
                    <w:t>3.4722</w:t>
                  </w:r>
                </w:p>
              </w:tc>
              <w:tc>
                <w:tcPr>
                  <w:tcW w:w="378" w:type="pct"/>
                  <w:vAlign w:val="center"/>
                </w:tcPr>
                <w:p>
                  <w:pPr>
                    <w:adjustRightInd w:val="0"/>
                    <w:snapToGrid w:val="0"/>
                    <w:jc w:val="center"/>
                    <w:rPr>
                      <w:color w:val="auto"/>
                      <w:szCs w:val="21"/>
                    </w:rPr>
                  </w:pPr>
                  <w:r>
                    <w:rPr>
                      <w:color w:val="auto"/>
                      <w:szCs w:val="21"/>
                    </w:rPr>
                    <w:t>470</w:t>
                  </w:r>
                </w:p>
              </w:tc>
              <w:tc>
                <w:tcPr>
                  <w:tcW w:w="485" w:type="pct"/>
                  <w:vAlign w:val="center"/>
                </w:tcPr>
                <w:p>
                  <w:pPr>
                    <w:adjustRightInd w:val="0"/>
                    <w:snapToGrid w:val="0"/>
                    <w:jc w:val="center"/>
                    <w:rPr>
                      <w:color w:val="auto"/>
                      <w:szCs w:val="21"/>
                    </w:rPr>
                  </w:pPr>
                  <w:r>
                    <w:rPr>
                      <w:color w:val="auto"/>
                      <w:szCs w:val="21"/>
                    </w:rPr>
                    <w:t>0.021</w:t>
                  </w:r>
                </w:p>
              </w:tc>
              <w:tc>
                <w:tcPr>
                  <w:tcW w:w="400" w:type="pct"/>
                  <w:vAlign w:val="center"/>
                </w:tcPr>
                <w:p>
                  <w:pPr>
                    <w:adjustRightInd w:val="0"/>
                    <w:snapToGrid w:val="0"/>
                    <w:jc w:val="center"/>
                    <w:rPr>
                      <w:color w:val="auto"/>
                      <w:szCs w:val="21"/>
                    </w:rPr>
                  </w:pPr>
                  <w:r>
                    <w:rPr>
                      <w:color w:val="auto"/>
                      <w:szCs w:val="21"/>
                    </w:rPr>
                    <w:t>1.85</w:t>
                  </w:r>
                </w:p>
              </w:tc>
              <w:tc>
                <w:tcPr>
                  <w:tcW w:w="390" w:type="pct"/>
                  <w:vAlign w:val="center"/>
                </w:tcPr>
                <w:p>
                  <w:pPr>
                    <w:adjustRightInd w:val="0"/>
                    <w:snapToGrid w:val="0"/>
                    <w:jc w:val="center"/>
                    <w:rPr>
                      <w:color w:val="auto"/>
                      <w:szCs w:val="21"/>
                    </w:rPr>
                  </w:pPr>
                  <w:r>
                    <w:rPr>
                      <w:color w:val="auto"/>
                      <w:szCs w:val="21"/>
                    </w:rPr>
                    <w:t>0.84</w:t>
                  </w:r>
                </w:p>
              </w:tc>
              <w:tc>
                <w:tcPr>
                  <w:tcW w:w="492" w:type="pct"/>
                  <w:vAlign w:val="center"/>
                </w:tcPr>
                <w:p>
                  <w:pPr>
                    <w:widowControl/>
                    <w:jc w:val="center"/>
                    <w:textAlignment w:val="center"/>
                    <w:rPr>
                      <w:color w:val="auto"/>
                      <w:szCs w:val="21"/>
                    </w:rPr>
                  </w:pPr>
                  <w:r>
                    <w:rPr>
                      <w:rFonts w:hint="eastAsia"/>
                      <w:color w:val="auto"/>
                      <w:szCs w:val="21"/>
                    </w:rPr>
                    <w:t>3.050</w:t>
                  </w:r>
                </w:p>
              </w:tc>
              <w:tc>
                <w:tcPr>
                  <w:tcW w:w="347" w:type="pct"/>
                  <w:vAlign w:val="center"/>
                </w:tcPr>
                <w:p>
                  <w:pPr>
                    <w:adjustRightInd w:val="0"/>
                    <w:snapToGrid w:val="0"/>
                    <w:jc w:val="center"/>
                    <w:rPr>
                      <w:color w:val="auto"/>
                      <w:szCs w:val="21"/>
                    </w:rPr>
                  </w:pPr>
                  <w:r>
                    <w:rPr>
                      <w:rFonts w:hint="eastAsia"/>
                      <w:color w:val="auto"/>
                      <w:szCs w:val="21"/>
                    </w:rPr>
                    <w:t>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340" w:hRule="atLeast"/>
                <w:jc w:val="center"/>
              </w:trPr>
              <w:tc>
                <w:tcPr>
                  <w:tcW w:w="581" w:type="pct"/>
                  <w:vMerge w:val="continue"/>
                  <w:vAlign w:val="center"/>
                </w:tcPr>
                <w:p>
                  <w:pPr>
                    <w:wordWrap w:val="0"/>
                    <w:adjustRightInd w:val="0"/>
                    <w:snapToGrid w:val="0"/>
                    <w:jc w:val="center"/>
                    <w:rPr>
                      <w:color w:val="auto"/>
                    </w:rPr>
                  </w:pPr>
                </w:p>
              </w:tc>
              <w:tc>
                <w:tcPr>
                  <w:tcW w:w="607" w:type="pct"/>
                  <w:vAlign w:val="center"/>
                </w:tcPr>
                <w:p>
                  <w:pPr>
                    <w:wordWrap w:val="0"/>
                    <w:adjustRightInd w:val="0"/>
                    <w:snapToGrid w:val="0"/>
                    <w:jc w:val="center"/>
                    <w:rPr>
                      <w:color w:val="auto"/>
                      <w:szCs w:val="21"/>
                    </w:rPr>
                  </w:pPr>
                  <w:r>
                    <w:rPr>
                      <w:color w:val="auto"/>
                      <w:szCs w:val="21"/>
                    </w:rPr>
                    <w:t>非甲烷总烃</w:t>
                  </w:r>
                </w:p>
              </w:tc>
              <w:tc>
                <w:tcPr>
                  <w:tcW w:w="606" w:type="pct"/>
                  <w:vAlign w:val="center"/>
                </w:tcPr>
                <w:p>
                  <w:pPr>
                    <w:widowControl/>
                    <w:jc w:val="center"/>
                    <w:textAlignment w:val="center"/>
                    <w:rPr>
                      <w:color w:val="auto"/>
                      <w:szCs w:val="21"/>
                    </w:rPr>
                  </w:pPr>
                  <w:r>
                    <w:rPr>
                      <w:rFonts w:hint="eastAsia"/>
                      <w:color w:val="auto"/>
                      <w:kern w:val="0"/>
                      <w:szCs w:val="21"/>
                      <w:lang w:bidi="ar"/>
                    </w:rPr>
                    <w:t>0.0056</w:t>
                  </w:r>
                </w:p>
              </w:tc>
              <w:tc>
                <w:tcPr>
                  <w:tcW w:w="709" w:type="pct"/>
                  <w:vAlign w:val="center"/>
                </w:tcPr>
                <w:p>
                  <w:pPr>
                    <w:widowControl/>
                    <w:jc w:val="center"/>
                    <w:textAlignment w:val="center"/>
                    <w:rPr>
                      <w:color w:val="auto"/>
                      <w:szCs w:val="21"/>
                    </w:rPr>
                  </w:pPr>
                  <w:r>
                    <w:rPr>
                      <w:rFonts w:hint="eastAsia"/>
                      <w:color w:val="auto"/>
                      <w:kern w:val="0"/>
                      <w:szCs w:val="21"/>
                    </w:rPr>
                    <w:t>1.125</w:t>
                  </w:r>
                </w:p>
              </w:tc>
              <w:tc>
                <w:tcPr>
                  <w:tcW w:w="378" w:type="pct"/>
                  <w:vAlign w:val="center"/>
                </w:tcPr>
                <w:p>
                  <w:pPr>
                    <w:adjustRightInd w:val="0"/>
                    <w:snapToGrid w:val="0"/>
                    <w:jc w:val="center"/>
                    <w:rPr>
                      <w:color w:val="auto"/>
                      <w:szCs w:val="21"/>
                    </w:rPr>
                  </w:pPr>
                  <w:r>
                    <w:rPr>
                      <w:color w:val="auto"/>
                      <w:szCs w:val="21"/>
                    </w:rPr>
                    <w:t>470</w:t>
                  </w:r>
                </w:p>
              </w:tc>
              <w:tc>
                <w:tcPr>
                  <w:tcW w:w="485" w:type="pct"/>
                  <w:vAlign w:val="center"/>
                </w:tcPr>
                <w:p>
                  <w:pPr>
                    <w:adjustRightInd w:val="0"/>
                    <w:snapToGrid w:val="0"/>
                    <w:jc w:val="center"/>
                    <w:rPr>
                      <w:color w:val="auto"/>
                      <w:szCs w:val="21"/>
                    </w:rPr>
                  </w:pPr>
                  <w:r>
                    <w:rPr>
                      <w:color w:val="auto"/>
                      <w:szCs w:val="21"/>
                    </w:rPr>
                    <w:t>0.021</w:t>
                  </w:r>
                </w:p>
              </w:tc>
              <w:tc>
                <w:tcPr>
                  <w:tcW w:w="400" w:type="pct"/>
                  <w:vAlign w:val="center"/>
                </w:tcPr>
                <w:p>
                  <w:pPr>
                    <w:adjustRightInd w:val="0"/>
                    <w:snapToGrid w:val="0"/>
                    <w:jc w:val="center"/>
                    <w:rPr>
                      <w:color w:val="auto"/>
                      <w:szCs w:val="21"/>
                    </w:rPr>
                  </w:pPr>
                  <w:r>
                    <w:rPr>
                      <w:color w:val="auto"/>
                      <w:szCs w:val="21"/>
                    </w:rPr>
                    <w:t>1.85</w:t>
                  </w:r>
                </w:p>
              </w:tc>
              <w:tc>
                <w:tcPr>
                  <w:tcW w:w="390" w:type="pct"/>
                  <w:vAlign w:val="center"/>
                </w:tcPr>
                <w:p>
                  <w:pPr>
                    <w:adjustRightInd w:val="0"/>
                    <w:snapToGrid w:val="0"/>
                    <w:jc w:val="center"/>
                    <w:rPr>
                      <w:color w:val="auto"/>
                      <w:szCs w:val="21"/>
                    </w:rPr>
                  </w:pPr>
                  <w:r>
                    <w:rPr>
                      <w:color w:val="auto"/>
                      <w:szCs w:val="21"/>
                    </w:rPr>
                    <w:t>0.84</w:t>
                  </w:r>
                </w:p>
              </w:tc>
              <w:tc>
                <w:tcPr>
                  <w:tcW w:w="492" w:type="pct"/>
                  <w:vAlign w:val="center"/>
                </w:tcPr>
                <w:p>
                  <w:pPr>
                    <w:widowControl/>
                    <w:jc w:val="center"/>
                    <w:textAlignment w:val="center"/>
                    <w:rPr>
                      <w:color w:val="auto"/>
                      <w:szCs w:val="21"/>
                    </w:rPr>
                  </w:pPr>
                  <w:r>
                    <w:rPr>
                      <w:rFonts w:hint="eastAsia"/>
                      <w:color w:val="auto"/>
                      <w:szCs w:val="21"/>
                    </w:rPr>
                    <w:t>0.067</w:t>
                  </w:r>
                </w:p>
              </w:tc>
              <w:tc>
                <w:tcPr>
                  <w:tcW w:w="347" w:type="pct"/>
                  <w:vAlign w:val="center"/>
                </w:tcPr>
                <w:p>
                  <w:pPr>
                    <w:wordWrap w:val="0"/>
                    <w:adjustRightInd w:val="0"/>
                    <w:snapToGrid w:val="0"/>
                    <w:jc w:val="center"/>
                    <w:rPr>
                      <w:color w:val="auto"/>
                      <w:szCs w:val="21"/>
                    </w:rPr>
                  </w:pPr>
                  <w:r>
                    <w:rPr>
                      <w:color w:val="auto"/>
                    </w:rPr>
                    <w:t>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340" w:hRule="atLeast"/>
                <w:jc w:val="center"/>
              </w:trPr>
              <w:tc>
                <w:tcPr>
                  <w:tcW w:w="581" w:type="pct"/>
                  <w:vAlign w:val="center"/>
                </w:tcPr>
                <w:p>
                  <w:pPr>
                    <w:wordWrap w:val="0"/>
                    <w:adjustRightInd w:val="0"/>
                    <w:snapToGrid w:val="0"/>
                    <w:jc w:val="center"/>
                    <w:rPr>
                      <w:color w:val="auto"/>
                    </w:rPr>
                  </w:pPr>
                  <w:r>
                    <w:rPr>
                      <w:rFonts w:hint="eastAsia"/>
                      <w:color w:val="auto"/>
                    </w:rPr>
                    <w:t>危废仓库</w:t>
                  </w:r>
                </w:p>
              </w:tc>
              <w:tc>
                <w:tcPr>
                  <w:tcW w:w="607" w:type="pct"/>
                  <w:vAlign w:val="center"/>
                </w:tcPr>
                <w:p>
                  <w:pPr>
                    <w:wordWrap w:val="0"/>
                    <w:adjustRightInd w:val="0"/>
                    <w:snapToGrid w:val="0"/>
                    <w:jc w:val="center"/>
                    <w:rPr>
                      <w:color w:val="auto"/>
                      <w:szCs w:val="21"/>
                    </w:rPr>
                  </w:pPr>
                  <w:r>
                    <w:rPr>
                      <w:color w:val="auto"/>
                      <w:szCs w:val="21"/>
                    </w:rPr>
                    <w:t>非甲烷总烃</w:t>
                  </w:r>
                </w:p>
              </w:tc>
              <w:tc>
                <w:tcPr>
                  <w:tcW w:w="977" w:type="dxa"/>
                  <w:vAlign w:val="center"/>
                </w:tcPr>
                <w:p>
                  <w:pPr>
                    <w:widowControl/>
                    <w:jc w:val="center"/>
                    <w:textAlignment w:val="center"/>
                    <w:rPr>
                      <w:color w:val="auto"/>
                      <w:kern w:val="0"/>
                      <w:szCs w:val="21"/>
                      <w:lang w:bidi="ar"/>
                    </w:rPr>
                  </w:pPr>
                  <w:r>
                    <w:rPr>
                      <w:rFonts w:hint="eastAsia"/>
                      <w:color w:val="auto"/>
                      <w:kern w:val="0"/>
                      <w:szCs w:val="21"/>
                      <w:lang w:bidi="ar"/>
                    </w:rPr>
                    <w:t>0.0019</w:t>
                  </w:r>
                </w:p>
              </w:tc>
              <w:tc>
                <w:tcPr>
                  <w:tcW w:w="1143" w:type="dxa"/>
                  <w:vAlign w:val="center"/>
                </w:tcPr>
                <w:p>
                  <w:pPr>
                    <w:widowControl/>
                    <w:jc w:val="center"/>
                    <w:textAlignment w:val="center"/>
                    <w:rPr>
                      <w:color w:val="auto"/>
                      <w:kern w:val="0"/>
                      <w:szCs w:val="21"/>
                    </w:rPr>
                  </w:pPr>
                  <w:r>
                    <w:rPr>
                      <w:rFonts w:hint="eastAsia"/>
                      <w:color w:val="auto"/>
                      <w:kern w:val="0"/>
                      <w:szCs w:val="21"/>
                    </w:rPr>
                    <w:t>0.947</w:t>
                  </w:r>
                </w:p>
              </w:tc>
              <w:tc>
                <w:tcPr>
                  <w:tcW w:w="378" w:type="pct"/>
                  <w:vAlign w:val="center"/>
                </w:tcPr>
                <w:p>
                  <w:pPr>
                    <w:adjustRightInd w:val="0"/>
                    <w:snapToGrid w:val="0"/>
                    <w:jc w:val="center"/>
                    <w:rPr>
                      <w:color w:val="auto"/>
                      <w:szCs w:val="21"/>
                    </w:rPr>
                  </w:pPr>
                  <w:r>
                    <w:rPr>
                      <w:color w:val="auto"/>
                      <w:szCs w:val="21"/>
                    </w:rPr>
                    <w:t>470</w:t>
                  </w:r>
                </w:p>
              </w:tc>
              <w:tc>
                <w:tcPr>
                  <w:tcW w:w="485" w:type="pct"/>
                  <w:vAlign w:val="center"/>
                </w:tcPr>
                <w:p>
                  <w:pPr>
                    <w:adjustRightInd w:val="0"/>
                    <w:snapToGrid w:val="0"/>
                    <w:jc w:val="center"/>
                    <w:rPr>
                      <w:color w:val="auto"/>
                      <w:szCs w:val="21"/>
                    </w:rPr>
                  </w:pPr>
                  <w:r>
                    <w:rPr>
                      <w:color w:val="auto"/>
                      <w:szCs w:val="21"/>
                    </w:rPr>
                    <w:t>0.021</w:t>
                  </w:r>
                </w:p>
              </w:tc>
              <w:tc>
                <w:tcPr>
                  <w:tcW w:w="400" w:type="pct"/>
                  <w:vAlign w:val="center"/>
                </w:tcPr>
                <w:p>
                  <w:pPr>
                    <w:adjustRightInd w:val="0"/>
                    <w:snapToGrid w:val="0"/>
                    <w:jc w:val="center"/>
                    <w:rPr>
                      <w:color w:val="auto"/>
                      <w:szCs w:val="21"/>
                    </w:rPr>
                  </w:pPr>
                  <w:r>
                    <w:rPr>
                      <w:color w:val="auto"/>
                      <w:szCs w:val="21"/>
                    </w:rPr>
                    <w:t>1.85</w:t>
                  </w:r>
                </w:p>
              </w:tc>
              <w:tc>
                <w:tcPr>
                  <w:tcW w:w="390" w:type="pct"/>
                  <w:vAlign w:val="center"/>
                </w:tcPr>
                <w:p>
                  <w:pPr>
                    <w:adjustRightInd w:val="0"/>
                    <w:snapToGrid w:val="0"/>
                    <w:jc w:val="center"/>
                    <w:rPr>
                      <w:color w:val="auto"/>
                      <w:szCs w:val="21"/>
                    </w:rPr>
                  </w:pPr>
                  <w:r>
                    <w:rPr>
                      <w:color w:val="auto"/>
                      <w:szCs w:val="21"/>
                    </w:rPr>
                    <w:t>0.84</w:t>
                  </w:r>
                </w:p>
              </w:tc>
              <w:tc>
                <w:tcPr>
                  <w:tcW w:w="492" w:type="pct"/>
                  <w:vAlign w:val="center"/>
                </w:tcPr>
                <w:p>
                  <w:pPr>
                    <w:widowControl/>
                    <w:jc w:val="center"/>
                    <w:textAlignment w:val="center"/>
                    <w:rPr>
                      <w:color w:val="auto"/>
                      <w:szCs w:val="21"/>
                    </w:rPr>
                  </w:pPr>
                  <w:r>
                    <w:rPr>
                      <w:rFonts w:hint="eastAsia"/>
                      <w:color w:val="auto"/>
                      <w:szCs w:val="21"/>
                    </w:rPr>
                    <w:t>0.228</w:t>
                  </w:r>
                </w:p>
              </w:tc>
              <w:tc>
                <w:tcPr>
                  <w:tcW w:w="347" w:type="pct"/>
                  <w:vAlign w:val="center"/>
                </w:tcPr>
                <w:p>
                  <w:pPr>
                    <w:wordWrap w:val="0"/>
                    <w:adjustRightInd w:val="0"/>
                    <w:snapToGrid w:val="0"/>
                    <w:jc w:val="center"/>
                    <w:rPr>
                      <w:color w:val="auto"/>
                    </w:rPr>
                  </w:pPr>
                  <w:r>
                    <w:rPr>
                      <w:rFonts w:hint="eastAsia"/>
                      <w:color w:val="auto"/>
                    </w:rPr>
                    <w:t>50</w:t>
                  </w:r>
                </w:p>
              </w:tc>
            </w:tr>
          </w:tbl>
          <w:p>
            <w:pPr>
              <w:spacing w:line="360" w:lineRule="auto"/>
              <w:ind w:firstLine="480" w:firstLineChars="200"/>
              <w:rPr>
                <w:color w:val="auto"/>
                <w:sz w:val="24"/>
              </w:rPr>
            </w:pPr>
            <w:r>
              <w:rPr>
                <w:color w:val="auto"/>
                <w:sz w:val="24"/>
              </w:rPr>
              <w:t>由上表可见，本项目卫生防护距离为</w:t>
            </w:r>
            <w:r>
              <w:rPr>
                <w:rFonts w:hint="eastAsia"/>
                <w:color w:val="auto"/>
                <w:sz w:val="24"/>
              </w:rPr>
              <w:t>生产车间一外50m、危废仓库外50m以及</w:t>
            </w:r>
            <w:r>
              <w:rPr>
                <w:color w:val="auto"/>
                <w:sz w:val="24"/>
              </w:rPr>
              <w:t>生产车间</w:t>
            </w:r>
            <w:r>
              <w:rPr>
                <w:rFonts w:hint="eastAsia"/>
                <w:color w:val="auto"/>
                <w:sz w:val="24"/>
              </w:rPr>
              <w:t>三</w:t>
            </w:r>
            <w:r>
              <w:rPr>
                <w:color w:val="auto"/>
                <w:sz w:val="24"/>
              </w:rPr>
              <w:t>外100m</w:t>
            </w:r>
            <w:r>
              <w:rPr>
                <w:rFonts w:hint="eastAsia"/>
                <w:color w:val="auto"/>
                <w:sz w:val="24"/>
              </w:rPr>
              <w:t>，因危废仓库外50m在生产车间三外100m</w:t>
            </w:r>
            <w:r>
              <w:rPr>
                <w:rFonts w:hint="eastAsia"/>
                <w:color w:val="auto"/>
                <w:sz w:val="24"/>
                <w:lang w:eastAsia="zh-CN"/>
              </w:rPr>
              <w:t>范围</w:t>
            </w:r>
            <w:r>
              <w:rPr>
                <w:rFonts w:hint="eastAsia"/>
                <w:color w:val="auto"/>
                <w:sz w:val="24"/>
              </w:rPr>
              <w:t>内，故本项目卫生防护距离为车间一外50m以及车间三外</w:t>
            </w:r>
            <w:r>
              <w:rPr>
                <w:color w:val="auto"/>
                <w:sz w:val="24"/>
              </w:rPr>
              <w:t>100m形成的包络线范围</w:t>
            </w:r>
            <w:r>
              <w:rPr>
                <w:rFonts w:hint="eastAsia"/>
                <w:color w:val="auto"/>
                <w:sz w:val="24"/>
              </w:rPr>
              <w:t>，</w:t>
            </w:r>
            <w:r>
              <w:rPr>
                <w:color w:val="auto"/>
                <w:sz w:val="24"/>
              </w:rPr>
              <w:t>综上所述，本项目建成后</w:t>
            </w:r>
            <w:r>
              <w:rPr>
                <w:rFonts w:hint="eastAsia"/>
                <w:color w:val="auto"/>
                <w:sz w:val="24"/>
              </w:rPr>
              <w:t>，</w:t>
            </w:r>
            <w:r>
              <w:rPr>
                <w:color w:val="auto"/>
                <w:sz w:val="24"/>
              </w:rPr>
              <w:t>全厂卫生防护距离为</w:t>
            </w:r>
            <w:r>
              <w:rPr>
                <w:rFonts w:hint="eastAsia"/>
                <w:color w:val="auto"/>
                <w:sz w:val="24"/>
              </w:rPr>
              <w:t>车间一外50m以及车间三外</w:t>
            </w:r>
            <w:r>
              <w:rPr>
                <w:color w:val="auto"/>
                <w:sz w:val="24"/>
              </w:rPr>
              <w:t>100m范围形成的包络线。由</w:t>
            </w:r>
            <w:r>
              <w:rPr>
                <w:rFonts w:hint="eastAsia"/>
                <w:color w:val="auto"/>
                <w:sz w:val="24"/>
              </w:rPr>
              <w:t>附图</w:t>
            </w:r>
            <w:r>
              <w:rPr>
                <w:rFonts w:hint="eastAsia"/>
                <w:color w:val="auto"/>
                <w:sz w:val="24"/>
                <w:lang w:val="en-US" w:eastAsia="zh-CN"/>
              </w:rPr>
              <w:t>3</w:t>
            </w:r>
            <w:r>
              <w:rPr>
                <w:color w:val="auto"/>
                <w:sz w:val="24"/>
              </w:rPr>
              <w:t>可见，</w:t>
            </w:r>
            <w:r>
              <w:rPr>
                <w:snapToGrid w:val="0"/>
                <w:color w:val="auto"/>
                <w:kern w:val="0"/>
                <w:sz w:val="24"/>
                <w:szCs w:val="22"/>
              </w:rPr>
              <w:t>卫生防护距离</w:t>
            </w:r>
            <w:r>
              <w:rPr>
                <w:color w:val="auto"/>
                <w:kern w:val="0"/>
                <w:sz w:val="24"/>
                <w:szCs w:val="22"/>
              </w:rPr>
              <w:t>范围内无学校、医院、居民点等敏感目标，能满足卫生防护距离的设置要求</w:t>
            </w:r>
            <w:r>
              <w:rPr>
                <w:rStyle w:val="34"/>
                <w:color w:val="auto"/>
              </w:rPr>
              <w:t>，</w:t>
            </w:r>
            <w:r>
              <w:rPr>
                <w:color w:val="auto"/>
                <w:sz w:val="24"/>
              </w:rPr>
              <w:t>且以后在此范围内也不得建设居民、学校等敏感点。</w:t>
            </w:r>
          </w:p>
          <w:p>
            <w:pPr>
              <w:autoSpaceDE w:val="0"/>
              <w:spacing w:line="360" w:lineRule="auto"/>
              <w:ind w:firstLine="482" w:firstLineChars="200"/>
              <w:rPr>
                <w:b/>
                <w:bCs/>
                <w:color w:val="auto"/>
                <w:sz w:val="24"/>
              </w:rPr>
            </w:pPr>
            <w:r>
              <w:rPr>
                <w:b/>
                <w:bCs/>
                <w:color w:val="auto"/>
                <w:sz w:val="24"/>
              </w:rPr>
              <w:t>（5）大气污染源监测计划</w:t>
            </w:r>
          </w:p>
          <w:p>
            <w:pPr>
              <w:spacing w:line="360" w:lineRule="auto"/>
              <w:ind w:firstLine="480" w:firstLineChars="200"/>
              <w:jc w:val="left"/>
              <w:rPr>
                <w:snapToGrid w:val="0"/>
                <w:color w:val="auto"/>
                <w:kern w:val="0"/>
                <w:sz w:val="24"/>
              </w:rPr>
            </w:pPr>
            <w:r>
              <w:rPr>
                <w:snapToGrid w:val="0"/>
                <w:color w:val="auto"/>
                <w:sz w:val="24"/>
              </w:rPr>
              <w:t>参照</w:t>
            </w:r>
            <w:r>
              <w:rPr>
                <w:color w:val="auto"/>
                <w:sz w:val="24"/>
              </w:rPr>
              <w:t>《排污许可证申请与核发技术规范 铁路、船舶、航空航天和其他运输设备制造业》（HJ1124-2020），</w:t>
            </w:r>
            <w:r>
              <w:rPr>
                <w:snapToGrid w:val="0"/>
                <w:color w:val="auto"/>
                <w:kern w:val="0"/>
                <w:sz w:val="24"/>
              </w:rPr>
              <w:t>大气污染源监测计划见</w:t>
            </w:r>
            <w:r>
              <w:rPr>
                <w:rFonts w:hint="eastAsia"/>
                <w:snapToGrid w:val="0"/>
                <w:color w:val="auto"/>
                <w:kern w:val="0"/>
                <w:sz w:val="24"/>
              </w:rPr>
              <w:t>下表</w:t>
            </w:r>
            <w:r>
              <w:rPr>
                <w:snapToGrid w:val="0"/>
                <w:color w:val="auto"/>
                <w:kern w:val="0"/>
                <w:sz w:val="24"/>
              </w:rPr>
              <w:t>。</w:t>
            </w:r>
          </w:p>
          <w:p>
            <w:pPr>
              <w:pStyle w:val="6"/>
              <w:numPr>
                <w:ilvl w:val="0"/>
                <w:numId w:val="16"/>
              </w:numPr>
              <w:adjustRightInd w:val="0"/>
              <w:snapToGrid w:val="0"/>
              <w:ind w:firstLineChars="0"/>
              <w:jc w:val="center"/>
              <w:rPr>
                <w:b/>
                <w:bCs/>
                <w:color w:val="auto"/>
                <w:kern w:val="0"/>
                <w:sz w:val="24"/>
              </w:rPr>
            </w:pPr>
            <w:r>
              <w:rPr>
                <w:b/>
                <w:bCs/>
                <w:color w:val="auto"/>
                <w:sz w:val="24"/>
                <w:szCs w:val="28"/>
              </w:rPr>
              <w:t>大气</w:t>
            </w:r>
            <w:r>
              <w:rPr>
                <w:b/>
                <w:bCs/>
                <w:color w:val="auto"/>
                <w:kern w:val="0"/>
                <w:sz w:val="24"/>
              </w:rPr>
              <w:t>污染源监测计划</w:t>
            </w:r>
          </w:p>
          <w:tbl>
            <w:tblPr>
              <w:tblStyle w:val="26"/>
              <w:tblW w:w="7999" w:type="dxa"/>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482"/>
              <w:gridCol w:w="1910"/>
              <w:gridCol w:w="1715"/>
              <w:gridCol w:w="1088"/>
              <w:gridCol w:w="2804"/>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20" w:hRule="atLeast"/>
                <w:jc w:val="center"/>
              </w:trPr>
              <w:tc>
                <w:tcPr>
                  <w:tcW w:w="301" w:type="pct"/>
                  <w:vAlign w:val="center"/>
                </w:tcPr>
                <w:p>
                  <w:pPr>
                    <w:adjustRightInd w:val="0"/>
                    <w:snapToGrid w:val="0"/>
                    <w:jc w:val="center"/>
                    <w:rPr>
                      <w:b/>
                      <w:color w:val="auto"/>
                      <w:szCs w:val="21"/>
                    </w:rPr>
                  </w:pPr>
                  <w:r>
                    <w:rPr>
                      <w:b/>
                      <w:color w:val="auto"/>
                      <w:szCs w:val="21"/>
                    </w:rPr>
                    <w:t>监测项目</w:t>
                  </w:r>
                </w:p>
              </w:tc>
              <w:tc>
                <w:tcPr>
                  <w:tcW w:w="1193" w:type="pct"/>
                  <w:vAlign w:val="center"/>
                </w:tcPr>
                <w:p>
                  <w:pPr>
                    <w:adjustRightInd w:val="0"/>
                    <w:snapToGrid w:val="0"/>
                    <w:jc w:val="center"/>
                    <w:rPr>
                      <w:b/>
                      <w:color w:val="auto"/>
                      <w:szCs w:val="21"/>
                    </w:rPr>
                  </w:pPr>
                  <w:r>
                    <w:rPr>
                      <w:b/>
                      <w:color w:val="auto"/>
                      <w:szCs w:val="21"/>
                    </w:rPr>
                    <w:t>点位/断面</w:t>
                  </w:r>
                </w:p>
              </w:tc>
              <w:tc>
                <w:tcPr>
                  <w:tcW w:w="1071" w:type="pct"/>
                  <w:vAlign w:val="center"/>
                </w:tcPr>
                <w:p>
                  <w:pPr>
                    <w:adjustRightInd w:val="0"/>
                    <w:snapToGrid w:val="0"/>
                    <w:jc w:val="center"/>
                    <w:rPr>
                      <w:b/>
                      <w:color w:val="auto"/>
                      <w:szCs w:val="21"/>
                    </w:rPr>
                  </w:pPr>
                  <w:r>
                    <w:rPr>
                      <w:b/>
                      <w:color w:val="auto"/>
                      <w:szCs w:val="21"/>
                    </w:rPr>
                    <w:t>监测指标</w:t>
                  </w:r>
                </w:p>
              </w:tc>
              <w:tc>
                <w:tcPr>
                  <w:tcW w:w="680" w:type="pct"/>
                  <w:vAlign w:val="center"/>
                </w:tcPr>
                <w:p>
                  <w:pPr>
                    <w:adjustRightInd w:val="0"/>
                    <w:snapToGrid w:val="0"/>
                    <w:jc w:val="center"/>
                    <w:rPr>
                      <w:b/>
                      <w:color w:val="auto"/>
                      <w:szCs w:val="21"/>
                    </w:rPr>
                  </w:pPr>
                  <w:r>
                    <w:rPr>
                      <w:b/>
                      <w:color w:val="auto"/>
                      <w:szCs w:val="21"/>
                    </w:rPr>
                    <w:t>监测频次</w:t>
                  </w:r>
                </w:p>
              </w:tc>
              <w:tc>
                <w:tcPr>
                  <w:tcW w:w="1752" w:type="pct"/>
                  <w:vAlign w:val="center"/>
                </w:tcPr>
                <w:p>
                  <w:pPr>
                    <w:adjustRightInd w:val="0"/>
                    <w:snapToGrid w:val="0"/>
                    <w:jc w:val="center"/>
                    <w:rPr>
                      <w:b/>
                      <w:color w:val="auto"/>
                      <w:szCs w:val="21"/>
                    </w:rPr>
                  </w:pPr>
                  <w:r>
                    <w:rPr>
                      <w:b/>
                      <w:color w:val="auto"/>
                      <w:szCs w:val="21"/>
                    </w:rPr>
                    <w:t>执行排放标准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20" w:hRule="atLeast"/>
                <w:jc w:val="center"/>
              </w:trPr>
              <w:tc>
                <w:tcPr>
                  <w:tcW w:w="301" w:type="pct"/>
                  <w:vMerge w:val="restart"/>
                  <w:vAlign w:val="center"/>
                </w:tcPr>
                <w:p>
                  <w:pPr>
                    <w:widowControl/>
                    <w:adjustRightInd w:val="0"/>
                    <w:snapToGrid w:val="0"/>
                    <w:jc w:val="center"/>
                    <w:textAlignment w:val="center"/>
                    <w:rPr>
                      <w:color w:val="auto"/>
                      <w:szCs w:val="21"/>
                    </w:rPr>
                  </w:pPr>
                  <w:r>
                    <w:rPr>
                      <w:color w:val="auto"/>
                      <w:szCs w:val="21"/>
                    </w:rPr>
                    <w:t>废气</w:t>
                  </w:r>
                </w:p>
              </w:tc>
              <w:tc>
                <w:tcPr>
                  <w:tcW w:w="1193" w:type="pct"/>
                  <w:vAlign w:val="center"/>
                </w:tcPr>
                <w:p>
                  <w:pPr>
                    <w:widowControl/>
                    <w:jc w:val="center"/>
                    <w:textAlignment w:val="center"/>
                    <w:rPr>
                      <w:color w:val="auto"/>
                      <w:szCs w:val="21"/>
                    </w:rPr>
                  </w:pPr>
                  <w:r>
                    <w:rPr>
                      <w:color w:val="auto"/>
                      <w:kern w:val="0"/>
                      <w:szCs w:val="21"/>
                      <w:lang w:bidi="ar"/>
                    </w:rPr>
                    <w:t>DA001</w:t>
                  </w:r>
                </w:p>
              </w:tc>
              <w:tc>
                <w:tcPr>
                  <w:tcW w:w="1071" w:type="pct"/>
                  <w:vAlign w:val="center"/>
                </w:tcPr>
                <w:p>
                  <w:pPr>
                    <w:widowControl/>
                    <w:jc w:val="center"/>
                    <w:textAlignment w:val="center"/>
                    <w:rPr>
                      <w:color w:val="auto"/>
                      <w:szCs w:val="21"/>
                    </w:rPr>
                  </w:pPr>
                  <w:r>
                    <w:rPr>
                      <w:color w:val="auto"/>
                      <w:kern w:val="0"/>
                      <w:szCs w:val="21"/>
                      <w:lang w:bidi="ar"/>
                    </w:rPr>
                    <w:t>颗粒物、SO</w:t>
                  </w:r>
                  <w:r>
                    <w:rPr>
                      <w:color w:val="auto"/>
                      <w:kern w:val="0"/>
                      <w:szCs w:val="21"/>
                      <w:vertAlign w:val="subscript"/>
                      <w:lang w:bidi="ar"/>
                    </w:rPr>
                    <w:t>2</w:t>
                  </w:r>
                  <w:r>
                    <w:rPr>
                      <w:color w:val="auto"/>
                      <w:kern w:val="0"/>
                      <w:szCs w:val="21"/>
                      <w:lang w:bidi="ar"/>
                    </w:rPr>
                    <w:t>、NO</w:t>
                  </w:r>
                  <w:r>
                    <w:rPr>
                      <w:color w:val="auto"/>
                      <w:kern w:val="0"/>
                      <w:szCs w:val="21"/>
                      <w:vertAlign w:val="subscript"/>
                      <w:lang w:bidi="ar"/>
                    </w:rPr>
                    <w:t>X</w:t>
                  </w:r>
                </w:p>
              </w:tc>
              <w:tc>
                <w:tcPr>
                  <w:tcW w:w="680" w:type="pct"/>
                  <w:vAlign w:val="center"/>
                </w:tcPr>
                <w:p>
                  <w:pPr>
                    <w:adjustRightInd w:val="0"/>
                    <w:snapToGrid w:val="0"/>
                    <w:jc w:val="center"/>
                    <w:rPr>
                      <w:color w:val="auto"/>
                      <w:szCs w:val="21"/>
                    </w:rPr>
                  </w:pPr>
                  <w:r>
                    <w:rPr>
                      <w:color w:val="auto"/>
                      <w:szCs w:val="21"/>
                    </w:rPr>
                    <w:t>1次/年</w:t>
                  </w:r>
                </w:p>
              </w:tc>
              <w:tc>
                <w:tcPr>
                  <w:tcW w:w="1752" w:type="pct"/>
                  <w:vAlign w:val="center"/>
                </w:tcPr>
                <w:p>
                  <w:pPr>
                    <w:wordWrap w:val="0"/>
                    <w:adjustRightInd w:val="0"/>
                    <w:snapToGrid w:val="0"/>
                    <w:jc w:val="center"/>
                    <w:rPr>
                      <w:color w:val="auto"/>
                      <w:szCs w:val="21"/>
                    </w:rPr>
                  </w:pPr>
                  <w:r>
                    <w:rPr>
                      <w:rFonts w:hint="eastAsia"/>
                      <w:bCs/>
                      <w:color w:val="auto"/>
                      <w:szCs w:val="21"/>
                    </w:rPr>
                    <w:t>江苏省地方标准《工业炉窑大气污染物排放标准》（DB 32/3728-2020）表1标准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495" w:hRule="atLeast"/>
                <w:jc w:val="center"/>
              </w:trPr>
              <w:tc>
                <w:tcPr>
                  <w:tcW w:w="301" w:type="pct"/>
                  <w:vMerge w:val="continue"/>
                  <w:vAlign w:val="center"/>
                </w:tcPr>
                <w:p>
                  <w:pPr>
                    <w:widowControl/>
                    <w:adjustRightInd w:val="0"/>
                    <w:snapToGrid w:val="0"/>
                    <w:jc w:val="center"/>
                    <w:textAlignment w:val="center"/>
                    <w:rPr>
                      <w:color w:val="auto"/>
                      <w:szCs w:val="21"/>
                    </w:rPr>
                  </w:pPr>
                </w:p>
              </w:tc>
              <w:tc>
                <w:tcPr>
                  <w:tcW w:w="1193" w:type="pct"/>
                  <w:vAlign w:val="center"/>
                </w:tcPr>
                <w:p>
                  <w:pPr>
                    <w:widowControl/>
                    <w:jc w:val="center"/>
                    <w:textAlignment w:val="center"/>
                    <w:rPr>
                      <w:color w:val="auto"/>
                      <w:szCs w:val="21"/>
                    </w:rPr>
                  </w:pPr>
                  <w:r>
                    <w:rPr>
                      <w:color w:val="auto"/>
                      <w:kern w:val="0"/>
                      <w:szCs w:val="21"/>
                      <w:lang w:bidi="ar"/>
                    </w:rPr>
                    <w:t>DA00</w:t>
                  </w:r>
                  <w:r>
                    <w:rPr>
                      <w:rFonts w:hint="eastAsia"/>
                      <w:color w:val="auto"/>
                      <w:kern w:val="0"/>
                      <w:szCs w:val="21"/>
                      <w:lang w:bidi="ar"/>
                    </w:rPr>
                    <w:t>2</w:t>
                  </w:r>
                </w:p>
              </w:tc>
              <w:tc>
                <w:tcPr>
                  <w:tcW w:w="1071" w:type="pct"/>
                  <w:vAlign w:val="center"/>
                </w:tcPr>
                <w:p>
                  <w:pPr>
                    <w:widowControl/>
                    <w:jc w:val="center"/>
                    <w:textAlignment w:val="center"/>
                    <w:rPr>
                      <w:color w:val="auto"/>
                      <w:szCs w:val="21"/>
                    </w:rPr>
                  </w:pPr>
                  <w:r>
                    <w:rPr>
                      <w:rFonts w:hint="eastAsia"/>
                      <w:color w:val="auto"/>
                      <w:kern w:val="0"/>
                      <w:szCs w:val="21"/>
                      <w:lang w:bidi="ar"/>
                    </w:rPr>
                    <w:t>颗粒物</w:t>
                  </w:r>
                </w:p>
              </w:tc>
              <w:tc>
                <w:tcPr>
                  <w:tcW w:w="680" w:type="pct"/>
                  <w:vAlign w:val="center"/>
                </w:tcPr>
                <w:p>
                  <w:pPr>
                    <w:adjustRightInd w:val="0"/>
                    <w:snapToGrid w:val="0"/>
                    <w:jc w:val="center"/>
                    <w:rPr>
                      <w:color w:val="auto"/>
                      <w:szCs w:val="21"/>
                    </w:rPr>
                  </w:pPr>
                  <w:r>
                    <w:rPr>
                      <w:color w:val="auto"/>
                      <w:szCs w:val="21"/>
                    </w:rPr>
                    <w:t>1次/年</w:t>
                  </w:r>
                </w:p>
              </w:tc>
              <w:tc>
                <w:tcPr>
                  <w:tcW w:w="1752" w:type="pct"/>
                  <w:vMerge w:val="restart"/>
                  <w:vAlign w:val="center"/>
                </w:tcPr>
                <w:p>
                  <w:pPr>
                    <w:wordWrap w:val="0"/>
                    <w:adjustRightInd w:val="0"/>
                    <w:snapToGrid w:val="0"/>
                    <w:jc w:val="center"/>
                    <w:rPr>
                      <w:ins w:id="663" w:author="Sunny" w:date="2022-12-29T13:00:00Z"/>
                      <w:bCs/>
                      <w:color w:val="auto"/>
                      <w:szCs w:val="21"/>
                    </w:rPr>
                  </w:pPr>
                  <w:r>
                    <w:rPr>
                      <w:rFonts w:hint="eastAsia"/>
                      <w:color w:val="auto"/>
                      <w:szCs w:val="21"/>
                    </w:rPr>
                    <w:t>江苏省地方标准《表面涂装（工程机械和钢结构行业）大气污染物排放标准》（DB32/4147-2021）表1标准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20" w:hRule="atLeast"/>
                <w:jc w:val="center"/>
                <w:ins w:id="664" w:author="Sunny" w:date="2022-12-29T13:00:00Z"/>
              </w:trPr>
              <w:tc>
                <w:tcPr>
                  <w:tcW w:w="301" w:type="pct"/>
                  <w:vMerge w:val="continue"/>
                  <w:vAlign w:val="center"/>
                </w:tcPr>
                <w:p>
                  <w:pPr>
                    <w:widowControl/>
                    <w:adjustRightInd w:val="0"/>
                    <w:snapToGrid w:val="0"/>
                    <w:jc w:val="center"/>
                    <w:textAlignment w:val="center"/>
                    <w:rPr>
                      <w:ins w:id="665" w:author="Sunny" w:date="2022-12-29T13:00:00Z"/>
                      <w:color w:val="auto"/>
                      <w:szCs w:val="21"/>
                    </w:rPr>
                  </w:pPr>
                </w:p>
              </w:tc>
              <w:tc>
                <w:tcPr>
                  <w:tcW w:w="1193" w:type="pct"/>
                  <w:vAlign w:val="center"/>
                </w:tcPr>
                <w:p>
                  <w:pPr>
                    <w:widowControl/>
                    <w:jc w:val="center"/>
                    <w:textAlignment w:val="center"/>
                    <w:rPr>
                      <w:ins w:id="666" w:author="Sunny" w:date="2022-12-29T13:00:00Z"/>
                      <w:rFonts w:hint="eastAsia" w:eastAsia="宋体"/>
                      <w:color w:val="auto"/>
                      <w:szCs w:val="21"/>
                      <w:lang w:eastAsia="zh-CN"/>
                    </w:rPr>
                  </w:pPr>
                  <w:r>
                    <w:rPr>
                      <w:color w:val="auto"/>
                      <w:kern w:val="0"/>
                      <w:szCs w:val="21"/>
                      <w:lang w:bidi="ar"/>
                    </w:rPr>
                    <w:t>DA00</w:t>
                  </w:r>
                  <w:r>
                    <w:rPr>
                      <w:rFonts w:hint="eastAsia"/>
                      <w:color w:val="auto"/>
                      <w:kern w:val="0"/>
                      <w:szCs w:val="21"/>
                      <w:lang w:val="en-US" w:eastAsia="zh-CN" w:bidi="ar"/>
                    </w:rPr>
                    <w:t>3</w:t>
                  </w:r>
                </w:p>
              </w:tc>
              <w:tc>
                <w:tcPr>
                  <w:tcW w:w="1071" w:type="pct"/>
                  <w:vAlign w:val="center"/>
                </w:tcPr>
                <w:p>
                  <w:pPr>
                    <w:widowControl/>
                    <w:jc w:val="center"/>
                    <w:textAlignment w:val="center"/>
                    <w:rPr>
                      <w:ins w:id="667" w:author="Sunny" w:date="2022-12-29T13:00:00Z"/>
                      <w:color w:val="auto"/>
                      <w:szCs w:val="21"/>
                    </w:rPr>
                  </w:pPr>
                  <w:r>
                    <w:rPr>
                      <w:color w:val="auto"/>
                      <w:kern w:val="0"/>
                      <w:szCs w:val="21"/>
                      <w:lang w:bidi="ar"/>
                    </w:rPr>
                    <w:t>非甲烷总烃</w:t>
                  </w:r>
                </w:p>
              </w:tc>
              <w:tc>
                <w:tcPr>
                  <w:tcW w:w="680" w:type="pct"/>
                  <w:vAlign w:val="center"/>
                </w:tcPr>
                <w:p>
                  <w:pPr>
                    <w:adjustRightInd w:val="0"/>
                    <w:snapToGrid w:val="0"/>
                    <w:jc w:val="center"/>
                    <w:rPr>
                      <w:ins w:id="668" w:author="Sunny" w:date="2022-12-29T13:00:00Z"/>
                      <w:color w:val="auto"/>
                      <w:szCs w:val="21"/>
                    </w:rPr>
                  </w:pPr>
                  <w:r>
                    <w:rPr>
                      <w:color w:val="auto"/>
                      <w:szCs w:val="21"/>
                    </w:rPr>
                    <w:t>1次/年</w:t>
                  </w:r>
                </w:p>
              </w:tc>
              <w:tc>
                <w:tcPr>
                  <w:tcW w:w="1752" w:type="pct"/>
                  <w:vMerge w:val="continue"/>
                  <w:vAlign w:val="center"/>
                </w:tcPr>
                <w:p>
                  <w:pPr>
                    <w:wordWrap w:val="0"/>
                    <w:adjustRightInd w:val="0"/>
                    <w:snapToGrid w:val="0"/>
                    <w:jc w:val="center"/>
                    <w:rPr>
                      <w:ins w:id="669" w:author="Sunny" w:date="2022-12-29T13:00:00Z"/>
                      <w:bCs/>
                      <w:color w:val="auto"/>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747" w:hRule="atLeast"/>
                <w:jc w:val="center"/>
              </w:trPr>
              <w:tc>
                <w:tcPr>
                  <w:tcW w:w="301" w:type="pct"/>
                  <w:vMerge w:val="continue"/>
                  <w:vAlign w:val="center"/>
                </w:tcPr>
                <w:p>
                  <w:pPr>
                    <w:widowControl/>
                    <w:adjustRightInd w:val="0"/>
                    <w:snapToGrid w:val="0"/>
                    <w:jc w:val="center"/>
                    <w:textAlignment w:val="center"/>
                    <w:rPr>
                      <w:color w:val="auto"/>
                      <w:kern w:val="44"/>
                      <w:szCs w:val="21"/>
                    </w:rPr>
                  </w:pPr>
                </w:p>
              </w:tc>
              <w:tc>
                <w:tcPr>
                  <w:tcW w:w="1193" w:type="pct"/>
                  <w:vAlign w:val="center"/>
                </w:tcPr>
                <w:p>
                  <w:pPr>
                    <w:adjustRightInd w:val="0"/>
                    <w:snapToGrid w:val="0"/>
                    <w:jc w:val="center"/>
                    <w:rPr>
                      <w:color w:val="auto"/>
                      <w:szCs w:val="21"/>
                    </w:rPr>
                  </w:pPr>
                  <w:r>
                    <w:rPr>
                      <w:color w:val="auto"/>
                      <w:szCs w:val="21"/>
                    </w:rPr>
                    <w:t>上风向设1个点、下风向设3个点</w:t>
                  </w:r>
                </w:p>
              </w:tc>
              <w:tc>
                <w:tcPr>
                  <w:tcW w:w="1071" w:type="pct"/>
                  <w:vAlign w:val="center"/>
                </w:tcPr>
                <w:p>
                  <w:pPr>
                    <w:adjustRightInd w:val="0"/>
                    <w:snapToGrid w:val="0"/>
                    <w:jc w:val="center"/>
                    <w:rPr>
                      <w:color w:val="auto"/>
                      <w:szCs w:val="21"/>
                    </w:rPr>
                  </w:pPr>
                  <w:r>
                    <w:rPr>
                      <w:color w:val="auto"/>
                      <w:szCs w:val="21"/>
                    </w:rPr>
                    <w:t>颗粒物、非甲烷总烃</w:t>
                  </w:r>
                </w:p>
              </w:tc>
              <w:tc>
                <w:tcPr>
                  <w:tcW w:w="680" w:type="pct"/>
                  <w:vAlign w:val="center"/>
                </w:tcPr>
                <w:p>
                  <w:pPr>
                    <w:adjustRightInd w:val="0"/>
                    <w:snapToGrid w:val="0"/>
                    <w:jc w:val="center"/>
                    <w:rPr>
                      <w:color w:val="auto"/>
                      <w:szCs w:val="21"/>
                    </w:rPr>
                  </w:pPr>
                  <w:r>
                    <w:rPr>
                      <w:color w:val="auto"/>
                      <w:szCs w:val="21"/>
                    </w:rPr>
                    <w:t>1次/</w:t>
                  </w:r>
                  <w:r>
                    <w:rPr>
                      <w:rFonts w:hint="eastAsia"/>
                      <w:color w:val="auto"/>
                    </w:rPr>
                    <w:t>半</w:t>
                  </w:r>
                  <w:r>
                    <w:rPr>
                      <w:color w:val="auto"/>
                      <w:szCs w:val="21"/>
                    </w:rPr>
                    <w:t>年</w:t>
                  </w:r>
                </w:p>
              </w:tc>
              <w:tc>
                <w:tcPr>
                  <w:tcW w:w="1752" w:type="pct"/>
                  <w:vAlign w:val="center"/>
                </w:tcPr>
                <w:p>
                  <w:pPr>
                    <w:wordWrap w:val="0"/>
                    <w:adjustRightInd w:val="0"/>
                    <w:snapToGrid w:val="0"/>
                    <w:jc w:val="center"/>
                    <w:rPr>
                      <w:bCs/>
                      <w:color w:val="auto"/>
                      <w:szCs w:val="21"/>
                    </w:rPr>
                  </w:pPr>
                  <w:r>
                    <w:rPr>
                      <w:bCs/>
                      <w:color w:val="auto"/>
                      <w:szCs w:val="21"/>
                    </w:rPr>
                    <w:t>江苏省地方标准《大气污染物综合排放标准》（DB32/4041-2021）表3中标准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20" w:hRule="atLeast"/>
                <w:jc w:val="center"/>
              </w:trPr>
              <w:tc>
                <w:tcPr>
                  <w:tcW w:w="301" w:type="pct"/>
                  <w:vMerge w:val="continue"/>
                  <w:vAlign w:val="center"/>
                </w:tcPr>
                <w:p>
                  <w:pPr>
                    <w:widowControl/>
                    <w:adjustRightInd w:val="0"/>
                    <w:snapToGrid w:val="0"/>
                    <w:jc w:val="center"/>
                    <w:textAlignment w:val="center"/>
                    <w:rPr>
                      <w:color w:val="auto"/>
                      <w:kern w:val="44"/>
                      <w:szCs w:val="21"/>
                    </w:rPr>
                  </w:pPr>
                </w:p>
              </w:tc>
              <w:tc>
                <w:tcPr>
                  <w:tcW w:w="1193" w:type="pct"/>
                  <w:vAlign w:val="center"/>
                </w:tcPr>
                <w:p>
                  <w:pPr>
                    <w:pStyle w:val="48"/>
                    <w:rPr>
                      <w:rFonts w:ascii="Times New Roman" w:hAnsi="Times New Roman" w:eastAsia="宋体"/>
                      <w:color w:val="auto"/>
                      <w:sz w:val="21"/>
                      <w:szCs w:val="21"/>
                    </w:rPr>
                  </w:pPr>
                  <w:r>
                    <w:rPr>
                      <w:rFonts w:ascii="Times New Roman" w:hAnsi="Times New Roman" w:eastAsia="宋体"/>
                      <w:color w:val="auto"/>
                      <w:sz w:val="21"/>
                      <w:szCs w:val="21"/>
                    </w:rPr>
                    <w:t>厂房门窗或通风口、其他开口（孔）等排放口外1m</w:t>
                  </w:r>
                </w:p>
              </w:tc>
              <w:tc>
                <w:tcPr>
                  <w:tcW w:w="1071" w:type="pct"/>
                  <w:vAlign w:val="center"/>
                </w:tcPr>
                <w:p>
                  <w:pPr>
                    <w:pStyle w:val="48"/>
                    <w:rPr>
                      <w:rFonts w:ascii="Times New Roman" w:hAnsi="Times New Roman"/>
                      <w:color w:val="auto"/>
                      <w:sz w:val="21"/>
                      <w:szCs w:val="21"/>
                    </w:rPr>
                  </w:pPr>
                  <w:r>
                    <w:rPr>
                      <w:rFonts w:ascii="Times New Roman" w:hAnsi="Times New Roman" w:eastAsia="宋体"/>
                      <w:color w:val="auto"/>
                      <w:sz w:val="21"/>
                      <w:szCs w:val="21"/>
                    </w:rPr>
                    <w:t>非甲烷总烃</w:t>
                  </w:r>
                </w:p>
              </w:tc>
              <w:tc>
                <w:tcPr>
                  <w:tcW w:w="680" w:type="pct"/>
                  <w:vAlign w:val="center"/>
                </w:tcPr>
                <w:p>
                  <w:pPr>
                    <w:jc w:val="center"/>
                    <w:rPr>
                      <w:color w:val="auto"/>
                      <w:szCs w:val="21"/>
                    </w:rPr>
                  </w:pPr>
                  <w:r>
                    <w:rPr>
                      <w:color w:val="auto"/>
                      <w:szCs w:val="21"/>
                    </w:rPr>
                    <w:t>1次/年</w:t>
                  </w:r>
                </w:p>
              </w:tc>
              <w:tc>
                <w:tcPr>
                  <w:tcW w:w="1752" w:type="pct"/>
                  <w:vAlign w:val="center"/>
                </w:tcPr>
                <w:p>
                  <w:pPr>
                    <w:wordWrap w:val="0"/>
                    <w:adjustRightInd w:val="0"/>
                    <w:snapToGrid w:val="0"/>
                    <w:jc w:val="center"/>
                    <w:rPr>
                      <w:bCs/>
                      <w:color w:val="auto"/>
                      <w:szCs w:val="21"/>
                    </w:rPr>
                  </w:pPr>
                  <w:r>
                    <w:rPr>
                      <w:color w:val="auto"/>
                      <w:szCs w:val="21"/>
                    </w:rPr>
                    <w:t>江苏省地方标准《表面涂装（工程机械和钢结构行业）大气污染物排放标准》（DB32/4147-2021）表3排放限值</w:t>
                  </w:r>
                </w:p>
              </w:tc>
            </w:tr>
          </w:tbl>
          <w:p>
            <w:pPr>
              <w:numPr>
                <w:ilvl w:val="0"/>
                <w:numId w:val="17"/>
              </w:numPr>
              <w:autoSpaceDE w:val="0"/>
              <w:spacing w:before="159" w:beforeLines="50" w:line="360" w:lineRule="auto"/>
              <w:ind w:firstLine="482" w:firstLineChars="200"/>
              <w:rPr>
                <w:b/>
                <w:bCs/>
                <w:color w:val="auto"/>
                <w:sz w:val="24"/>
              </w:rPr>
            </w:pPr>
            <w:r>
              <w:rPr>
                <w:b/>
                <w:bCs/>
                <w:color w:val="auto"/>
                <w:sz w:val="24"/>
              </w:rPr>
              <w:t>非正常排放情况</w:t>
            </w:r>
          </w:p>
          <w:p>
            <w:pPr>
              <w:adjustRightInd w:val="0"/>
              <w:snapToGrid w:val="0"/>
              <w:spacing w:line="360" w:lineRule="auto"/>
              <w:ind w:firstLine="480" w:firstLineChars="200"/>
              <w:rPr>
                <w:color w:val="auto"/>
                <w:sz w:val="24"/>
              </w:rPr>
            </w:pPr>
            <w:r>
              <w:rPr>
                <w:color w:val="auto"/>
                <w:sz w:val="24"/>
              </w:rPr>
              <w:t>根据类比调查，出现非正常排放状态主要情况为废气处理设施失效出现故障等造成非正常排放，此时废气处理效率均以0%计，非正常排放状态下废气的排放情况见下表。</w:t>
            </w: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adjustRightInd w:val="0"/>
              <w:snapToGrid w:val="0"/>
              <w:spacing w:line="360" w:lineRule="auto"/>
              <w:ind w:firstLine="480" w:firstLineChars="200"/>
              <w:rPr>
                <w:color w:val="auto"/>
                <w:sz w:val="24"/>
              </w:rPr>
            </w:pPr>
          </w:p>
          <w:p>
            <w:pPr>
              <w:pStyle w:val="17"/>
              <w:ind w:firstLine="0" w:firstLineChars="0"/>
              <w:rPr>
                <w:color w:val="auto"/>
                <w:sz w:val="24"/>
                <w:szCs w:val="24"/>
              </w:rPr>
            </w:pPr>
          </w:p>
        </w:tc>
      </w:tr>
    </w:tbl>
    <w:p>
      <w:pPr>
        <w:rPr>
          <w:color w:val="auto"/>
        </w:rPr>
      </w:pPr>
    </w:p>
    <w:p>
      <w:pPr>
        <w:pStyle w:val="2"/>
        <w:rPr>
          <w:snapToGrid w:val="0"/>
          <w:color w:val="auto"/>
        </w:rPr>
        <w:sectPr>
          <w:pgSz w:w="11906" w:h="16838"/>
          <w:pgMar w:top="1440" w:right="1797" w:bottom="1440" w:left="1797" w:header="851" w:footer="992" w:gutter="0"/>
          <w:pgBorders>
            <w:top w:val="none" w:sz="0" w:space="0"/>
            <w:left w:val="none" w:sz="0" w:space="0"/>
            <w:bottom w:val="none" w:sz="0" w:space="0"/>
            <w:right w:val="none" w:sz="0" w:space="0"/>
          </w:pgBorders>
          <w:cols w:space="0" w:num="1"/>
          <w:docGrid w:type="lines" w:linePitch="319"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
        <w:gridCol w:w="13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1" w:type="dxa"/>
          </w:tcPr>
          <w:p>
            <w:pPr>
              <w:pStyle w:val="23"/>
              <w:jc w:val="center"/>
              <w:outlineLvl w:val="0"/>
              <w:rPr>
                <w:rFonts w:ascii="Times New Roman" w:hAnsi="Times New Roman" w:cs="Calibri"/>
                <w:snapToGrid w:val="0"/>
                <w:color w:val="auto"/>
                <w:sz w:val="30"/>
                <w:szCs w:val="30"/>
              </w:rPr>
            </w:pPr>
            <w:r>
              <w:rPr>
                <w:rFonts w:cs="Calibri"/>
                <w:snapToGrid w:val="0"/>
                <w:color w:val="auto"/>
              </w:rPr>
              <w:br w:type="page"/>
            </w:r>
          </w:p>
        </w:tc>
        <w:tc>
          <w:tcPr>
            <w:tcW w:w="13607" w:type="dxa"/>
          </w:tcPr>
          <w:p>
            <w:pPr>
              <w:pStyle w:val="6"/>
              <w:numPr>
                <w:ilvl w:val="0"/>
                <w:numId w:val="16"/>
              </w:numPr>
              <w:adjustRightInd w:val="0"/>
              <w:snapToGrid w:val="0"/>
              <w:ind w:firstLineChars="0"/>
              <w:jc w:val="center"/>
              <w:rPr>
                <w:rFonts w:ascii="Calibri" w:hAnsi="Calibri" w:cs="Calibri"/>
                <w:b/>
                <w:color w:val="auto"/>
                <w:sz w:val="24"/>
                <w:lang w:bidi="ar"/>
              </w:rPr>
            </w:pPr>
            <w:r>
              <w:rPr>
                <w:rFonts w:ascii="Calibri" w:hAnsi="Calibri" w:cs="Calibri"/>
                <w:b/>
                <w:color w:val="auto"/>
                <w:sz w:val="24"/>
                <w:lang w:bidi="ar"/>
              </w:rPr>
              <w:t>非正常排放情况一览表</w:t>
            </w:r>
          </w:p>
          <w:tbl>
            <w:tblPr>
              <w:tblStyle w:val="26"/>
              <w:tblW w:w="499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492"/>
              <w:gridCol w:w="1251"/>
              <w:gridCol w:w="855"/>
              <w:gridCol w:w="877"/>
              <w:gridCol w:w="1516"/>
              <w:gridCol w:w="1061"/>
              <w:gridCol w:w="925"/>
              <w:gridCol w:w="1668"/>
              <w:gridCol w:w="741"/>
              <w:gridCol w:w="1040"/>
              <w:gridCol w:w="997"/>
              <w:gridCol w:w="94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58" w:type="pct"/>
                  <w:vMerge w:val="restart"/>
                  <w:tcMar>
                    <w:top w:w="8" w:type="dxa"/>
                    <w:left w:w="8" w:type="dxa"/>
                    <w:right w:w="8" w:type="dxa"/>
                  </w:tcMar>
                  <w:vAlign w:val="center"/>
                </w:tcPr>
                <w:p>
                  <w:pPr>
                    <w:widowControl/>
                    <w:jc w:val="center"/>
                    <w:textAlignment w:val="center"/>
                    <w:rPr>
                      <w:b/>
                      <w:color w:val="auto"/>
                      <w:szCs w:val="21"/>
                    </w:rPr>
                  </w:pPr>
                  <w:r>
                    <w:rPr>
                      <w:b/>
                      <w:color w:val="auto"/>
                      <w:kern w:val="0"/>
                      <w:szCs w:val="21"/>
                      <w:lang w:bidi="ar"/>
                    </w:rPr>
                    <w:t>非正常排放源</w:t>
                  </w:r>
                </w:p>
              </w:tc>
              <w:tc>
                <w:tcPr>
                  <w:tcW w:w="468" w:type="pct"/>
                  <w:vMerge w:val="restart"/>
                  <w:tcMar>
                    <w:top w:w="8" w:type="dxa"/>
                    <w:left w:w="8" w:type="dxa"/>
                    <w:right w:w="8" w:type="dxa"/>
                  </w:tcMar>
                  <w:vAlign w:val="center"/>
                </w:tcPr>
                <w:p>
                  <w:pPr>
                    <w:widowControl/>
                    <w:jc w:val="center"/>
                    <w:textAlignment w:val="center"/>
                    <w:rPr>
                      <w:b/>
                      <w:color w:val="auto"/>
                      <w:kern w:val="0"/>
                      <w:szCs w:val="21"/>
                      <w:lang w:bidi="ar"/>
                    </w:rPr>
                  </w:pPr>
                  <w:r>
                    <w:rPr>
                      <w:b/>
                      <w:color w:val="auto"/>
                      <w:kern w:val="0"/>
                      <w:szCs w:val="21"/>
                      <w:lang w:bidi="ar"/>
                    </w:rPr>
                    <w:t>非正常排放原因</w:t>
                  </w:r>
                </w:p>
              </w:tc>
              <w:tc>
                <w:tcPr>
                  <w:tcW w:w="320" w:type="pct"/>
                  <w:vMerge w:val="restart"/>
                  <w:tcMar>
                    <w:top w:w="8" w:type="dxa"/>
                    <w:left w:w="8" w:type="dxa"/>
                    <w:right w:w="8" w:type="dxa"/>
                  </w:tcMar>
                  <w:vAlign w:val="center"/>
                </w:tcPr>
                <w:p>
                  <w:pPr>
                    <w:widowControl/>
                    <w:jc w:val="center"/>
                    <w:textAlignment w:val="center"/>
                    <w:rPr>
                      <w:b/>
                      <w:color w:val="auto"/>
                      <w:szCs w:val="21"/>
                    </w:rPr>
                  </w:pPr>
                  <w:r>
                    <w:rPr>
                      <w:b/>
                      <w:color w:val="auto"/>
                      <w:kern w:val="0"/>
                      <w:szCs w:val="21"/>
                      <w:lang w:bidi="ar"/>
                    </w:rPr>
                    <w:t>年发生频次/次</w:t>
                  </w:r>
                </w:p>
              </w:tc>
              <w:tc>
                <w:tcPr>
                  <w:tcW w:w="328" w:type="pct"/>
                  <w:vMerge w:val="restart"/>
                  <w:tcMar>
                    <w:top w:w="8" w:type="dxa"/>
                    <w:left w:w="8" w:type="dxa"/>
                    <w:right w:w="8" w:type="dxa"/>
                  </w:tcMar>
                  <w:vAlign w:val="center"/>
                </w:tcPr>
                <w:p>
                  <w:pPr>
                    <w:widowControl/>
                    <w:jc w:val="center"/>
                    <w:textAlignment w:val="center"/>
                    <w:rPr>
                      <w:b/>
                      <w:color w:val="auto"/>
                      <w:kern w:val="0"/>
                      <w:szCs w:val="21"/>
                      <w:lang w:bidi="ar"/>
                    </w:rPr>
                  </w:pPr>
                  <w:r>
                    <w:rPr>
                      <w:b/>
                      <w:color w:val="auto"/>
                      <w:kern w:val="0"/>
                      <w:szCs w:val="21"/>
                      <w:lang w:bidi="ar"/>
                    </w:rPr>
                    <w:t>单次持续时间/h</w:t>
                  </w:r>
                </w:p>
              </w:tc>
              <w:tc>
                <w:tcPr>
                  <w:tcW w:w="567" w:type="pct"/>
                  <w:vMerge w:val="restart"/>
                  <w:tcMar>
                    <w:top w:w="8" w:type="dxa"/>
                    <w:left w:w="8" w:type="dxa"/>
                    <w:right w:w="8" w:type="dxa"/>
                  </w:tcMar>
                  <w:vAlign w:val="center"/>
                </w:tcPr>
                <w:p>
                  <w:pPr>
                    <w:widowControl/>
                    <w:jc w:val="center"/>
                    <w:textAlignment w:val="center"/>
                    <w:rPr>
                      <w:b/>
                      <w:color w:val="auto"/>
                      <w:szCs w:val="21"/>
                    </w:rPr>
                  </w:pPr>
                  <w:r>
                    <w:rPr>
                      <w:b/>
                      <w:color w:val="auto"/>
                      <w:kern w:val="0"/>
                      <w:szCs w:val="21"/>
                      <w:lang w:bidi="ar"/>
                    </w:rPr>
                    <w:t>污染物名称</w:t>
                  </w:r>
                </w:p>
              </w:tc>
              <w:tc>
                <w:tcPr>
                  <w:tcW w:w="743" w:type="pct"/>
                  <w:gridSpan w:val="2"/>
                  <w:tcMar>
                    <w:top w:w="8" w:type="dxa"/>
                    <w:left w:w="8" w:type="dxa"/>
                    <w:right w:w="8" w:type="dxa"/>
                  </w:tcMar>
                  <w:vAlign w:val="center"/>
                </w:tcPr>
                <w:p>
                  <w:pPr>
                    <w:widowControl/>
                    <w:jc w:val="center"/>
                    <w:textAlignment w:val="center"/>
                    <w:rPr>
                      <w:b/>
                      <w:color w:val="auto"/>
                      <w:szCs w:val="21"/>
                    </w:rPr>
                  </w:pPr>
                  <w:r>
                    <w:rPr>
                      <w:b/>
                      <w:color w:val="auto"/>
                      <w:kern w:val="0"/>
                      <w:szCs w:val="21"/>
                      <w:lang w:bidi="ar"/>
                    </w:rPr>
                    <w:t>产生状况</w:t>
                  </w:r>
                </w:p>
              </w:tc>
              <w:tc>
                <w:tcPr>
                  <w:tcW w:w="624" w:type="pct"/>
                  <w:vMerge w:val="restart"/>
                  <w:tcMar>
                    <w:top w:w="8" w:type="dxa"/>
                    <w:left w:w="8" w:type="dxa"/>
                    <w:right w:w="8" w:type="dxa"/>
                  </w:tcMar>
                  <w:vAlign w:val="center"/>
                </w:tcPr>
                <w:p>
                  <w:pPr>
                    <w:widowControl/>
                    <w:jc w:val="center"/>
                    <w:textAlignment w:val="center"/>
                    <w:rPr>
                      <w:b/>
                      <w:color w:val="auto"/>
                      <w:kern w:val="0"/>
                      <w:szCs w:val="21"/>
                      <w:lang w:bidi="ar"/>
                    </w:rPr>
                  </w:pPr>
                  <w:r>
                    <w:rPr>
                      <w:b/>
                      <w:color w:val="auto"/>
                      <w:kern w:val="0"/>
                      <w:szCs w:val="21"/>
                      <w:lang w:bidi="ar"/>
                    </w:rPr>
                    <w:t>治理</w:t>
                  </w:r>
                </w:p>
                <w:p>
                  <w:pPr>
                    <w:widowControl/>
                    <w:jc w:val="center"/>
                    <w:textAlignment w:val="center"/>
                    <w:rPr>
                      <w:b/>
                      <w:color w:val="auto"/>
                      <w:szCs w:val="21"/>
                    </w:rPr>
                  </w:pPr>
                  <w:r>
                    <w:rPr>
                      <w:b/>
                      <w:color w:val="auto"/>
                      <w:kern w:val="0"/>
                      <w:szCs w:val="21"/>
                      <w:lang w:bidi="ar"/>
                    </w:rPr>
                    <w:t>措施</w:t>
                  </w:r>
                </w:p>
              </w:tc>
              <w:tc>
                <w:tcPr>
                  <w:tcW w:w="277" w:type="pct"/>
                  <w:vMerge w:val="restart"/>
                  <w:tcMar>
                    <w:top w:w="8" w:type="dxa"/>
                    <w:left w:w="8" w:type="dxa"/>
                    <w:right w:w="8" w:type="dxa"/>
                  </w:tcMar>
                  <w:vAlign w:val="center"/>
                </w:tcPr>
                <w:p>
                  <w:pPr>
                    <w:widowControl/>
                    <w:jc w:val="center"/>
                    <w:textAlignment w:val="center"/>
                    <w:rPr>
                      <w:b/>
                      <w:color w:val="auto"/>
                      <w:kern w:val="0"/>
                      <w:szCs w:val="21"/>
                      <w:lang w:bidi="ar"/>
                    </w:rPr>
                  </w:pPr>
                  <w:r>
                    <w:rPr>
                      <w:b/>
                      <w:color w:val="auto"/>
                      <w:kern w:val="0"/>
                      <w:szCs w:val="21"/>
                      <w:lang w:bidi="ar"/>
                    </w:rPr>
                    <w:t>去除率</w:t>
                  </w:r>
                </w:p>
                <w:p>
                  <w:pPr>
                    <w:widowControl/>
                    <w:jc w:val="center"/>
                    <w:textAlignment w:val="center"/>
                    <w:rPr>
                      <w:b/>
                      <w:color w:val="auto"/>
                      <w:szCs w:val="21"/>
                    </w:rPr>
                  </w:pPr>
                  <w:r>
                    <w:rPr>
                      <w:b/>
                      <w:color w:val="auto"/>
                      <w:kern w:val="0"/>
                      <w:szCs w:val="21"/>
                      <w:lang w:bidi="ar"/>
                    </w:rPr>
                    <w:t>（%）</w:t>
                  </w:r>
                </w:p>
              </w:tc>
              <w:tc>
                <w:tcPr>
                  <w:tcW w:w="762" w:type="pct"/>
                  <w:gridSpan w:val="2"/>
                  <w:tcMar>
                    <w:top w:w="8" w:type="dxa"/>
                    <w:left w:w="8" w:type="dxa"/>
                    <w:right w:w="8" w:type="dxa"/>
                  </w:tcMar>
                  <w:vAlign w:val="center"/>
                </w:tcPr>
                <w:p>
                  <w:pPr>
                    <w:widowControl/>
                    <w:jc w:val="center"/>
                    <w:textAlignment w:val="center"/>
                    <w:rPr>
                      <w:b/>
                      <w:color w:val="auto"/>
                      <w:szCs w:val="21"/>
                    </w:rPr>
                  </w:pPr>
                  <w:r>
                    <w:rPr>
                      <w:b/>
                      <w:color w:val="auto"/>
                      <w:kern w:val="0"/>
                      <w:szCs w:val="21"/>
                      <w:lang w:bidi="ar"/>
                    </w:rPr>
                    <w:t>非正常排放状况</w:t>
                  </w:r>
                </w:p>
              </w:tc>
              <w:tc>
                <w:tcPr>
                  <w:tcW w:w="352" w:type="pct"/>
                  <w:vMerge w:val="restart"/>
                  <w:tcMar>
                    <w:top w:w="8" w:type="dxa"/>
                    <w:left w:w="8" w:type="dxa"/>
                    <w:right w:w="8" w:type="dxa"/>
                  </w:tcMar>
                  <w:vAlign w:val="center"/>
                </w:tcPr>
                <w:p>
                  <w:pPr>
                    <w:widowControl/>
                    <w:jc w:val="center"/>
                    <w:textAlignment w:val="center"/>
                    <w:rPr>
                      <w:b/>
                      <w:color w:val="auto"/>
                      <w:szCs w:val="21"/>
                    </w:rPr>
                  </w:pPr>
                  <w:r>
                    <w:rPr>
                      <w:b/>
                      <w:color w:val="auto"/>
                      <w:kern w:val="0"/>
                      <w:szCs w:val="21"/>
                      <w:lang w:bidi="ar"/>
                    </w:rPr>
                    <w:t>排放方式</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58" w:type="pct"/>
                  <w:vMerge w:val="continue"/>
                  <w:tcMar>
                    <w:top w:w="8" w:type="dxa"/>
                    <w:left w:w="8" w:type="dxa"/>
                    <w:right w:w="8" w:type="dxa"/>
                  </w:tcMar>
                  <w:vAlign w:val="center"/>
                </w:tcPr>
                <w:p>
                  <w:pPr>
                    <w:jc w:val="center"/>
                    <w:rPr>
                      <w:b/>
                      <w:color w:val="auto"/>
                      <w:szCs w:val="21"/>
                    </w:rPr>
                  </w:pPr>
                </w:p>
              </w:tc>
              <w:tc>
                <w:tcPr>
                  <w:tcW w:w="468" w:type="pct"/>
                  <w:vMerge w:val="continue"/>
                  <w:tcMar>
                    <w:top w:w="8" w:type="dxa"/>
                    <w:left w:w="8" w:type="dxa"/>
                    <w:right w:w="8" w:type="dxa"/>
                  </w:tcMar>
                  <w:vAlign w:val="center"/>
                </w:tcPr>
                <w:p>
                  <w:pPr>
                    <w:jc w:val="center"/>
                    <w:rPr>
                      <w:b/>
                      <w:color w:val="auto"/>
                      <w:szCs w:val="21"/>
                    </w:rPr>
                  </w:pPr>
                </w:p>
              </w:tc>
              <w:tc>
                <w:tcPr>
                  <w:tcW w:w="320" w:type="pct"/>
                  <w:vMerge w:val="continue"/>
                  <w:tcMar>
                    <w:top w:w="8" w:type="dxa"/>
                    <w:left w:w="8" w:type="dxa"/>
                    <w:right w:w="8" w:type="dxa"/>
                  </w:tcMar>
                  <w:vAlign w:val="center"/>
                </w:tcPr>
                <w:p>
                  <w:pPr>
                    <w:jc w:val="center"/>
                    <w:rPr>
                      <w:b/>
                      <w:color w:val="auto"/>
                      <w:szCs w:val="21"/>
                    </w:rPr>
                  </w:pPr>
                </w:p>
              </w:tc>
              <w:tc>
                <w:tcPr>
                  <w:tcW w:w="328" w:type="pct"/>
                  <w:vMerge w:val="continue"/>
                  <w:tcMar>
                    <w:top w:w="8" w:type="dxa"/>
                    <w:left w:w="8" w:type="dxa"/>
                    <w:right w:w="8" w:type="dxa"/>
                  </w:tcMar>
                  <w:vAlign w:val="center"/>
                </w:tcPr>
                <w:p>
                  <w:pPr>
                    <w:jc w:val="center"/>
                    <w:rPr>
                      <w:b/>
                      <w:color w:val="auto"/>
                      <w:szCs w:val="21"/>
                    </w:rPr>
                  </w:pPr>
                </w:p>
              </w:tc>
              <w:tc>
                <w:tcPr>
                  <w:tcW w:w="567" w:type="pct"/>
                  <w:vMerge w:val="continue"/>
                  <w:tcMar>
                    <w:top w:w="8" w:type="dxa"/>
                    <w:left w:w="8" w:type="dxa"/>
                    <w:right w:w="8" w:type="dxa"/>
                  </w:tcMar>
                  <w:vAlign w:val="center"/>
                </w:tcPr>
                <w:p>
                  <w:pPr>
                    <w:jc w:val="center"/>
                    <w:rPr>
                      <w:b/>
                      <w:color w:val="auto"/>
                      <w:szCs w:val="21"/>
                    </w:rPr>
                  </w:pPr>
                </w:p>
              </w:tc>
              <w:tc>
                <w:tcPr>
                  <w:tcW w:w="397" w:type="pct"/>
                  <w:tcMar>
                    <w:top w:w="8" w:type="dxa"/>
                    <w:left w:w="8" w:type="dxa"/>
                    <w:right w:w="8" w:type="dxa"/>
                  </w:tcMar>
                  <w:vAlign w:val="center"/>
                </w:tcPr>
                <w:p>
                  <w:pPr>
                    <w:widowControl/>
                    <w:jc w:val="center"/>
                    <w:textAlignment w:val="center"/>
                    <w:rPr>
                      <w:b/>
                      <w:color w:val="auto"/>
                      <w:szCs w:val="21"/>
                    </w:rPr>
                  </w:pPr>
                  <w:r>
                    <w:rPr>
                      <w:rFonts w:hint="eastAsia"/>
                      <w:b/>
                      <w:color w:val="auto"/>
                      <w:kern w:val="0"/>
                      <w:szCs w:val="21"/>
                      <w:lang w:val="en-US" w:eastAsia="zh-CN" w:bidi="ar"/>
                    </w:rPr>
                    <w:t>产生量</w:t>
                  </w:r>
                  <w:r>
                    <w:rPr>
                      <w:b/>
                      <w:color w:val="auto"/>
                      <w:kern w:val="0"/>
                      <w:szCs w:val="21"/>
                      <w:lang w:bidi="ar"/>
                    </w:rPr>
                    <w:t>（</w:t>
                  </w:r>
                  <w:r>
                    <w:rPr>
                      <w:color w:val="auto"/>
                    </w:rPr>
                    <w:commentReference w:id="23"/>
                  </w:r>
                  <w:r>
                    <w:rPr>
                      <w:rFonts w:hint="eastAsia"/>
                      <w:b/>
                      <w:color w:val="auto"/>
                      <w:kern w:val="0"/>
                      <w:szCs w:val="21"/>
                      <w:lang w:val="en-US" w:eastAsia="zh-CN" w:bidi="ar"/>
                    </w:rPr>
                    <w:t>kg</w:t>
                  </w:r>
                  <w:r>
                    <w:rPr>
                      <w:rStyle w:val="62"/>
                      <w:color w:val="auto"/>
                      <w:sz w:val="21"/>
                      <w:szCs w:val="21"/>
                      <w:lang w:bidi="ar"/>
                    </w:rPr>
                    <w:t>）</w:t>
                  </w:r>
                </w:p>
              </w:tc>
              <w:tc>
                <w:tcPr>
                  <w:tcW w:w="346" w:type="pct"/>
                  <w:tcMar>
                    <w:top w:w="8" w:type="dxa"/>
                    <w:left w:w="8" w:type="dxa"/>
                    <w:right w:w="8" w:type="dxa"/>
                  </w:tcMar>
                  <w:vAlign w:val="center"/>
                </w:tcPr>
                <w:p>
                  <w:pPr>
                    <w:widowControl/>
                    <w:jc w:val="center"/>
                    <w:textAlignment w:val="center"/>
                    <w:rPr>
                      <w:b/>
                      <w:color w:val="auto"/>
                      <w:kern w:val="0"/>
                      <w:szCs w:val="21"/>
                      <w:lang w:bidi="ar"/>
                    </w:rPr>
                  </w:pPr>
                  <w:r>
                    <w:rPr>
                      <w:b/>
                      <w:color w:val="auto"/>
                      <w:kern w:val="0"/>
                      <w:szCs w:val="21"/>
                      <w:lang w:bidi="ar"/>
                    </w:rPr>
                    <w:t>速率</w:t>
                  </w:r>
                </w:p>
                <w:p>
                  <w:pPr>
                    <w:widowControl/>
                    <w:jc w:val="center"/>
                    <w:textAlignment w:val="center"/>
                    <w:rPr>
                      <w:b/>
                      <w:color w:val="auto"/>
                      <w:szCs w:val="21"/>
                    </w:rPr>
                  </w:pPr>
                  <w:r>
                    <w:rPr>
                      <w:b/>
                      <w:color w:val="auto"/>
                      <w:kern w:val="0"/>
                      <w:szCs w:val="21"/>
                      <w:lang w:bidi="ar"/>
                    </w:rPr>
                    <w:t>（kg/h）</w:t>
                  </w:r>
                </w:p>
              </w:tc>
              <w:tc>
                <w:tcPr>
                  <w:tcW w:w="624" w:type="pct"/>
                  <w:vMerge w:val="continue"/>
                  <w:tcMar>
                    <w:top w:w="8" w:type="dxa"/>
                    <w:left w:w="8" w:type="dxa"/>
                    <w:right w:w="8" w:type="dxa"/>
                  </w:tcMar>
                  <w:vAlign w:val="center"/>
                </w:tcPr>
                <w:p>
                  <w:pPr>
                    <w:jc w:val="center"/>
                    <w:rPr>
                      <w:b/>
                      <w:color w:val="auto"/>
                      <w:szCs w:val="21"/>
                    </w:rPr>
                  </w:pPr>
                </w:p>
              </w:tc>
              <w:tc>
                <w:tcPr>
                  <w:tcW w:w="277" w:type="pct"/>
                  <w:vMerge w:val="continue"/>
                  <w:tcMar>
                    <w:top w:w="8" w:type="dxa"/>
                    <w:left w:w="8" w:type="dxa"/>
                    <w:right w:w="8" w:type="dxa"/>
                  </w:tcMar>
                  <w:vAlign w:val="center"/>
                </w:tcPr>
                <w:p>
                  <w:pPr>
                    <w:widowControl/>
                    <w:jc w:val="center"/>
                    <w:textAlignment w:val="center"/>
                    <w:rPr>
                      <w:b/>
                      <w:color w:val="auto"/>
                      <w:szCs w:val="21"/>
                    </w:rPr>
                  </w:pPr>
                </w:p>
              </w:tc>
              <w:tc>
                <w:tcPr>
                  <w:tcW w:w="389" w:type="pct"/>
                  <w:tcMar>
                    <w:top w:w="8" w:type="dxa"/>
                    <w:left w:w="8" w:type="dxa"/>
                    <w:right w:w="8" w:type="dxa"/>
                  </w:tcMar>
                  <w:vAlign w:val="center"/>
                </w:tcPr>
                <w:p>
                  <w:pPr>
                    <w:widowControl/>
                    <w:jc w:val="center"/>
                    <w:textAlignment w:val="center"/>
                    <w:rPr>
                      <w:b/>
                      <w:color w:val="auto"/>
                      <w:szCs w:val="21"/>
                    </w:rPr>
                  </w:pPr>
                  <w:r>
                    <w:rPr>
                      <w:rFonts w:hint="eastAsia"/>
                      <w:b/>
                      <w:color w:val="auto"/>
                      <w:kern w:val="0"/>
                      <w:szCs w:val="21"/>
                      <w:lang w:val="en-US" w:eastAsia="zh-CN" w:bidi="ar"/>
                    </w:rPr>
                    <w:t>排放量</w:t>
                  </w:r>
                  <w:r>
                    <w:rPr>
                      <w:b/>
                      <w:color w:val="auto"/>
                      <w:kern w:val="0"/>
                      <w:szCs w:val="21"/>
                      <w:lang w:bidi="ar"/>
                    </w:rPr>
                    <w:t xml:space="preserve"> （</w:t>
                  </w:r>
                  <w:r>
                    <w:rPr>
                      <w:rFonts w:hint="eastAsia"/>
                      <w:b/>
                      <w:color w:val="auto"/>
                      <w:kern w:val="0"/>
                      <w:szCs w:val="21"/>
                      <w:lang w:val="en-US" w:eastAsia="zh-CN" w:bidi="ar"/>
                    </w:rPr>
                    <w:t>t/a</w:t>
                  </w:r>
                  <w:r>
                    <w:rPr>
                      <w:rStyle w:val="62"/>
                      <w:color w:val="auto"/>
                      <w:sz w:val="21"/>
                      <w:szCs w:val="21"/>
                      <w:lang w:bidi="ar"/>
                    </w:rPr>
                    <w:t>）</w:t>
                  </w:r>
                </w:p>
              </w:tc>
              <w:tc>
                <w:tcPr>
                  <w:tcW w:w="373" w:type="pct"/>
                  <w:tcMar>
                    <w:top w:w="8" w:type="dxa"/>
                    <w:left w:w="8" w:type="dxa"/>
                    <w:right w:w="8" w:type="dxa"/>
                  </w:tcMar>
                  <w:vAlign w:val="center"/>
                </w:tcPr>
                <w:p>
                  <w:pPr>
                    <w:widowControl/>
                    <w:jc w:val="center"/>
                    <w:textAlignment w:val="center"/>
                    <w:rPr>
                      <w:b/>
                      <w:color w:val="auto"/>
                      <w:kern w:val="0"/>
                      <w:szCs w:val="21"/>
                      <w:lang w:bidi="ar"/>
                    </w:rPr>
                  </w:pPr>
                  <w:r>
                    <w:rPr>
                      <w:b/>
                      <w:color w:val="auto"/>
                      <w:kern w:val="0"/>
                      <w:szCs w:val="21"/>
                      <w:lang w:bidi="ar"/>
                    </w:rPr>
                    <w:t>速率</w:t>
                  </w:r>
                </w:p>
                <w:p>
                  <w:pPr>
                    <w:widowControl/>
                    <w:jc w:val="center"/>
                    <w:textAlignment w:val="center"/>
                    <w:rPr>
                      <w:b/>
                      <w:color w:val="auto"/>
                      <w:szCs w:val="21"/>
                    </w:rPr>
                  </w:pPr>
                  <w:r>
                    <w:rPr>
                      <w:b/>
                      <w:color w:val="auto"/>
                      <w:kern w:val="0"/>
                      <w:szCs w:val="21"/>
                      <w:lang w:bidi="ar"/>
                    </w:rPr>
                    <w:t>（kg/h）</w:t>
                  </w:r>
                </w:p>
              </w:tc>
              <w:tc>
                <w:tcPr>
                  <w:tcW w:w="352" w:type="pct"/>
                  <w:vMerge w:val="continue"/>
                  <w:tcMar>
                    <w:top w:w="8" w:type="dxa"/>
                    <w:left w:w="8" w:type="dxa"/>
                    <w:right w:w="8" w:type="dxa"/>
                  </w:tcMar>
                  <w:vAlign w:val="center"/>
                </w:tcPr>
                <w:p>
                  <w:pPr>
                    <w:jc w:val="center"/>
                    <w:rPr>
                      <w:b/>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58" w:type="pct"/>
                  <w:tcMar>
                    <w:top w:w="8" w:type="dxa"/>
                    <w:left w:w="8" w:type="dxa"/>
                    <w:right w:w="8" w:type="dxa"/>
                  </w:tcMar>
                  <w:vAlign w:val="center"/>
                </w:tcPr>
                <w:p>
                  <w:pPr>
                    <w:widowControl/>
                    <w:jc w:val="center"/>
                    <w:textAlignment w:val="center"/>
                    <w:rPr>
                      <w:color w:val="auto"/>
                      <w:kern w:val="0"/>
                      <w:szCs w:val="21"/>
                      <w:lang w:bidi="ar"/>
                    </w:rPr>
                  </w:pPr>
                  <w:r>
                    <w:rPr>
                      <w:rFonts w:hint="eastAsia"/>
                      <w:color w:val="auto"/>
                      <w:kern w:val="0"/>
                      <w:szCs w:val="21"/>
                      <w:lang w:bidi="ar"/>
                    </w:rPr>
                    <w:t>冲压件打磨废气</w:t>
                  </w:r>
                </w:p>
              </w:tc>
              <w:tc>
                <w:tcPr>
                  <w:tcW w:w="468" w:type="pct"/>
                  <w:tcMar>
                    <w:top w:w="8" w:type="dxa"/>
                    <w:left w:w="8" w:type="dxa"/>
                    <w:right w:w="8" w:type="dxa"/>
                  </w:tcMar>
                  <w:vAlign w:val="center"/>
                </w:tcPr>
                <w:p>
                  <w:pPr>
                    <w:widowControl/>
                    <w:jc w:val="center"/>
                    <w:textAlignment w:val="center"/>
                    <w:rPr>
                      <w:color w:val="auto"/>
                      <w:kern w:val="0"/>
                      <w:szCs w:val="21"/>
                      <w:lang w:bidi="ar"/>
                    </w:rPr>
                  </w:pPr>
                  <w:r>
                    <w:rPr>
                      <w:color w:val="auto"/>
                      <w:kern w:val="0"/>
                      <w:szCs w:val="21"/>
                      <w:lang w:bidi="ar"/>
                    </w:rPr>
                    <w:t>处理设施发生故障</w:t>
                  </w:r>
                </w:p>
              </w:tc>
              <w:tc>
                <w:tcPr>
                  <w:tcW w:w="320" w:type="pct"/>
                  <w:tcMar>
                    <w:top w:w="8" w:type="dxa"/>
                    <w:left w:w="8" w:type="dxa"/>
                    <w:right w:w="8" w:type="dxa"/>
                  </w:tcMar>
                  <w:vAlign w:val="center"/>
                </w:tcPr>
                <w:p>
                  <w:pPr>
                    <w:widowControl/>
                    <w:jc w:val="center"/>
                    <w:textAlignment w:val="center"/>
                    <w:rPr>
                      <w:color w:val="auto"/>
                      <w:szCs w:val="21"/>
                    </w:rPr>
                  </w:pPr>
                  <w:r>
                    <w:rPr>
                      <w:color w:val="auto"/>
                      <w:szCs w:val="21"/>
                    </w:rPr>
                    <w:t>1</w:t>
                  </w:r>
                </w:p>
              </w:tc>
              <w:tc>
                <w:tcPr>
                  <w:tcW w:w="328" w:type="pct"/>
                  <w:tcMar>
                    <w:top w:w="8" w:type="dxa"/>
                    <w:left w:w="8" w:type="dxa"/>
                    <w:right w:w="8" w:type="dxa"/>
                  </w:tcMar>
                  <w:vAlign w:val="center"/>
                </w:tcPr>
                <w:p>
                  <w:pPr>
                    <w:widowControl/>
                    <w:jc w:val="center"/>
                    <w:textAlignment w:val="center"/>
                    <w:rPr>
                      <w:color w:val="auto"/>
                      <w:kern w:val="0"/>
                      <w:szCs w:val="21"/>
                      <w:lang w:bidi="ar"/>
                    </w:rPr>
                  </w:pPr>
                  <w:r>
                    <w:rPr>
                      <w:color w:val="auto"/>
                      <w:kern w:val="0"/>
                      <w:szCs w:val="21"/>
                      <w:lang w:bidi="ar"/>
                    </w:rPr>
                    <w:t>0.5</w:t>
                  </w:r>
                </w:p>
              </w:tc>
              <w:tc>
                <w:tcPr>
                  <w:tcW w:w="567" w:type="pct"/>
                  <w:tcMar>
                    <w:top w:w="8" w:type="dxa"/>
                    <w:left w:w="8" w:type="dxa"/>
                    <w:right w:w="8" w:type="dxa"/>
                  </w:tcMar>
                  <w:vAlign w:val="center"/>
                </w:tcPr>
                <w:p>
                  <w:pPr>
                    <w:widowControl/>
                    <w:jc w:val="center"/>
                    <w:textAlignment w:val="center"/>
                    <w:rPr>
                      <w:color w:val="auto"/>
                      <w:kern w:val="0"/>
                      <w:szCs w:val="21"/>
                      <w:lang w:bidi="ar"/>
                    </w:rPr>
                  </w:pPr>
                  <w:r>
                    <w:rPr>
                      <w:color w:val="auto"/>
                      <w:kern w:val="0"/>
                      <w:szCs w:val="21"/>
                      <w:lang w:bidi="ar"/>
                    </w:rPr>
                    <w:t>颗粒物</w:t>
                  </w:r>
                </w:p>
              </w:tc>
              <w:tc>
                <w:tcPr>
                  <w:tcW w:w="397" w:type="pct"/>
                  <w:tcMar>
                    <w:top w:w="8" w:type="dxa"/>
                    <w:left w:w="8" w:type="dxa"/>
                    <w:right w:w="8" w:type="dxa"/>
                  </w:tcMar>
                  <w:vAlign w:val="center"/>
                </w:tcPr>
                <w:p>
                  <w:pPr>
                    <w:widowControl/>
                    <w:jc w:val="center"/>
                    <w:textAlignment w:val="center"/>
                    <w:rPr>
                      <w:rFonts w:hint="default" w:eastAsia="宋体"/>
                      <w:color w:val="auto"/>
                      <w:kern w:val="0"/>
                      <w:szCs w:val="21"/>
                      <w:lang w:val="en-US" w:eastAsia="zh-CN" w:bidi="ar"/>
                    </w:rPr>
                  </w:pPr>
                  <w:r>
                    <w:rPr>
                      <w:rFonts w:hint="eastAsia"/>
                      <w:color w:val="auto"/>
                      <w:lang w:val="en-US" w:eastAsia="zh-CN"/>
                    </w:rPr>
                    <w:t>0.0047</w:t>
                  </w:r>
                </w:p>
              </w:tc>
              <w:tc>
                <w:tcPr>
                  <w:tcW w:w="346" w:type="pct"/>
                  <w:tcMar>
                    <w:top w:w="8" w:type="dxa"/>
                    <w:left w:w="8" w:type="dxa"/>
                    <w:right w:w="8" w:type="dxa"/>
                  </w:tcMar>
                  <w:vAlign w:val="center"/>
                </w:tcPr>
                <w:p>
                  <w:pPr>
                    <w:widowControl/>
                    <w:jc w:val="center"/>
                    <w:textAlignment w:val="center"/>
                    <w:rPr>
                      <w:color w:val="auto"/>
                      <w:kern w:val="0"/>
                      <w:szCs w:val="21"/>
                      <w:lang w:bidi="ar"/>
                    </w:rPr>
                  </w:pPr>
                  <w:r>
                    <w:rPr>
                      <w:rFonts w:hint="eastAsia"/>
                      <w:color w:val="auto"/>
                      <w:kern w:val="0"/>
                      <w:szCs w:val="21"/>
                      <w:lang w:bidi="ar"/>
                    </w:rPr>
                    <w:t>0.</w:t>
                  </w:r>
                  <w:r>
                    <w:rPr>
                      <w:rFonts w:hint="eastAsia"/>
                      <w:color w:val="auto"/>
                      <w:kern w:val="0"/>
                      <w:szCs w:val="21"/>
                      <w:lang w:val="en-US" w:eastAsia="zh-CN" w:bidi="ar"/>
                    </w:rPr>
                    <w:t>0094</w:t>
                  </w:r>
                  <w:r>
                    <w:rPr>
                      <w:color w:val="auto"/>
                      <w:kern w:val="0"/>
                      <w:szCs w:val="21"/>
                      <w:lang w:bidi="ar"/>
                    </w:rPr>
                    <w:t xml:space="preserve"> </w:t>
                  </w:r>
                </w:p>
              </w:tc>
              <w:tc>
                <w:tcPr>
                  <w:tcW w:w="624" w:type="pct"/>
                  <w:tcMar>
                    <w:top w:w="8" w:type="dxa"/>
                    <w:left w:w="8" w:type="dxa"/>
                    <w:right w:w="8" w:type="dxa"/>
                  </w:tcMar>
                  <w:vAlign w:val="center"/>
                </w:tcPr>
                <w:p>
                  <w:pPr>
                    <w:widowControl/>
                    <w:jc w:val="center"/>
                    <w:textAlignment w:val="center"/>
                    <w:rPr>
                      <w:color w:val="auto"/>
                      <w:kern w:val="0"/>
                      <w:szCs w:val="21"/>
                      <w:lang w:bidi="ar"/>
                    </w:rPr>
                  </w:pPr>
                  <w:r>
                    <w:rPr>
                      <w:rFonts w:hint="eastAsia"/>
                      <w:color w:val="auto"/>
                      <w:kern w:val="0"/>
                      <w:szCs w:val="21"/>
                      <w:lang w:bidi="ar"/>
                    </w:rPr>
                    <w:t>袋式除尘器</w:t>
                  </w:r>
                </w:p>
              </w:tc>
              <w:tc>
                <w:tcPr>
                  <w:tcW w:w="277" w:type="pct"/>
                  <w:tcMar>
                    <w:top w:w="8" w:type="dxa"/>
                    <w:left w:w="8" w:type="dxa"/>
                    <w:right w:w="8" w:type="dxa"/>
                  </w:tcMar>
                  <w:vAlign w:val="center"/>
                </w:tcPr>
                <w:p>
                  <w:pPr>
                    <w:widowControl/>
                    <w:jc w:val="center"/>
                    <w:textAlignment w:val="center"/>
                    <w:rPr>
                      <w:color w:val="auto"/>
                      <w:kern w:val="0"/>
                      <w:szCs w:val="21"/>
                      <w:lang w:bidi="ar"/>
                    </w:rPr>
                  </w:pPr>
                  <w:r>
                    <w:rPr>
                      <w:color w:val="auto"/>
                      <w:kern w:val="0"/>
                      <w:szCs w:val="21"/>
                      <w:lang w:bidi="ar"/>
                    </w:rPr>
                    <w:t>0</w:t>
                  </w:r>
                </w:p>
              </w:tc>
              <w:tc>
                <w:tcPr>
                  <w:tcW w:w="1040" w:type="dxa"/>
                  <w:tcMar>
                    <w:top w:w="8" w:type="dxa"/>
                    <w:left w:w="8" w:type="dxa"/>
                    <w:right w:w="8" w:type="dxa"/>
                  </w:tcMar>
                  <w:vAlign w:val="center"/>
                </w:tcPr>
                <w:p>
                  <w:pPr>
                    <w:widowControl/>
                    <w:jc w:val="center"/>
                    <w:textAlignment w:val="center"/>
                    <w:rPr>
                      <w:rFonts w:hint="default" w:eastAsia="宋体"/>
                      <w:color w:val="auto"/>
                      <w:kern w:val="0"/>
                      <w:szCs w:val="21"/>
                      <w:lang w:val="en-US" w:eastAsia="zh-CN" w:bidi="ar"/>
                    </w:rPr>
                  </w:pPr>
                  <w:r>
                    <w:rPr>
                      <w:rFonts w:hint="eastAsia"/>
                      <w:color w:val="auto"/>
                      <w:lang w:val="en-US" w:eastAsia="zh-CN"/>
                    </w:rPr>
                    <w:t>0.0047</w:t>
                  </w:r>
                </w:p>
              </w:tc>
              <w:tc>
                <w:tcPr>
                  <w:tcW w:w="997" w:type="dxa"/>
                  <w:tcMar>
                    <w:top w:w="8" w:type="dxa"/>
                    <w:left w:w="8" w:type="dxa"/>
                    <w:right w:w="8" w:type="dxa"/>
                  </w:tcMar>
                  <w:vAlign w:val="center"/>
                </w:tcPr>
                <w:p>
                  <w:pPr>
                    <w:widowControl/>
                    <w:jc w:val="center"/>
                    <w:textAlignment w:val="center"/>
                    <w:rPr>
                      <w:color w:val="auto"/>
                      <w:kern w:val="0"/>
                      <w:szCs w:val="21"/>
                      <w:lang w:bidi="ar"/>
                    </w:rPr>
                  </w:pPr>
                  <w:r>
                    <w:rPr>
                      <w:rFonts w:hint="eastAsia"/>
                      <w:color w:val="auto"/>
                      <w:kern w:val="0"/>
                      <w:szCs w:val="21"/>
                      <w:lang w:bidi="ar"/>
                    </w:rPr>
                    <w:t>0.</w:t>
                  </w:r>
                  <w:r>
                    <w:rPr>
                      <w:rFonts w:hint="eastAsia"/>
                      <w:color w:val="auto"/>
                      <w:kern w:val="0"/>
                      <w:szCs w:val="21"/>
                      <w:lang w:val="en-US" w:eastAsia="zh-CN" w:bidi="ar"/>
                    </w:rPr>
                    <w:t>0094</w:t>
                  </w:r>
                  <w:r>
                    <w:rPr>
                      <w:color w:val="auto"/>
                      <w:kern w:val="0"/>
                      <w:szCs w:val="21"/>
                      <w:lang w:bidi="ar"/>
                    </w:rPr>
                    <w:t xml:space="preserve"> </w:t>
                  </w:r>
                </w:p>
              </w:tc>
              <w:tc>
                <w:tcPr>
                  <w:tcW w:w="352" w:type="pct"/>
                  <w:tcMar>
                    <w:top w:w="8" w:type="dxa"/>
                    <w:left w:w="8" w:type="dxa"/>
                    <w:right w:w="8" w:type="dxa"/>
                  </w:tcMar>
                  <w:vAlign w:val="center"/>
                </w:tcPr>
                <w:p>
                  <w:pPr>
                    <w:widowControl/>
                    <w:spacing w:line="320" w:lineRule="exact"/>
                    <w:jc w:val="center"/>
                    <w:rPr>
                      <w:color w:val="auto"/>
                      <w:szCs w:val="21"/>
                    </w:rPr>
                  </w:pPr>
                  <w:r>
                    <w:rPr>
                      <w:rFonts w:hint="eastAsia"/>
                      <w:color w:val="auto"/>
                      <w:szCs w:val="21"/>
                    </w:rPr>
                    <w:t>无组织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58" w:type="pct"/>
                  <w:tcMar>
                    <w:top w:w="8" w:type="dxa"/>
                    <w:left w:w="8" w:type="dxa"/>
                    <w:right w:w="8" w:type="dxa"/>
                  </w:tcMar>
                  <w:vAlign w:val="center"/>
                </w:tcPr>
                <w:p>
                  <w:pPr>
                    <w:widowControl/>
                    <w:jc w:val="center"/>
                    <w:textAlignment w:val="center"/>
                    <w:rPr>
                      <w:color w:val="auto"/>
                      <w:kern w:val="0"/>
                      <w:szCs w:val="21"/>
                      <w:lang w:bidi="ar"/>
                    </w:rPr>
                  </w:pPr>
                  <w:r>
                    <w:rPr>
                      <w:rFonts w:hint="eastAsia"/>
                      <w:color w:val="auto"/>
                      <w:kern w:val="0"/>
                      <w:szCs w:val="21"/>
                      <w:lang w:bidi="ar"/>
                    </w:rPr>
                    <w:t>喷粉颗粒物</w:t>
                  </w:r>
                </w:p>
              </w:tc>
              <w:tc>
                <w:tcPr>
                  <w:tcW w:w="468" w:type="pct"/>
                  <w:tcMar>
                    <w:top w:w="8" w:type="dxa"/>
                    <w:left w:w="8" w:type="dxa"/>
                    <w:right w:w="8" w:type="dxa"/>
                  </w:tcMar>
                  <w:vAlign w:val="center"/>
                </w:tcPr>
                <w:p>
                  <w:pPr>
                    <w:widowControl/>
                    <w:jc w:val="center"/>
                    <w:textAlignment w:val="center"/>
                    <w:rPr>
                      <w:color w:val="auto"/>
                      <w:kern w:val="0"/>
                      <w:szCs w:val="21"/>
                      <w:lang w:bidi="ar"/>
                    </w:rPr>
                  </w:pPr>
                  <w:r>
                    <w:rPr>
                      <w:color w:val="auto"/>
                      <w:kern w:val="0"/>
                      <w:szCs w:val="21"/>
                      <w:lang w:bidi="ar"/>
                    </w:rPr>
                    <w:t>处理设施发生故障</w:t>
                  </w:r>
                </w:p>
              </w:tc>
              <w:tc>
                <w:tcPr>
                  <w:tcW w:w="320" w:type="pct"/>
                  <w:tcMar>
                    <w:top w:w="8" w:type="dxa"/>
                    <w:left w:w="8" w:type="dxa"/>
                    <w:right w:w="8" w:type="dxa"/>
                  </w:tcMar>
                  <w:vAlign w:val="center"/>
                </w:tcPr>
                <w:p>
                  <w:pPr>
                    <w:widowControl/>
                    <w:jc w:val="center"/>
                    <w:textAlignment w:val="center"/>
                    <w:rPr>
                      <w:color w:val="auto"/>
                      <w:szCs w:val="21"/>
                    </w:rPr>
                  </w:pPr>
                  <w:r>
                    <w:rPr>
                      <w:color w:val="auto"/>
                      <w:szCs w:val="21"/>
                    </w:rPr>
                    <w:t>1</w:t>
                  </w:r>
                </w:p>
              </w:tc>
              <w:tc>
                <w:tcPr>
                  <w:tcW w:w="328" w:type="pct"/>
                  <w:tcMar>
                    <w:top w:w="8" w:type="dxa"/>
                    <w:left w:w="8" w:type="dxa"/>
                    <w:right w:w="8" w:type="dxa"/>
                  </w:tcMar>
                  <w:vAlign w:val="center"/>
                </w:tcPr>
                <w:p>
                  <w:pPr>
                    <w:widowControl/>
                    <w:jc w:val="center"/>
                    <w:textAlignment w:val="center"/>
                    <w:rPr>
                      <w:color w:val="auto"/>
                      <w:kern w:val="0"/>
                      <w:szCs w:val="21"/>
                      <w:lang w:bidi="ar"/>
                    </w:rPr>
                  </w:pPr>
                  <w:r>
                    <w:rPr>
                      <w:color w:val="auto"/>
                      <w:kern w:val="0"/>
                      <w:szCs w:val="21"/>
                      <w:lang w:bidi="ar"/>
                    </w:rPr>
                    <w:t>0.5</w:t>
                  </w:r>
                </w:p>
              </w:tc>
              <w:tc>
                <w:tcPr>
                  <w:tcW w:w="567" w:type="pct"/>
                  <w:tcMar>
                    <w:top w:w="8" w:type="dxa"/>
                    <w:left w:w="8" w:type="dxa"/>
                    <w:right w:w="8" w:type="dxa"/>
                  </w:tcMar>
                  <w:vAlign w:val="center"/>
                </w:tcPr>
                <w:p>
                  <w:pPr>
                    <w:widowControl/>
                    <w:jc w:val="center"/>
                    <w:textAlignment w:val="center"/>
                    <w:rPr>
                      <w:color w:val="auto"/>
                      <w:kern w:val="0"/>
                      <w:szCs w:val="21"/>
                      <w:lang w:bidi="ar"/>
                    </w:rPr>
                  </w:pPr>
                  <w:r>
                    <w:rPr>
                      <w:color w:val="auto"/>
                      <w:kern w:val="0"/>
                      <w:szCs w:val="21"/>
                      <w:lang w:bidi="ar"/>
                    </w:rPr>
                    <w:t>颗粒物</w:t>
                  </w:r>
                </w:p>
              </w:tc>
              <w:tc>
                <w:tcPr>
                  <w:tcW w:w="1061" w:type="dxa"/>
                  <w:tcMar>
                    <w:top w:w="8" w:type="dxa"/>
                    <w:left w:w="8" w:type="dxa"/>
                    <w:right w:w="8" w:type="dxa"/>
                  </w:tcMar>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0.595</w:t>
                  </w:r>
                </w:p>
              </w:tc>
              <w:tc>
                <w:tcPr>
                  <w:tcW w:w="925" w:type="dxa"/>
                  <w:tcMar>
                    <w:top w:w="8" w:type="dxa"/>
                    <w:left w:w="8" w:type="dxa"/>
                    <w:right w:w="8" w:type="dxa"/>
                  </w:tcMar>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bidi="ar"/>
                    </w:rPr>
                    <w:t>1</w:t>
                  </w:r>
                  <w:r>
                    <w:rPr>
                      <w:color w:val="auto"/>
                    </w:rPr>
                    <w:commentReference w:id="24"/>
                  </w:r>
                  <w:r>
                    <w:rPr>
                      <w:rFonts w:hint="eastAsia"/>
                      <w:color w:val="auto"/>
                      <w:kern w:val="0"/>
                      <w:szCs w:val="21"/>
                      <w:lang w:bidi="ar"/>
                    </w:rPr>
                    <w:t>.</w:t>
                  </w:r>
                  <w:r>
                    <w:rPr>
                      <w:rFonts w:hint="eastAsia"/>
                      <w:color w:val="auto"/>
                      <w:kern w:val="0"/>
                      <w:szCs w:val="21"/>
                      <w:lang w:val="en-US" w:eastAsia="zh-CN" w:bidi="ar"/>
                    </w:rPr>
                    <w:t>19</w:t>
                  </w:r>
                </w:p>
              </w:tc>
              <w:tc>
                <w:tcPr>
                  <w:tcW w:w="624" w:type="pct"/>
                  <w:tcMar>
                    <w:top w:w="8" w:type="dxa"/>
                    <w:left w:w="8" w:type="dxa"/>
                    <w:right w:w="8" w:type="dxa"/>
                  </w:tcMar>
                  <w:vAlign w:val="center"/>
                </w:tcPr>
                <w:p>
                  <w:pPr>
                    <w:widowControl/>
                    <w:jc w:val="center"/>
                    <w:textAlignment w:val="center"/>
                    <w:rPr>
                      <w:color w:val="auto"/>
                      <w:kern w:val="0"/>
                      <w:szCs w:val="21"/>
                      <w:lang w:bidi="ar"/>
                    </w:rPr>
                  </w:pPr>
                  <w:r>
                    <w:rPr>
                      <w:rFonts w:hint="eastAsia"/>
                      <w:color w:val="auto"/>
                      <w:kern w:val="0"/>
                      <w:szCs w:val="21"/>
                      <w:lang w:bidi="ar"/>
                    </w:rPr>
                    <w:t>二级回收器回收</w:t>
                  </w:r>
                </w:p>
              </w:tc>
              <w:tc>
                <w:tcPr>
                  <w:tcW w:w="277" w:type="pct"/>
                  <w:tcMar>
                    <w:top w:w="8" w:type="dxa"/>
                    <w:left w:w="8" w:type="dxa"/>
                    <w:right w:w="8" w:type="dxa"/>
                  </w:tcMar>
                  <w:vAlign w:val="center"/>
                </w:tcPr>
                <w:p>
                  <w:pPr>
                    <w:widowControl/>
                    <w:jc w:val="center"/>
                    <w:textAlignment w:val="center"/>
                    <w:rPr>
                      <w:color w:val="auto"/>
                      <w:kern w:val="0"/>
                      <w:szCs w:val="21"/>
                      <w:lang w:bidi="ar"/>
                    </w:rPr>
                  </w:pPr>
                  <w:r>
                    <w:rPr>
                      <w:color w:val="auto"/>
                      <w:kern w:val="0"/>
                      <w:szCs w:val="21"/>
                      <w:lang w:bidi="ar"/>
                    </w:rPr>
                    <w:t>0</w:t>
                  </w:r>
                </w:p>
              </w:tc>
              <w:tc>
                <w:tcPr>
                  <w:tcW w:w="1040" w:type="dxa"/>
                  <w:tcMar>
                    <w:top w:w="8" w:type="dxa"/>
                    <w:left w:w="8" w:type="dxa"/>
                    <w:right w:w="8" w:type="dxa"/>
                  </w:tcMar>
                  <w:vAlign w:val="center"/>
                </w:tcPr>
                <w:p>
                  <w:pPr>
                    <w:widowControl/>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0.595</w:t>
                  </w:r>
                </w:p>
              </w:tc>
              <w:tc>
                <w:tcPr>
                  <w:tcW w:w="997" w:type="dxa"/>
                  <w:tcMar>
                    <w:top w:w="8" w:type="dxa"/>
                    <w:left w:w="8" w:type="dxa"/>
                    <w:right w:w="8" w:type="dxa"/>
                  </w:tcMar>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bidi="ar"/>
                    </w:rPr>
                    <w:t>1.</w:t>
                  </w:r>
                  <w:r>
                    <w:rPr>
                      <w:rFonts w:hint="eastAsia"/>
                      <w:color w:val="auto"/>
                      <w:kern w:val="0"/>
                      <w:szCs w:val="21"/>
                      <w:lang w:val="en-US" w:eastAsia="zh-CN" w:bidi="ar"/>
                    </w:rPr>
                    <w:t>19</w:t>
                  </w:r>
                </w:p>
              </w:tc>
              <w:tc>
                <w:tcPr>
                  <w:tcW w:w="352" w:type="pct"/>
                  <w:tcMar>
                    <w:top w:w="8" w:type="dxa"/>
                    <w:left w:w="8" w:type="dxa"/>
                    <w:right w:w="8" w:type="dxa"/>
                  </w:tcMar>
                  <w:vAlign w:val="center"/>
                </w:tcPr>
                <w:p>
                  <w:pPr>
                    <w:widowControl/>
                    <w:spacing w:line="320" w:lineRule="exact"/>
                    <w:jc w:val="center"/>
                    <w:rPr>
                      <w:color w:val="auto"/>
                      <w:szCs w:val="21"/>
                      <w:highlight w:val="yellow"/>
                    </w:rPr>
                  </w:pPr>
                  <w:ins w:id="670" w:author="Sunny" w:date="2022-12-28T17:56:00Z">
                    <w:r>
                      <w:rPr>
                        <w:color w:val="auto"/>
                        <w:szCs w:val="21"/>
                      </w:rPr>
                      <w:t>DA00</w:t>
                    </w:r>
                  </w:ins>
                  <w:ins w:id="671" w:author="Sunny" w:date="2022-12-28T17:56:00Z">
                    <w:r>
                      <w:rPr>
                        <w:rFonts w:hint="eastAsia"/>
                        <w:color w:val="auto"/>
                        <w:szCs w:val="21"/>
                      </w:rPr>
                      <w:t>2</w:t>
                    </w:r>
                  </w:ins>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58" w:type="pct"/>
                  <w:tcMar>
                    <w:top w:w="8" w:type="dxa"/>
                    <w:left w:w="8" w:type="dxa"/>
                    <w:right w:w="8" w:type="dxa"/>
                  </w:tcMar>
                  <w:vAlign w:val="center"/>
                </w:tcPr>
                <w:p>
                  <w:pPr>
                    <w:widowControl/>
                    <w:jc w:val="center"/>
                    <w:textAlignment w:val="center"/>
                    <w:rPr>
                      <w:color w:val="auto"/>
                      <w:kern w:val="0"/>
                      <w:szCs w:val="21"/>
                      <w:lang w:bidi="ar"/>
                    </w:rPr>
                  </w:pPr>
                  <w:r>
                    <w:rPr>
                      <w:rFonts w:hint="eastAsia"/>
                      <w:color w:val="auto"/>
                      <w:kern w:val="0"/>
                      <w:szCs w:val="21"/>
                      <w:lang w:bidi="ar"/>
                    </w:rPr>
                    <w:t>粉末固化有机废气</w:t>
                  </w:r>
                </w:p>
              </w:tc>
              <w:tc>
                <w:tcPr>
                  <w:tcW w:w="468" w:type="pct"/>
                  <w:tcMar>
                    <w:top w:w="8" w:type="dxa"/>
                    <w:left w:w="8" w:type="dxa"/>
                    <w:right w:w="8" w:type="dxa"/>
                  </w:tcMar>
                  <w:vAlign w:val="center"/>
                </w:tcPr>
                <w:p>
                  <w:pPr>
                    <w:widowControl/>
                    <w:jc w:val="center"/>
                    <w:textAlignment w:val="center"/>
                    <w:rPr>
                      <w:color w:val="auto"/>
                      <w:kern w:val="0"/>
                      <w:szCs w:val="21"/>
                      <w:lang w:bidi="ar"/>
                    </w:rPr>
                  </w:pPr>
                  <w:r>
                    <w:rPr>
                      <w:color w:val="auto"/>
                      <w:kern w:val="0"/>
                      <w:szCs w:val="21"/>
                      <w:lang w:bidi="ar"/>
                    </w:rPr>
                    <w:t>处理设施发生故障</w:t>
                  </w:r>
                </w:p>
              </w:tc>
              <w:tc>
                <w:tcPr>
                  <w:tcW w:w="320" w:type="pct"/>
                  <w:tcMar>
                    <w:top w:w="8" w:type="dxa"/>
                    <w:left w:w="8" w:type="dxa"/>
                    <w:right w:w="8" w:type="dxa"/>
                  </w:tcMar>
                  <w:vAlign w:val="center"/>
                </w:tcPr>
                <w:p>
                  <w:pPr>
                    <w:widowControl/>
                    <w:jc w:val="center"/>
                    <w:textAlignment w:val="center"/>
                    <w:rPr>
                      <w:color w:val="auto"/>
                      <w:szCs w:val="21"/>
                    </w:rPr>
                  </w:pPr>
                  <w:r>
                    <w:rPr>
                      <w:color w:val="auto"/>
                      <w:szCs w:val="21"/>
                    </w:rPr>
                    <w:t>1</w:t>
                  </w:r>
                </w:p>
              </w:tc>
              <w:tc>
                <w:tcPr>
                  <w:tcW w:w="328" w:type="pct"/>
                  <w:tcMar>
                    <w:top w:w="8" w:type="dxa"/>
                    <w:left w:w="8" w:type="dxa"/>
                    <w:right w:w="8" w:type="dxa"/>
                  </w:tcMar>
                  <w:vAlign w:val="center"/>
                </w:tcPr>
                <w:p>
                  <w:pPr>
                    <w:widowControl/>
                    <w:jc w:val="center"/>
                    <w:textAlignment w:val="center"/>
                    <w:rPr>
                      <w:color w:val="auto"/>
                      <w:kern w:val="0"/>
                      <w:szCs w:val="21"/>
                      <w:lang w:bidi="ar"/>
                    </w:rPr>
                  </w:pPr>
                  <w:r>
                    <w:rPr>
                      <w:color w:val="auto"/>
                      <w:kern w:val="0"/>
                      <w:szCs w:val="21"/>
                      <w:lang w:bidi="ar"/>
                    </w:rPr>
                    <w:t>0.5</w:t>
                  </w:r>
                </w:p>
              </w:tc>
              <w:tc>
                <w:tcPr>
                  <w:tcW w:w="567" w:type="pct"/>
                  <w:tcMar>
                    <w:top w:w="8" w:type="dxa"/>
                    <w:left w:w="8" w:type="dxa"/>
                    <w:right w:w="8" w:type="dxa"/>
                  </w:tcMar>
                  <w:vAlign w:val="center"/>
                </w:tcPr>
                <w:p>
                  <w:pPr>
                    <w:widowControl/>
                    <w:jc w:val="center"/>
                    <w:textAlignment w:val="center"/>
                    <w:rPr>
                      <w:color w:val="auto"/>
                      <w:kern w:val="0"/>
                      <w:szCs w:val="21"/>
                      <w:lang w:bidi="ar"/>
                    </w:rPr>
                  </w:pPr>
                  <w:r>
                    <w:rPr>
                      <w:color w:val="auto"/>
                      <w:kern w:val="0"/>
                      <w:szCs w:val="21"/>
                      <w:lang w:bidi="ar"/>
                    </w:rPr>
                    <w:t>非甲烷总烃</w:t>
                  </w:r>
                </w:p>
              </w:tc>
              <w:tc>
                <w:tcPr>
                  <w:tcW w:w="397" w:type="pct"/>
                  <w:tcMar>
                    <w:top w:w="8" w:type="dxa"/>
                    <w:left w:w="8" w:type="dxa"/>
                    <w:right w:w="8" w:type="dxa"/>
                  </w:tcMar>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0.055</w:t>
                  </w:r>
                </w:p>
              </w:tc>
              <w:tc>
                <w:tcPr>
                  <w:tcW w:w="346" w:type="pct"/>
                  <w:tcMar>
                    <w:top w:w="8" w:type="dxa"/>
                    <w:left w:w="8" w:type="dxa"/>
                    <w:right w:w="8" w:type="dxa"/>
                  </w:tcMar>
                  <w:vAlign w:val="center"/>
                </w:tcPr>
                <w:p>
                  <w:pPr>
                    <w:widowControl/>
                    <w:jc w:val="center"/>
                    <w:textAlignment w:val="center"/>
                    <w:rPr>
                      <w:color w:val="auto"/>
                      <w:kern w:val="0"/>
                      <w:szCs w:val="21"/>
                      <w:lang w:bidi="ar"/>
                    </w:rPr>
                  </w:pPr>
                  <w:r>
                    <w:rPr>
                      <w:rFonts w:hint="eastAsia"/>
                      <w:color w:val="auto"/>
                      <w:kern w:val="0"/>
                      <w:szCs w:val="21"/>
                      <w:lang w:bidi="ar"/>
                    </w:rPr>
                    <w:t>0.1</w:t>
                  </w:r>
                  <w:r>
                    <w:rPr>
                      <w:color w:val="auto"/>
                    </w:rPr>
                    <w:commentReference w:id="25"/>
                  </w:r>
                  <w:r>
                    <w:rPr>
                      <w:rFonts w:hint="eastAsia"/>
                      <w:color w:val="auto"/>
                      <w:kern w:val="0"/>
                      <w:szCs w:val="21"/>
                      <w:lang w:bidi="ar"/>
                    </w:rPr>
                    <w:t>1</w:t>
                  </w:r>
                </w:p>
              </w:tc>
              <w:tc>
                <w:tcPr>
                  <w:tcW w:w="624" w:type="pct"/>
                  <w:tcMar>
                    <w:top w:w="8" w:type="dxa"/>
                    <w:left w:w="8" w:type="dxa"/>
                    <w:right w:w="8" w:type="dxa"/>
                  </w:tcMar>
                  <w:vAlign w:val="center"/>
                </w:tcPr>
                <w:p>
                  <w:pPr>
                    <w:widowControl/>
                    <w:jc w:val="center"/>
                    <w:textAlignment w:val="center"/>
                    <w:rPr>
                      <w:color w:val="auto"/>
                      <w:kern w:val="0"/>
                      <w:szCs w:val="21"/>
                      <w:lang w:bidi="ar"/>
                    </w:rPr>
                  </w:pPr>
                  <w:r>
                    <w:rPr>
                      <w:rFonts w:hint="eastAsia"/>
                      <w:color w:val="auto"/>
                      <w:kern w:val="0"/>
                      <w:szCs w:val="21"/>
                      <w:lang w:bidi="ar"/>
                    </w:rPr>
                    <w:t>二级活性炭吸附</w:t>
                  </w:r>
                </w:p>
              </w:tc>
              <w:tc>
                <w:tcPr>
                  <w:tcW w:w="277" w:type="pct"/>
                  <w:tcMar>
                    <w:top w:w="8" w:type="dxa"/>
                    <w:left w:w="8" w:type="dxa"/>
                    <w:right w:w="8" w:type="dxa"/>
                  </w:tcMar>
                  <w:vAlign w:val="center"/>
                </w:tcPr>
                <w:p>
                  <w:pPr>
                    <w:widowControl/>
                    <w:jc w:val="center"/>
                    <w:textAlignment w:val="center"/>
                    <w:rPr>
                      <w:color w:val="auto"/>
                      <w:kern w:val="0"/>
                      <w:szCs w:val="21"/>
                      <w:lang w:bidi="ar"/>
                    </w:rPr>
                  </w:pPr>
                  <w:r>
                    <w:rPr>
                      <w:color w:val="auto"/>
                      <w:kern w:val="0"/>
                      <w:szCs w:val="21"/>
                      <w:lang w:bidi="ar"/>
                    </w:rPr>
                    <w:t>0</w:t>
                  </w:r>
                </w:p>
              </w:tc>
              <w:tc>
                <w:tcPr>
                  <w:tcW w:w="1040" w:type="dxa"/>
                  <w:tcMar>
                    <w:top w:w="8" w:type="dxa"/>
                    <w:left w:w="8" w:type="dxa"/>
                    <w:right w:w="8" w:type="dxa"/>
                  </w:tcMar>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0.055</w:t>
                  </w:r>
                </w:p>
              </w:tc>
              <w:tc>
                <w:tcPr>
                  <w:tcW w:w="997" w:type="dxa"/>
                  <w:tcMar>
                    <w:top w:w="8" w:type="dxa"/>
                    <w:left w:w="8" w:type="dxa"/>
                    <w:right w:w="8" w:type="dxa"/>
                  </w:tcMar>
                  <w:vAlign w:val="center"/>
                </w:tcPr>
                <w:p>
                  <w:pPr>
                    <w:widowControl/>
                    <w:jc w:val="center"/>
                    <w:textAlignment w:val="center"/>
                    <w:rPr>
                      <w:color w:val="auto"/>
                      <w:kern w:val="0"/>
                      <w:szCs w:val="21"/>
                      <w:lang w:bidi="ar"/>
                    </w:rPr>
                  </w:pPr>
                  <w:r>
                    <w:rPr>
                      <w:rFonts w:hint="eastAsia"/>
                      <w:color w:val="auto"/>
                      <w:kern w:val="0"/>
                      <w:szCs w:val="21"/>
                      <w:lang w:bidi="ar"/>
                    </w:rPr>
                    <w:t>0.11</w:t>
                  </w:r>
                </w:p>
              </w:tc>
              <w:tc>
                <w:tcPr>
                  <w:tcW w:w="352" w:type="pct"/>
                  <w:tcMar>
                    <w:top w:w="8" w:type="dxa"/>
                    <w:left w:w="8" w:type="dxa"/>
                    <w:right w:w="8" w:type="dxa"/>
                  </w:tcMar>
                  <w:vAlign w:val="center"/>
                </w:tcPr>
                <w:p>
                  <w:pPr>
                    <w:widowControl/>
                    <w:spacing w:line="320" w:lineRule="exact"/>
                    <w:jc w:val="center"/>
                    <w:rPr>
                      <w:color w:val="auto"/>
                      <w:szCs w:val="21"/>
                    </w:rPr>
                  </w:pPr>
                  <w:r>
                    <w:rPr>
                      <w:color w:val="auto"/>
                      <w:szCs w:val="21"/>
                    </w:rPr>
                    <w:t>DA00</w:t>
                  </w:r>
                  <w:ins w:id="672" w:author="Sunny" w:date="2022-12-28T17:56:00Z">
                    <w:r>
                      <w:rPr>
                        <w:rFonts w:hint="eastAsia"/>
                        <w:color w:val="auto"/>
                        <w:szCs w:val="21"/>
                      </w:rPr>
                      <w:t>3</w:t>
                    </w:r>
                  </w:ins>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558" w:type="pct"/>
                  <w:tcMar>
                    <w:top w:w="8" w:type="dxa"/>
                    <w:left w:w="8" w:type="dxa"/>
                    <w:right w:w="8" w:type="dxa"/>
                  </w:tcMar>
                  <w:vAlign w:val="center"/>
                </w:tcPr>
                <w:p>
                  <w:pPr>
                    <w:widowControl/>
                    <w:jc w:val="center"/>
                    <w:textAlignment w:val="center"/>
                    <w:rPr>
                      <w:color w:val="auto"/>
                      <w:kern w:val="0"/>
                      <w:szCs w:val="21"/>
                      <w:lang w:bidi="ar"/>
                    </w:rPr>
                  </w:pPr>
                  <w:r>
                    <w:rPr>
                      <w:rFonts w:hint="eastAsia"/>
                      <w:color w:val="auto"/>
                      <w:kern w:val="0"/>
                      <w:szCs w:val="21"/>
                      <w:lang w:bidi="ar"/>
                    </w:rPr>
                    <w:t>危废仓库有机废气</w:t>
                  </w:r>
                </w:p>
              </w:tc>
              <w:tc>
                <w:tcPr>
                  <w:tcW w:w="468" w:type="pct"/>
                  <w:tcMar>
                    <w:top w:w="8" w:type="dxa"/>
                    <w:left w:w="8" w:type="dxa"/>
                    <w:right w:w="8" w:type="dxa"/>
                  </w:tcMar>
                  <w:vAlign w:val="center"/>
                </w:tcPr>
                <w:p>
                  <w:pPr>
                    <w:widowControl/>
                    <w:jc w:val="center"/>
                    <w:textAlignment w:val="center"/>
                    <w:rPr>
                      <w:color w:val="auto"/>
                      <w:kern w:val="0"/>
                      <w:szCs w:val="21"/>
                      <w:lang w:bidi="ar"/>
                    </w:rPr>
                  </w:pPr>
                  <w:r>
                    <w:rPr>
                      <w:color w:val="auto"/>
                      <w:kern w:val="0"/>
                      <w:szCs w:val="21"/>
                      <w:lang w:bidi="ar"/>
                    </w:rPr>
                    <w:t>处理设施发生故障</w:t>
                  </w:r>
                </w:p>
              </w:tc>
              <w:tc>
                <w:tcPr>
                  <w:tcW w:w="320" w:type="pct"/>
                  <w:tcMar>
                    <w:top w:w="8" w:type="dxa"/>
                    <w:left w:w="8" w:type="dxa"/>
                    <w:right w:w="8" w:type="dxa"/>
                  </w:tcMar>
                  <w:vAlign w:val="center"/>
                </w:tcPr>
                <w:p>
                  <w:pPr>
                    <w:widowControl/>
                    <w:jc w:val="center"/>
                    <w:textAlignment w:val="center"/>
                    <w:rPr>
                      <w:color w:val="auto"/>
                      <w:szCs w:val="21"/>
                    </w:rPr>
                  </w:pPr>
                  <w:r>
                    <w:rPr>
                      <w:rFonts w:hint="eastAsia"/>
                      <w:color w:val="auto"/>
                      <w:szCs w:val="21"/>
                    </w:rPr>
                    <w:t>1</w:t>
                  </w:r>
                </w:p>
              </w:tc>
              <w:tc>
                <w:tcPr>
                  <w:tcW w:w="328" w:type="pct"/>
                  <w:tcMar>
                    <w:top w:w="8" w:type="dxa"/>
                    <w:left w:w="8" w:type="dxa"/>
                    <w:right w:w="8" w:type="dxa"/>
                  </w:tcMar>
                  <w:vAlign w:val="center"/>
                </w:tcPr>
                <w:p>
                  <w:pPr>
                    <w:widowControl/>
                    <w:jc w:val="center"/>
                    <w:textAlignment w:val="center"/>
                    <w:rPr>
                      <w:color w:val="auto"/>
                      <w:kern w:val="0"/>
                      <w:szCs w:val="21"/>
                      <w:lang w:bidi="ar"/>
                    </w:rPr>
                  </w:pPr>
                  <w:r>
                    <w:rPr>
                      <w:rFonts w:hint="eastAsia"/>
                      <w:color w:val="auto"/>
                      <w:kern w:val="0"/>
                      <w:szCs w:val="21"/>
                      <w:lang w:bidi="ar"/>
                    </w:rPr>
                    <w:t>0.5</w:t>
                  </w:r>
                </w:p>
              </w:tc>
              <w:tc>
                <w:tcPr>
                  <w:tcW w:w="567" w:type="pct"/>
                  <w:tcMar>
                    <w:top w:w="8" w:type="dxa"/>
                    <w:left w:w="8" w:type="dxa"/>
                    <w:right w:w="8" w:type="dxa"/>
                  </w:tcMar>
                  <w:vAlign w:val="center"/>
                </w:tcPr>
                <w:p>
                  <w:pPr>
                    <w:widowControl/>
                    <w:jc w:val="center"/>
                    <w:textAlignment w:val="center"/>
                    <w:rPr>
                      <w:color w:val="auto"/>
                      <w:kern w:val="0"/>
                      <w:szCs w:val="21"/>
                      <w:lang w:bidi="ar"/>
                    </w:rPr>
                  </w:pPr>
                  <w:r>
                    <w:rPr>
                      <w:color w:val="auto"/>
                      <w:kern w:val="0"/>
                      <w:szCs w:val="21"/>
                      <w:lang w:bidi="ar"/>
                    </w:rPr>
                    <w:t>非甲烷总烃</w:t>
                  </w:r>
                </w:p>
              </w:tc>
              <w:tc>
                <w:tcPr>
                  <w:tcW w:w="397" w:type="pct"/>
                  <w:tcMar>
                    <w:top w:w="8" w:type="dxa"/>
                    <w:left w:w="8" w:type="dxa"/>
                    <w:right w:w="8" w:type="dxa"/>
                  </w:tcMar>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0.0066</w:t>
                  </w:r>
                </w:p>
              </w:tc>
              <w:tc>
                <w:tcPr>
                  <w:tcW w:w="346" w:type="pct"/>
                  <w:tcMar>
                    <w:top w:w="8" w:type="dxa"/>
                    <w:left w:w="8" w:type="dxa"/>
                    <w:right w:w="8" w:type="dxa"/>
                  </w:tcMar>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bidi="ar"/>
                    </w:rPr>
                    <w:t>0</w:t>
                  </w:r>
                  <w:commentRangeStart w:id="26"/>
                  <w:r>
                    <w:rPr>
                      <w:rFonts w:hint="eastAsia"/>
                      <w:color w:val="auto"/>
                      <w:kern w:val="0"/>
                      <w:szCs w:val="21"/>
                      <w:lang w:bidi="ar"/>
                    </w:rPr>
                    <w:t>.0</w:t>
                  </w:r>
                  <w:r>
                    <w:rPr>
                      <w:rFonts w:hint="eastAsia"/>
                      <w:color w:val="auto"/>
                      <w:kern w:val="0"/>
                      <w:szCs w:val="21"/>
                      <w:lang w:val="en-US" w:eastAsia="zh-CN" w:bidi="ar"/>
                    </w:rPr>
                    <w:t>1</w:t>
                  </w:r>
                  <w:commentRangeEnd w:id="26"/>
                  <w:r>
                    <w:rPr>
                      <w:color w:val="auto"/>
                    </w:rPr>
                    <w:commentReference w:id="26"/>
                  </w:r>
                  <w:r>
                    <w:rPr>
                      <w:rFonts w:hint="eastAsia"/>
                      <w:color w:val="auto"/>
                      <w:kern w:val="0"/>
                      <w:szCs w:val="21"/>
                      <w:lang w:val="en-US" w:eastAsia="zh-CN" w:bidi="ar"/>
                    </w:rPr>
                    <w:t>31</w:t>
                  </w:r>
                </w:p>
              </w:tc>
              <w:tc>
                <w:tcPr>
                  <w:tcW w:w="624" w:type="pct"/>
                  <w:tcMar>
                    <w:top w:w="8" w:type="dxa"/>
                    <w:left w:w="8" w:type="dxa"/>
                    <w:right w:w="8" w:type="dxa"/>
                  </w:tcMar>
                  <w:vAlign w:val="center"/>
                </w:tcPr>
                <w:p>
                  <w:pPr>
                    <w:widowControl/>
                    <w:jc w:val="center"/>
                    <w:textAlignment w:val="center"/>
                    <w:rPr>
                      <w:color w:val="auto"/>
                      <w:kern w:val="0"/>
                      <w:szCs w:val="21"/>
                      <w:lang w:bidi="ar"/>
                    </w:rPr>
                  </w:pPr>
                  <w:r>
                    <w:rPr>
                      <w:rFonts w:hint="eastAsia"/>
                      <w:color w:val="auto"/>
                      <w:kern w:val="0"/>
                      <w:szCs w:val="21"/>
                      <w:lang w:bidi="ar"/>
                    </w:rPr>
                    <w:t>二级活性炭吸附</w:t>
                  </w:r>
                </w:p>
              </w:tc>
              <w:tc>
                <w:tcPr>
                  <w:tcW w:w="277" w:type="pct"/>
                  <w:tcMar>
                    <w:top w:w="8" w:type="dxa"/>
                    <w:left w:w="8" w:type="dxa"/>
                    <w:right w:w="8" w:type="dxa"/>
                  </w:tcMar>
                  <w:vAlign w:val="center"/>
                </w:tcPr>
                <w:p>
                  <w:pPr>
                    <w:widowControl/>
                    <w:jc w:val="center"/>
                    <w:textAlignment w:val="center"/>
                    <w:rPr>
                      <w:color w:val="auto"/>
                      <w:kern w:val="0"/>
                      <w:szCs w:val="21"/>
                      <w:lang w:bidi="ar"/>
                    </w:rPr>
                  </w:pPr>
                  <w:r>
                    <w:rPr>
                      <w:rFonts w:hint="eastAsia"/>
                      <w:color w:val="auto"/>
                      <w:kern w:val="0"/>
                      <w:szCs w:val="21"/>
                      <w:lang w:bidi="ar"/>
                    </w:rPr>
                    <w:t>0</w:t>
                  </w:r>
                </w:p>
              </w:tc>
              <w:tc>
                <w:tcPr>
                  <w:tcW w:w="1040" w:type="dxa"/>
                  <w:tcMar>
                    <w:top w:w="8" w:type="dxa"/>
                    <w:left w:w="8" w:type="dxa"/>
                    <w:right w:w="8" w:type="dxa"/>
                  </w:tcMar>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0.0066</w:t>
                  </w:r>
                </w:p>
              </w:tc>
              <w:tc>
                <w:tcPr>
                  <w:tcW w:w="997" w:type="dxa"/>
                  <w:tcMar>
                    <w:top w:w="8" w:type="dxa"/>
                    <w:left w:w="8" w:type="dxa"/>
                    <w:right w:w="8" w:type="dxa"/>
                  </w:tcMar>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bidi="ar"/>
                    </w:rPr>
                    <w:t>0.0</w:t>
                  </w:r>
                  <w:r>
                    <w:rPr>
                      <w:rFonts w:hint="eastAsia"/>
                      <w:color w:val="auto"/>
                      <w:kern w:val="0"/>
                      <w:szCs w:val="21"/>
                      <w:lang w:val="en-US" w:eastAsia="zh-CN" w:bidi="ar"/>
                    </w:rPr>
                    <w:t>131</w:t>
                  </w:r>
                </w:p>
              </w:tc>
              <w:tc>
                <w:tcPr>
                  <w:tcW w:w="352" w:type="pct"/>
                  <w:tcMar>
                    <w:top w:w="8" w:type="dxa"/>
                    <w:left w:w="8" w:type="dxa"/>
                    <w:right w:w="8" w:type="dxa"/>
                  </w:tcMar>
                  <w:vAlign w:val="center"/>
                </w:tcPr>
                <w:p>
                  <w:pPr>
                    <w:widowControl/>
                    <w:spacing w:line="320" w:lineRule="exact"/>
                    <w:jc w:val="center"/>
                    <w:rPr>
                      <w:color w:val="auto"/>
                      <w:szCs w:val="21"/>
                    </w:rPr>
                  </w:pPr>
                  <w:r>
                    <w:rPr>
                      <w:rFonts w:hint="eastAsia"/>
                      <w:color w:val="auto"/>
                      <w:szCs w:val="21"/>
                    </w:rPr>
                    <w:t>无组织</w:t>
                  </w:r>
                </w:p>
              </w:tc>
            </w:tr>
          </w:tbl>
          <w:p>
            <w:pPr>
              <w:spacing w:line="360" w:lineRule="auto"/>
              <w:ind w:firstLine="480" w:firstLineChars="200"/>
              <w:rPr>
                <w:rFonts w:ascii="Calibri" w:hAnsi="Calibri" w:cs="Calibri"/>
                <w:color w:val="auto"/>
                <w:sz w:val="24"/>
              </w:rPr>
            </w:pPr>
            <w:r>
              <w:rPr>
                <w:rFonts w:ascii="Calibri" w:hAnsi="Calibri" w:cs="Calibri"/>
                <w:color w:val="auto"/>
                <w:sz w:val="24"/>
              </w:rPr>
              <w:t>本环评拟从下面几个方面建议建设单位做好防范工作：</w:t>
            </w:r>
          </w:p>
          <w:p>
            <w:pPr>
              <w:numPr>
                <w:ilvl w:val="0"/>
                <w:numId w:val="18"/>
              </w:numPr>
              <w:spacing w:line="360" w:lineRule="auto"/>
              <w:ind w:left="0" w:firstLine="480" w:firstLineChars="200"/>
              <w:jc w:val="left"/>
              <w:rPr>
                <w:rFonts w:ascii="Calibri" w:hAnsi="Calibri" w:cs="Calibri"/>
                <w:color w:val="auto"/>
                <w:sz w:val="24"/>
              </w:rPr>
            </w:pPr>
            <w:r>
              <w:rPr>
                <w:rFonts w:ascii="Calibri" w:hAnsi="Calibri" w:cs="Calibri"/>
                <w:color w:val="auto"/>
                <w:sz w:val="24"/>
              </w:rPr>
              <w:t>若发生废气处理设施老旧故障等非正常工况及时采取应急措施，立即停车检修，确保非正常工况下的影响较小。</w:t>
            </w:r>
          </w:p>
          <w:p>
            <w:pPr>
              <w:numPr>
                <w:ilvl w:val="0"/>
                <w:numId w:val="18"/>
              </w:numPr>
              <w:spacing w:line="360" w:lineRule="auto"/>
              <w:ind w:left="0" w:firstLine="480" w:firstLineChars="200"/>
              <w:jc w:val="left"/>
              <w:rPr>
                <w:rFonts w:ascii="Calibri" w:hAnsi="Calibri" w:cs="Calibri"/>
                <w:color w:val="auto"/>
                <w:sz w:val="24"/>
              </w:rPr>
            </w:pPr>
            <w:r>
              <w:rPr>
                <w:rFonts w:ascii="Calibri" w:hAnsi="Calibri" w:cs="Calibri"/>
                <w:color w:val="auto"/>
                <w:sz w:val="24"/>
              </w:rPr>
              <w:t>应设有备用电源和备用处理设备和零件，以备停电或设备出现故障时保障及时更换使废气全部做到达标排放。</w:t>
            </w:r>
          </w:p>
          <w:p>
            <w:pPr>
              <w:numPr>
                <w:ilvl w:val="0"/>
                <w:numId w:val="18"/>
              </w:numPr>
              <w:spacing w:line="360" w:lineRule="auto"/>
              <w:ind w:left="0" w:firstLine="480" w:firstLineChars="200"/>
              <w:jc w:val="left"/>
              <w:rPr>
                <w:rFonts w:ascii="Calibri" w:hAnsi="Calibri" w:cs="Calibri"/>
                <w:color w:val="auto"/>
                <w:sz w:val="24"/>
              </w:rPr>
            </w:pPr>
            <w:r>
              <w:rPr>
                <w:rFonts w:ascii="Calibri" w:hAnsi="Calibri" w:cs="Calibri"/>
                <w:color w:val="auto"/>
                <w:sz w:val="24"/>
              </w:rPr>
              <w:t>对员工进行岗位培训。做好值班记录，实行岗位责任制。</w:t>
            </w:r>
          </w:p>
          <w:p>
            <w:pPr>
              <w:spacing w:line="360" w:lineRule="auto"/>
              <w:ind w:firstLine="480" w:firstLineChars="200"/>
              <w:textAlignment w:val="baseline"/>
              <w:rPr>
                <w:rFonts w:ascii="Calibri" w:hAnsi="Calibri" w:cs="Calibri"/>
                <w:color w:val="auto"/>
                <w:sz w:val="24"/>
              </w:rPr>
            </w:pPr>
            <w:r>
              <w:rPr>
                <w:rFonts w:ascii="Calibri" w:hAnsi="Calibri" w:cs="Calibri"/>
                <w:color w:val="auto"/>
                <w:sz w:val="24"/>
              </w:rPr>
              <w:t>本项目投产后，需加强环保管理，杜绝废气的不正常排放的发生。</w:t>
            </w:r>
          </w:p>
          <w:p>
            <w:pPr>
              <w:autoSpaceDE w:val="0"/>
              <w:spacing w:line="360" w:lineRule="auto"/>
              <w:ind w:firstLine="480" w:firstLineChars="200"/>
              <w:rPr>
                <w:rFonts w:ascii="Calibri" w:hAnsi="Calibri" w:cs="Calibri"/>
                <w:b/>
                <w:bCs/>
                <w:color w:val="auto"/>
                <w:sz w:val="24"/>
              </w:rPr>
            </w:pPr>
            <w:r>
              <w:rPr>
                <w:rFonts w:ascii="Calibri" w:hAnsi="Calibri" w:cs="Calibri"/>
                <w:b/>
                <w:bCs/>
                <w:color w:val="auto"/>
                <w:sz w:val="24"/>
              </w:rPr>
              <w:t>（7）大气环境影响分析结论</w:t>
            </w:r>
          </w:p>
          <w:p>
            <w:pPr>
              <w:pStyle w:val="23"/>
              <w:spacing w:before="0" w:beforeAutospacing="0" w:after="0" w:afterAutospacing="0" w:line="360" w:lineRule="auto"/>
              <w:ind w:firstLine="480" w:firstLineChars="200"/>
              <w:outlineLvl w:val="0"/>
              <w:rPr>
                <w:rFonts w:ascii="Times New Roman" w:hAnsi="Times New Roman" w:cs="Calibri"/>
                <w:color w:val="auto"/>
                <w:szCs w:val="24"/>
              </w:rPr>
            </w:pPr>
            <w:r>
              <w:rPr>
                <w:rFonts w:ascii="Times New Roman" w:hAnsi="Times New Roman" w:cs="Calibri"/>
                <w:color w:val="auto"/>
                <w:szCs w:val="24"/>
              </w:rPr>
              <w:t>建设项目位于无锡市新吴区新风路69号，项目周围500米内主要环境敏感点为距离本项目厂界东南方向43m的新风公寓。项目区域大气环境中非甲烷总烃现状监测数据达到相应环境质量标准，无锡市已按《中华人民共和国大气污染防治法》的要求开展限期达标规划，预计在2025年环境控制质量全面达标。本项目各工序产生的废气均经合理可行的污染治理措施处理后达标排放，卫生防护距离内（车间一50m，车间三100m）无环境敏感目标，项目废气对周围大气环境影响较小。</w:t>
            </w:r>
          </w:p>
          <w:p>
            <w:pPr>
              <w:rPr>
                <w:rFonts w:ascii="Calibri" w:hAnsi="Calibri" w:cs="Calibri"/>
                <w:b/>
                <w:bCs/>
                <w:color w:val="auto"/>
                <w:sz w:val="24"/>
              </w:rPr>
            </w:pPr>
            <w:r>
              <w:rPr>
                <w:rFonts w:ascii="Calibri" w:hAnsi="Calibri" w:cs="Calibri"/>
                <w:b/>
                <w:bCs/>
                <w:color w:val="auto"/>
                <w:sz w:val="24"/>
              </w:rPr>
              <w:t>2、废水</w:t>
            </w:r>
          </w:p>
          <w:p>
            <w:pPr>
              <w:spacing w:line="360" w:lineRule="auto"/>
              <w:ind w:firstLine="480" w:firstLineChars="200"/>
              <w:rPr>
                <w:rFonts w:ascii="Calibri" w:hAnsi="Calibri" w:cs="Calibri"/>
                <w:b/>
                <w:bCs/>
                <w:color w:val="auto"/>
                <w:sz w:val="24"/>
              </w:rPr>
            </w:pPr>
            <w:r>
              <w:rPr>
                <w:rFonts w:ascii="Calibri" w:hAnsi="Calibri" w:cs="Calibri"/>
                <w:b/>
                <w:bCs/>
                <w:color w:val="auto"/>
                <w:sz w:val="24"/>
              </w:rPr>
              <w:t>（1）废水污染源强</w:t>
            </w:r>
          </w:p>
          <w:p>
            <w:pPr>
              <w:adjustRightInd w:val="0"/>
              <w:snapToGrid w:val="0"/>
              <w:spacing w:line="360" w:lineRule="auto"/>
              <w:ind w:firstLine="480" w:firstLineChars="200"/>
              <w:jc w:val="left"/>
              <w:rPr>
                <w:rFonts w:ascii="Calibri" w:hAnsi="Calibri" w:cs="Calibri"/>
                <w:color w:val="auto"/>
                <w:sz w:val="24"/>
              </w:rPr>
            </w:pPr>
            <w:r>
              <w:rPr>
                <w:rFonts w:ascii="Calibri" w:hAnsi="Calibri" w:cs="Calibri"/>
                <w:color w:val="auto"/>
                <w:sz w:val="24"/>
              </w:rPr>
              <w:t>本项目新增废水主要为</w:t>
            </w:r>
            <w:r>
              <w:rPr>
                <w:rFonts w:hint="eastAsia" w:ascii="Calibri" w:hAnsi="Calibri" w:cs="Calibri"/>
                <w:color w:val="auto"/>
                <w:sz w:val="24"/>
              </w:rPr>
              <w:t>生活污水</w:t>
            </w:r>
            <w:r>
              <w:rPr>
                <w:rFonts w:ascii="Calibri" w:hAnsi="Calibri" w:cs="Calibri"/>
                <w:color w:val="auto"/>
                <w:sz w:val="24"/>
              </w:rPr>
              <w:t>、纯水制备浓水、</w:t>
            </w:r>
            <w:r>
              <w:rPr>
                <w:rFonts w:hint="eastAsia" w:ascii="Calibri" w:hAnsi="Calibri" w:cs="Calibri"/>
                <w:color w:val="auto"/>
                <w:sz w:val="24"/>
              </w:rPr>
              <w:t>纯水设备</w:t>
            </w:r>
            <w:r>
              <w:rPr>
                <w:rFonts w:ascii="Calibri" w:hAnsi="Calibri" w:cs="Calibri"/>
                <w:color w:val="auto"/>
                <w:sz w:val="24"/>
              </w:rPr>
              <w:t>反冲洗废水</w:t>
            </w:r>
            <w:r>
              <w:rPr>
                <w:rFonts w:hint="eastAsia" w:ascii="Calibri" w:hAnsi="Calibri" w:cs="Calibri"/>
                <w:color w:val="auto"/>
                <w:sz w:val="24"/>
              </w:rPr>
              <w:t>、喷粉生产工艺清槽废水、水洗水等，</w:t>
            </w:r>
            <w:r>
              <w:rPr>
                <w:rFonts w:ascii="Calibri" w:hAnsi="Calibri" w:cs="Calibri"/>
                <w:color w:val="auto"/>
                <w:sz w:val="24"/>
              </w:rPr>
              <w:t>其中</w:t>
            </w:r>
            <w:r>
              <w:rPr>
                <w:rFonts w:hint="eastAsia" w:ascii="Calibri" w:hAnsi="Calibri" w:cs="Calibri"/>
                <w:color w:val="auto"/>
                <w:sz w:val="24"/>
              </w:rPr>
              <w:t>喷粉生产工艺清槽废水、水洗水经厂内污水处理设施处理后回用于喷粉工艺生产，生活污水经化粪池处理后与</w:t>
            </w:r>
            <w:r>
              <w:rPr>
                <w:rFonts w:ascii="Calibri" w:hAnsi="Calibri" w:cs="Calibri"/>
                <w:color w:val="auto"/>
                <w:sz w:val="24"/>
              </w:rPr>
              <w:t>纯水制备浓水、</w:t>
            </w:r>
            <w:r>
              <w:rPr>
                <w:rFonts w:hint="eastAsia" w:ascii="Calibri" w:hAnsi="Calibri" w:cs="Calibri"/>
                <w:color w:val="auto"/>
                <w:sz w:val="24"/>
              </w:rPr>
              <w:t>纯水设备</w:t>
            </w:r>
            <w:r>
              <w:rPr>
                <w:rFonts w:ascii="Calibri" w:hAnsi="Calibri" w:cs="Calibri"/>
                <w:color w:val="auto"/>
                <w:sz w:val="24"/>
              </w:rPr>
              <w:t>反冲洗废水通过DW001接管口接管至梅村水处理厂集中处理，本项目废水产生及排放情况见</w:t>
            </w:r>
            <w:r>
              <w:rPr>
                <w:rFonts w:hint="eastAsia" w:ascii="Calibri" w:hAnsi="Calibri" w:cs="Calibri"/>
                <w:color w:val="auto"/>
                <w:sz w:val="24"/>
              </w:rPr>
              <w:t>下</w:t>
            </w:r>
            <w:r>
              <w:rPr>
                <w:rFonts w:ascii="Calibri" w:hAnsi="Calibri" w:cs="Calibri"/>
                <w:color w:val="auto"/>
                <w:sz w:val="24"/>
              </w:rPr>
              <w:t>表。</w:t>
            </w:r>
          </w:p>
          <w:p>
            <w:pPr>
              <w:pStyle w:val="6"/>
              <w:numPr>
                <w:ilvl w:val="0"/>
                <w:numId w:val="16"/>
              </w:numPr>
              <w:adjustRightInd w:val="0"/>
              <w:snapToGrid w:val="0"/>
              <w:ind w:firstLineChars="0"/>
              <w:jc w:val="center"/>
              <w:rPr>
                <w:rFonts w:ascii="Calibri" w:hAnsi="Calibri" w:cs="Calibri"/>
                <w:color w:val="auto"/>
              </w:rPr>
            </w:pPr>
            <w:r>
              <w:rPr>
                <w:rFonts w:hint="eastAsia" w:ascii="Calibri" w:hAnsi="Calibri" w:cs="Calibri"/>
                <w:b/>
                <w:bCs/>
                <w:color w:val="auto"/>
                <w:sz w:val="24"/>
              </w:rPr>
              <w:t>间接排放</w:t>
            </w:r>
            <w:r>
              <w:rPr>
                <w:rFonts w:ascii="Calibri" w:hAnsi="Calibri" w:cs="Calibri"/>
                <w:b/>
                <w:bCs/>
                <w:color w:val="auto"/>
                <w:sz w:val="24"/>
              </w:rPr>
              <w:t>水污染物产生情况表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742"/>
              <w:gridCol w:w="860"/>
              <w:gridCol w:w="892"/>
              <w:gridCol w:w="949"/>
              <w:gridCol w:w="1155"/>
              <w:gridCol w:w="1268"/>
              <w:gridCol w:w="1332"/>
              <w:gridCol w:w="1238"/>
              <w:gridCol w:w="1158"/>
              <w:gridCol w:w="1211"/>
              <w:gridCol w:w="595"/>
              <w:gridCol w:w="12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7" w:type="pct"/>
                  <w:vMerge w:val="restar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rFonts w:hint="eastAsia"/>
                      <w:b/>
                      <w:bCs/>
                      <w:color w:val="auto"/>
                      <w:szCs w:val="21"/>
                    </w:rPr>
                    <w:t>序号</w:t>
                  </w:r>
                </w:p>
              </w:tc>
              <w:tc>
                <w:tcPr>
                  <w:tcW w:w="277" w:type="pct"/>
                  <w:vMerge w:val="restar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产污环节</w:t>
                  </w:r>
                </w:p>
              </w:tc>
              <w:tc>
                <w:tcPr>
                  <w:tcW w:w="321" w:type="pct"/>
                  <w:vMerge w:val="restar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污水产生量t/a</w:t>
                  </w:r>
                </w:p>
              </w:tc>
              <w:tc>
                <w:tcPr>
                  <w:tcW w:w="333" w:type="pct"/>
                  <w:vMerge w:val="restar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污染物</w:t>
                  </w:r>
                </w:p>
                <w:p>
                  <w:pPr>
                    <w:adjustRightInd w:val="0"/>
                    <w:snapToGrid w:val="0"/>
                    <w:jc w:val="center"/>
                    <w:rPr>
                      <w:b/>
                      <w:bCs/>
                      <w:color w:val="auto"/>
                      <w:szCs w:val="21"/>
                    </w:rPr>
                  </w:pPr>
                  <w:r>
                    <w:rPr>
                      <w:b/>
                      <w:bCs/>
                      <w:color w:val="auto"/>
                      <w:szCs w:val="21"/>
                    </w:rPr>
                    <w:t>名称</w:t>
                  </w:r>
                </w:p>
              </w:tc>
              <w:tc>
                <w:tcPr>
                  <w:tcW w:w="785" w:type="pct"/>
                  <w:gridSpan w:val="2"/>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污染物产生量</w:t>
                  </w:r>
                </w:p>
              </w:tc>
              <w:tc>
                <w:tcPr>
                  <w:tcW w:w="473" w:type="pct"/>
                  <w:vMerge w:val="restar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治理措施</w:t>
                  </w:r>
                </w:p>
              </w:tc>
              <w:tc>
                <w:tcPr>
                  <w:tcW w:w="497" w:type="pct"/>
                  <w:vMerge w:val="restar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污水排放量t/a</w:t>
                  </w:r>
                </w:p>
              </w:tc>
              <w:tc>
                <w:tcPr>
                  <w:tcW w:w="894" w:type="pct"/>
                  <w:gridSpan w:val="2"/>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污染物接管量</w:t>
                  </w:r>
                </w:p>
              </w:tc>
              <w:tc>
                <w:tcPr>
                  <w:tcW w:w="452" w:type="pct"/>
                  <w:vMerge w:val="restar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接管浓度限值mg/l</w:t>
                  </w:r>
                </w:p>
              </w:tc>
              <w:tc>
                <w:tcPr>
                  <w:tcW w:w="222" w:type="pct"/>
                  <w:vMerge w:val="restar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排放方式</w:t>
                  </w:r>
                </w:p>
              </w:tc>
              <w:tc>
                <w:tcPr>
                  <w:tcW w:w="464" w:type="pct"/>
                  <w:vMerge w:val="restar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textAlignment w:val="baseline"/>
                    <w:rPr>
                      <w:b/>
                      <w:bCs/>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textAlignment w:val="baseline"/>
                    <w:rPr>
                      <w:b/>
                      <w:bCs/>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p>
              </w:tc>
              <w:tc>
                <w:tcPr>
                  <w:tcW w:w="333" w:type="pct"/>
                  <w:vMerge w:val="continue"/>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p>
              </w:tc>
              <w:tc>
                <w:tcPr>
                  <w:tcW w:w="354" w:type="pc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浓度mg/L</w:t>
                  </w:r>
                </w:p>
              </w:tc>
              <w:tc>
                <w:tcPr>
                  <w:tcW w:w="431" w:type="pc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产生量t/a</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p>
              </w:tc>
              <w:tc>
                <w:tcPr>
                  <w:tcW w:w="462" w:type="pc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浓度mg/L</w:t>
                  </w:r>
                </w:p>
              </w:tc>
              <w:tc>
                <w:tcPr>
                  <w:tcW w:w="432" w:type="pc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接管量t/a</w:t>
                  </w:r>
                </w:p>
              </w:tc>
              <w:tc>
                <w:tcPr>
                  <w:tcW w:w="452" w:type="pct"/>
                  <w:vMerge w:val="continue"/>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7" w:type="pct"/>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rFonts w:hint="eastAsia"/>
                      <w:color w:val="auto"/>
                      <w:szCs w:val="21"/>
                    </w:rPr>
                    <w:t>1</w:t>
                  </w:r>
                </w:p>
              </w:tc>
              <w:tc>
                <w:tcPr>
                  <w:tcW w:w="277" w:type="pct"/>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生活污水</w:t>
                  </w:r>
                </w:p>
              </w:tc>
              <w:tc>
                <w:tcPr>
                  <w:tcW w:w="321" w:type="pct"/>
                  <w:vMerge w:val="restart"/>
                  <w:tcBorders>
                    <w:tl2br w:val="nil"/>
                    <w:tr2bl w:val="nil"/>
                  </w:tcBorders>
                  <w:tcMar>
                    <w:top w:w="0" w:type="dxa"/>
                    <w:left w:w="28" w:type="dxa"/>
                    <w:bottom w:w="0" w:type="dxa"/>
                    <w:right w:w="28" w:type="dxa"/>
                  </w:tcMar>
                  <w:vAlign w:val="center"/>
                </w:tcPr>
                <w:p>
                  <w:pPr>
                    <w:autoSpaceDE w:val="0"/>
                    <w:autoSpaceDN w:val="0"/>
                    <w:adjustRightInd w:val="0"/>
                    <w:snapToGrid w:val="0"/>
                    <w:jc w:val="center"/>
                    <w:rPr>
                      <w:color w:val="auto"/>
                      <w:szCs w:val="21"/>
                    </w:rPr>
                  </w:pPr>
                  <w:r>
                    <w:rPr>
                      <w:rFonts w:hint="eastAsia"/>
                      <w:color w:val="auto"/>
                      <w:szCs w:val="21"/>
                    </w:rPr>
                    <w:t>1890</w:t>
                  </w:r>
                </w:p>
              </w:tc>
              <w:tc>
                <w:tcPr>
                  <w:tcW w:w="333" w:type="pc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pH（无量纲）</w:t>
                  </w:r>
                </w:p>
              </w:tc>
              <w:tc>
                <w:tcPr>
                  <w:tcW w:w="785" w:type="pct"/>
                  <w:gridSpan w:val="2"/>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6~9</w:t>
                  </w:r>
                </w:p>
              </w:tc>
              <w:tc>
                <w:tcPr>
                  <w:tcW w:w="473" w:type="pct"/>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化粪池预处理</w:t>
                  </w:r>
                </w:p>
              </w:tc>
              <w:tc>
                <w:tcPr>
                  <w:tcW w:w="497" w:type="pct"/>
                  <w:vMerge w:val="restart"/>
                  <w:tcBorders>
                    <w:tl2br w:val="nil"/>
                    <w:tr2bl w:val="nil"/>
                  </w:tcBorders>
                  <w:tcMar>
                    <w:top w:w="0" w:type="dxa"/>
                    <w:left w:w="28" w:type="dxa"/>
                    <w:bottom w:w="0" w:type="dxa"/>
                    <w:right w:w="28" w:type="dxa"/>
                  </w:tcMar>
                  <w:vAlign w:val="center"/>
                </w:tcPr>
                <w:p>
                  <w:pPr>
                    <w:autoSpaceDE w:val="0"/>
                    <w:autoSpaceDN w:val="0"/>
                    <w:adjustRightInd w:val="0"/>
                    <w:snapToGrid w:val="0"/>
                    <w:jc w:val="center"/>
                    <w:rPr>
                      <w:color w:val="auto"/>
                      <w:szCs w:val="21"/>
                    </w:rPr>
                  </w:pPr>
                  <w:r>
                    <w:rPr>
                      <w:rFonts w:hint="eastAsia"/>
                      <w:color w:val="auto"/>
                      <w:szCs w:val="21"/>
                    </w:rPr>
                    <w:t>1890</w:t>
                  </w:r>
                </w:p>
              </w:tc>
              <w:tc>
                <w:tcPr>
                  <w:tcW w:w="894" w:type="pct"/>
                  <w:gridSpan w:val="2"/>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6~9</w:t>
                  </w:r>
                </w:p>
              </w:tc>
              <w:tc>
                <w:tcPr>
                  <w:tcW w:w="452" w:type="pc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6-9</w:t>
                  </w:r>
                </w:p>
              </w:tc>
              <w:tc>
                <w:tcPr>
                  <w:tcW w:w="222" w:type="pct"/>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间接排放</w:t>
                  </w:r>
                </w:p>
              </w:tc>
              <w:tc>
                <w:tcPr>
                  <w:tcW w:w="464" w:type="pct"/>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污水接入梅村水处理厂集中处理，尾水排入梅花港，最终汇入江南运河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7" w:type="pct"/>
                  <w:vMerge w:val="continue"/>
                  <w:tcBorders>
                    <w:tl2br w:val="nil"/>
                    <w:tr2bl w:val="nil"/>
                  </w:tcBorders>
                  <w:tcMar>
                    <w:top w:w="0" w:type="dxa"/>
                    <w:left w:w="28" w:type="dxa"/>
                    <w:bottom w:w="0" w:type="dxa"/>
                    <w:right w:w="28" w:type="dxa"/>
                  </w:tcMar>
                  <w:vAlign w:val="center"/>
                </w:tcPr>
                <w:p>
                  <w:pPr>
                    <w:autoSpaceDE w:val="0"/>
                    <w:autoSpaceDN w:val="0"/>
                    <w:adjustRightInd w:val="0"/>
                    <w:snapToGrid w:val="0"/>
                    <w:jc w:val="center"/>
                    <w:rPr>
                      <w:color w:val="auto"/>
                      <w:szCs w:val="21"/>
                    </w:rPr>
                  </w:pPr>
                </w:p>
              </w:tc>
              <w:tc>
                <w:tcPr>
                  <w:tcW w:w="277" w:type="pct"/>
                  <w:vMerge w:val="continue"/>
                  <w:tcBorders>
                    <w:tl2br w:val="nil"/>
                    <w:tr2bl w:val="nil"/>
                  </w:tcBorders>
                  <w:tcMar>
                    <w:top w:w="0" w:type="dxa"/>
                    <w:left w:w="28" w:type="dxa"/>
                    <w:bottom w:w="0" w:type="dxa"/>
                    <w:right w:w="28" w:type="dxa"/>
                  </w:tcMar>
                  <w:vAlign w:val="center"/>
                </w:tcPr>
                <w:p>
                  <w:pPr>
                    <w:autoSpaceDE w:val="0"/>
                    <w:autoSpaceDN w:val="0"/>
                    <w:adjustRightInd w:val="0"/>
                    <w:snapToGrid w:val="0"/>
                    <w:jc w:val="center"/>
                    <w:rPr>
                      <w:color w:val="auto"/>
                      <w:szCs w:val="21"/>
                    </w:rPr>
                  </w:pPr>
                </w:p>
              </w:tc>
              <w:tc>
                <w:tcPr>
                  <w:tcW w:w="321" w:type="pct"/>
                  <w:vMerge w:val="continue"/>
                  <w:tcBorders>
                    <w:tl2br w:val="nil"/>
                    <w:tr2bl w:val="nil"/>
                  </w:tcBorders>
                  <w:tcMar>
                    <w:top w:w="0" w:type="dxa"/>
                    <w:left w:w="28" w:type="dxa"/>
                    <w:bottom w:w="0" w:type="dxa"/>
                    <w:right w:w="28" w:type="dxa"/>
                  </w:tcMar>
                  <w:vAlign w:val="center"/>
                </w:tcPr>
                <w:p>
                  <w:pPr>
                    <w:autoSpaceDE w:val="0"/>
                    <w:autoSpaceDN w:val="0"/>
                    <w:adjustRightInd w:val="0"/>
                    <w:snapToGrid w:val="0"/>
                    <w:jc w:val="center"/>
                    <w:rPr>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COD</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450 </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0.8505</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400 </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0.7560</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500 </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SS</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400 </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0.7560</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350 </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0.6615</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400 </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氨氮</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35 </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0.0662</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35 </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0.0662</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45 </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总氮</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40 </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0.0756</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40 </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0.0756</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70 </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总磷</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5 </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0.0095</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5 </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0.0095</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8 </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7" w:type="pct"/>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rFonts w:hint="eastAsia"/>
                      <w:color w:val="auto"/>
                      <w:szCs w:val="21"/>
                    </w:rPr>
                    <w:t>2</w:t>
                  </w:r>
                </w:p>
              </w:tc>
              <w:tc>
                <w:tcPr>
                  <w:tcW w:w="277" w:type="pct"/>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反冲洗废水</w:t>
                  </w:r>
                </w:p>
              </w:tc>
              <w:tc>
                <w:tcPr>
                  <w:tcW w:w="321" w:type="pct"/>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rFonts w:hint="eastAsia"/>
                      <w:color w:val="auto"/>
                      <w:szCs w:val="21"/>
                    </w:rPr>
                    <w:t>2</w:t>
                  </w:r>
                </w:p>
              </w:tc>
              <w:tc>
                <w:tcPr>
                  <w:tcW w:w="333" w:type="pc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COD</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100</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szCs w:val="21"/>
                    </w:rPr>
                    <w:t>0.0002</w:t>
                  </w:r>
                </w:p>
              </w:tc>
              <w:tc>
                <w:tcPr>
                  <w:tcW w:w="473" w:type="pct"/>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w:t>
                  </w:r>
                </w:p>
              </w:tc>
              <w:tc>
                <w:tcPr>
                  <w:tcW w:w="497" w:type="pct"/>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rFonts w:hint="eastAsia"/>
                      <w:color w:val="auto"/>
                      <w:szCs w:val="21"/>
                    </w:rPr>
                    <w:t>2</w:t>
                  </w:r>
                </w:p>
              </w:tc>
              <w:tc>
                <w:tcPr>
                  <w:tcW w:w="462" w:type="pct"/>
                  <w:tcBorders>
                    <w:tl2br w:val="nil"/>
                    <w:tr2bl w:val="nil"/>
                  </w:tcBorders>
                  <w:tcMar>
                    <w:top w:w="0" w:type="dxa"/>
                    <w:left w:w="28" w:type="dxa"/>
                    <w:bottom w:w="0" w:type="dxa"/>
                    <w:right w:w="28" w:type="dxa"/>
                  </w:tcMar>
                  <w:vAlign w:val="center"/>
                </w:tcPr>
                <w:p>
                  <w:pPr>
                    <w:widowControl/>
                    <w:jc w:val="center"/>
                    <w:textAlignment w:val="center"/>
                    <w:rPr>
                      <w:color w:val="auto"/>
                      <w:kern w:val="0"/>
                      <w:szCs w:val="21"/>
                      <w:lang w:bidi="ar"/>
                    </w:rPr>
                  </w:pPr>
                  <w:r>
                    <w:rPr>
                      <w:color w:val="auto"/>
                      <w:kern w:val="0"/>
                      <w:szCs w:val="21"/>
                      <w:lang w:bidi="ar"/>
                    </w:rPr>
                    <w:t>100</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color w:val="auto"/>
                      <w:kern w:val="0"/>
                      <w:szCs w:val="21"/>
                      <w:lang w:bidi="ar"/>
                    </w:rPr>
                  </w:pPr>
                  <w:r>
                    <w:rPr>
                      <w:color w:val="auto"/>
                      <w:kern w:val="0"/>
                      <w:szCs w:val="21"/>
                      <w:lang w:bidi="ar"/>
                    </w:rPr>
                    <w:t>0.0002</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500 </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SS</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150</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szCs w:val="21"/>
                    </w:rPr>
                    <w:t>0.0003</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color w:val="auto"/>
                      <w:kern w:val="0"/>
                      <w:szCs w:val="21"/>
                      <w:lang w:bidi="ar"/>
                    </w:rPr>
                  </w:pPr>
                  <w:r>
                    <w:rPr>
                      <w:color w:val="auto"/>
                      <w:kern w:val="0"/>
                      <w:szCs w:val="21"/>
                      <w:lang w:bidi="ar"/>
                    </w:rPr>
                    <w:t>150</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color w:val="auto"/>
                      <w:kern w:val="0"/>
                      <w:szCs w:val="21"/>
                      <w:lang w:bidi="ar"/>
                    </w:rPr>
                  </w:pPr>
                  <w:r>
                    <w:rPr>
                      <w:color w:val="auto"/>
                      <w:kern w:val="0"/>
                      <w:szCs w:val="21"/>
                      <w:lang w:bidi="ar"/>
                    </w:rPr>
                    <w:t>0.0003</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400 </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7" w:type="pct"/>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rFonts w:hint="eastAsia"/>
                      <w:color w:val="auto"/>
                      <w:szCs w:val="21"/>
                    </w:rPr>
                    <w:t>3</w:t>
                  </w:r>
                </w:p>
              </w:tc>
              <w:tc>
                <w:tcPr>
                  <w:tcW w:w="277" w:type="pct"/>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纯水制备浓水</w:t>
                  </w:r>
                </w:p>
              </w:tc>
              <w:tc>
                <w:tcPr>
                  <w:tcW w:w="321" w:type="pct"/>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rFonts w:hint="eastAsia"/>
                      <w:color w:val="auto"/>
                      <w:szCs w:val="21"/>
                    </w:rPr>
                    <w:t>544.3</w:t>
                  </w:r>
                </w:p>
              </w:tc>
              <w:tc>
                <w:tcPr>
                  <w:tcW w:w="333" w:type="pc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COD</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100</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0.0544</w:t>
                  </w:r>
                </w:p>
              </w:tc>
              <w:tc>
                <w:tcPr>
                  <w:tcW w:w="473" w:type="pct"/>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w:t>
                  </w:r>
                </w:p>
              </w:tc>
              <w:tc>
                <w:tcPr>
                  <w:tcW w:w="497" w:type="pct"/>
                  <w:vMerge w:val="restart"/>
                  <w:tcBorders>
                    <w:tl2br w:val="nil"/>
                    <w:tr2bl w:val="nil"/>
                  </w:tcBorders>
                  <w:tcMar>
                    <w:top w:w="0" w:type="dxa"/>
                    <w:left w:w="28" w:type="dxa"/>
                    <w:bottom w:w="0" w:type="dxa"/>
                    <w:right w:w="28" w:type="dxa"/>
                  </w:tcMar>
                  <w:vAlign w:val="center"/>
                </w:tcPr>
                <w:p>
                  <w:pPr>
                    <w:adjustRightInd w:val="0"/>
                    <w:snapToGrid w:val="0"/>
                    <w:jc w:val="center"/>
                    <w:rPr>
                      <w:rFonts w:hint="default"/>
                      <w:color w:val="auto"/>
                      <w:szCs w:val="21"/>
                      <w:lang w:val="en-US"/>
                    </w:rPr>
                  </w:pPr>
                  <w:r>
                    <w:rPr>
                      <w:rFonts w:hint="eastAsia"/>
                      <w:color w:val="auto"/>
                      <w:szCs w:val="21"/>
                      <w:lang w:val="en-US" w:eastAsia="zh-CN"/>
                    </w:rPr>
                    <w:t>544.3</w:t>
                  </w:r>
                </w:p>
              </w:tc>
              <w:tc>
                <w:tcPr>
                  <w:tcW w:w="462" w:type="pct"/>
                  <w:tcBorders>
                    <w:tl2br w:val="nil"/>
                    <w:tr2bl w:val="nil"/>
                  </w:tcBorders>
                  <w:tcMar>
                    <w:top w:w="0" w:type="dxa"/>
                    <w:left w:w="28" w:type="dxa"/>
                    <w:bottom w:w="0" w:type="dxa"/>
                    <w:right w:w="28" w:type="dxa"/>
                  </w:tcMar>
                  <w:vAlign w:val="center"/>
                </w:tcPr>
                <w:p>
                  <w:pPr>
                    <w:widowControl/>
                    <w:jc w:val="center"/>
                    <w:textAlignment w:val="center"/>
                    <w:rPr>
                      <w:color w:val="auto"/>
                      <w:kern w:val="0"/>
                      <w:szCs w:val="21"/>
                      <w:lang w:bidi="ar"/>
                    </w:rPr>
                  </w:pPr>
                  <w:r>
                    <w:rPr>
                      <w:rFonts w:hint="eastAsia"/>
                      <w:color w:val="auto"/>
                      <w:kern w:val="0"/>
                      <w:szCs w:val="21"/>
                      <w:lang w:bidi="ar"/>
                    </w:rPr>
                    <w:t>100</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rFonts w:hint="default" w:eastAsia="宋体"/>
                      <w:color w:val="auto"/>
                      <w:kern w:val="0"/>
                      <w:szCs w:val="21"/>
                      <w:lang w:val="en-US" w:eastAsia="zh-CN" w:bidi="ar"/>
                    </w:rPr>
                  </w:pPr>
                  <w:r>
                    <w:rPr>
                      <w:color w:val="auto"/>
                      <w:kern w:val="0"/>
                      <w:szCs w:val="21"/>
                      <w:lang w:bidi="ar"/>
                    </w:rPr>
                    <w:t>0.0</w:t>
                  </w:r>
                  <w:r>
                    <w:rPr>
                      <w:rFonts w:hint="eastAsia"/>
                      <w:color w:val="auto"/>
                      <w:kern w:val="0"/>
                      <w:szCs w:val="21"/>
                      <w:lang w:val="en-US" w:eastAsia="zh-CN" w:bidi="ar"/>
                    </w:rPr>
                    <w:t>544</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500 </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SS</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150</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0.0816</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color w:val="auto"/>
                      <w:kern w:val="0"/>
                      <w:szCs w:val="21"/>
                      <w:lang w:bidi="ar"/>
                    </w:rPr>
                  </w:pPr>
                  <w:r>
                    <w:rPr>
                      <w:rFonts w:hint="eastAsia"/>
                      <w:color w:val="auto"/>
                      <w:kern w:val="0"/>
                      <w:szCs w:val="21"/>
                      <w:lang w:bidi="ar"/>
                    </w:rPr>
                    <w:t>150</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rFonts w:hint="default" w:eastAsia="宋体"/>
                      <w:color w:val="auto"/>
                      <w:kern w:val="0"/>
                      <w:szCs w:val="21"/>
                      <w:lang w:val="en-US" w:eastAsia="zh-CN" w:bidi="ar"/>
                    </w:rPr>
                  </w:pPr>
                  <w:r>
                    <w:rPr>
                      <w:color w:val="auto"/>
                      <w:kern w:val="0"/>
                      <w:szCs w:val="21"/>
                      <w:lang w:bidi="ar"/>
                    </w:rPr>
                    <w:t>0.0</w:t>
                  </w:r>
                  <w:r>
                    <w:rPr>
                      <w:rFonts w:hint="eastAsia"/>
                      <w:color w:val="auto"/>
                      <w:kern w:val="0"/>
                      <w:szCs w:val="21"/>
                      <w:lang w:val="en-US" w:eastAsia="zh-CN" w:bidi="ar"/>
                    </w:rPr>
                    <w:t>816</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color w:val="auto"/>
                      <w:szCs w:val="21"/>
                    </w:rPr>
                  </w:pPr>
                  <w:r>
                    <w:rPr>
                      <w:color w:val="auto"/>
                      <w:kern w:val="0"/>
                      <w:szCs w:val="21"/>
                      <w:lang w:bidi="ar"/>
                    </w:rPr>
                    <w:t xml:space="preserve">400 </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73" w:author="Sunny" w:date="2022-12-29T13:04:00Z"/>
              </w:trPr>
              <w:tc>
                <w:tcPr>
                  <w:tcW w:w="277" w:type="pct"/>
                  <w:vMerge w:val="restart"/>
                  <w:tcBorders>
                    <w:tl2br w:val="nil"/>
                    <w:tr2bl w:val="nil"/>
                  </w:tcBorders>
                  <w:tcMar>
                    <w:top w:w="0" w:type="dxa"/>
                    <w:left w:w="28" w:type="dxa"/>
                    <w:bottom w:w="0" w:type="dxa"/>
                    <w:right w:w="28" w:type="dxa"/>
                  </w:tcMar>
                  <w:vAlign w:val="center"/>
                </w:tcPr>
                <w:p>
                  <w:pPr>
                    <w:adjustRightInd w:val="0"/>
                    <w:snapToGrid w:val="0"/>
                    <w:jc w:val="center"/>
                    <w:rPr>
                      <w:ins w:id="674" w:author="Sunny" w:date="2022-12-29T13:04:00Z"/>
                      <w:color w:val="auto"/>
                      <w:szCs w:val="21"/>
                    </w:rPr>
                  </w:pPr>
                  <w:r>
                    <w:rPr>
                      <w:rFonts w:hint="eastAsia"/>
                      <w:color w:val="auto"/>
                      <w:szCs w:val="21"/>
                    </w:rPr>
                    <w:t>4</w:t>
                  </w:r>
                </w:p>
              </w:tc>
              <w:tc>
                <w:tcPr>
                  <w:tcW w:w="277" w:type="pct"/>
                  <w:vMerge w:val="restart"/>
                  <w:tcBorders>
                    <w:tl2br w:val="nil"/>
                    <w:tr2bl w:val="nil"/>
                  </w:tcBorders>
                  <w:tcMar>
                    <w:top w:w="0" w:type="dxa"/>
                    <w:left w:w="28" w:type="dxa"/>
                    <w:bottom w:w="0" w:type="dxa"/>
                    <w:right w:w="28" w:type="dxa"/>
                  </w:tcMar>
                  <w:vAlign w:val="center"/>
                </w:tcPr>
                <w:p>
                  <w:pPr>
                    <w:adjustRightInd w:val="0"/>
                    <w:snapToGrid w:val="0"/>
                    <w:jc w:val="center"/>
                    <w:rPr>
                      <w:ins w:id="675" w:author="Sunny" w:date="2022-12-29T13:04:00Z"/>
                      <w:color w:val="auto"/>
                      <w:szCs w:val="21"/>
                    </w:rPr>
                  </w:pPr>
                  <w:ins w:id="676" w:author="Sunny" w:date="2022-12-29T13:04:00Z">
                    <w:r>
                      <w:rPr>
                        <w:rFonts w:hint="eastAsia"/>
                        <w:color w:val="auto"/>
                        <w:szCs w:val="21"/>
                      </w:rPr>
                      <w:t>预脱脂清槽</w:t>
                    </w:r>
                  </w:ins>
                  <w:ins w:id="677" w:author="Sunny" w:date="2022-12-29T13:05:00Z">
                    <w:r>
                      <w:rPr>
                        <w:rFonts w:hint="eastAsia"/>
                        <w:color w:val="auto"/>
                        <w:szCs w:val="21"/>
                      </w:rPr>
                      <w:t>废水</w:t>
                    </w:r>
                  </w:ins>
                </w:p>
              </w:tc>
              <w:tc>
                <w:tcPr>
                  <w:tcW w:w="321" w:type="pct"/>
                  <w:vMerge w:val="restart"/>
                  <w:tcBorders>
                    <w:tl2br w:val="nil"/>
                    <w:tr2bl w:val="nil"/>
                  </w:tcBorders>
                  <w:tcMar>
                    <w:top w:w="0" w:type="dxa"/>
                    <w:left w:w="28" w:type="dxa"/>
                    <w:bottom w:w="0" w:type="dxa"/>
                    <w:right w:w="28" w:type="dxa"/>
                  </w:tcMar>
                  <w:vAlign w:val="center"/>
                </w:tcPr>
                <w:p>
                  <w:pPr>
                    <w:adjustRightInd w:val="0"/>
                    <w:snapToGrid w:val="0"/>
                    <w:jc w:val="center"/>
                    <w:rPr>
                      <w:ins w:id="678" w:author="Sunny" w:date="2022-12-29T13:04:00Z"/>
                      <w:rFonts w:hint="default" w:eastAsia="宋体"/>
                      <w:color w:val="auto"/>
                      <w:szCs w:val="21"/>
                      <w:lang w:val="en-US" w:eastAsia="zh-CN"/>
                    </w:rPr>
                  </w:pPr>
                  <w:r>
                    <w:rPr>
                      <w:rFonts w:hint="eastAsia"/>
                      <w:color w:val="auto"/>
                      <w:szCs w:val="21"/>
                      <w:lang w:val="en-US" w:eastAsia="zh-CN"/>
                    </w:rPr>
                    <w:t>50.6</w:t>
                  </w:r>
                </w:p>
              </w:tc>
              <w:tc>
                <w:tcPr>
                  <w:tcW w:w="333" w:type="pct"/>
                  <w:tcBorders>
                    <w:tl2br w:val="nil"/>
                    <w:tr2bl w:val="nil"/>
                  </w:tcBorders>
                  <w:tcMar>
                    <w:top w:w="0" w:type="dxa"/>
                    <w:left w:w="28" w:type="dxa"/>
                    <w:bottom w:w="0" w:type="dxa"/>
                    <w:right w:w="28" w:type="dxa"/>
                  </w:tcMar>
                  <w:vAlign w:val="center"/>
                </w:tcPr>
                <w:p>
                  <w:pPr>
                    <w:kinsoku w:val="0"/>
                    <w:overflowPunct w:val="0"/>
                    <w:adjustRightInd w:val="0"/>
                    <w:snapToGrid w:val="0"/>
                    <w:jc w:val="center"/>
                    <w:textAlignment w:val="center"/>
                    <w:rPr>
                      <w:ins w:id="679" w:author="Sunny" w:date="2022-12-29T13:04:00Z"/>
                      <w:color w:val="auto"/>
                      <w:szCs w:val="21"/>
                    </w:rPr>
                  </w:pPr>
                  <w:r>
                    <w:rPr>
                      <w:color w:val="auto"/>
                      <w:kern w:val="0"/>
                      <w:szCs w:val="21"/>
                      <w:lang w:bidi="ar"/>
                    </w:rPr>
                    <w:t>pH</w:t>
                  </w:r>
                </w:p>
              </w:tc>
              <w:tc>
                <w:tcPr>
                  <w:tcW w:w="785" w:type="pct"/>
                  <w:gridSpan w:val="2"/>
                  <w:tcBorders>
                    <w:tl2br w:val="nil"/>
                    <w:tr2bl w:val="nil"/>
                  </w:tcBorders>
                  <w:tcMar>
                    <w:top w:w="0" w:type="dxa"/>
                    <w:left w:w="28" w:type="dxa"/>
                    <w:bottom w:w="0" w:type="dxa"/>
                    <w:right w:w="28" w:type="dxa"/>
                  </w:tcMar>
                  <w:vAlign w:val="center"/>
                </w:tcPr>
                <w:p>
                  <w:pPr>
                    <w:widowControl/>
                    <w:jc w:val="center"/>
                    <w:textAlignment w:val="center"/>
                    <w:rPr>
                      <w:ins w:id="680" w:author="Sunny" w:date="2022-12-29T13:04:00Z"/>
                      <w:color w:val="auto"/>
                      <w:kern w:val="0"/>
                      <w:szCs w:val="21"/>
                      <w:lang w:bidi="ar"/>
                    </w:rPr>
                  </w:pPr>
                  <w:r>
                    <w:rPr>
                      <w:rFonts w:hint="eastAsia" w:ascii="宋体" w:hAnsi="宋体" w:cs="宋体"/>
                      <w:color w:val="auto"/>
                      <w:szCs w:val="21"/>
                    </w:rPr>
                    <w:t>≧</w:t>
                  </w:r>
                  <w:r>
                    <w:rPr>
                      <w:rFonts w:hint="eastAsia"/>
                      <w:color w:val="auto"/>
                      <w:szCs w:val="21"/>
                    </w:rPr>
                    <w:t>10</w:t>
                  </w:r>
                </w:p>
              </w:tc>
              <w:tc>
                <w:tcPr>
                  <w:tcW w:w="473" w:type="pct"/>
                  <w:vMerge w:val="restart"/>
                  <w:tcBorders>
                    <w:tl2br w:val="nil"/>
                    <w:tr2bl w:val="nil"/>
                  </w:tcBorders>
                  <w:tcMar>
                    <w:top w:w="0" w:type="dxa"/>
                    <w:left w:w="28" w:type="dxa"/>
                    <w:bottom w:w="0" w:type="dxa"/>
                    <w:right w:w="28" w:type="dxa"/>
                  </w:tcMar>
                  <w:vAlign w:val="center"/>
                </w:tcPr>
                <w:p>
                  <w:pPr>
                    <w:adjustRightInd w:val="0"/>
                    <w:snapToGrid w:val="0"/>
                    <w:jc w:val="center"/>
                    <w:rPr>
                      <w:ins w:id="681" w:author="Sunny" w:date="2022-12-29T13:04:00Z"/>
                      <w:color w:val="auto"/>
                      <w:szCs w:val="21"/>
                    </w:rPr>
                  </w:pPr>
                  <w:ins w:id="682" w:author="Sunny" w:date="2022-12-30T10:09:00Z">
                    <w:r>
                      <w:rPr>
                        <w:rFonts w:hint="eastAsia"/>
                        <w:color w:val="auto"/>
                        <w:szCs w:val="21"/>
                      </w:rPr>
                      <w:t>隔油+混凝气浮+砂滤+二级反渗透</w:t>
                    </w:r>
                  </w:ins>
                  <w:r>
                    <w:rPr>
                      <w:rFonts w:hint="eastAsia"/>
                      <w:color w:val="auto"/>
                      <w:szCs w:val="21"/>
                    </w:rPr>
                    <w:t>+蒸发浓缩</w:t>
                  </w:r>
                </w:p>
              </w:tc>
              <w:tc>
                <w:tcPr>
                  <w:tcW w:w="497" w:type="pct"/>
                  <w:vMerge w:val="restart"/>
                  <w:tcBorders>
                    <w:tl2br w:val="nil"/>
                    <w:tr2bl w:val="nil"/>
                  </w:tcBorders>
                  <w:tcMar>
                    <w:top w:w="0" w:type="dxa"/>
                    <w:left w:w="28" w:type="dxa"/>
                    <w:bottom w:w="0" w:type="dxa"/>
                    <w:right w:w="28" w:type="dxa"/>
                  </w:tcMar>
                  <w:vAlign w:val="center"/>
                </w:tcPr>
                <w:p>
                  <w:pPr>
                    <w:adjustRightInd w:val="0"/>
                    <w:snapToGrid w:val="0"/>
                    <w:jc w:val="center"/>
                    <w:rPr>
                      <w:ins w:id="683" w:author="Sunny" w:date="2022-12-29T13:04:00Z"/>
                      <w:color w:val="auto"/>
                      <w:szCs w:val="21"/>
                    </w:rPr>
                  </w:pPr>
                  <w:r>
                    <w:rPr>
                      <w:color w:val="auto"/>
                      <w:szCs w:val="21"/>
                    </w:rPr>
                    <w:t>—</w:t>
                  </w:r>
                </w:p>
              </w:tc>
              <w:tc>
                <w:tcPr>
                  <w:tcW w:w="894" w:type="pct"/>
                  <w:gridSpan w:val="2"/>
                  <w:tcBorders>
                    <w:tl2br w:val="nil"/>
                    <w:tr2bl w:val="nil"/>
                  </w:tcBorders>
                  <w:tcMar>
                    <w:top w:w="0" w:type="dxa"/>
                    <w:left w:w="28" w:type="dxa"/>
                    <w:bottom w:w="0" w:type="dxa"/>
                    <w:right w:w="28" w:type="dxa"/>
                  </w:tcMar>
                  <w:vAlign w:val="center"/>
                </w:tcPr>
                <w:p>
                  <w:pPr>
                    <w:widowControl/>
                    <w:jc w:val="center"/>
                    <w:textAlignment w:val="center"/>
                    <w:rPr>
                      <w:ins w:id="684" w:author="Sunny" w:date="2022-12-29T13:04: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685" w:author="Sunny" w:date="2022-12-29T13:04:00Z"/>
                      <w:color w:val="auto"/>
                      <w:kern w:val="0"/>
                      <w:szCs w:val="21"/>
                      <w:lang w:bidi="ar"/>
                    </w:rPr>
                  </w:pPr>
                  <w:r>
                    <w:rPr>
                      <w:color w:val="auto"/>
                      <w:szCs w:val="21"/>
                    </w:rPr>
                    <w:t>—</w:t>
                  </w:r>
                </w:p>
              </w:tc>
              <w:tc>
                <w:tcPr>
                  <w:tcW w:w="222" w:type="pct"/>
                  <w:vMerge w:val="restart"/>
                  <w:tcBorders>
                    <w:tl2br w:val="nil"/>
                    <w:tr2bl w:val="nil"/>
                  </w:tcBorders>
                  <w:tcMar>
                    <w:top w:w="0" w:type="dxa"/>
                    <w:left w:w="28" w:type="dxa"/>
                    <w:bottom w:w="0" w:type="dxa"/>
                    <w:right w:w="28" w:type="dxa"/>
                  </w:tcMar>
                  <w:vAlign w:val="center"/>
                </w:tcPr>
                <w:p>
                  <w:pPr>
                    <w:adjustRightInd w:val="0"/>
                    <w:snapToGrid w:val="0"/>
                    <w:jc w:val="center"/>
                    <w:rPr>
                      <w:ins w:id="686" w:author="Sunny" w:date="2022-12-29T13:04:00Z"/>
                      <w:color w:val="auto"/>
                      <w:szCs w:val="21"/>
                    </w:rPr>
                  </w:pPr>
                  <w:ins w:id="687" w:author="Sunny" w:date="2022-12-30T10:04:00Z">
                    <w:r>
                      <w:rPr>
                        <w:rFonts w:hint="eastAsia"/>
                        <w:color w:val="auto"/>
                        <w:szCs w:val="21"/>
                      </w:rPr>
                      <w:t>不外排</w:t>
                    </w:r>
                  </w:ins>
                </w:p>
              </w:tc>
              <w:tc>
                <w:tcPr>
                  <w:tcW w:w="464" w:type="pct"/>
                  <w:vMerge w:val="restart"/>
                  <w:tcBorders>
                    <w:tl2br w:val="nil"/>
                    <w:tr2bl w:val="nil"/>
                  </w:tcBorders>
                  <w:tcMar>
                    <w:top w:w="0" w:type="dxa"/>
                    <w:left w:w="28" w:type="dxa"/>
                    <w:bottom w:w="0" w:type="dxa"/>
                    <w:right w:w="28" w:type="dxa"/>
                  </w:tcMar>
                  <w:vAlign w:val="center"/>
                </w:tcPr>
                <w:p>
                  <w:pPr>
                    <w:adjustRightInd w:val="0"/>
                    <w:snapToGrid w:val="0"/>
                    <w:jc w:val="center"/>
                    <w:rPr>
                      <w:ins w:id="688" w:author="Sunny" w:date="2022-12-29T13:04:00Z"/>
                      <w:color w:val="auto"/>
                      <w:szCs w:val="21"/>
                    </w:rPr>
                  </w:pPr>
                  <w:ins w:id="689" w:author="Sunny" w:date="2022-12-30T10:09:00Z">
                    <w:r>
                      <w:rPr>
                        <w:rFonts w:hint="eastAsia"/>
                        <w:color w:val="auto"/>
                        <w:szCs w:val="21"/>
                      </w:rPr>
                      <w:t>回用于生产</w:t>
                    </w:r>
                  </w:ins>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690" w:author="Sunny" w:date="2022-12-29T14:05:00Z"/>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691" w:author="Sunny" w:date="2022-12-29T14:05:00Z"/>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692" w:author="Sunny" w:date="2022-12-29T14:05:00Z"/>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ins w:id="693" w:author="Sunny" w:date="2022-12-29T14:05:00Z"/>
                      <w:color w:val="auto"/>
                      <w:szCs w:val="21"/>
                    </w:rPr>
                  </w:pPr>
                </w:p>
              </w:tc>
              <w:tc>
                <w:tcPr>
                  <w:tcW w:w="333" w:type="pct"/>
                  <w:tcBorders>
                    <w:tl2br w:val="nil"/>
                    <w:tr2bl w:val="nil"/>
                  </w:tcBorders>
                  <w:tcMar>
                    <w:top w:w="0" w:type="dxa"/>
                    <w:left w:w="28" w:type="dxa"/>
                    <w:bottom w:w="0" w:type="dxa"/>
                    <w:right w:w="28" w:type="dxa"/>
                  </w:tcMar>
                  <w:vAlign w:val="center"/>
                </w:tcPr>
                <w:p>
                  <w:pPr>
                    <w:kinsoku w:val="0"/>
                    <w:overflowPunct w:val="0"/>
                    <w:adjustRightInd w:val="0"/>
                    <w:snapToGrid w:val="0"/>
                    <w:jc w:val="center"/>
                    <w:textAlignment w:val="center"/>
                    <w:rPr>
                      <w:ins w:id="694" w:author="Sunny" w:date="2022-12-29T14:05:00Z"/>
                      <w:color w:val="auto"/>
                      <w:szCs w:val="21"/>
                    </w:rPr>
                  </w:pPr>
                  <w:r>
                    <w:rPr>
                      <w:color w:val="auto"/>
                      <w:kern w:val="0"/>
                      <w:szCs w:val="21"/>
                      <w:lang w:bidi="ar"/>
                    </w:rPr>
                    <w:t>COD</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ins w:id="695" w:author="Sunny" w:date="2022-12-29T14:05:00Z"/>
                      <w:color w:val="auto"/>
                      <w:kern w:val="0"/>
                      <w:szCs w:val="21"/>
                      <w:lang w:bidi="ar"/>
                    </w:rPr>
                  </w:pPr>
                  <w:r>
                    <w:rPr>
                      <w:color w:val="auto"/>
                      <w:szCs w:val="21"/>
                    </w:rPr>
                    <w:t>800</w:t>
                  </w:r>
                </w:p>
              </w:tc>
              <w:tc>
                <w:tcPr>
                  <w:tcW w:w="1155"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ins w:id="696" w:author="Sunny" w:date="2022-12-29T14:05:00Z"/>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0.0405</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697" w:author="Sunny" w:date="2022-12-29T14:05:00Z"/>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ins w:id="698" w:author="Sunny" w:date="2022-12-29T14:05:00Z"/>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ins w:id="699" w:author="Sunny" w:date="2022-12-29T14:05:00Z"/>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ins w:id="700" w:author="Sunny" w:date="2022-12-29T14:05: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701" w:author="Sunny" w:date="2022-12-29T14:05: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702" w:author="Sunny" w:date="2022-12-29T14:05: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703" w:author="Sunny" w:date="2022-12-29T14:05: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704" w:author="Sunny" w:date="2022-12-29T14:05:00Z"/>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05" w:author="Sunny" w:date="2022-12-29T14:05:00Z"/>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06" w:author="Sunny" w:date="2022-12-29T14:05:00Z"/>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ins w:id="707" w:author="Sunny" w:date="2022-12-29T14:05:00Z"/>
                      <w:color w:val="auto"/>
                      <w:szCs w:val="21"/>
                    </w:rPr>
                  </w:pPr>
                </w:p>
              </w:tc>
              <w:tc>
                <w:tcPr>
                  <w:tcW w:w="333" w:type="pct"/>
                  <w:tcBorders>
                    <w:tl2br w:val="nil"/>
                    <w:tr2bl w:val="nil"/>
                  </w:tcBorders>
                  <w:tcMar>
                    <w:top w:w="0" w:type="dxa"/>
                    <w:left w:w="28" w:type="dxa"/>
                    <w:bottom w:w="0" w:type="dxa"/>
                    <w:right w:w="28" w:type="dxa"/>
                  </w:tcMar>
                  <w:vAlign w:val="center"/>
                </w:tcPr>
                <w:p>
                  <w:pPr>
                    <w:kinsoku w:val="0"/>
                    <w:overflowPunct w:val="0"/>
                    <w:adjustRightInd w:val="0"/>
                    <w:snapToGrid w:val="0"/>
                    <w:jc w:val="center"/>
                    <w:textAlignment w:val="center"/>
                    <w:rPr>
                      <w:ins w:id="708" w:author="Sunny" w:date="2022-12-29T14:05:00Z"/>
                      <w:color w:val="auto"/>
                      <w:szCs w:val="21"/>
                    </w:rPr>
                  </w:pPr>
                  <w:r>
                    <w:rPr>
                      <w:color w:val="auto"/>
                      <w:kern w:val="0"/>
                      <w:szCs w:val="21"/>
                      <w:lang w:bidi="ar"/>
                    </w:rPr>
                    <w:t>SS</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ins w:id="709" w:author="Sunny" w:date="2022-12-29T14:05:00Z"/>
                      <w:color w:val="auto"/>
                      <w:kern w:val="0"/>
                      <w:szCs w:val="21"/>
                      <w:lang w:bidi="ar"/>
                    </w:rPr>
                  </w:pPr>
                  <w:r>
                    <w:rPr>
                      <w:color w:val="auto"/>
                      <w:szCs w:val="21"/>
                    </w:rPr>
                    <w:t>300</w:t>
                  </w:r>
                </w:p>
              </w:tc>
              <w:tc>
                <w:tcPr>
                  <w:tcW w:w="1155"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ins w:id="710" w:author="Sunny" w:date="2022-12-29T14:05:00Z"/>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0.0152</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711" w:author="Sunny" w:date="2022-12-29T14:05:00Z"/>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12" w:author="Sunny" w:date="2022-12-29T14:05:00Z"/>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ins w:id="713" w:author="Sunny" w:date="2022-12-29T14:05:00Z"/>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ins w:id="714" w:author="Sunny" w:date="2022-12-29T14:05: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715" w:author="Sunny" w:date="2022-12-29T14:05: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716" w:author="Sunny" w:date="2022-12-29T14:05: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717" w:author="Sunny" w:date="2022-12-29T14:05: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718" w:author="Sunny" w:date="2022-12-29T14:05:00Z"/>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19" w:author="Sunny" w:date="2022-12-29T14:05:00Z"/>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20" w:author="Sunny" w:date="2022-12-29T14:05:00Z"/>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ins w:id="721" w:author="Sunny" w:date="2022-12-29T14:05:00Z"/>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ins w:id="722" w:author="Sunny" w:date="2022-12-29T14:05:00Z"/>
                      <w:color w:val="auto"/>
                      <w:szCs w:val="21"/>
                    </w:rPr>
                  </w:pPr>
                  <w:r>
                    <w:rPr>
                      <w:color w:val="auto"/>
                      <w:kern w:val="0"/>
                      <w:szCs w:val="21"/>
                      <w:lang w:bidi="ar"/>
                    </w:rPr>
                    <w:t>石油类</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ins w:id="723" w:author="Sunny" w:date="2022-12-29T14:05:00Z"/>
                      <w:color w:val="auto"/>
                      <w:kern w:val="0"/>
                      <w:szCs w:val="21"/>
                      <w:lang w:bidi="ar"/>
                    </w:rPr>
                  </w:pPr>
                  <w:r>
                    <w:rPr>
                      <w:color w:val="auto"/>
                      <w:szCs w:val="21"/>
                    </w:rPr>
                    <w:t>150</w:t>
                  </w:r>
                </w:p>
              </w:tc>
              <w:tc>
                <w:tcPr>
                  <w:tcW w:w="1155"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ins w:id="724" w:author="Sunny" w:date="2022-12-29T14:05:00Z"/>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0.0076</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725" w:author="Sunny" w:date="2022-12-29T14:05:00Z"/>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26" w:author="Sunny" w:date="2022-12-29T14:05:00Z"/>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ins w:id="727" w:author="Sunny" w:date="2022-12-29T14:05:00Z"/>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ins w:id="728" w:author="Sunny" w:date="2022-12-29T14:05: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729" w:author="Sunny" w:date="2022-12-29T14:05: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730" w:author="Sunny" w:date="2022-12-29T14:05: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731" w:author="Sunny" w:date="2022-12-29T14:05: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732" w:author="Sunny" w:date="2022-12-30T09:50:00Z"/>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33" w:author="Sunny" w:date="2022-12-30T09:50:00Z"/>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34" w:author="Sunny" w:date="2022-12-30T09:50:00Z"/>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ins w:id="735" w:author="Sunny" w:date="2022-12-30T09:50:00Z"/>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ins w:id="736" w:author="Sunny" w:date="2022-12-30T09:50:00Z"/>
                      <w:color w:val="auto"/>
                      <w:kern w:val="0"/>
                      <w:szCs w:val="21"/>
                      <w:lang w:bidi="ar"/>
                    </w:rPr>
                  </w:pPr>
                  <w:r>
                    <w:rPr>
                      <w:rFonts w:hint="eastAsia"/>
                      <w:color w:val="auto"/>
                      <w:kern w:val="0"/>
                      <w:szCs w:val="21"/>
                      <w:lang w:bidi="ar"/>
                    </w:rPr>
                    <w:t>LAS</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ins w:id="737" w:author="Sunny" w:date="2022-12-30T09:50:00Z"/>
                      <w:color w:val="auto"/>
                      <w:kern w:val="0"/>
                      <w:szCs w:val="21"/>
                      <w:lang w:bidi="ar"/>
                    </w:rPr>
                  </w:pPr>
                  <w:r>
                    <w:rPr>
                      <w:color w:val="auto"/>
                      <w:szCs w:val="21"/>
                    </w:rPr>
                    <w:t>100</w:t>
                  </w:r>
                </w:p>
              </w:tc>
              <w:tc>
                <w:tcPr>
                  <w:tcW w:w="1155"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ins w:id="738" w:author="Sunny" w:date="2022-12-30T09:50:00Z"/>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0.0051</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739" w:author="Sunny" w:date="2022-12-30T09:50:00Z"/>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40" w:author="Sunny" w:date="2022-12-30T09:50:00Z"/>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ins w:id="741" w:author="Sunny" w:date="2022-12-30T09:50:00Z"/>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ins w:id="742" w:author="Sunny" w:date="2022-12-30T09:50: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743" w:author="Sunny" w:date="2022-12-30T09:50: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744" w:author="Sunny" w:date="2022-12-30T09:50: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745" w:author="Sunny" w:date="2022-12-30T09:50: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746" w:author="Sunny" w:date="2022-12-29T13:04:00Z"/>
              </w:trPr>
              <w:tc>
                <w:tcPr>
                  <w:tcW w:w="277" w:type="pct"/>
                  <w:vMerge w:val="restart"/>
                  <w:tcBorders>
                    <w:tl2br w:val="nil"/>
                    <w:tr2bl w:val="nil"/>
                  </w:tcBorders>
                  <w:tcMar>
                    <w:top w:w="0" w:type="dxa"/>
                    <w:left w:w="28" w:type="dxa"/>
                    <w:bottom w:w="0" w:type="dxa"/>
                    <w:right w:w="28" w:type="dxa"/>
                  </w:tcMar>
                  <w:vAlign w:val="center"/>
                </w:tcPr>
                <w:p>
                  <w:pPr>
                    <w:adjustRightInd w:val="0"/>
                    <w:snapToGrid w:val="0"/>
                    <w:jc w:val="center"/>
                    <w:rPr>
                      <w:ins w:id="747" w:author="Sunny" w:date="2022-12-29T13:04:00Z"/>
                      <w:color w:val="auto"/>
                      <w:szCs w:val="21"/>
                    </w:rPr>
                  </w:pPr>
                  <w:r>
                    <w:rPr>
                      <w:rFonts w:hint="eastAsia"/>
                      <w:color w:val="auto"/>
                      <w:szCs w:val="21"/>
                    </w:rPr>
                    <w:t>5</w:t>
                  </w:r>
                </w:p>
              </w:tc>
              <w:tc>
                <w:tcPr>
                  <w:tcW w:w="277" w:type="pct"/>
                  <w:vMerge w:val="restart"/>
                  <w:tcBorders>
                    <w:tl2br w:val="nil"/>
                    <w:tr2bl w:val="nil"/>
                  </w:tcBorders>
                  <w:tcMar>
                    <w:top w:w="0" w:type="dxa"/>
                    <w:left w:w="28" w:type="dxa"/>
                    <w:bottom w:w="0" w:type="dxa"/>
                    <w:right w:w="28" w:type="dxa"/>
                  </w:tcMar>
                  <w:vAlign w:val="center"/>
                </w:tcPr>
                <w:p>
                  <w:pPr>
                    <w:adjustRightInd w:val="0"/>
                    <w:snapToGrid w:val="0"/>
                    <w:jc w:val="center"/>
                    <w:rPr>
                      <w:ins w:id="748" w:author="Sunny" w:date="2022-12-29T13:04:00Z"/>
                      <w:color w:val="auto"/>
                      <w:szCs w:val="21"/>
                    </w:rPr>
                  </w:pPr>
                  <w:ins w:id="749" w:author="Sunny" w:date="2022-12-29T13:05:00Z">
                    <w:r>
                      <w:rPr>
                        <w:rFonts w:hint="eastAsia"/>
                        <w:color w:val="auto"/>
                        <w:szCs w:val="21"/>
                      </w:rPr>
                      <w:t>脱脂清槽废水</w:t>
                    </w:r>
                  </w:ins>
                </w:p>
              </w:tc>
              <w:tc>
                <w:tcPr>
                  <w:tcW w:w="321" w:type="pct"/>
                  <w:vMerge w:val="restart"/>
                  <w:tcBorders>
                    <w:tl2br w:val="nil"/>
                    <w:tr2bl w:val="nil"/>
                  </w:tcBorders>
                  <w:tcMar>
                    <w:top w:w="0" w:type="dxa"/>
                    <w:left w:w="28" w:type="dxa"/>
                    <w:bottom w:w="0" w:type="dxa"/>
                    <w:right w:w="28" w:type="dxa"/>
                  </w:tcMar>
                  <w:vAlign w:val="center"/>
                </w:tcPr>
                <w:p>
                  <w:pPr>
                    <w:adjustRightInd w:val="0"/>
                    <w:snapToGrid w:val="0"/>
                    <w:jc w:val="center"/>
                    <w:rPr>
                      <w:ins w:id="750" w:author="Sunny" w:date="2022-12-29T13:04:00Z"/>
                      <w:rFonts w:hint="default" w:eastAsia="宋体"/>
                      <w:color w:val="auto"/>
                      <w:szCs w:val="21"/>
                      <w:lang w:val="en-US" w:eastAsia="zh-CN"/>
                    </w:rPr>
                  </w:pPr>
                  <w:r>
                    <w:rPr>
                      <w:rFonts w:hint="eastAsia"/>
                      <w:color w:val="auto"/>
                      <w:szCs w:val="21"/>
                      <w:lang w:val="en-US" w:eastAsia="zh-CN"/>
                    </w:rPr>
                    <w:t>105.7</w:t>
                  </w:r>
                </w:p>
              </w:tc>
              <w:tc>
                <w:tcPr>
                  <w:tcW w:w="333" w:type="pct"/>
                  <w:tcBorders>
                    <w:tl2br w:val="nil"/>
                    <w:tr2bl w:val="nil"/>
                  </w:tcBorders>
                  <w:tcMar>
                    <w:top w:w="0" w:type="dxa"/>
                    <w:left w:w="28" w:type="dxa"/>
                    <w:bottom w:w="0" w:type="dxa"/>
                    <w:right w:w="28" w:type="dxa"/>
                  </w:tcMar>
                  <w:vAlign w:val="center"/>
                </w:tcPr>
                <w:p>
                  <w:pPr>
                    <w:kinsoku w:val="0"/>
                    <w:overflowPunct w:val="0"/>
                    <w:adjustRightInd w:val="0"/>
                    <w:snapToGrid w:val="0"/>
                    <w:jc w:val="center"/>
                    <w:textAlignment w:val="center"/>
                    <w:rPr>
                      <w:ins w:id="751" w:author="Sunny" w:date="2022-12-29T13:04:00Z"/>
                      <w:color w:val="auto"/>
                      <w:szCs w:val="21"/>
                    </w:rPr>
                  </w:pPr>
                  <w:r>
                    <w:rPr>
                      <w:color w:val="auto"/>
                      <w:kern w:val="0"/>
                      <w:szCs w:val="21"/>
                      <w:lang w:bidi="ar"/>
                    </w:rPr>
                    <w:t>pH</w:t>
                  </w:r>
                </w:p>
              </w:tc>
              <w:tc>
                <w:tcPr>
                  <w:tcW w:w="785" w:type="pct"/>
                  <w:gridSpan w:val="2"/>
                  <w:tcBorders>
                    <w:tl2br w:val="nil"/>
                    <w:tr2bl w:val="nil"/>
                  </w:tcBorders>
                  <w:tcMar>
                    <w:top w:w="0" w:type="dxa"/>
                    <w:left w:w="28" w:type="dxa"/>
                    <w:bottom w:w="0" w:type="dxa"/>
                    <w:right w:w="28" w:type="dxa"/>
                  </w:tcMar>
                  <w:vAlign w:val="center"/>
                </w:tcPr>
                <w:p>
                  <w:pPr>
                    <w:widowControl/>
                    <w:jc w:val="center"/>
                    <w:textAlignment w:val="center"/>
                    <w:rPr>
                      <w:ins w:id="752" w:author="Sunny" w:date="2022-12-29T13:04:00Z"/>
                      <w:color w:val="auto"/>
                      <w:kern w:val="0"/>
                      <w:szCs w:val="21"/>
                      <w:lang w:bidi="ar"/>
                    </w:rPr>
                  </w:pPr>
                  <w:r>
                    <w:rPr>
                      <w:rFonts w:hint="eastAsia" w:ascii="宋体" w:hAnsi="宋体" w:cs="宋体"/>
                      <w:color w:val="auto"/>
                      <w:szCs w:val="21"/>
                    </w:rPr>
                    <w:t>≧</w:t>
                  </w:r>
                  <w:r>
                    <w:rPr>
                      <w:rFonts w:hint="eastAsia"/>
                      <w:color w:val="auto"/>
                      <w:szCs w:val="21"/>
                    </w:rPr>
                    <w:t>10</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753" w:author="Sunny" w:date="2022-12-29T13:04:00Z"/>
                      <w:color w:val="auto"/>
                      <w:szCs w:val="21"/>
                    </w:rPr>
                  </w:pPr>
                </w:p>
              </w:tc>
              <w:tc>
                <w:tcPr>
                  <w:tcW w:w="497" w:type="pct"/>
                  <w:vMerge w:val="restart"/>
                  <w:tcBorders>
                    <w:tl2br w:val="nil"/>
                    <w:tr2bl w:val="nil"/>
                  </w:tcBorders>
                  <w:tcMar>
                    <w:top w:w="0" w:type="dxa"/>
                    <w:left w:w="28" w:type="dxa"/>
                    <w:bottom w:w="0" w:type="dxa"/>
                    <w:right w:w="28" w:type="dxa"/>
                  </w:tcMar>
                  <w:vAlign w:val="center"/>
                </w:tcPr>
                <w:p>
                  <w:pPr>
                    <w:adjustRightInd w:val="0"/>
                    <w:snapToGrid w:val="0"/>
                    <w:jc w:val="center"/>
                    <w:rPr>
                      <w:ins w:id="754" w:author="Sunny" w:date="2022-12-29T13:04:00Z"/>
                      <w:color w:val="auto"/>
                      <w:szCs w:val="21"/>
                    </w:rPr>
                  </w:pPr>
                  <w:r>
                    <w:rPr>
                      <w:color w:val="auto"/>
                      <w:szCs w:val="21"/>
                    </w:rPr>
                    <w:t>—</w:t>
                  </w:r>
                </w:p>
              </w:tc>
              <w:tc>
                <w:tcPr>
                  <w:tcW w:w="894" w:type="pct"/>
                  <w:gridSpan w:val="2"/>
                  <w:tcBorders>
                    <w:tl2br w:val="nil"/>
                    <w:tr2bl w:val="nil"/>
                  </w:tcBorders>
                  <w:tcMar>
                    <w:top w:w="0" w:type="dxa"/>
                    <w:left w:w="28" w:type="dxa"/>
                    <w:bottom w:w="0" w:type="dxa"/>
                    <w:right w:w="28" w:type="dxa"/>
                  </w:tcMar>
                  <w:vAlign w:val="center"/>
                </w:tcPr>
                <w:p>
                  <w:pPr>
                    <w:widowControl/>
                    <w:jc w:val="center"/>
                    <w:textAlignment w:val="center"/>
                    <w:rPr>
                      <w:ins w:id="755" w:author="Sunny" w:date="2022-12-29T13:04: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756" w:author="Sunny" w:date="2022-12-29T13:04: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757" w:author="Sunny" w:date="2022-12-29T13:04: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758" w:author="Sunny" w:date="2022-12-29T13:04: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759" w:author="Sunny" w:date="2022-12-29T14:06:00Z"/>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60" w:author="Sunny" w:date="2022-12-29T14:06:00Z"/>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61" w:author="Sunny" w:date="2022-12-29T14:06:00Z"/>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ins w:id="762" w:author="Sunny" w:date="2022-12-29T14:06:00Z"/>
                      <w:color w:val="auto"/>
                      <w:szCs w:val="21"/>
                    </w:rPr>
                  </w:pPr>
                </w:p>
              </w:tc>
              <w:tc>
                <w:tcPr>
                  <w:tcW w:w="333" w:type="pct"/>
                  <w:tcBorders>
                    <w:tl2br w:val="nil"/>
                    <w:tr2bl w:val="nil"/>
                  </w:tcBorders>
                  <w:tcMar>
                    <w:top w:w="0" w:type="dxa"/>
                    <w:left w:w="28" w:type="dxa"/>
                    <w:bottom w:w="0" w:type="dxa"/>
                    <w:right w:w="28" w:type="dxa"/>
                  </w:tcMar>
                  <w:vAlign w:val="center"/>
                </w:tcPr>
                <w:p>
                  <w:pPr>
                    <w:kinsoku w:val="0"/>
                    <w:overflowPunct w:val="0"/>
                    <w:adjustRightInd w:val="0"/>
                    <w:snapToGrid w:val="0"/>
                    <w:jc w:val="center"/>
                    <w:textAlignment w:val="center"/>
                    <w:rPr>
                      <w:ins w:id="763" w:author="Sunny" w:date="2022-12-29T14:06:00Z"/>
                      <w:color w:val="auto"/>
                      <w:szCs w:val="21"/>
                    </w:rPr>
                  </w:pPr>
                  <w:r>
                    <w:rPr>
                      <w:color w:val="auto"/>
                      <w:kern w:val="0"/>
                      <w:szCs w:val="21"/>
                      <w:lang w:bidi="ar"/>
                    </w:rPr>
                    <w:t>COD</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ins w:id="764" w:author="Sunny" w:date="2022-12-29T14:06:00Z"/>
                      <w:color w:val="auto"/>
                      <w:kern w:val="0"/>
                      <w:szCs w:val="21"/>
                      <w:lang w:bidi="ar"/>
                    </w:rPr>
                  </w:pPr>
                  <w:r>
                    <w:rPr>
                      <w:color w:val="auto"/>
                      <w:szCs w:val="21"/>
                    </w:rPr>
                    <w:t>800</w:t>
                  </w:r>
                </w:p>
              </w:tc>
              <w:tc>
                <w:tcPr>
                  <w:tcW w:w="1155"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ins w:id="765" w:author="Sunny" w:date="2022-12-29T14:06:00Z"/>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0.0846</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766" w:author="Sunny" w:date="2022-12-29T14:06:00Z"/>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67" w:author="Sunny" w:date="2022-12-29T14:06:00Z"/>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ins w:id="768" w:author="Sunny" w:date="2022-12-29T14:06:00Z"/>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ins w:id="769" w:author="Sunny" w:date="2022-12-29T14:06: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770" w:author="Sunny" w:date="2022-12-29T14:06: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771" w:author="Sunny" w:date="2022-12-29T14:06: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772" w:author="Sunny" w:date="2022-12-29T14:06: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773" w:author="Sunny" w:date="2022-12-29T14:06:00Z"/>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74" w:author="Sunny" w:date="2022-12-29T14:06:00Z"/>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75" w:author="Sunny" w:date="2022-12-29T14:06:00Z"/>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ins w:id="776" w:author="Sunny" w:date="2022-12-29T14:06:00Z"/>
                      <w:color w:val="auto"/>
                      <w:szCs w:val="21"/>
                    </w:rPr>
                  </w:pPr>
                </w:p>
              </w:tc>
              <w:tc>
                <w:tcPr>
                  <w:tcW w:w="333" w:type="pct"/>
                  <w:tcBorders>
                    <w:tl2br w:val="nil"/>
                    <w:tr2bl w:val="nil"/>
                  </w:tcBorders>
                  <w:tcMar>
                    <w:top w:w="0" w:type="dxa"/>
                    <w:left w:w="28" w:type="dxa"/>
                    <w:bottom w:w="0" w:type="dxa"/>
                    <w:right w:w="28" w:type="dxa"/>
                  </w:tcMar>
                  <w:vAlign w:val="center"/>
                </w:tcPr>
                <w:p>
                  <w:pPr>
                    <w:kinsoku w:val="0"/>
                    <w:overflowPunct w:val="0"/>
                    <w:adjustRightInd w:val="0"/>
                    <w:snapToGrid w:val="0"/>
                    <w:jc w:val="center"/>
                    <w:textAlignment w:val="center"/>
                    <w:rPr>
                      <w:ins w:id="777" w:author="Sunny" w:date="2022-12-29T14:06:00Z"/>
                      <w:color w:val="auto"/>
                      <w:szCs w:val="21"/>
                    </w:rPr>
                  </w:pPr>
                  <w:r>
                    <w:rPr>
                      <w:color w:val="auto"/>
                      <w:kern w:val="0"/>
                      <w:szCs w:val="21"/>
                      <w:lang w:bidi="ar"/>
                    </w:rPr>
                    <w:t>SS</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ins w:id="778" w:author="Sunny" w:date="2022-12-29T14:06:00Z"/>
                      <w:color w:val="auto"/>
                      <w:kern w:val="0"/>
                      <w:szCs w:val="21"/>
                      <w:lang w:bidi="ar"/>
                    </w:rPr>
                  </w:pPr>
                  <w:r>
                    <w:rPr>
                      <w:color w:val="auto"/>
                      <w:szCs w:val="21"/>
                    </w:rPr>
                    <w:t>300</w:t>
                  </w:r>
                </w:p>
              </w:tc>
              <w:tc>
                <w:tcPr>
                  <w:tcW w:w="1155"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ins w:id="779" w:author="Sunny" w:date="2022-12-29T14:06:00Z"/>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0.0317</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780" w:author="Sunny" w:date="2022-12-29T14:06:00Z"/>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81" w:author="Sunny" w:date="2022-12-29T14:06:00Z"/>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ins w:id="782" w:author="Sunny" w:date="2022-12-29T14:06:00Z"/>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ins w:id="783" w:author="Sunny" w:date="2022-12-29T14:06: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784" w:author="Sunny" w:date="2022-12-29T14:06: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785" w:author="Sunny" w:date="2022-12-29T14:06: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786" w:author="Sunny" w:date="2022-12-29T14:06: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787" w:author="Sunny" w:date="2022-12-29T14:06:00Z"/>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88" w:author="Sunny" w:date="2022-12-29T14:06:00Z"/>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89" w:author="Sunny" w:date="2022-12-29T14:06:00Z"/>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ins w:id="790" w:author="Sunny" w:date="2022-12-29T14:06:00Z"/>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ins w:id="791" w:author="Sunny" w:date="2022-12-29T14:06:00Z"/>
                      <w:color w:val="auto"/>
                      <w:szCs w:val="21"/>
                    </w:rPr>
                  </w:pPr>
                  <w:r>
                    <w:rPr>
                      <w:color w:val="auto"/>
                      <w:kern w:val="0"/>
                      <w:szCs w:val="21"/>
                      <w:lang w:bidi="ar"/>
                    </w:rPr>
                    <w:t>石油类</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ins w:id="792" w:author="Sunny" w:date="2022-12-29T14:06:00Z"/>
                      <w:rFonts w:hint="default" w:eastAsia="宋体"/>
                      <w:color w:val="auto"/>
                      <w:kern w:val="0"/>
                      <w:szCs w:val="21"/>
                      <w:u w:val="none"/>
                      <w:lang w:val="en-US" w:eastAsia="zh-CN" w:bidi="ar"/>
                    </w:rPr>
                  </w:pPr>
                  <w:r>
                    <w:rPr>
                      <w:rFonts w:hint="eastAsia"/>
                      <w:color w:val="auto"/>
                      <w:szCs w:val="21"/>
                      <w:u w:val="none"/>
                      <w:lang w:val="en-US" w:eastAsia="zh-CN"/>
                    </w:rPr>
                    <w:t>150</w:t>
                  </w:r>
                </w:p>
              </w:tc>
              <w:tc>
                <w:tcPr>
                  <w:tcW w:w="1155"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ins w:id="793" w:author="Sunny" w:date="2022-12-29T14:06:00Z"/>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0.0159</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794" w:author="Sunny" w:date="2022-12-29T14:06:00Z"/>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ins w:id="795" w:author="Sunny" w:date="2022-12-29T14:06:00Z"/>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ins w:id="796" w:author="Sunny" w:date="2022-12-29T14:06:00Z"/>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ins w:id="797" w:author="Sunny" w:date="2022-12-29T14:06: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798" w:author="Sunny" w:date="2022-12-29T14:06: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799" w:author="Sunny" w:date="2022-12-29T14:06: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800" w:author="Sunny" w:date="2022-12-29T14:06: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801" w:author="Sunny" w:date="2022-12-30T09:50:00Z"/>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802" w:author="Sunny" w:date="2022-12-30T09:50:00Z"/>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803" w:author="Sunny" w:date="2022-12-30T09:50:00Z"/>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ins w:id="804" w:author="Sunny" w:date="2022-12-30T09:50:00Z"/>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ins w:id="805" w:author="Sunny" w:date="2022-12-30T09:50:00Z"/>
                      <w:color w:val="auto"/>
                      <w:kern w:val="0"/>
                      <w:szCs w:val="21"/>
                      <w:lang w:bidi="ar"/>
                    </w:rPr>
                  </w:pPr>
                  <w:r>
                    <w:rPr>
                      <w:rFonts w:hint="eastAsia"/>
                      <w:color w:val="auto"/>
                      <w:kern w:val="0"/>
                      <w:szCs w:val="21"/>
                      <w:lang w:bidi="ar"/>
                    </w:rPr>
                    <w:t>LAS</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ins w:id="806" w:author="Sunny" w:date="2022-12-30T09:50:00Z"/>
                      <w:rFonts w:hint="default" w:eastAsia="宋体"/>
                      <w:color w:val="auto"/>
                      <w:kern w:val="0"/>
                      <w:szCs w:val="21"/>
                      <w:u w:val="none"/>
                      <w:lang w:val="en-US" w:eastAsia="zh-CN" w:bidi="ar"/>
                    </w:rPr>
                  </w:pPr>
                  <w:r>
                    <w:rPr>
                      <w:rFonts w:hint="eastAsia"/>
                      <w:color w:val="auto"/>
                      <w:szCs w:val="21"/>
                      <w:u w:val="none"/>
                      <w:lang w:val="en-US" w:eastAsia="zh-CN"/>
                    </w:rPr>
                    <w:t>100</w:t>
                  </w:r>
                </w:p>
              </w:tc>
              <w:tc>
                <w:tcPr>
                  <w:tcW w:w="1155"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ins w:id="807" w:author="Sunny" w:date="2022-12-30T09:50:00Z"/>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0.0106</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808" w:author="Sunny" w:date="2022-12-30T09:50:00Z"/>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ins w:id="809" w:author="Sunny" w:date="2022-12-30T09:50:00Z"/>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ins w:id="810" w:author="Sunny" w:date="2022-12-30T09:50:00Z"/>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ins w:id="811" w:author="Sunny" w:date="2022-12-30T09:50: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812" w:author="Sunny" w:date="2022-12-30T09:50: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813" w:author="Sunny" w:date="2022-12-30T09:50: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814" w:author="Sunny" w:date="2022-12-30T09:50: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815" w:author="Sunny" w:date="2022-12-29T13:04:00Z"/>
              </w:trPr>
              <w:tc>
                <w:tcPr>
                  <w:tcW w:w="277" w:type="pct"/>
                  <w:vMerge w:val="restart"/>
                  <w:tcBorders>
                    <w:tl2br w:val="nil"/>
                    <w:tr2bl w:val="nil"/>
                  </w:tcBorders>
                  <w:tcMar>
                    <w:top w:w="0" w:type="dxa"/>
                    <w:left w:w="28" w:type="dxa"/>
                    <w:bottom w:w="0" w:type="dxa"/>
                    <w:right w:w="28" w:type="dxa"/>
                  </w:tcMar>
                  <w:vAlign w:val="center"/>
                </w:tcPr>
                <w:p>
                  <w:pPr>
                    <w:adjustRightInd w:val="0"/>
                    <w:snapToGrid w:val="0"/>
                    <w:jc w:val="center"/>
                    <w:rPr>
                      <w:ins w:id="816" w:author="Sunny" w:date="2022-12-29T13:04:00Z"/>
                      <w:color w:val="auto"/>
                      <w:szCs w:val="21"/>
                    </w:rPr>
                  </w:pPr>
                  <w:r>
                    <w:rPr>
                      <w:rFonts w:hint="eastAsia"/>
                      <w:color w:val="auto"/>
                      <w:szCs w:val="21"/>
                    </w:rPr>
                    <w:t>6</w:t>
                  </w:r>
                </w:p>
              </w:tc>
              <w:tc>
                <w:tcPr>
                  <w:tcW w:w="277" w:type="pct"/>
                  <w:vMerge w:val="restart"/>
                  <w:tcBorders>
                    <w:tl2br w:val="nil"/>
                    <w:tr2bl w:val="nil"/>
                  </w:tcBorders>
                  <w:tcMar>
                    <w:top w:w="0" w:type="dxa"/>
                    <w:left w:w="28" w:type="dxa"/>
                    <w:bottom w:w="0" w:type="dxa"/>
                    <w:right w:w="28" w:type="dxa"/>
                  </w:tcMar>
                  <w:vAlign w:val="center"/>
                </w:tcPr>
                <w:p>
                  <w:pPr>
                    <w:adjustRightInd w:val="0"/>
                    <w:snapToGrid w:val="0"/>
                    <w:jc w:val="center"/>
                    <w:rPr>
                      <w:ins w:id="817" w:author="Sunny" w:date="2022-12-29T13:04:00Z"/>
                      <w:color w:val="auto"/>
                      <w:szCs w:val="21"/>
                    </w:rPr>
                  </w:pPr>
                  <w:ins w:id="818" w:author="Sunny" w:date="2022-12-29T13:05:00Z">
                    <w:r>
                      <w:rPr>
                        <w:rFonts w:hint="eastAsia"/>
                        <w:color w:val="auto"/>
                        <w:szCs w:val="21"/>
                      </w:rPr>
                      <w:t>陶化清槽废水</w:t>
                    </w:r>
                  </w:ins>
                </w:p>
              </w:tc>
              <w:tc>
                <w:tcPr>
                  <w:tcW w:w="321" w:type="pct"/>
                  <w:vMerge w:val="restart"/>
                  <w:tcBorders>
                    <w:tl2br w:val="nil"/>
                    <w:tr2bl w:val="nil"/>
                  </w:tcBorders>
                  <w:tcMar>
                    <w:top w:w="0" w:type="dxa"/>
                    <w:left w:w="28" w:type="dxa"/>
                    <w:bottom w:w="0" w:type="dxa"/>
                    <w:right w:w="28" w:type="dxa"/>
                  </w:tcMar>
                  <w:vAlign w:val="center"/>
                </w:tcPr>
                <w:p>
                  <w:pPr>
                    <w:adjustRightInd w:val="0"/>
                    <w:snapToGrid w:val="0"/>
                    <w:jc w:val="center"/>
                    <w:rPr>
                      <w:ins w:id="819" w:author="Sunny" w:date="2022-12-29T13:04:00Z"/>
                      <w:rFonts w:hint="default" w:eastAsia="宋体"/>
                      <w:color w:val="auto"/>
                      <w:szCs w:val="21"/>
                      <w:lang w:val="en-US" w:eastAsia="zh-CN"/>
                    </w:rPr>
                  </w:pPr>
                  <w:r>
                    <w:rPr>
                      <w:rFonts w:hint="eastAsia"/>
                      <w:color w:val="auto"/>
                      <w:szCs w:val="21"/>
                      <w:lang w:val="en-US" w:eastAsia="zh-CN"/>
                    </w:rPr>
                    <w:t>123</w:t>
                  </w:r>
                </w:p>
              </w:tc>
              <w:tc>
                <w:tcPr>
                  <w:tcW w:w="333" w:type="pct"/>
                  <w:tcBorders>
                    <w:tl2br w:val="nil"/>
                    <w:tr2bl w:val="nil"/>
                  </w:tcBorders>
                  <w:tcMar>
                    <w:top w:w="0" w:type="dxa"/>
                    <w:left w:w="28" w:type="dxa"/>
                    <w:bottom w:w="0" w:type="dxa"/>
                    <w:right w:w="28" w:type="dxa"/>
                  </w:tcMar>
                  <w:vAlign w:val="center"/>
                </w:tcPr>
                <w:p>
                  <w:pPr>
                    <w:kinsoku w:val="0"/>
                    <w:overflowPunct w:val="0"/>
                    <w:adjustRightInd w:val="0"/>
                    <w:snapToGrid w:val="0"/>
                    <w:jc w:val="center"/>
                    <w:textAlignment w:val="center"/>
                    <w:rPr>
                      <w:ins w:id="820" w:author="Sunny" w:date="2022-12-29T13:04:00Z"/>
                      <w:color w:val="auto"/>
                      <w:szCs w:val="21"/>
                    </w:rPr>
                  </w:pPr>
                  <w:r>
                    <w:rPr>
                      <w:color w:val="auto"/>
                      <w:kern w:val="0"/>
                      <w:szCs w:val="21"/>
                      <w:lang w:bidi="ar"/>
                    </w:rPr>
                    <w:t>pH</w:t>
                  </w:r>
                </w:p>
              </w:tc>
              <w:tc>
                <w:tcPr>
                  <w:tcW w:w="785" w:type="pct"/>
                  <w:gridSpan w:val="2"/>
                  <w:tcBorders>
                    <w:tl2br w:val="nil"/>
                    <w:tr2bl w:val="nil"/>
                  </w:tcBorders>
                  <w:tcMar>
                    <w:top w:w="0" w:type="dxa"/>
                    <w:left w:w="28" w:type="dxa"/>
                    <w:bottom w:w="0" w:type="dxa"/>
                    <w:right w:w="28" w:type="dxa"/>
                  </w:tcMar>
                  <w:vAlign w:val="center"/>
                </w:tcPr>
                <w:p>
                  <w:pPr>
                    <w:widowControl/>
                    <w:jc w:val="center"/>
                    <w:textAlignment w:val="center"/>
                    <w:rPr>
                      <w:ins w:id="821" w:author="Sunny" w:date="2022-12-29T13:04:00Z"/>
                      <w:color w:val="auto"/>
                      <w:kern w:val="0"/>
                      <w:szCs w:val="21"/>
                      <w:lang w:bidi="ar"/>
                    </w:rPr>
                  </w:pPr>
                  <w:r>
                    <w:rPr>
                      <w:rFonts w:hint="eastAsia"/>
                      <w:color w:val="auto"/>
                      <w:szCs w:val="21"/>
                    </w:rPr>
                    <w:t>5</w:t>
                  </w:r>
                  <w:r>
                    <w:rPr>
                      <w:color w:val="auto"/>
                      <w:szCs w:val="21"/>
                    </w:rPr>
                    <w:t>~</w:t>
                  </w:r>
                  <w:r>
                    <w:rPr>
                      <w:rFonts w:hint="eastAsia"/>
                      <w:color w:val="auto"/>
                      <w:szCs w:val="21"/>
                    </w:rPr>
                    <w:t>6</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822" w:author="Sunny" w:date="2022-12-29T13:04:00Z"/>
                      <w:color w:val="auto"/>
                      <w:szCs w:val="21"/>
                    </w:rPr>
                  </w:pPr>
                </w:p>
              </w:tc>
              <w:tc>
                <w:tcPr>
                  <w:tcW w:w="497" w:type="pct"/>
                  <w:vMerge w:val="restart"/>
                  <w:tcBorders>
                    <w:tl2br w:val="nil"/>
                    <w:tr2bl w:val="nil"/>
                  </w:tcBorders>
                  <w:tcMar>
                    <w:top w:w="0" w:type="dxa"/>
                    <w:left w:w="28" w:type="dxa"/>
                    <w:bottom w:w="0" w:type="dxa"/>
                    <w:right w:w="28" w:type="dxa"/>
                  </w:tcMar>
                  <w:vAlign w:val="center"/>
                </w:tcPr>
                <w:p>
                  <w:pPr>
                    <w:adjustRightInd w:val="0"/>
                    <w:snapToGrid w:val="0"/>
                    <w:jc w:val="center"/>
                    <w:rPr>
                      <w:ins w:id="823" w:author="Sunny" w:date="2022-12-29T13:04:00Z"/>
                      <w:color w:val="auto"/>
                      <w:szCs w:val="21"/>
                    </w:rPr>
                  </w:pPr>
                  <w:r>
                    <w:rPr>
                      <w:color w:val="auto"/>
                      <w:szCs w:val="21"/>
                    </w:rPr>
                    <w:t>—</w:t>
                  </w:r>
                </w:p>
              </w:tc>
              <w:tc>
                <w:tcPr>
                  <w:tcW w:w="894" w:type="pct"/>
                  <w:gridSpan w:val="2"/>
                  <w:tcBorders>
                    <w:tl2br w:val="nil"/>
                    <w:tr2bl w:val="nil"/>
                  </w:tcBorders>
                  <w:tcMar>
                    <w:top w:w="0" w:type="dxa"/>
                    <w:left w:w="28" w:type="dxa"/>
                    <w:bottom w:w="0" w:type="dxa"/>
                    <w:right w:w="28" w:type="dxa"/>
                  </w:tcMar>
                  <w:vAlign w:val="center"/>
                </w:tcPr>
                <w:p>
                  <w:pPr>
                    <w:widowControl/>
                    <w:jc w:val="center"/>
                    <w:textAlignment w:val="center"/>
                    <w:rPr>
                      <w:ins w:id="824" w:author="Sunny" w:date="2022-12-29T13:04: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825" w:author="Sunny" w:date="2022-12-29T13:04: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826" w:author="Sunny" w:date="2022-12-29T13:04: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827" w:author="Sunny" w:date="2022-12-29T13:04: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828" w:author="Sunny" w:date="2022-12-29T13:57:00Z"/>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829" w:author="Sunny" w:date="2022-12-29T13:57:00Z"/>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830" w:author="Sunny" w:date="2022-12-29T13:57:00Z"/>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ins w:id="831" w:author="Sunny" w:date="2022-12-29T13:57:00Z"/>
                      <w:color w:val="auto"/>
                      <w:szCs w:val="21"/>
                    </w:rPr>
                  </w:pPr>
                </w:p>
              </w:tc>
              <w:tc>
                <w:tcPr>
                  <w:tcW w:w="333" w:type="pct"/>
                  <w:tcBorders>
                    <w:tl2br w:val="nil"/>
                    <w:tr2bl w:val="nil"/>
                  </w:tcBorders>
                  <w:tcMar>
                    <w:top w:w="0" w:type="dxa"/>
                    <w:left w:w="28" w:type="dxa"/>
                    <w:bottom w:w="0" w:type="dxa"/>
                    <w:right w:w="28" w:type="dxa"/>
                  </w:tcMar>
                  <w:vAlign w:val="center"/>
                </w:tcPr>
                <w:p>
                  <w:pPr>
                    <w:kinsoku w:val="0"/>
                    <w:overflowPunct w:val="0"/>
                    <w:adjustRightInd w:val="0"/>
                    <w:snapToGrid w:val="0"/>
                    <w:jc w:val="center"/>
                    <w:textAlignment w:val="center"/>
                    <w:rPr>
                      <w:ins w:id="832" w:author="Sunny" w:date="2022-12-29T13:57:00Z"/>
                      <w:color w:val="auto"/>
                      <w:szCs w:val="21"/>
                    </w:rPr>
                  </w:pPr>
                  <w:r>
                    <w:rPr>
                      <w:color w:val="auto"/>
                      <w:kern w:val="0"/>
                      <w:szCs w:val="21"/>
                      <w:lang w:bidi="ar"/>
                    </w:rPr>
                    <w:t>COD</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ins w:id="833" w:author="Sunny" w:date="2022-12-29T13:57:00Z"/>
                      <w:color w:val="auto"/>
                      <w:kern w:val="0"/>
                      <w:szCs w:val="21"/>
                      <w:lang w:bidi="ar"/>
                    </w:rPr>
                  </w:pPr>
                  <w:r>
                    <w:rPr>
                      <w:color w:val="auto"/>
                      <w:szCs w:val="21"/>
                    </w:rPr>
                    <w:t>700</w:t>
                  </w:r>
                </w:p>
              </w:tc>
              <w:tc>
                <w:tcPr>
                  <w:tcW w:w="1155"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ins w:id="834" w:author="Sunny" w:date="2022-12-29T13:57:00Z"/>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0.0861 </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835" w:author="Sunny" w:date="2022-12-29T13:57:00Z"/>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ins w:id="836" w:author="Sunny" w:date="2022-12-29T13:57:00Z"/>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ins w:id="837" w:author="Sunny" w:date="2022-12-29T13:57:00Z"/>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ins w:id="838" w:author="Sunny" w:date="2022-12-29T13:57: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839" w:author="Sunny" w:date="2022-12-29T13:57: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840" w:author="Sunny" w:date="2022-12-29T13:57: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841" w:author="Sunny" w:date="2022-12-29T13:57: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842" w:author="Sunny" w:date="2022-12-29T13:57:00Z"/>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843" w:author="Sunny" w:date="2022-12-29T13:57:00Z"/>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844" w:author="Sunny" w:date="2022-12-29T13:57:00Z"/>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ins w:id="845" w:author="Sunny" w:date="2022-12-29T13:57:00Z"/>
                      <w:color w:val="auto"/>
                      <w:szCs w:val="21"/>
                    </w:rPr>
                  </w:pPr>
                </w:p>
              </w:tc>
              <w:tc>
                <w:tcPr>
                  <w:tcW w:w="333" w:type="pct"/>
                  <w:tcBorders>
                    <w:tl2br w:val="nil"/>
                    <w:tr2bl w:val="nil"/>
                  </w:tcBorders>
                  <w:tcMar>
                    <w:top w:w="0" w:type="dxa"/>
                    <w:left w:w="28" w:type="dxa"/>
                    <w:bottom w:w="0" w:type="dxa"/>
                    <w:right w:w="28" w:type="dxa"/>
                  </w:tcMar>
                  <w:vAlign w:val="center"/>
                </w:tcPr>
                <w:p>
                  <w:pPr>
                    <w:kinsoku w:val="0"/>
                    <w:overflowPunct w:val="0"/>
                    <w:adjustRightInd w:val="0"/>
                    <w:snapToGrid w:val="0"/>
                    <w:jc w:val="center"/>
                    <w:textAlignment w:val="center"/>
                    <w:rPr>
                      <w:ins w:id="846" w:author="Sunny" w:date="2022-12-29T13:57:00Z"/>
                      <w:color w:val="auto"/>
                      <w:szCs w:val="21"/>
                    </w:rPr>
                  </w:pPr>
                  <w:r>
                    <w:rPr>
                      <w:color w:val="auto"/>
                      <w:kern w:val="0"/>
                      <w:szCs w:val="21"/>
                      <w:lang w:bidi="ar"/>
                    </w:rPr>
                    <w:t>SS</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ins w:id="847" w:author="Sunny" w:date="2022-12-29T13:57:00Z"/>
                      <w:color w:val="auto"/>
                      <w:kern w:val="0"/>
                      <w:szCs w:val="21"/>
                      <w:lang w:bidi="ar"/>
                    </w:rPr>
                  </w:pPr>
                  <w:r>
                    <w:rPr>
                      <w:color w:val="auto"/>
                      <w:szCs w:val="21"/>
                    </w:rPr>
                    <w:t>300</w:t>
                  </w:r>
                </w:p>
              </w:tc>
              <w:tc>
                <w:tcPr>
                  <w:tcW w:w="1155"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ins w:id="848" w:author="Sunny" w:date="2022-12-29T13:57:00Z"/>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0.0369 </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849" w:author="Sunny" w:date="2022-12-29T13:57:00Z"/>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ins w:id="850" w:author="Sunny" w:date="2022-12-29T13:57:00Z"/>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ins w:id="851" w:author="Sunny" w:date="2022-12-29T13:57:00Z"/>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ins w:id="852" w:author="Sunny" w:date="2022-12-29T13:57: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853" w:author="Sunny" w:date="2022-12-29T13:57: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854" w:author="Sunny" w:date="2022-12-29T13:57: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855" w:author="Sunny" w:date="2022-12-29T13:57: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856" w:author="Sunny" w:date="2022-12-29T13:57:00Z"/>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857" w:author="Sunny" w:date="2022-12-29T13:57:00Z"/>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858" w:author="Sunny" w:date="2022-12-29T13:57:00Z"/>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ins w:id="859" w:author="Sunny" w:date="2022-12-29T13:57:00Z"/>
                      <w:color w:val="auto"/>
                      <w:szCs w:val="21"/>
                    </w:rPr>
                  </w:pPr>
                </w:p>
              </w:tc>
              <w:tc>
                <w:tcPr>
                  <w:tcW w:w="333" w:type="pct"/>
                  <w:tcBorders>
                    <w:tl2br w:val="nil"/>
                    <w:tr2bl w:val="nil"/>
                  </w:tcBorders>
                  <w:tcMar>
                    <w:top w:w="0" w:type="dxa"/>
                    <w:left w:w="28" w:type="dxa"/>
                    <w:bottom w:w="0" w:type="dxa"/>
                    <w:right w:w="28" w:type="dxa"/>
                  </w:tcMar>
                  <w:vAlign w:val="center"/>
                </w:tcPr>
                <w:p>
                  <w:pPr>
                    <w:kinsoku w:val="0"/>
                    <w:overflowPunct w:val="0"/>
                    <w:adjustRightInd w:val="0"/>
                    <w:snapToGrid w:val="0"/>
                    <w:jc w:val="center"/>
                    <w:textAlignment w:val="center"/>
                    <w:rPr>
                      <w:ins w:id="860" w:author="Sunny" w:date="2022-12-29T13:57:00Z"/>
                      <w:color w:val="auto"/>
                      <w:szCs w:val="21"/>
                    </w:rPr>
                  </w:pPr>
                  <w:r>
                    <w:rPr>
                      <w:color w:val="auto"/>
                      <w:kern w:val="0"/>
                      <w:szCs w:val="21"/>
                      <w:lang w:bidi="ar"/>
                    </w:rPr>
                    <w:t>石油类</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ins w:id="861" w:author="Sunny" w:date="2022-12-29T13:57:00Z"/>
                      <w:color w:val="auto"/>
                      <w:kern w:val="0"/>
                      <w:szCs w:val="21"/>
                      <w:lang w:bidi="ar"/>
                    </w:rPr>
                  </w:pPr>
                  <w:r>
                    <w:rPr>
                      <w:color w:val="auto"/>
                      <w:szCs w:val="21"/>
                    </w:rPr>
                    <w:t>80</w:t>
                  </w:r>
                </w:p>
              </w:tc>
              <w:tc>
                <w:tcPr>
                  <w:tcW w:w="1155"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ins w:id="862" w:author="Sunny" w:date="2022-12-29T13:57:00Z"/>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0.0098</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863" w:author="Sunny" w:date="2022-12-29T13:57:00Z"/>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ins w:id="864" w:author="Sunny" w:date="2022-12-29T13:57:00Z"/>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ins w:id="865" w:author="Sunny" w:date="2022-12-29T13:57:00Z"/>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ins w:id="866" w:author="Sunny" w:date="2022-12-29T13:57: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867" w:author="Sunny" w:date="2022-12-29T13:57: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868" w:author="Sunny" w:date="2022-12-29T13:57: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869" w:author="Sunny" w:date="2022-12-29T13:57: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870" w:author="Sunny" w:date="2022-12-29T14:06:00Z"/>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871" w:author="Sunny" w:date="2022-12-29T14:06:00Z"/>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872" w:author="Sunny" w:date="2022-12-29T14:06:00Z"/>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ins w:id="873" w:author="Sunny" w:date="2022-12-29T14:06:00Z"/>
                      <w:color w:val="auto"/>
                      <w:szCs w:val="21"/>
                    </w:rPr>
                  </w:pPr>
                </w:p>
              </w:tc>
              <w:tc>
                <w:tcPr>
                  <w:tcW w:w="333" w:type="pct"/>
                  <w:tcBorders>
                    <w:tl2br w:val="nil"/>
                    <w:tr2bl w:val="nil"/>
                  </w:tcBorders>
                  <w:tcMar>
                    <w:top w:w="0" w:type="dxa"/>
                    <w:left w:w="28" w:type="dxa"/>
                    <w:bottom w:w="0" w:type="dxa"/>
                    <w:right w:w="28" w:type="dxa"/>
                  </w:tcMar>
                  <w:vAlign w:val="center"/>
                </w:tcPr>
                <w:p>
                  <w:pPr>
                    <w:kinsoku w:val="0"/>
                    <w:overflowPunct w:val="0"/>
                    <w:adjustRightInd w:val="0"/>
                    <w:snapToGrid w:val="0"/>
                    <w:jc w:val="center"/>
                    <w:textAlignment w:val="center"/>
                    <w:rPr>
                      <w:ins w:id="874" w:author="Sunny" w:date="2022-12-29T14:06:00Z"/>
                      <w:color w:val="auto"/>
                      <w:kern w:val="0"/>
                      <w:szCs w:val="21"/>
                      <w:lang w:bidi="ar"/>
                    </w:rPr>
                  </w:pPr>
                  <w:r>
                    <w:rPr>
                      <w:rFonts w:hint="eastAsia"/>
                      <w:color w:val="auto"/>
                      <w:kern w:val="0"/>
                      <w:szCs w:val="21"/>
                      <w:lang w:bidi="ar"/>
                    </w:rPr>
                    <w:t>氟化物</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ins w:id="875" w:author="Sunny" w:date="2022-12-29T14:06:00Z"/>
                      <w:color w:val="auto"/>
                      <w:kern w:val="0"/>
                      <w:szCs w:val="21"/>
                      <w:lang w:bidi="ar"/>
                    </w:rPr>
                  </w:pPr>
                  <w:r>
                    <w:rPr>
                      <w:color w:val="auto"/>
                      <w:szCs w:val="21"/>
                    </w:rPr>
                    <w:t>800</w:t>
                  </w:r>
                </w:p>
              </w:tc>
              <w:tc>
                <w:tcPr>
                  <w:tcW w:w="1155"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ins w:id="876" w:author="Sunny" w:date="2022-12-29T14:06:00Z"/>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0.0984</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877" w:author="Sunny" w:date="2022-12-29T14:06:00Z"/>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ins w:id="878" w:author="Sunny" w:date="2022-12-29T14:06:00Z"/>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ins w:id="879" w:author="Sunny" w:date="2022-12-29T14:06:00Z"/>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ins w:id="880" w:author="Sunny" w:date="2022-12-29T14:06: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881" w:author="Sunny" w:date="2022-12-29T14:06: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882" w:author="Sunny" w:date="2022-12-29T14:06: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883" w:author="Sunny" w:date="2022-12-29T14:06: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ins w:id="884" w:author="Sunny" w:date="2022-12-29T13:04:00Z"/>
              </w:trPr>
              <w:tc>
                <w:tcPr>
                  <w:tcW w:w="277" w:type="pct"/>
                  <w:vMerge w:val="restart"/>
                  <w:tcBorders>
                    <w:tl2br w:val="nil"/>
                    <w:tr2bl w:val="nil"/>
                  </w:tcBorders>
                  <w:tcMar>
                    <w:top w:w="0" w:type="dxa"/>
                    <w:left w:w="28" w:type="dxa"/>
                    <w:bottom w:w="0" w:type="dxa"/>
                    <w:right w:w="28" w:type="dxa"/>
                  </w:tcMar>
                  <w:vAlign w:val="center"/>
                </w:tcPr>
                <w:p>
                  <w:pPr>
                    <w:adjustRightInd w:val="0"/>
                    <w:snapToGrid w:val="0"/>
                    <w:jc w:val="center"/>
                    <w:rPr>
                      <w:ins w:id="885" w:author="Sunny" w:date="2022-12-29T13:04:00Z"/>
                      <w:color w:val="auto"/>
                      <w:szCs w:val="21"/>
                    </w:rPr>
                  </w:pPr>
                  <w:r>
                    <w:rPr>
                      <w:rFonts w:hint="eastAsia"/>
                      <w:color w:val="auto"/>
                      <w:szCs w:val="21"/>
                    </w:rPr>
                    <w:t>7</w:t>
                  </w:r>
                </w:p>
              </w:tc>
              <w:tc>
                <w:tcPr>
                  <w:tcW w:w="277" w:type="pct"/>
                  <w:vMerge w:val="restart"/>
                  <w:tcBorders>
                    <w:tl2br w:val="nil"/>
                    <w:tr2bl w:val="nil"/>
                  </w:tcBorders>
                  <w:tcMar>
                    <w:top w:w="0" w:type="dxa"/>
                    <w:left w:w="28" w:type="dxa"/>
                    <w:bottom w:w="0" w:type="dxa"/>
                    <w:right w:w="28" w:type="dxa"/>
                  </w:tcMar>
                  <w:vAlign w:val="center"/>
                </w:tcPr>
                <w:p>
                  <w:pPr>
                    <w:adjustRightInd w:val="0"/>
                    <w:snapToGrid w:val="0"/>
                    <w:jc w:val="center"/>
                    <w:rPr>
                      <w:ins w:id="886" w:author="Sunny" w:date="2022-12-29T13:04:00Z"/>
                      <w:color w:val="auto"/>
                      <w:szCs w:val="21"/>
                    </w:rPr>
                  </w:pPr>
                  <w:ins w:id="887" w:author="Sunny" w:date="2022-12-29T13:05:00Z">
                    <w:r>
                      <w:rPr>
                        <w:rFonts w:hint="eastAsia"/>
                        <w:color w:val="auto"/>
                        <w:szCs w:val="21"/>
                      </w:rPr>
                      <w:t>水洗水</w:t>
                    </w:r>
                  </w:ins>
                  <w:r>
                    <w:rPr>
                      <w:rFonts w:hint="eastAsia"/>
                      <w:color w:val="auto"/>
                      <w:szCs w:val="21"/>
                    </w:rPr>
                    <w:t>（</w:t>
                  </w:r>
                  <w:r>
                    <w:rPr>
                      <w:rFonts w:hint="eastAsia"/>
                      <w:color w:val="auto"/>
                      <w:szCs w:val="21"/>
                      <w:lang w:val="en-US" w:eastAsia="zh-CN"/>
                    </w:rPr>
                    <w:t>脱脂水洗</w:t>
                  </w:r>
                  <w:r>
                    <w:rPr>
                      <w:rFonts w:hint="eastAsia"/>
                      <w:color w:val="auto"/>
                      <w:szCs w:val="21"/>
                    </w:rPr>
                    <w:t>+</w:t>
                  </w:r>
                  <w:r>
                    <w:rPr>
                      <w:rFonts w:hint="eastAsia"/>
                      <w:color w:val="auto"/>
                      <w:szCs w:val="21"/>
                      <w:lang w:val="en-US" w:eastAsia="zh-CN"/>
                    </w:rPr>
                    <w:t>陶化水洗+</w:t>
                  </w:r>
                  <w:r>
                    <w:rPr>
                      <w:rFonts w:hint="eastAsia"/>
                      <w:color w:val="auto"/>
                      <w:szCs w:val="21"/>
                    </w:rPr>
                    <w:t>纯水洗+纯水直喷）</w:t>
                  </w:r>
                </w:p>
              </w:tc>
              <w:tc>
                <w:tcPr>
                  <w:tcW w:w="321" w:type="pct"/>
                  <w:vMerge w:val="restart"/>
                  <w:tcBorders>
                    <w:tl2br w:val="nil"/>
                    <w:tr2bl w:val="nil"/>
                  </w:tcBorders>
                  <w:tcMar>
                    <w:top w:w="0" w:type="dxa"/>
                    <w:left w:w="28" w:type="dxa"/>
                    <w:bottom w:w="0" w:type="dxa"/>
                    <w:right w:w="28" w:type="dxa"/>
                  </w:tcMar>
                  <w:vAlign w:val="center"/>
                </w:tcPr>
                <w:p>
                  <w:pPr>
                    <w:adjustRightInd w:val="0"/>
                    <w:snapToGrid w:val="0"/>
                    <w:jc w:val="center"/>
                    <w:rPr>
                      <w:ins w:id="888" w:author="Sunny" w:date="2022-12-29T13:04:00Z"/>
                      <w:color w:val="auto"/>
                      <w:szCs w:val="21"/>
                    </w:rPr>
                  </w:pPr>
                  <w:r>
                    <w:rPr>
                      <w:rFonts w:hint="eastAsia"/>
                      <w:color w:val="auto"/>
                      <w:szCs w:val="21"/>
                    </w:rPr>
                    <w:t>850.2</w:t>
                  </w:r>
                </w:p>
              </w:tc>
              <w:tc>
                <w:tcPr>
                  <w:tcW w:w="333" w:type="pct"/>
                  <w:tcBorders>
                    <w:tl2br w:val="nil"/>
                    <w:tr2bl w:val="nil"/>
                  </w:tcBorders>
                  <w:tcMar>
                    <w:top w:w="0" w:type="dxa"/>
                    <w:left w:w="28" w:type="dxa"/>
                    <w:bottom w:w="0" w:type="dxa"/>
                    <w:right w:w="28" w:type="dxa"/>
                  </w:tcMar>
                  <w:vAlign w:val="center"/>
                </w:tcPr>
                <w:p>
                  <w:pPr>
                    <w:kinsoku w:val="0"/>
                    <w:overflowPunct w:val="0"/>
                    <w:adjustRightInd w:val="0"/>
                    <w:snapToGrid w:val="0"/>
                    <w:jc w:val="center"/>
                    <w:textAlignment w:val="center"/>
                    <w:rPr>
                      <w:ins w:id="889" w:author="Sunny" w:date="2022-12-29T13:04:00Z"/>
                      <w:color w:val="auto"/>
                      <w:szCs w:val="21"/>
                    </w:rPr>
                  </w:pPr>
                  <w:r>
                    <w:rPr>
                      <w:color w:val="auto"/>
                      <w:kern w:val="0"/>
                      <w:szCs w:val="21"/>
                      <w:lang w:bidi="ar"/>
                    </w:rPr>
                    <w:t>pH</w:t>
                  </w:r>
                </w:p>
              </w:tc>
              <w:tc>
                <w:tcPr>
                  <w:tcW w:w="785" w:type="pct"/>
                  <w:gridSpan w:val="2"/>
                  <w:tcBorders>
                    <w:tl2br w:val="nil"/>
                    <w:tr2bl w:val="nil"/>
                  </w:tcBorders>
                  <w:tcMar>
                    <w:top w:w="0" w:type="dxa"/>
                    <w:left w:w="28" w:type="dxa"/>
                    <w:bottom w:w="0" w:type="dxa"/>
                    <w:right w:w="28" w:type="dxa"/>
                  </w:tcMar>
                  <w:vAlign w:val="center"/>
                </w:tcPr>
                <w:p>
                  <w:pPr>
                    <w:widowControl/>
                    <w:jc w:val="center"/>
                    <w:textAlignment w:val="center"/>
                    <w:rPr>
                      <w:ins w:id="890" w:author="Sunny" w:date="2022-12-29T13:04:00Z"/>
                      <w:color w:val="auto"/>
                      <w:kern w:val="0"/>
                      <w:szCs w:val="21"/>
                      <w:lang w:bidi="ar"/>
                    </w:rPr>
                  </w:pPr>
                  <w:r>
                    <w:rPr>
                      <w:color w:val="auto"/>
                      <w:szCs w:val="21"/>
                    </w:rPr>
                    <w:t>6~9</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891" w:author="Sunny" w:date="2022-12-29T13:04:00Z"/>
                      <w:color w:val="auto"/>
                      <w:szCs w:val="21"/>
                    </w:rPr>
                  </w:pPr>
                </w:p>
              </w:tc>
              <w:tc>
                <w:tcPr>
                  <w:tcW w:w="497" w:type="pct"/>
                  <w:vMerge w:val="restart"/>
                  <w:tcBorders>
                    <w:tl2br w:val="nil"/>
                    <w:tr2bl w:val="nil"/>
                  </w:tcBorders>
                  <w:tcMar>
                    <w:top w:w="0" w:type="dxa"/>
                    <w:left w:w="28" w:type="dxa"/>
                    <w:bottom w:w="0" w:type="dxa"/>
                    <w:right w:w="28" w:type="dxa"/>
                  </w:tcMar>
                  <w:vAlign w:val="center"/>
                </w:tcPr>
                <w:p>
                  <w:pPr>
                    <w:adjustRightInd w:val="0"/>
                    <w:snapToGrid w:val="0"/>
                    <w:jc w:val="center"/>
                    <w:rPr>
                      <w:ins w:id="892" w:author="Sunny" w:date="2022-12-29T13:04:00Z"/>
                      <w:color w:val="auto"/>
                      <w:szCs w:val="21"/>
                    </w:rPr>
                  </w:pPr>
                  <w:r>
                    <w:rPr>
                      <w:color w:val="auto"/>
                      <w:szCs w:val="21"/>
                    </w:rPr>
                    <w:t>—</w:t>
                  </w:r>
                </w:p>
              </w:tc>
              <w:tc>
                <w:tcPr>
                  <w:tcW w:w="894" w:type="pct"/>
                  <w:gridSpan w:val="2"/>
                  <w:tcBorders>
                    <w:tl2br w:val="nil"/>
                    <w:tr2bl w:val="nil"/>
                  </w:tcBorders>
                  <w:tcMar>
                    <w:top w:w="0" w:type="dxa"/>
                    <w:left w:w="28" w:type="dxa"/>
                    <w:bottom w:w="0" w:type="dxa"/>
                    <w:right w:w="28" w:type="dxa"/>
                  </w:tcMar>
                  <w:vAlign w:val="center"/>
                </w:tcPr>
                <w:p>
                  <w:pPr>
                    <w:widowControl/>
                    <w:jc w:val="center"/>
                    <w:textAlignment w:val="center"/>
                    <w:rPr>
                      <w:ins w:id="893" w:author="Sunny" w:date="2022-12-29T13:04: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894" w:author="Sunny" w:date="2022-12-29T13:04: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895" w:author="Sunny" w:date="2022-12-29T13:04: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896" w:author="Sunny" w:date="2022-12-29T13:04: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897" w:author="Sunny" w:date="2022-12-29T13:58:00Z"/>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898" w:author="Sunny" w:date="2022-12-29T13:58:00Z"/>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899" w:author="Sunny" w:date="2022-12-29T13:58:00Z"/>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ins w:id="900" w:author="Sunny" w:date="2022-12-29T13:58:00Z"/>
                      <w:color w:val="auto"/>
                      <w:szCs w:val="21"/>
                    </w:rPr>
                  </w:pPr>
                </w:p>
              </w:tc>
              <w:tc>
                <w:tcPr>
                  <w:tcW w:w="333" w:type="pct"/>
                  <w:tcBorders>
                    <w:tl2br w:val="nil"/>
                    <w:tr2bl w:val="nil"/>
                  </w:tcBorders>
                  <w:tcMar>
                    <w:top w:w="0" w:type="dxa"/>
                    <w:left w:w="28" w:type="dxa"/>
                    <w:bottom w:w="0" w:type="dxa"/>
                    <w:right w:w="28" w:type="dxa"/>
                  </w:tcMar>
                  <w:vAlign w:val="center"/>
                </w:tcPr>
                <w:p>
                  <w:pPr>
                    <w:kinsoku w:val="0"/>
                    <w:overflowPunct w:val="0"/>
                    <w:adjustRightInd w:val="0"/>
                    <w:snapToGrid w:val="0"/>
                    <w:jc w:val="center"/>
                    <w:textAlignment w:val="center"/>
                    <w:rPr>
                      <w:ins w:id="901" w:author="Sunny" w:date="2022-12-29T13:58:00Z"/>
                      <w:color w:val="auto"/>
                      <w:szCs w:val="21"/>
                    </w:rPr>
                  </w:pPr>
                  <w:r>
                    <w:rPr>
                      <w:color w:val="auto"/>
                      <w:kern w:val="0"/>
                      <w:szCs w:val="21"/>
                      <w:lang w:bidi="ar"/>
                    </w:rPr>
                    <w:t>COD</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ins w:id="902" w:author="Sunny" w:date="2022-12-29T13:58:00Z"/>
                      <w:rFonts w:hint="default" w:eastAsia="宋体"/>
                      <w:color w:val="auto"/>
                      <w:szCs w:val="21"/>
                      <w:lang w:val="en-US" w:eastAsia="zh-CN"/>
                    </w:rPr>
                  </w:pPr>
                  <w:r>
                    <w:rPr>
                      <w:rFonts w:hint="eastAsia"/>
                      <w:color w:val="auto"/>
                      <w:szCs w:val="21"/>
                      <w:u w:val="none"/>
                      <w:lang w:val="en-US" w:eastAsia="zh-CN"/>
                    </w:rPr>
                    <w:t>350</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ins w:id="903" w:author="Sunny" w:date="2022-12-29T13:58:00Z"/>
                      <w:color w:val="auto"/>
                      <w:kern w:val="0"/>
                      <w:szCs w:val="21"/>
                      <w:lang w:bidi="ar"/>
                    </w:rPr>
                  </w:pPr>
                  <w:r>
                    <w:rPr>
                      <w:color w:val="auto"/>
                      <w:kern w:val="0"/>
                      <w:szCs w:val="21"/>
                      <w:lang w:bidi="ar"/>
                    </w:rPr>
                    <w:t>0.2976</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904" w:author="Sunny" w:date="2022-12-29T13:58:00Z"/>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ins w:id="905" w:author="Sunny" w:date="2022-12-29T13:58:00Z"/>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ins w:id="906" w:author="Sunny" w:date="2022-12-29T13:58:00Z"/>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ins w:id="907" w:author="Sunny" w:date="2022-12-29T13:58: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908" w:author="Sunny" w:date="2022-12-29T13:58: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909" w:author="Sunny" w:date="2022-12-29T13:58: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910" w:author="Sunny" w:date="2022-12-29T13:58: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911" w:author="Sunny" w:date="2022-12-29T13:58:00Z"/>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912" w:author="Sunny" w:date="2022-12-29T13:58:00Z"/>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913" w:author="Sunny" w:date="2022-12-29T13:58:00Z"/>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ins w:id="914" w:author="Sunny" w:date="2022-12-29T13:58:00Z"/>
                      <w:color w:val="auto"/>
                      <w:szCs w:val="21"/>
                    </w:rPr>
                  </w:pPr>
                </w:p>
              </w:tc>
              <w:tc>
                <w:tcPr>
                  <w:tcW w:w="333" w:type="pct"/>
                  <w:tcBorders>
                    <w:tl2br w:val="nil"/>
                    <w:tr2bl w:val="nil"/>
                  </w:tcBorders>
                  <w:tcMar>
                    <w:top w:w="0" w:type="dxa"/>
                    <w:left w:w="28" w:type="dxa"/>
                    <w:bottom w:w="0" w:type="dxa"/>
                    <w:right w:w="28" w:type="dxa"/>
                  </w:tcMar>
                  <w:vAlign w:val="center"/>
                </w:tcPr>
                <w:p>
                  <w:pPr>
                    <w:kinsoku w:val="0"/>
                    <w:overflowPunct w:val="0"/>
                    <w:adjustRightInd w:val="0"/>
                    <w:snapToGrid w:val="0"/>
                    <w:jc w:val="center"/>
                    <w:textAlignment w:val="center"/>
                    <w:rPr>
                      <w:ins w:id="915" w:author="Sunny" w:date="2022-12-29T13:58:00Z"/>
                      <w:color w:val="auto"/>
                      <w:szCs w:val="21"/>
                    </w:rPr>
                  </w:pPr>
                  <w:r>
                    <w:rPr>
                      <w:color w:val="auto"/>
                      <w:kern w:val="0"/>
                      <w:szCs w:val="21"/>
                      <w:lang w:bidi="ar"/>
                    </w:rPr>
                    <w:t>SS</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ins w:id="916" w:author="Sunny" w:date="2022-12-29T13:58:00Z"/>
                      <w:rFonts w:hint="default" w:eastAsia="宋体"/>
                      <w:color w:val="auto"/>
                      <w:szCs w:val="21"/>
                      <w:u w:val="none"/>
                      <w:lang w:val="en-US" w:eastAsia="zh-CN"/>
                    </w:rPr>
                  </w:pPr>
                  <w:r>
                    <w:rPr>
                      <w:rFonts w:hint="eastAsia"/>
                      <w:color w:val="auto"/>
                      <w:szCs w:val="21"/>
                      <w:u w:val="none"/>
                      <w:lang w:val="en-US" w:eastAsia="zh-CN"/>
                    </w:rPr>
                    <w:t>300</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ins w:id="917" w:author="Sunny" w:date="2022-12-29T13:58:00Z"/>
                      <w:color w:val="auto"/>
                      <w:kern w:val="0"/>
                      <w:szCs w:val="21"/>
                      <w:lang w:bidi="ar"/>
                    </w:rPr>
                  </w:pPr>
                  <w:r>
                    <w:rPr>
                      <w:color w:val="auto"/>
                      <w:kern w:val="0"/>
                      <w:szCs w:val="21"/>
                      <w:lang w:bidi="ar"/>
                    </w:rPr>
                    <w:t>0.2551</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918" w:author="Sunny" w:date="2022-12-29T13:58:00Z"/>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ins w:id="919" w:author="Sunny" w:date="2022-12-29T13:58:00Z"/>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ins w:id="920" w:author="Sunny" w:date="2022-12-29T13:58:00Z"/>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ins w:id="921" w:author="Sunny" w:date="2022-12-29T13:58: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922" w:author="Sunny" w:date="2022-12-29T13:58: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923" w:author="Sunny" w:date="2022-12-29T13:58: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924" w:author="Sunny" w:date="2022-12-29T13:58: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925" w:author="Sunny" w:date="2022-12-29T13:58:00Z"/>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926" w:author="Sunny" w:date="2022-12-29T13:58:00Z"/>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927" w:author="Sunny" w:date="2022-12-29T13:58:00Z"/>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ins w:id="928" w:author="Sunny" w:date="2022-12-29T13:58:00Z"/>
                      <w:color w:val="auto"/>
                      <w:szCs w:val="21"/>
                    </w:rPr>
                  </w:pPr>
                </w:p>
              </w:tc>
              <w:tc>
                <w:tcPr>
                  <w:tcW w:w="333" w:type="pct"/>
                  <w:tcBorders>
                    <w:tl2br w:val="nil"/>
                    <w:tr2bl w:val="nil"/>
                  </w:tcBorders>
                  <w:tcMar>
                    <w:top w:w="0" w:type="dxa"/>
                    <w:left w:w="28" w:type="dxa"/>
                    <w:bottom w:w="0" w:type="dxa"/>
                    <w:right w:w="28" w:type="dxa"/>
                  </w:tcMar>
                  <w:vAlign w:val="center"/>
                </w:tcPr>
                <w:p>
                  <w:pPr>
                    <w:kinsoku w:val="0"/>
                    <w:overflowPunct w:val="0"/>
                    <w:adjustRightInd w:val="0"/>
                    <w:snapToGrid w:val="0"/>
                    <w:jc w:val="center"/>
                    <w:textAlignment w:val="center"/>
                    <w:rPr>
                      <w:ins w:id="929" w:author="Sunny" w:date="2022-12-29T13:58:00Z"/>
                      <w:color w:val="auto"/>
                      <w:szCs w:val="21"/>
                    </w:rPr>
                  </w:pPr>
                  <w:r>
                    <w:rPr>
                      <w:color w:val="auto"/>
                      <w:kern w:val="0"/>
                      <w:szCs w:val="21"/>
                      <w:lang w:bidi="ar"/>
                    </w:rPr>
                    <w:t>石油类</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ins w:id="930" w:author="Sunny" w:date="2022-12-29T13:58:00Z"/>
                      <w:rFonts w:hint="default" w:eastAsia="宋体"/>
                      <w:color w:val="auto"/>
                      <w:szCs w:val="21"/>
                      <w:u w:val="none"/>
                      <w:lang w:val="en-US" w:eastAsia="zh-CN"/>
                    </w:rPr>
                  </w:pPr>
                  <w:r>
                    <w:rPr>
                      <w:rFonts w:hint="eastAsia"/>
                      <w:color w:val="auto"/>
                      <w:szCs w:val="21"/>
                      <w:u w:val="none"/>
                      <w:lang w:val="en-US" w:eastAsia="zh-CN"/>
                    </w:rPr>
                    <w:t>50</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ins w:id="931" w:author="Sunny" w:date="2022-12-29T13:58:00Z"/>
                      <w:color w:val="auto"/>
                      <w:kern w:val="0"/>
                      <w:szCs w:val="21"/>
                      <w:lang w:bidi="ar"/>
                    </w:rPr>
                  </w:pPr>
                  <w:r>
                    <w:rPr>
                      <w:color w:val="auto"/>
                      <w:kern w:val="0"/>
                      <w:szCs w:val="21"/>
                      <w:lang w:bidi="ar"/>
                    </w:rPr>
                    <w:t>0.0425</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932" w:author="Sunny" w:date="2022-12-29T13:58:00Z"/>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ins w:id="933" w:author="Sunny" w:date="2022-12-29T13:58:00Z"/>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ins w:id="934" w:author="Sunny" w:date="2022-12-29T13:58:00Z"/>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ins w:id="935" w:author="Sunny" w:date="2022-12-29T13:58: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936" w:author="Sunny" w:date="2022-12-29T13:58: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937" w:author="Sunny" w:date="2022-12-29T13:58: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938" w:author="Sunny" w:date="2022-12-29T13:58: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939" w:author="Sunny" w:date="2022-12-30T09:46:00Z"/>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940" w:author="Sunny" w:date="2022-12-30T09:46:00Z"/>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941" w:author="Sunny" w:date="2022-12-30T09:46:00Z"/>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ins w:id="942" w:author="Sunny" w:date="2022-12-30T09:46:00Z"/>
                      <w:color w:val="auto"/>
                      <w:szCs w:val="21"/>
                    </w:rPr>
                  </w:pPr>
                </w:p>
              </w:tc>
              <w:tc>
                <w:tcPr>
                  <w:tcW w:w="333" w:type="pct"/>
                  <w:tcBorders>
                    <w:tl2br w:val="nil"/>
                    <w:tr2bl w:val="nil"/>
                  </w:tcBorders>
                  <w:tcMar>
                    <w:top w:w="0" w:type="dxa"/>
                    <w:left w:w="28" w:type="dxa"/>
                    <w:bottom w:w="0" w:type="dxa"/>
                    <w:right w:w="28" w:type="dxa"/>
                  </w:tcMar>
                  <w:vAlign w:val="center"/>
                </w:tcPr>
                <w:p>
                  <w:pPr>
                    <w:kinsoku w:val="0"/>
                    <w:overflowPunct w:val="0"/>
                    <w:adjustRightInd w:val="0"/>
                    <w:snapToGrid w:val="0"/>
                    <w:jc w:val="center"/>
                    <w:textAlignment w:val="center"/>
                    <w:rPr>
                      <w:ins w:id="943" w:author="Sunny" w:date="2022-12-30T09:46:00Z"/>
                      <w:color w:val="auto"/>
                      <w:kern w:val="0"/>
                      <w:szCs w:val="21"/>
                      <w:lang w:bidi="ar"/>
                    </w:rPr>
                  </w:pPr>
                  <w:r>
                    <w:rPr>
                      <w:rFonts w:hint="eastAsia"/>
                      <w:color w:val="auto"/>
                      <w:kern w:val="0"/>
                      <w:szCs w:val="21"/>
                      <w:lang w:bidi="ar"/>
                    </w:rPr>
                    <w:t>LAS</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ins w:id="944" w:author="Sunny" w:date="2022-12-30T09:46:00Z"/>
                      <w:rFonts w:hint="default" w:eastAsia="宋体"/>
                      <w:color w:val="auto"/>
                      <w:kern w:val="0"/>
                      <w:szCs w:val="21"/>
                      <w:u w:val="none"/>
                      <w:lang w:val="en-US" w:eastAsia="zh-CN" w:bidi="ar"/>
                    </w:rPr>
                  </w:pPr>
                  <w:r>
                    <w:rPr>
                      <w:rFonts w:hint="eastAsia"/>
                      <w:color w:val="auto"/>
                      <w:szCs w:val="21"/>
                      <w:u w:val="none"/>
                      <w:lang w:val="en-US" w:eastAsia="zh-CN"/>
                    </w:rPr>
                    <w:t>30</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ins w:id="945" w:author="Sunny" w:date="2022-12-30T09:46:00Z"/>
                      <w:color w:val="auto"/>
                      <w:kern w:val="0"/>
                      <w:szCs w:val="21"/>
                      <w:lang w:bidi="ar"/>
                    </w:rPr>
                  </w:pPr>
                  <w:r>
                    <w:rPr>
                      <w:color w:val="auto"/>
                      <w:kern w:val="0"/>
                      <w:szCs w:val="21"/>
                      <w:lang w:bidi="ar"/>
                    </w:rPr>
                    <w:t>0.0255</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946" w:author="Sunny" w:date="2022-12-30T09:46:00Z"/>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ins w:id="947" w:author="Sunny" w:date="2022-12-30T09:46:00Z"/>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ins w:id="948" w:author="Sunny" w:date="2022-12-30T09:46:00Z"/>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ins w:id="949" w:author="Sunny" w:date="2022-12-30T09:46: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950" w:author="Sunny" w:date="2022-12-30T09:46: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951" w:author="Sunny" w:date="2022-12-30T09:46: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952" w:author="Sunny" w:date="2022-12-30T09:46: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ins w:id="953" w:author="Sunny" w:date="2022-12-29T13:59:00Z"/>
              </w:trPr>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954" w:author="Sunny" w:date="2022-12-29T13:59:00Z"/>
                      <w:color w:val="auto"/>
                      <w:szCs w:val="21"/>
                    </w:rPr>
                  </w:pPr>
                </w:p>
              </w:tc>
              <w:tc>
                <w:tcPr>
                  <w:tcW w:w="277" w:type="pct"/>
                  <w:vMerge w:val="continue"/>
                  <w:tcBorders>
                    <w:tl2br w:val="nil"/>
                    <w:tr2bl w:val="nil"/>
                  </w:tcBorders>
                  <w:tcMar>
                    <w:top w:w="0" w:type="dxa"/>
                    <w:left w:w="28" w:type="dxa"/>
                    <w:bottom w:w="0" w:type="dxa"/>
                    <w:right w:w="28" w:type="dxa"/>
                  </w:tcMar>
                  <w:vAlign w:val="center"/>
                </w:tcPr>
                <w:p>
                  <w:pPr>
                    <w:adjustRightInd w:val="0"/>
                    <w:snapToGrid w:val="0"/>
                    <w:jc w:val="center"/>
                    <w:rPr>
                      <w:ins w:id="955" w:author="Sunny" w:date="2022-12-29T13:59:00Z"/>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ins w:id="956" w:author="Sunny" w:date="2022-12-29T13:59:00Z"/>
                      <w:color w:val="auto"/>
                      <w:szCs w:val="21"/>
                    </w:rPr>
                  </w:pPr>
                </w:p>
              </w:tc>
              <w:tc>
                <w:tcPr>
                  <w:tcW w:w="333" w:type="pct"/>
                  <w:tcBorders>
                    <w:tl2br w:val="nil"/>
                    <w:tr2bl w:val="nil"/>
                  </w:tcBorders>
                  <w:tcMar>
                    <w:top w:w="0" w:type="dxa"/>
                    <w:left w:w="28" w:type="dxa"/>
                    <w:bottom w:w="0" w:type="dxa"/>
                    <w:right w:w="28" w:type="dxa"/>
                  </w:tcMar>
                  <w:vAlign w:val="center"/>
                </w:tcPr>
                <w:p>
                  <w:pPr>
                    <w:kinsoku w:val="0"/>
                    <w:overflowPunct w:val="0"/>
                    <w:adjustRightInd w:val="0"/>
                    <w:snapToGrid w:val="0"/>
                    <w:jc w:val="center"/>
                    <w:textAlignment w:val="center"/>
                    <w:rPr>
                      <w:ins w:id="957" w:author="Sunny" w:date="2022-12-29T13:59:00Z"/>
                      <w:color w:val="auto"/>
                      <w:kern w:val="0"/>
                      <w:szCs w:val="21"/>
                      <w:lang w:bidi="ar"/>
                    </w:rPr>
                  </w:pPr>
                  <w:r>
                    <w:rPr>
                      <w:rFonts w:hint="eastAsia"/>
                      <w:color w:val="auto"/>
                      <w:kern w:val="0"/>
                      <w:szCs w:val="21"/>
                      <w:lang w:bidi="ar"/>
                    </w:rPr>
                    <w:t>氟化物</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ins w:id="958" w:author="Sunny" w:date="2022-12-29T13:59:00Z"/>
                      <w:color w:val="auto"/>
                      <w:kern w:val="0"/>
                      <w:szCs w:val="21"/>
                      <w:lang w:bidi="ar"/>
                    </w:rPr>
                  </w:pPr>
                  <w:r>
                    <w:rPr>
                      <w:color w:val="auto"/>
                      <w:szCs w:val="21"/>
                    </w:rPr>
                    <w:t>600</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ins w:id="959" w:author="Sunny" w:date="2022-12-29T13:59:00Z"/>
                      <w:color w:val="auto"/>
                      <w:kern w:val="0"/>
                      <w:szCs w:val="21"/>
                      <w:lang w:bidi="ar"/>
                    </w:rPr>
                  </w:pPr>
                  <w:r>
                    <w:rPr>
                      <w:color w:val="auto"/>
                      <w:kern w:val="0"/>
                      <w:szCs w:val="21"/>
                      <w:lang w:bidi="ar"/>
                    </w:rPr>
                    <w:t>0.5101</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ins w:id="960" w:author="Sunny" w:date="2022-12-29T13:59:00Z"/>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ins w:id="961" w:author="Sunny" w:date="2022-12-29T13:59:00Z"/>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ins w:id="962" w:author="Sunny" w:date="2022-12-29T13:59:00Z"/>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ins w:id="963" w:author="Sunny" w:date="2022-12-29T13:59:00Z"/>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ins w:id="964" w:author="Sunny" w:date="2022-12-29T13:59:00Z"/>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ins w:id="965" w:author="Sunny" w:date="2022-12-29T13:59:00Z"/>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ins w:id="966" w:author="Sunny" w:date="2022-12-29T13:59:00Z"/>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4" w:type="pct"/>
                  <w:gridSpan w:val="2"/>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rFonts w:hint="eastAsia"/>
                      <w:b/>
                      <w:bCs/>
                      <w:color w:val="auto"/>
                      <w:szCs w:val="21"/>
                    </w:rPr>
                    <w:t>接管废水合计</w:t>
                  </w:r>
                </w:p>
              </w:tc>
              <w:tc>
                <w:tcPr>
                  <w:tcW w:w="321" w:type="pct"/>
                  <w:vMerge w:val="restar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rFonts w:hint="eastAsia"/>
                      <w:b/>
                      <w:bCs/>
                      <w:color w:val="auto"/>
                      <w:szCs w:val="21"/>
                    </w:rPr>
                    <w:t>2436.3</w:t>
                  </w:r>
                </w:p>
              </w:tc>
              <w:tc>
                <w:tcPr>
                  <w:tcW w:w="333" w:type="pc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pH（无量纲）</w:t>
                  </w:r>
                </w:p>
              </w:tc>
              <w:tc>
                <w:tcPr>
                  <w:tcW w:w="785" w:type="pct"/>
                  <w:gridSpan w:val="2"/>
                  <w:tcBorders>
                    <w:tl2br w:val="nil"/>
                    <w:tr2bl w:val="nil"/>
                  </w:tcBorders>
                  <w:tcMar>
                    <w:top w:w="0" w:type="dxa"/>
                    <w:left w:w="28" w:type="dxa"/>
                    <w:bottom w:w="0" w:type="dxa"/>
                    <w:right w:w="28" w:type="dxa"/>
                  </w:tcMar>
                  <w:vAlign w:val="center"/>
                </w:tcPr>
                <w:p>
                  <w:pPr>
                    <w:widowControl/>
                    <w:jc w:val="center"/>
                    <w:textAlignment w:val="center"/>
                    <w:rPr>
                      <w:b/>
                      <w:bCs/>
                      <w:color w:val="auto"/>
                      <w:szCs w:val="21"/>
                    </w:rPr>
                  </w:pPr>
                  <w:r>
                    <w:rPr>
                      <w:b/>
                      <w:bCs/>
                      <w:color w:val="auto"/>
                      <w:szCs w:val="21"/>
                    </w:rPr>
                    <w:t>6~9</w:t>
                  </w:r>
                </w:p>
              </w:tc>
              <w:tc>
                <w:tcPr>
                  <w:tcW w:w="473" w:type="pct"/>
                  <w:vMerge w:val="restar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生活污水经化粪池预处理</w:t>
                  </w:r>
                </w:p>
              </w:tc>
              <w:tc>
                <w:tcPr>
                  <w:tcW w:w="497" w:type="pct"/>
                  <w:vMerge w:val="restar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rFonts w:hint="eastAsia"/>
                      <w:b/>
                      <w:bCs/>
                      <w:color w:val="auto"/>
                      <w:szCs w:val="21"/>
                    </w:rPr>
                    <w:t>2436.3</w:t>
                  </w:r>
                </w:p>
              </w:tc>
              <w:tc>
                <w:tcPr>
                  <w:tcW w:w="894" w:type="pct"/>
                  <w:gridSpan w:val="2"/>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b/>
                      <w:bCs/>
                      <w:color w:val="auto"/>
                      <w:szCs w:val="21"/>
                    </w:rPr>
                    <w:t>6~9</w:t>
                  </w:r>
                </w:p>
              </w:tc>
              <w:tc>
                <w:tcPr>
                  <w:tcW w:w="452" w:type="pc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6~9</w:t>
                  </w:r>
                </w:p>
              </w:tc>
              <w:tc>
                <w:tcPr>
                  <w:tcW w:w="222" w:type="pct"/>
                  <w:vMerge w:val="restar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间接排放</w:t>
                  </w:r>
                </w:p>
              </w:tc>
              <w:tc>
                <w:tcPr>
                  <w:tcW w:w="464" w:type="pct"/>
                  <w:vMerge w:val="restar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污水接入梅村水处理厂集中处理，尾水排入梅花港，最终汇入江南运河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4" w:type="pct"/>
                  <w:gridSpan w:val="2"/>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COD</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b/>
                      <w:bCs/>
                      <w:color w:val="auto"/>
                      <w:szCs w:val="21"/>
                    </w:rPr>
                  </w:pPr>
                  <w:r>
                    <w:rPr>
                      <w:b/>
                      <w:bCs/>
                      <w:color w:val="auto"/>
                      <w:kern w:val="0"/>
                      <w:szCs w:val="21"/>
                      <w:lang w:bidi="ar"/>
                    </w:rPr>
                    <w:t>371.5183</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b/>
                      <w:bCs/>
                      <w:color w:val="auto"/>
                      <w:szCs w:val="21"/>
                    </w:rPr>
                  </w:pPr>
                  <w:r>
                    <w:rPr>
                      <w:b/>
                      <w:bCs/>
                      <w:color w:val="auto"/>
                      <w:kern w:val="0"/>
                      <w:szCs w:val="21"/>
                      <w:lang w:bidi="ar"/>
                    </w:rPr>
                    <w:t xml:space="preserve">0.9051 </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1238"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default" w:ascii="Times New Roman" w:hAnsi="Times New Roman" w:eastAsia="宋体" w:cs="Times New Roman"/>
                      <w:b/>
                      <w:bCs/>
                      <w:i w:val="0"/>
                      <w:iCs w:val="0"/>
                      <w:color w:val="auto"/>
                      <w:kern w:val="0"/>
                      <w:sz w:val="21"/>
                      <w:szCs w:val="21"/>
                      <w:u w:val="none"/>
                      <w:lang w:val="en-US" w:eastAsia="zh-CN" w:bidi="ar"/>
                    </w:rPr>
                    <w:t>332.7300</w:t>
                  </w:r>
                </w:p>
              </w:tc>
              <w:tc>
                <w:tcPr>
                  <w:tcW w:w="1158"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default" w:ascii="Times New Roman" w:hAnsi="Times New Roman" w:eastAsia="宋体" w:cs="Times New Roman"/>
                      <w:b/>
                      <w:bCs/>
                      <w:i w:val="0"/>
                      <w:iCs w:val="0"/>
                      <w:color w:val="auto"/>
                      <w:kern w:val="0"/>
                      <w:sz w:val="21"/>
                      <w:szCs w:val="21"/>
                      <w:u w:val="none"/>
                      <w:lang w:val="en-US" w:eastAsia="zh-CN" w:bidi="ar"/>
                    </w:rPr>
                    <w:t xml:space="preserve">0.8106 </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b/>
                      <w:bCs/>
                      <w:color w:val="auto"/>
                      <w:szCs w:val="21"/>
                    </w:rPr>
                  </w:pPr>
                  <w:r>
                    <w:rPr>
                      <w:b/>
                      <w:bCs/>
                      <w:color w:val="auto"/>
                      <w:kern w:val="0"/>
                      <w:szCs w:val="21"/>
                      <w:lang w:bidi="ar"/>
                    </w:rPr>
                    <w:t xml:space="preserve">500 </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4" w:type="pct"/>
                  <w:gridSpan w:val="2"/>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SS</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b/>
                      <w:bCs/>
                      <w:color w:val="auto"/>
                      <w:szCs w:val="21"/>
                    </w:rPr>
                  </w:pPr>
                  <w:r>
                    <w:rPr>
                      <w:b/>
                      <w:bCs/>
                      <w:color w:val="auto"/>
                      <w:kern w:val="0"/>
                      <w:szCs w:val="21"/>
                      <w:lang w:bidi="ar"/>
                    </w:rPr>
                    <w:t>343.9416</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b/>
                      <w:bCs/>
                      <w:color w:val="auto"/>
                      <w:szCs w:val="21"/>
                    </w:rPr>
                  </w:pPr>
                  <w:r>
                    <w:rPr>
                      <w:b/>
                      <w:bCs/>
                      <w:color w:val="auto"/>
                      <w:kern w:val="0"/>
                      <w:szCs w:val="21"/>
                      <w:lang w:bidi="ar"/>
                    </w:rPr>
                    <w:t xml:space="preserve">0.8379 </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1238"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default" w:ascii="Times New Roman" w:hAnsi="Times New Roman" w:eastAsia="宋体" w:cs="Times New Roman"/>
                      <w:b/>
                      <w:bCs/>
                      <w:i w:val="0"/>
                      <w:iCs w:val="0"/>
                      <w:color w:val="auto"/>
                      <w:kern w:val="0"/>
                      <w:sz w:val="21"/>
                      <w:szCs w:val="21"/>
                      <w:u w:val="none"/>
                      <w:lang w:val="en-US" w:eastAsia="zh-CN" w:bidi="ar"/>
                    </w:rPr>
                    <w:t>305.1533</w:t>
                  </w:r>
                </w:p>
              </w:tc>
              <w:tc>
                <w:tcPr>
                  <w:tcW w:w="1158"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default" w:ascii="Times New Roman" w:hAnsi="Times New Roman" w:eastAsia="宋体" w:cs="Times New Roman"/>
                      <w:b/>
                      <w:bCs/>
                      <w:i w:val="0"/>
                      <w:iCs w:val="0"/>
                      <w:color w:val="auto"/>
                      <w:kern w:val="0"/>
                      <w:sz w:val="21"/>
                      <w:szCs w:val="21"/>
                      <w:u w:val="none"/>
                      <w:lang w:val="en-US" w:eastAsia="zh-CN" w:bidi="ar"/>
                    </w:rPr>
                    <w:t xml:space="preserve">0.7434 </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b/>
                      <w:bCs/>
                      <w:color w:val="auto"/>
                      <w:szCs w:val="21"/>
                    </w:rPr>
                  </w:pPr>
                  <w:r>
                    <w:rPr>
                      <w:b/>
                      <w:bCs/>
                      <w:color w:val="auto"/>
                      <w:kern w:val="0"/>
                      <w:szCs w:val="21"/>
                      <w:lang w:bidi="ar"/>
                    </w:rPr>
                    <w:t xml:space="preserve">400 </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4" w:type="pct"/>
                  <w:gridSpan w:val="2"/>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氨氮</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b/>
                      <w:bCs/>
                      <w:color w:val="auto"/>
                      <w:szCs w:val="21"/>
                    </w:rPr>
                  </w:pPr>
                  <w:r>
                    <w:rPr>
                      <w:b/>
                      <w:bCs/>
                      <w:color w:val="auto"/>
                      <w:kern w:val="0"/>
                      <w:szCs w:val="21"/>
                      <w:lang w:bidi="ar"/>
                    </w:rPr>
                    <w:t>27.1518</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b/>
                      <w:bCs/>
                      <w:color w:val="auto"/>
                      <w:szCs w:val="21"/>
                    </w:rPr>
                  </w:pPr>
                  <w:r>
                    <w:rPr>
                      <w:b/>
                      <w:bCs/>
                      <w:color w:val="auto"/>
                      <w:kern w:val="0"/>
                      <w:szCs w:val="21"/>
                      <w:lang w:bidi="ar"/>
                    </w:rPr>
                    <w:t xml:space="preserve">0.0662 </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1238"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default" w:ascii="Times New Roman" w:hAnsi="Times New Roman" w:eastAsia="宋体" w:cs="Times New Roman"/>
                      <w:b/>
                      <w:bCs/>
                      <w:i w:val="0"/>
                      <w:iCs w:val="0"/>
                      <w:color w:val="auto"/>
                      <w:kern w:val="0"/>
                      <w:sz w:val="21"/>
                      <w:szCs w:val="21"/>
                      <w:u w:val="none"/>
                      <w:lang w:val="en-US" w:eastAsia="zh-CN" w:bidi="ar"/>
                    </w:rPr>
                    <w:t>27.1518</w:t>
                  </w:r>
                </w:p>
              </w:tc>
              <w:tc>
                <w:tcPr>
                  <w:tcW w:w="1158"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default" w:ascii="Times New Roman" w:hAnsi="Times New Roman" w:eastAsia="宋体" w:cs="Times New Roman"/>
                      <w:b/>
                      <w:bCs/>
                      <w:i w:val="0"/>
                      <w:iCs w:val="0"/>
                      <w:color w:val="auto"/>
                      <w:kern w:val="0"/>
                      <w:sz w:val="21"/>
                      <w:szCs w:val="21"/>
                      <w:u w:val="none"/>
                      <w:lang w:val="en-US" w:eastAsia="zh-CN" w:bidi="ar"/>
                    </w:rPr>
                    <w:t xml:space="preserve">0.0662 </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b/>
                      <w:bCs/>
                      <w:color w:val="auto"/>
                      <w:szCs w:val="21"/>
                    </w:rPr>
                  </w:pPr>
                  <w:r>
                    <w:rPr>
                      <w:b/>
                      <w:bCs/>
                      <w:color w:val="auto"/>
                      <w:kern w:val="0"/>
                      <w:szCs w:val="21"/>
                      <w:lang w:bidi="ar"/>
                    </w:rPr>
                    <w:t xml:space="preserve">45 </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4" w:type="pct"/>
                  <w:gridSpan w:val="2"/>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总氮</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b/>
                      <w:bCs/>
                      <w:color w:val="auto"/>
                      <w:szCs w:val="21"/>
                    </w:rPr>
                  </w:pPr>
                  <w:r>
                    <w:rPr>
                      <w:b/>
                      <w:bCs/>
                      <w:color w:val="auto"/>
                      <w:kern w:val="0"/>
                      <w:szCs w:val="21"/>
                      <w:lang w:bidi="ar"/>
                    </w:rPr>
                    <w:t>31.0307</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b/>
                      <w:bCs/>
                      <w:color w:val="auto"/>
                      <w:szCs w:val="21"/>
                    </w:rPr>
                  </w:pPr>
                  <w:r>
                    <w:rPr>
                      <w:b/>
                      <w:bCs/>
                      <w:color w:val="auto"/>
                      <w:kern w:val="0"/>
                      <w:szCs w:val="21"/>
                      <w:lang w:bidi="ar"/>
                    </w:rPr>
                    <w:t xml:space="preserve">0.0756 </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1238"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default" w:ascii="Times New Roman" w:hAnsi="Times New Roman" w:eastAsia="宋体" w:cs="Times New Roman"/>
                      <w:b/>
                      <w:bCs/>
                      <w:i w:val="0"/>
                      <w:iCs w:val="0"/>
                      <w:color w:val="auto"/>
                      <w:kern w:val="0"/>
                      <w:sz w:val="21"/>
                      <w:szCs w:val="21"/>
                      <w:u w:val="none"/>
                      <w:lang w:val="en-US" w:eastAsia="zh-CN" w:bidi="ar"/>
                    </w:rPr>
                    <w:t>31.0307</w:t>
                  </w:r>
                </w:p>
              </w:tc>
              <w:tc>
                <w:tcPr>
                  <w:tcW w:w="1158"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default" w:ascii="Times New Roman" w:hAnsi="Times New Roman" w:eastAsia="宋体" w:cs="Times New Roman"/>
                      <w:b/>
                      <w:bCs/>
                      <w:i w:val="0"/>
                      <w:iCs w:val="0"/>
                      <w:color w:val="auto"/>
                      <w:kern w:val="0"/>
                      <w:sz w:val="21"/>
                      <w:szCs w:val="21"/>
                      <w:u w:val="none"/>
                      <w:lang w:val="en-US" w:eastAsia="zh-CN" w:bidi="ar"/>
                    </w:rPr>
                    <w:t xml:space="preserve">0.0756 </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b/>
                      <w:bCs/>
                      <w:color w:val="auto"/>
                      <w:szCs w:val="21"/>
                    </w:rPr>
                  </w:pPr>
                  <w:r>
                    <w:rPr>
                      <w:b/>
                      <w:bCs/>
                      <w:color w:val="auto"/>
                      <w:kern w:val="0"/>
                      <w:szCs w:val="21"/>
                      <w:lang w:bidi="ar"/>
                    </w:rPr>
                    <w:t xml:space="preserve">70 </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4" w:type="pct"/>
                  <w:gridSpan w:val="2"/>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总磷</w:t>
                  </w:r>
                </w:p>
              </w:tc>
              <w:tc>
                <w:tcPr>
                  <w:tcW w:w="354" w:type="pct"/>
                  <w:tcBorders>
                    <w:tl2br w:val="nil"/>
                    <w:tr2bl w:val="nil"/>
                  </w:tcBorders>
                  <w:tcMar>
                    <w:top w:w="0" w:type="dxa"/>
                    <w:left w:w="28" w:type="dxa"/>
                    <w:bottom w:w="0" w:type="dxa"/>
                    <w:right w:w="28" w:type="dxa"/>
                  </w:tcMar>
                  <w:vAlign w:val="center"/>
                </w:tcPr>
                <w:p>
                  <w:pPr>
                    <w:widowControl/>
                    <w:jc w:val="center"/>
                    <w:textAlignment w:val="center"/>
                    <w:rPr>
                      <w:b/>
                      <w:bCs/>
                      <w:color w:val="auto"/>
                      <w:szCs w:val="21"/>
                    </w:rPr>
                  </w:pPr>
                  <w:r>
                    <w:rPr>
                      <w:b/>
                      <w:bCs/>
                      <w:color w:val="auto"/>
                      <w:kern w:val="0"/>
                      <w:szCs w:val="21"/>
                      <w:lang w:bidi="ar"/>
                    </w:rPr>
                    <w:t>3.8788</w:t>
                  </w:r>
                </w:p>
              </w:tc>
              <w:tc>
                <w:tcPr>
                  <w:tcW w:w="431" w:type="pct"/>
                  <w:tcBorders>
                    <w:tl2br w:val="nil"/>
                    <w:tr2bl w:val="nil"/>
                  </w:tcBorders>
                  <w:tcMar>
                    <w:top w:w="0" w:type="dxa"/>
                    <w:left w:w="28" w:type="dxa"/>
                    <w:bottom w:w="0" w:type="dxa"/>
                    <w:right w:w="28" w:type="dxa"/>
                  </w:tcMar>
                  <w:vAlign w:val="center"/>
                </w:tcPr>
                <w:p>
                  <w:pPr>
                    <w:widowControl/>
                    <w:jc w:val="center"/>
                    <w:textAlignment w:val="center"/>
                    <w:rPr>
                      <w:b/>
                      <w:bCs/>
                      <w:color w:val="auto"/>
                      <w:szCs w:val="21"/>
                    </w:rPr>
                  </w:pPr>
                  <w:r>
                    <w:rPr>
                      <w:b/>
                      <w:bCs/>
                      <w:color w:val="auto"/>
                      <w:kern w:val="0"/>
                      <w:szCs w:val="21"/>
                      <w:lang w:bidi="ar"/>
                    </w:rPr>
                    <w:t xml:space="preserve">0.0095 </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1238"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default" w:ascii="Times New Roman" w:hAnsi="Times New Roman" w:eastAsia="宋体" w:cs="Times New Roman"/>
                      <w:b/>
                      <w:bCs/>
                      <w:i w:val="0"/>
                      <w:iCs w:val="0"/>
                      <w:color w:val="auto"/>
                      <w:kern w:val="0"/>
                      <w:sz w:val="21"/>
                      <w:szCs w:val="21"/>
                      <w:u w:val="none"/>
                      <w:lang w:val="en-US" w:eastAsia="zh-CN" w:bidi="ar"/>
                    </w:rPr>
                    <w:t>3.8788</w:t>
                  </w:r>
                </w:p>
              </w:tc>
              <w:tc>
                <w:tcPr>
                  <w:tcW w:w="1158"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default" w:ascii="Times New Roman" w:hAnsi="Times New Roman" w:eastAsia="宋体" w:cs="Times New Roman"/>
                      <w:b/>
                      <w:bCs/>
                      <w:i w:val="0"/>
                      <w:iCs w:val="0"/>
                      <w:color w:val="auto"/>
                      <w:kern w:val="0"/>
                      <w:sz w:val="21"/>
                      <w:szCs w:val="21"/>
                      <w:u w:val="none"/>
                      <w:lang w:val="en-US" w:eastAsia="zh-CN" w:bidi="ar"/>
                    </w:rPr>
                    <w:t xml:space="preserve">0.0095 </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b/>
                      <w:bCs/>
                      <w:color w:val="auto"/>
                      <w:szCs w:val="21"/>
                    </w:rPr>
                  </w:pPr>
                  <w:r>
                    <w:rPr>
                      <w:b/>
                      <w:bCs/>
                      <w:color w:val="auto"/>
                      <w:kern w:val="0"/>
                      <w:szCs w:val="21"/>
                      <w:lang w:bidi="ar"/>
                    </w:rPr>
                    <w:t xml:space="preserve">8 </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4" w:type="pct"/>
                  <w:gridSpan w:val="2"/>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rFonts w:hint="eastAsia"/>
                      <w:b/>
                      <w:bCs/>
                      <w:color w:val="auto"/>
                      <w:szCs w:val="21"/>
                      <w:lang w:eastAsia="zh-CN"/>
                    </w:rPr>
                    <w:t>其他</w:t>
                  </w:r>
                  <w:r>
                    <w:rPr>
                      <w:rFonts w:hint="eastAsia"/>
                      <w:b/>
                      <w:bCs/>
                      <w:color w:val="auto"/>
                      <w:szCs w:val="21"/>
                    </w:rPr>
                    <w:t>废水合计</w:t>
                  </w:r>
                </w:p>
              </w:tc>
              <w:tc>
                <w:tcPr>
                  <w:tcW w:w="321" w:type="pct"/>
                  <w:vMerge w:val="restart"/>
                  <w:tcBorders>
                    <w:tl2br w:val="nil"/>
                    <w:tr2bl w:val="nil"/>
                  </w:tcBorders>
                  <w:tcMar>
                    <w:top w:w="0" w:type="dxa"/>
                    <w:left w:w="28" w:type="dxa"/>
                    <w:bottom w:w="0" w:type="dxa"/>
                    <w:right w:w="28" w:type="dxa"/>
                  </w:tcMar>
                  <w:vAlign w:val="center"/>
                </w:tcPr>
                <w:p>
                  <w:pPr>
                    <w:adjustRightInd w:val="0"/>
                    <w:snapToGrid w:val="0"/>
                    <w:jc w:val="center"/>
                    <w:rPr>
                      <w:rFonts w:hint="default" w:eastAsia="宋体"/>
                      <w:b/>
                      <w:bCs/>
                      <w:color w:val="auto"/>
                      <w:szCs w:val="21"/>
                      <w:lang w:val="en-US" w:eastAsia="zh-CN"/>
                    </w:rPr>
                  </w:pPr>
                  <w:r>
                    <w:rPr>
                      <w:color w:val="auto"/>
                    </w:rPr>
                    <w:commentReference w:id="27"/>
                  </w:r>
                  <w:r>
                    <w:rPr>
                      <w:rFonts w:hint="eastAsia"/>
                      <w:b/>
                      <w:bCs/>
                      <w:color w:val="auto"/>
                      <w:lang w:val="en-US" w:eastAsia="zh-CN"/>
                    </w:rPr>
                    <w:t>1129.5</w:t>
                  </w:r>
                </w:p>
              </w:tc>
              <w:tc>
                <w:tcPr>
                  <w:tcW w:w="333" w:type="pc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rFonts w:hint="eastAsia"/>
                      <w:b/>
                      <w:bCs/>
                      <w:color w:val="auto"/>
                      <w:szCs w:val="21"/>
                    </w:rPr>
                    <w:t>pH（无量纲）</w:t>
                  </w:r>
                </w:p>
              </w:tc>
              <w:tc>
                <w:tcPr>
                  <w:tcW w:w="785" w:type="pct"/>
                  <w:gridSpan w:val="2"/>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b/>
                      <w:bCs/>
                      <w:color w:val="auto"/>
                      <w:szCs w:val="21"/>
                    </w:rPr>
                    <w:t>6~9</w:t>
                  </w:r>
                </w:p>
              </w:tc>
              <w:tc>
                <w:tcPr>
                  <w:tcW w:w="473" w:type="pct"/>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rFonts w:hint="eastAsia"/>
                      <w:b/>
                      <w:bCs/>
                      <w:color w:val="auto"/>
                      <w:szCs w:val="21"/>
                    </w:rPr>
                    <w:t>预脱脂清槽废水、脱脂清槽废水、陶化清槽废水、水洗水经隔油+混凝气浮+砂滤+二级反渗透+蒸发浓缩</w:t>
                  </w:r>
                </w:p>
              </w:tc>
              <w:tc>
                <w:tcPr>
                  <w:tcW w:w="497" w:type="pct"/>
                  <w:vMerge w:val="restart"/>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r>
                    <w:rPr>
                      <w:color w:val="auto"/>
                      <w:szCs w:val="21"/>
                    </w:rPr>
                    <w:t>—</w:t>
                  </w:r>
                </w:p>
              </w:tc>
              <w:tc>
                <w:tcPr>
                  <w:tcW w:w="894" w:type="pct"/>
                  <w:gridSpan w:val="2"/>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color w:val="auto"/>
                      <w:szCs w:val="21"/>
                    </w:rPr>
                    <w:t>—</w:t>
                  </w:r>
                </w:p>
              </w:tc>
              <w:tc>
                <w:tcPr>
                  <w:tcW w:w="222" w:type="pct"/>
                  <w:vMerge w:val="restar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rFonts w:hint="eastAsia"/>
                      <w:b/>
                      <w:bCs/>
                      <w:color w:val="auto"/>
                      <w:szCs w:val="21"/>
                    </w:rPr>
                    <w:t>不外排</w:t>
                  </w:r>
                </w:p>
              </w:tc>
              <w:tc>
                <w:tcPr>
                  <w:tcW w:w="464" w:type="pct"/>
                  <w:vMerge w:val="restar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rFonts w:hint="eastAsia"/>
                      <w:b/>
                      <w:bCs/>
                      <w:color w:val="auto"/>
                      <w:szCs w:val="21"/>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4" w:type="pct"/>
                  <w:gridSpan w:val="2"/>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COD</w:t>
                  </w:r>
                </w:p>
              </w:tc>
              <w:tc>
                <w:tcPr>
                  <w:tcW w:w="949"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eastAsia" w:ascii="宋体" w:hAnsi="宋体" w:eastAsia="宋体" w:cs="宋体"/>
                      <w:b/>
                      <w:bCs/>
                      <w:i w:val="0"/>
                      <w:iCs w:val="0"/>
                      <w:color w:val="auto"/>
                      <w:kern w:val="0"/>
                      <w:sz w:val="21"/>
                      <w:szCs w:val="21"/>
                      <w:u w:val="none"/>
                      <w:lang w:val="en-US" w:eastAsia="zh-CN" w:bidi="ar"/>
                    </w:rPr>
                    <w:t>450.3851</w:t>
                  </w:r>
                </w:p>
              </w:tc>
              <w:tc>
                <w:tcPr>
                  <w:tcW w:w="1155"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eastAsia" w:ascii="宋体" w:hAnsi="宋体" w:eastAsia="宋体" w:cs="宋体"/>
                      <w:b/>
                      <w:bCs/>
                      <w:i w:val="0"/>
                      <w:iCs w:val="0"/>
                      <w:color w:val="auto"/>
                      <w:kern w:val="0"/>
                      <w:sz w:val="21"/>
                      <w:szCs w:val="21"/>
                      <w:u w:val="none"/>
                      <w:lang w:val="en-US" w:eastAsia="zh-CN" w:bidi="ar"/>
                    </w:rPr>
                    <w:t>0.5087</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4" w:type="pct"/>
                  <w:gridSpan w:val="2"/>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szCs w:val="21"/>
                    </w:rPr>
                    <w:t>SS</w:t>
                  </w:r>
                </w:p>
              </w:tc>
              <w:tc>
                <w:tcPr>
                  <w:tcW w:w="949"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eastAsia" w:ascii="宋体" w:hAnsi="宋体" w:eastAsia="宋体" w:cs="宋体"/>
                      <w:b/>
                      <w:bCs/>
                      <w:i w:val="0"/>
                      <w:iCs w:val="0"/>
                      <w:color w:val="auto"/>
                      <w:kern w:val="0"/>
                      <w:sz w:val="21"/>
                      <w:szCs w:val="21"/>
                      <w:u w:val="none"/>
                      <w:lang w:val="en-US" w:eastAsia="zh-CN" w:bidi="ar"/>
                    </w:rPr>
                    <w:t>300.0000</w:t>
                  </w:r>
                </w:p>
              </w:tc>
              <w:tc>
                <w:tcPr>
                  <w:tcW w:w="1155"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eastAsia" w:ascii="宋体" w:hAnsi="宋体" w:eastAsia="宋体" w:cs="宋体"/>
                      <w:b/>
                      <w:bCs/>
                      <w:i w:val="0"/>
                      <w:iCs w:val="0"/>
                      <w:color w:val="auto"/>
                      <w:kern w:val="0"/>
                      <w:sz w:val="21"/>
                      <w:szCs w:val="21"/>
                      <w:u w:val="none"/>
                      <w:lang w:val="en-US" w:eastAsia="zh-CN" w:bidi="ar"/>
                    </w:rPr>
                    <w:t>0.3389</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4" w:type="pct"/>
                  <w:gridSpan w:val="2"/>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rFonts w:hint="eastAsia"/>
                      <w:b/>
                      <w:bCs/>
                      <w:color w:val="auto"/>
                      <w:kern w:val="0"/>
                      <w:szCs w:val="21"/>
                      <w:lang w:bidi="ar"/>
                    </w:rPr>
                    <w:t>石油类</w:t>
                  </w:r>
                </w:p>
              </w:tc>
              <w:tc>
                <w:tcPr>
                  <w:tcW w:w="949"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eastAsia" w:ascii="宋体" w:hAnsi="宋体" w:eastAsia="宋体" w:cs="宋体"/>
                      <w:b/>
                      <w:bCs/>
                      <w:i w:val="0"/>
                      <w:iCs w:val="0"/>
                      <w:color w:val="auto"/>
                      <w:kern w:val="0"/>
                      <w:sz w:val="21"/>
                      <w:szCs w:val="21"/>
                      <w:u w:val="none"/>
                      <w:lang w:val="en-US" w:eastAsia="zh-CN" w:bidi="ar"/>
                    </w:rPr>
                    <w:t>67.1049</w:t>
                  </w:r>
                </w:p>
              </w:tc>
              <w:tc>
                <w:tcPr>
                  <w:tcW w:w="1155"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eastAsia" w:ascii="宋体" w:hAnsi="宋体" w:eastAsia="宋体" w:cs="宋体"/>
                      <w:b/>
                      <w:bCs/>
                      <w:i w:val="0"/>
                      <w:iCs w:val="0"/>
                      <w:color w:val="auto"/>
                      <w:kern w:val="0"/>
                      <w:sz w:val="21"/>
                      <w:szCs w:val="21"/>
                      <w:u w:val="none"/>
                      <w:lang w:val="en-US" w:eastAsia="zh-CN" w:bidi="ar"/>
                    </w:rPr>
                    <w:t>0.0758</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4" w:type="pct"/>
                  <w:gridSpan w:val="2"/>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b/>
                      <w:bCs/>
                      <w:color w:val="auto"/>
                      <w:kern w:val="0"/>
                      <w:szCs w:val="21"/>
                      <w:lang w:bidi="ar"/>
                    </w:rPr>
                    <w:t>LAS</w:t>
                  </w:r>
                </w:p>
              </w:tc>
              <w:tc>
                <w:tcPr>
                  <w:tcW w:w="949"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eastAsia" w:ascii="宋体" w:hAnsi="宋体" w:eastAsia="宋体" w:cs="宋体"/>
                      <w:b/>
                      <w:bCs/>
                      <w:i w:val="0"/>
                      <w:iCs w:val="0"/>
                      <w:color w:val="auto"/>
                      <w:kern w:val="0"/>
                      <w:sz w:val="21"/>
                      <w:szCs w:val="21"/>
                      <w:u w:val="none"/>
                      <w:lang w:val="en-US" w:eastAsia="zh-CN" w:bidi="ar"/>
                    </w:rPr>
                    <w:t>36.4197</w:t>
                  </w:r>
                </w:p>
              </w:tc>
              <w:tc>
                <w:tcPr>
                  <w:tcW w:w="1155"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eastAsia" w:ascii="宋体" w:hAnsi="宋体" w:eastAsia="宋体" w:cs="宋体"/>
                      <w:b/>
                      <w:bCs/>
                      <w:i w:val="0"/>
                      <w:iCs w:val="0"/>
                      <w:color w:val="auto"/>
                      <w:kern w:val="0"/>
                      <w:sz w:val="21"/>
                      <w:szCs w:val="21"/>
                      <w:u w:val="none"/>
                      <w:lang w:val="en-US" w:eastAsia="zh-CN" w:bidi="ar"/>
                    </w:rPr>
                    <w:t>0.0411</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4" w:type="pct"/>
                  <w:gridSpan w:val="2"/>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21"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333" w:type="pct"/>
                  <w:tcBorders>
                    <w:tl2br w:val="nil"/>
                    <w:tr2bl w:val="nil"/>
                  </w:tcBorders>
                  <w:tcMar>
                    <w:top w:w="0" w:type="dxa"/>
                    <w:left w:w="28" w:type="dxa"/>
                    <w:bottom w:w="0" w:type="dxa"/>
                    <w:right w:w="28" w:type="dxa"/>
                  </w:tcMar>
                  <w:vAlign w:val="center"/>
                </w:tcPr>
                <w:p>
                  <w:pPr>
                    <w:adjustRightInd w:val="0"/>
                    <w:snapToGrid w:val="0"/>
                    <w:jc w:val="center"/>
                    <w:rPr>
                      <w:b/>
                      <w:bCs/>
                      <w:color w:val="auto"/>
                      <w:szCs w:val="21"/>
                    </w:rPr>
                  </w:pPr>
                  <w:r>
                    <w:rPr>
                      <w:rFonts w:hint="eastAsia"/>
                      <w:b/>
                      <w:bCs/>
                      <w:color w:val="auto"/>
                      <w:kern w:val="0"/>
                      <w:szCs w:val="21"/>
                      <w:lang w:bidi="ar"/>
                    </w:rPr>
                    <w:t>氟化物</w:t>
                  </w:r>
                </w:p>
              </w:tc>
              <w:tc>
                <w:tcPr>
                  <w:tcW w:w="949"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eastAsia" w:ascii="宋体" w:hAnsi="宋体" w:eastAsia="宋体" w:cs="宋体"/>
                      <w:b/>
                      <w:bCs/>
                      <w:i w:val="0"/>
                      <w:iCs w:val="0"/>
                      <w:color w:val="auto"/>
                      <w:kern w:val="0"/>
                      <w:sz w:val="21"/>
                      <w:szCs w:val="21"/>
                      <w:u w:val="none"/>
                      <w:lang w:val="en-US" w:eastAsia="zh-CN" w:bidi="ar"/>
                    </w:rPr>
                    <w:t>538.7517</w:t>
                  </w:r>
                </w:p>
              </w:tc>
              <w:tc>
                <w:tcPr>
                  <w:tcW w:w="1155" w:type="dxa"/>
                  <w:tcBorders>
                    <w:tl2br w:val="nil"/>
                    <w:tr2bl w:val="nil"/>
                  </w:tcBorders>
                  <w:tcMar>
                    <w:top w:w="0" w:type="dxa"/>
                    <w:left w:w="28" w:type="dxa"/>
                    <w:bottom w:w="0" w:type="dxa"/>
                    <w:right w:w="28" w:type="dxa"/>
                  </w:tcMar>
                  <w:vAlign w:val="center"/>
                </w:tcPr>
                <w:p>
                  <w:pPr>
                    <w:keepNext w:val="0"/>
                    <w:keepLines w:val="0"/>
                    <w:widowControl/>
                    <w:suppressLineNumbers w:val="0"/>
                    <w:jc w:val="center"/>
                    <w:textAlignment w:val="center"/>
                    <w:rPr>
                      <w:b/>
                      <w:bCs/>
                      <w:color w:val="auto"/>
                      <w:kern w:val="0"/>
                      <w:szCs w:val="21"/>
                      <w:lang w:bidi="ar"/>
                    </w:rPr>
                  </w:pPr>
                  <w:r>
                    <w:rPr>
                      <w:rFonts w:hint="eastAsia" w:ascii="宋体" w:hAnsi="宋体" w:eastAsia="宋体" w:cs="宋体"/>
                      <w:b/>
                      <w:bCs/>
                      <w:i w:val="0"/>
                      <w:iCs w:val="0"/>
                      <w:color w:val="auto"/>
                      <w:kern w:val="0"/>
                      <w:sz w:val="21"/>
                      <w:szCs w:val="21"/>
                      <w:u w:val="none"/>
                      <w:lang w:val="en-US" w:eastAsia="zh-CN" w:bidi="ar"/>
                    </w:rPr>
                    <w:t>0.6085</w:t>
                  </w:r>
                </w:p>
              </w:tc>
              <w:tc>
                <w:tcPr>
                  <w:tcW w:w="473"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97"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2" w:type="pct"/>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color w:val="auto"/>
                      <w:szCs w:val="21"/>
                    </w:rPr>
                    <w:t>—</w:t>
                  </w:r>
                </w:p>
              </w:tc>
              <w:tc>
                <w:tcPr>
                  <w:tcW w:w="432" w:type="pct"/>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color w:val="auto"/>
                      <w:szCs w:val="21"/>
                    </w:rPr>
                    <w:t>—</w:t>
                  </w:r>
                </w:p>
              </w:tc>
              <w:tc>
                <w:tcPr>
                  <w:tcW w:w="452" w:type="pct"/>
                  <w:tcBorders>
                    <w:tl2br w:val="nil"/>
                    <w:tr2bl w:val="nil"/>
                  </w:tcBorders>
                  <w:tcMar>
                    <w:top w:w="0" w:type="dxa"/>
                    <w:left w:w="28" w:type="dxa"/>
                    <w:bottom w:w="0" w:type="dxa"/>
                    <w:right w:w="28" w:type="dxa"/>
                  </w:tcMar>
                  <w:vAlign w:val="center"/>
                </w:tcPr>
                <w:p>
                  <w:pPr>
                    <w:widowControl/>
                    <w:jc w:val="center"/>
                    <w:textAlignment w:val="center"/>
                    <w:rPr>
                      <w:b/>
                      <w:bCs/>
                      <w:color w:val="auto"/>
                      <w:kern w:val="0"/>
                      <w:szCs w:val="21"/>
                      <w:lang w:bidi="ar"/>
                    </w:rPr>
                  </w:pPr>
                  <w:r>
                    <w:rPr>
                      <w:color w:val="auto"/>
                      <w:szCs w:val="21"/>
                    </w:rPr>
                    <w:t>—</w:t>
                  </w:r>
                </w:p>
              </w:tc>
              <w:tc>
                <w:tcPr>
                  <w:tcW w:w="222"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c>
                <w:tcPr>
                  <w:tcW w:w="464" w:type="pct"/>
                  <w:vMerge w:val="continue"/>
                  <w:tcBorders>
                    <w:tl2br w:val="nil"/>
                    <w:tr2bl w:val="nil"/>
                  </w:tcBorders>
                  <w:tcMar>
                    <w:top w:w="0" w:type="dxa"/>
                    <w:left w:w="28" w:type="dxa"/>
                    <w:bottom w:w="0" w:type="dxa"/>
                    <w:right w:w="28" w:type="dxa"/>
                  </w:tcMar>
                  <w:vAlign w:val="center"/>
                </w:tcPr>
                <w:p>
                  <w:pPr>
                    <w:adjustRightInd w:val="0"/>
                    <w:snapToGrid w:val="0"/>
                    <w:jc w:val="center"/>
                    <w:rPr>
                      <w:color w:val="auto"/>
                      <w:szCs w:val="21"/>
                    </w:rPr>
                  </w:pPr>
                </w:p>
              </w:tc>
            </w:tr>
          </w:tbl>
          <w:p>
            <w:pPr>
              <w:adjustRightInd w:val="0"/>
              <w:snapToGrid w:val="0"/>
              <w:spacing w:before="159" w:beforeLines="50" w:line="360" w:lineRule="auto"/>
              <w:ind w:firstLine="480" w:firstLineChars="200"/>
              <w:jc w:val="left"/>
              <w:rPr>
                <w:rFonts w:ascii="Calibri" w:hAnsi="Calibri" w:cs="Calibri"/>
                <w:b/>
                <w:bCs/>
                <w:color w:val="auto"/>
                <w:kern w:val="0"/>
                <w:sz w:val="24"/>
              </w:rPr>
            </w:pPr>
            <w:r>
              <w:rPr>
                <w:rFonts w:ascii="Calibri" w:hAnsi="Calibri" w:cs="Calibri"/>
                <w:b/>
                <w:bCs/>
                <w:color w:val="auto"/>
                <w:kern w:val="0"/>
                <w:sz w:val="24"/>
              </w:rPr>
              <w:t>（2）废水污染治理设施及排放口情况</w:t>
            </w:r>
          </w:p>
          <w:p>
            <w:pPr>
              <w:adjustRightInd w:val="0"/>
              <w:snapToGrid w:val="0"/>
              <w:ind w:firstLine="480" w:firstLineChars="200"/>
              <w:rPr>
                <w:rFonts w:ascii="Calibri" w:hAnsi="Calibri" w:cs="Calibri"/>
                <w:snapToGrid w:val="0"/>
                <w:color w:val="auto"/>
                <w:kern w:val="0"/>
                <w:sz w:val="24"/>
              </w:rPr>
            </w:pPr>
            <w:r>
              <w:rPr>
                <w:rFonts w:ascii="Calibri" w:hAnsi="Calibri" w:cs="Calibri"/>
                <w:color w:val="auto"/>
                <w:kern w:val="0"/>
                <w:sz w:val="24"/>
              </w:rPr>
              <w:t>废水污染治理设施信息表见下表</w:t>
            </w:r>
            <w:r>
              <w:rPr>
                <w:rFonts w:ascii="Calibri" w:hAnsi="Calibri" w:cs="Calibri"/>
                <w:snapToGrid w:val="0"/>
                <w:color w:val="auto"/>
                <w:kern w:val="0"/>
                <w:sz w:val="24"/>
              </w:rPr>
              <w:t>。</w:t>
            </w:r>
          </w:p>
          <w:p>
            <w:pPr>
              <w:pStyle w:val="6"/>
              <w:numPr>
                <w:ilvl w:val="0"/>
                <w:numId w:val="16"/>
              </w:numPr>
              <w:adjustRightInd w:val="0"/>
              <w:snapToGrid w:val="0"/>
              <w:ind w:firstLineChars="0"/>
              <w:jc w:val="center"/>
              <w:rPr>
                <w:rFonts w:ascii="Calibri" w:hAnsi="Calibri" w:cs="Calibri"/>
                <w:b/>
                <w:bCs/>
                <w:color w:val="auto"/>
                <w:kern w:val="0"/>
                <w:sz w:val="24"/>
              </w:rPr>
            </w:pPr>
            <w:r>
              <w:rPr>
                <w:rFonts w:ascii="Calibri" w:hAnsi="Calibri" w:cs="Calibri"/>
                <w:b/>
                <w:bCs/>
                <w:color w:val="auto"/>
                <w:kern w:val="0"/>
                <w:sz w:val="24"/>
              </w:rPr>
              <w:t>废水污染治理设施信息表</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37"/>
              <w:gridCol w:w="2031"/>
              <w:gridCol w:w="1456"/>
              <w:gridCol w:w="1009"/>
              <w:gridCol w:w="883"/>
              <w:gridCol w:w="1089"/>
              <w:gridCol w:w="1172"/>
              <w:gridCol w:w="936"/>
              <w:gridCol w:w="835"/>
              <w:gridCol w:w="511"/>
              <w:gridCol w:w="805"/>
              <w:gridCol w:w="856"/>
              <w:gridCol w:w="14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 w:type="pct"/>
                  <w:vMerge w:val="restart"/>
                  <w:vAlign w:val="center"/>
                </w:tcPr>
                <w:p>
                  <w:pPr>
                    <w:adjustRightInd w:val="0"/>
                    <w:snapToGrid w:val="0"/>
                    <w:jc w:val="center"/>
                    <w:rPr>
                      <w:b/>
                      <w:bCs/>
                      <w:color w:val="auto"/>
                      <w:szCs w:val="21"/>
                    </w:rPr>
                  </w:pPr>
                  <w:r>
                    <w:rPr>
                      <w:b/>
                      <w:bCs/>
                      <w:color w:val="auto"/>
                      <w:szCs w:val="21"/>
                    </w:rPr>
                    <w:t>序号</w:t>
                  </w:r>
                </w:p>
              </w:tc>
              <w:tc>
                <w:tcPr>
                  <w:tcW w:w="759" w:type="pct"/>
                  <w:vMerge w:val="restart"/>
                  <w:vAlign w:val="center"/>
                </w:tcPr>
                <w:p>
                  <w:pPr>
                    <w:adjustRightInd w:val="0"/>
                    <w:snapToGrid w:val="0"/>
                    <w:jc w:val="center"/>
                    <w:rPr>
                      <w:b/>
                      <w:bCs/>
                      <w:color w:val="auto"/>
                      <w:szCs w:val="21"/>
                    </w:rPr>
                  </w:pPr>
                  <w:r>
                    <w:rPr>
                      <w:b/>
                      <w:bCs/>
                      <w:color w:val="auto"/>
                      <w:szCs w:val="21"/>
                    </w:rPr>
                    <w:t>废水类别</w:t>
                  </w:r>
                </w:p>
              </w:tc>
              <w:tc>
                <w:tcPr>
                  <w:tcW w:w="544" w:type="pct"/>
                  <w:vMerge w:val="restart"/>
                  <w:vAlign w:val="center"/>
                </w:tcPr>
                <w:p>
                  <w:pPr>
                    <w:adjustRightInd w:val="0"/>
                    <w:snapToGrid w:val="0"/>
                    <w:jc w:val="center"/>
                    <w:rPr>
                      <w:b/>
                      <w:bCs/>
                      <w:color w:val="auto"/>
                      <w:szCs w:val="21"/>
                    </w:rPr>
                  </w:pPr>
                  <w:r>
                    <w:rPr>
                      <w:b/>
                      <w:bCs/>
                      <w:color w:val="auto"/>
                      <w:szCs w:val="21"/>
                    </w:rPr>
                    <w:t>污染物种类</w:t>
                  </w:r>
                </w:p>
              </w:tc>
              <w:tc>
                <w:tcPr>
                  <w:tcW w:w="1902" w:type="pct"/>
                  <w:gridSpan w:val="5"/>
                  <w:vAlign w:val="center"/>
                </w:tcPr>
                <w:p>
                  <w:pPr>
                    <w:adjustRightInd w:val="0"/>
                    <w:snapToGrid w:val="0"/>
                    <w:jc w:val="center"/>
                    <w:rPr>
                      <w:b/>
                      <w:bCs/>
                      <w:color w:val="auto"/>
                      <w:szCs w:val="21"/>
                    </w:rPr>
                  </w:pPr>
                  <w:r>
                    <w:rPr>
                      <w:b/>
                      <w:bCs/>
                      <w:color w:val="auto"/>
                      <w:szCs w:val="21"/>
                    </w:rPr>
                    <w:t>污染治理设施</w:t>
                  </w:r>
                </w:p>
              </w:tc>
              <w:tc>
                <w:tcPr>
                  <w:tcW w:w="312" w:type="pct"/>
                  <w:vMerge w:val="restart"/>
                  <w:vAlign w:val="center"/>
                </w:tcPr>
                <w:p>
                  <w:pPr>
                    <w:adjustRightInd w:val="0"/>
                    <w:snapToGrid w:val="0"/>
                    <w:jc w:val="center"/>
                    <w:rPr>
                      <w:b/>
                      <w:bCs/>
                      <w:color w:val="auto"/>
                      <w:szCs w:val="21"/>
                    </w:rPr>
                  </w:pPr>
                  <w:r>
                    <w:rPr>
                      <w:b/>
                      <w:bCs/>
                      <w:color w:val="auto"/>
                      <w:szCs w:val="21"/>
                    </w:rPr>
                    <w:t>排放</w:t>
                  </w:r>
                </w:p>
                <w:p>
                  <w:pPr>
                    <w:adjustRightInd w:val="0"/>
                    <w:snapToGrid w:val="0"/>
                    <w:jc w:val="center"/>
                    <w:rPr>
                      <w:b/>
                      <w:bCs/>
                      <w:color w:val="auto"/>
                      <w:szCs w:val="21"/>
                    </w:rPr>
                  </w:pPr>
                  <w:r>
                    <w:rPr>
                      <w:b/>
                      <w:bCs/>
                      <w:color w:val="auto"/>
                      <w:szCs w:val="21"/>
                    </w:rPr>
                    <w:t>去向</w:t>
                  </w:r>
                </w:p>
              </w:tc>
              <w:tc>
                <w:tcPr>
                  <w:tcW w:w="191" w:type="pct"/>
                  <w:vMerge w:val="restart"/>
                  <w:vAlign w:val="center"/>
                </w:tcPr>
                <w:p>
                  <w:pPr>
                    <w:adjustRightInd w:val="0"/>
                    <w:snapToGrid w:val="0"/>
                    <w:jc w:val="center"/>
                    <w:rPr>
                      <w:color w:val="auto"/>
                      <w:szCs w:val="21"/>
                    </w:rPr>
                  </w:pPr>
                  <w:r>
                    <w:rPr>
                      <w:b/>
                      <w:bCs/>
                      <w:color w:val="auto"/>
                      <w:szCs w:val="21"/>
                    </w:rPr>
                    <w:t>排放规律</w:t>
                  </w:r>
                </w:p>
              </w:tc>
              <w:tc>
                <w:tcPr>
                  <w:tcW w:w="301" w:type="pct"/>
                  <w:vMerge w:val="restart"/>
                  <w:vAlign w:val="center"/>
                </w:tcPr>
                <w:p>
                  <w:pPr>
                    <w:adjustRightInd w:val="0"/>
                    <w:snapToGrid w:val="0"/>
                    <w:jc w:val="center"/>
                    <w:rPr>
                      <w:b/>
                      <w:bCs/>
                      <w:color w:val="auto"/>
                      <w:szCs w:val="21"/>
                    </w:rPr>
                  </w:pPr>
                  <w:r>
                    <w:rPr>
                      <w:b/>
                      <w:bCs/>
                      <w:color w:val="auto"/>
                      <w:szCs w:val="21"/>
                    </w:rPr>
                    <w:t>排放口编号</w:t>
                  </w:r>
                </w:p>
              </w:tc>
              <w:tc>
                <w:tcPr>
                  <w:tcW w:w="320" w:type="pct"/>
                  <w:vMerge w:val="restart"/>
                  <w:vAlign w:val="center"/>
                </w:tcPr>
                <w:p>
                  <w:pPr>
                    <w:adjustRightInd w:val="0"/>
                    <w:snapToGrid w:val="0"/>
                    <w:jc w:val="center"/>
                    <w:rPr>
                      <w:b/>
                      <w:bCs/>
                      <w:color w:val="auto"/>
                      <w:szCs w:val="21"/>
                    </w:rPr>
                  </w:pPr>
                  <w:r>
                    <w:rPr>
                      <w:b/>
                      <w:bCs/>
                      <w:color w:val="auto"/>
                      <w:szCs w:val="21"/>
                    </w:rPr>
                    <w:t>排放口设置是否符合要求</w:t>
                  </w:r>
                </w:p>
              </w:tc>
              <w:tc>
                <w:tcPr>
                  <w:tcW w:w="545" w:type="pct"/>
                  <w:vMerge w:val="restart"/>
                  <w:vAlign w:val="center"/>
                </w:tcPr>
                <w:p>
                  <w:pPr>
                    <w:adjustRightInd w:val="0"/>
                    <w:snapToGrid w:val="0"/>
                    <w:jc w:val="center"/>
                    <w:rPr>
                      <w:b/>
                      <w:bCs/>
                      <w:color w:val="auto"/>
                      <w:szCs w:val="21"/>
                    </w:rPr>
                  </w:pPr>
                  <w:r>
                    <w:rPr>
                      <w:b/>
                      <w:bCs/>
                      <w:color w:val="auto"/>
                      <w:szCs w:val="21"/>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 w:type="pct"/>
                  <w:vMerge w:val="continue"/>
                  <w:vAlign w:val="center"/>
                </w:tcPr>
                <w:p>
                  <w:pPr>
                    <w:adjustRightInd w:val="0"/>
                    <w:snapToGrid w:val="0"/>
                    <w:jc w:val="center"/>
                    <w:rPr>
                      <w:color w:val="auto"/>
                      <w:szCs w:val="21"/>
                    </w:rPr>
                  </w:pPr>
                </w:p>
              </w:tc>
              <w:tc>
                <w:tcPr>
                  <w:tcW w:w="759" w:type="pct"/>
                  <w:vMerge w:val="continue"/>
                  <w:vAlign w:val="center"/>
                </w:tcPr>
                <w:p>
                  <w:pPr>
                    <w:adjustRightInd w:val="0"/>
                    <w:snapToGrid w:val="0"/>
                    <w:jc w:val="center"/>
                    <w:rPr>
                      <w:color w:val="auto"/>
                      <w:szCs w:val="21"/>
                    </w:rPr>
                  </w:pPr>
                </w:p>
              </w:tc>
              <w:tc>
                <w:tcPr>
                  <w:tcW w:w="544" w:type="pct"/>
                  <w:vMerge w:val="continue"/>
                  <w:vAlign w:val="center"/>
                </w:tcPr>
                <w:p>
                  <w:pPr>
                    <w:adjustRightInd w:val="0"/>
                    <w:snapToGrid w:val="0"/>
                    <w:jc w:val="center"/>
                    <w:rPr>
                      <w:color w:val="auto"/>
                      <w:szCs w:val="21"/>
                    </w:rPr>
                  </w:pPr>
                </w:p>
              </w:tc>
              <w:tc>
                <w:tcPr>
                  <w:tcW w:w="377" w:type="pct"/>
                  <w:vAlign w:val="center"/>
                </w:tcPr>
                <w:p>
                  <w:pPr>
                    <w:adjustRightInd w:val="0"/>
                    <w:snapToGrid w:val="0"/>
                    <w:jc w:val="center"/>
                    <w:rPr>
                      <w:b/>
                      <w:bCs/>
                      <w:color w:val="auto"/>
                      <w:szCs w:val="21"/>
                    </w:rPr>
                  </w:pPr>
                  <w:r>
                    <w:rPr>
                      <w:b/>
                      <w:bCs/>
                      <w:color w:val="auto"/>
                      <w:szCs w:val="21"/>
                    </w:rPr>
                    <w:t>污染治理设施编号</w:t>
                  </w:r>
                </w:p>
              </w:tc>
              <w:tc>
                <w:tcPr>
                  <w:tcW w:w="330" w:type="pct"/>
                  <w:vAlign w:val="center"/>
                </w:tcPr>
                <w:p>
                  <w:pPr>
                    <w:adjustRightInd w:val="0"/>
                    <w:snapToGrid w:val="0"/>
                    <w:jc w:val="center"/>
                    <w:rPr>
                      <w:b/>
                      <w:bCs/>
                      <w:color w:val="auto"/>
                      <w:szCs w:val="21"/>
                    </w:rPr>
                  </w:pPr>
                  <w:r>
                    <w:rPr>
                      <w:b/>
                      <w:bCs/>
                      <w:color w:val="auto"/>
                      <w:szCs w:val="21"/>
                    </w:rPr>
                    <w:t>污染治理设施名称</w:t>
                  </w:r>
                </w:p>
              </w:tc>
              <w:tc>
                <w:tcPr>
                  <w:tcW w:w="407" w:type="pct"/>
                  <w:vAlign w:val="center"/>
                </w:tcPr>
                <w:p>
                  <w:pPr>
                    <w:adjustRightInd w:val="0"/>
                    <w:snapToGrid w:val="0"/>
                    <w:jc w:val="center"/>
                    <w:rPr>
                      <w:b/>
                      <w:bCs/>
                      <w:color w:val="auto"/>
                      <w:szCs w:val="21"/>
                    </w:rPr>
                  </w:pPr>
                  <w:r>
                    <w:rPr>
                      <w:b/>
                      <w:bCs/>
                      <w:color w:val="auto"/>
                      <w:szCs w:val="21"/>
                    </w:rPr>
                    <w:t>处理能力</w:t>
                  </w:r>
                </w:p>
              </w:tc>
              <w:tc>
                <w:tcPr>
                  <w:tcW w:w="438" w:type="pct"/>
                  <w:vAlign w:val="center"/>
                </w:tcPr>
                <w:p>
                  <w:pPr>
                    <w:adjustRightInd w:val="0"/>
                    <w:snapToGrid w:val="0"/>
                    <w:jc w:val="center"/>
                    <w:rPr>
                      <w:b/>
                      <w:bCs/>
                      <w:color w:val="auto"/>
                      <w:szCs w:val="21"/>
                    </w:rPr>
                  </w:pPr>
                  <w:r>
                    <w:rPr>
                      <w:b/>
                      <w:bCs/>
                      <w:color w:val="auto"/>
                      <w:szCs w:val="21"/>
                    </w:rPr>
                    <w:t>污染治理设施工艺</w:t>
                  </w:r>
                </w:p>
              </w:tc>
              <w:tc>
                <w:tcPr>
                  <w:tcW w:w="350" w:type="pct"/>
                  <w:vAlign w:val="center"/>
                </w:tcPr>
                <w:p>
                  <w:pPr>
                    <w:adjustRightInd w:val="0"/>
                    <w:snapToGrid w:val="0"/>
                    <w:jc w:val="center"/>
                    <w:rPr>
                      <w:b/>
                      <w:bCs/>
                      <w:color w:val="auto"/>
                      <w:szCs w:val="21"/>
                    </w:rPr>
                  </w:pPr>
                  <w:r>
                    <w:rPr>
                      <w:b/>
                      <w:bCs/>
                      <w:color w:val="auto"/>
                      <w:szCs w:val="21"/>
                    </w:rPr>
                    <w:t>是否为可行性技术</w:t>
                  </w:r>
                </w:p>
              </w:tc>
              <w:tc>
                <w:tcPr>
                  <w:tcW w:w="312" w:type="pct"/>
                  <w:vMerge w:val="continue"/>
                  <w:vAlign w:val="center"/>
                </w:tcPr>
                <w:p>
                  <w:pPr>
                    <w:adjustRightInd w:val="0"/>
                    <w:snapToGrid w:val="0"/>
                    <w:jc w:val="center"/>
                    <w:rPr>
                      <w:color w:val="auto"/>
                      <w:szCs w:val="21"/>
                    </w:rPr>
                  </w:pPr>
                </w:p>
              </w:tc>
              <w:tc>
                <w:tcPr>
                  <w:tcW w:w="191" w:type="pct"/>
                  <w:vMerge w:val="continue"/>
                  <w:vAlign w:val="center"/>
                </w:tcPr>
                <w:p>
                  <w:pPr>
                    <w:adjustRightInd w:val="0"/>
                    <w:snapToGrid w:val="0"/>
                    <w:jc w:val="center"/>
                    <w:rPr>
                      <w:color w:val="auto"/>
                      <w:szCs w:val="21"/>
                    </w:rPr>
                  </w:pPr>
                </w:p>
              </w:tc>
              <w:tc>
                <w:tcPr>
                  <w:tcW w:w="301" w:type="pct"/>
                  <w:vMerge w:val="continue"/>
                  <w:vAlign w:val="center"/>
                </w:tcPr>
                <w:p>
                  <w:pPr>
                    <w:adjustRightInd w:val="0"/>
                    <w:snapToGrid w:val="0"/>
                    <w:jc w:val="center"/>
                    <w:rPr>
                      <w:color w:val="auto"/>
                      <w:szCs w:val="21"/>
                    </w:rPr>
                  </w:pPr>
                </w:p>
              </w:tc>
              <w:tc>
                <w:tcPr>
                  <w:tcW w:w="320" w:type="pct"/>
                  <w:vMerge w:val="continue"/>
                  <w:vAlign w:val="center"/>
                </w:tcPr>
                <w:p>
                  <w:pPr>
                    <w:adjustRightInd w:val="0"/>
                    <w:snapToGrid w:val="0"/>
                    <w:jc w:val="center"/>
                    <w:rPr>
                      <w:color w:val="auto"/>
                      <w:szCs w:val="21"/>
                    </w:rPr>
                  </w:pPr>
                </w:p>
              </w:tc>
              <w:tc>
                <w:tcPr>
                  <w:tcW w:w="545" w:type="pct"/>
                  <w:vMerge w:val="continue"/>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 w:type="pct"/>
                  <w:vMerge w:val="restart"/>
                  <w:vAlign w:val="center"/>
                </w:tcPr>
                <w:p>
                  <w:pPr>
                    <w:adjustRightInd w:val="0"/>
                    <w:snapToGrid w:val="0"/>
                    <w:jc w:val="center"/>
                    <w:rPr>
                      <w:color w:val="auto"/>
                      <w:szCs w:val="21"/>
                    </w:rPr>
                  </w:pPr>
                  <w:r>
                    <w:rPr>
                      <w:color w:val="auto"/>
                      <w:szCs w:val="21"/>
                    </w:rPr>
                    <w:t>1</w:t>
                  </w:r>
                </w:p>
              </w:tc>
              <w:tc>
                <w:tcPr>
                  <w:tcW w:w="759" w:type="pct"/>
                  <w:vMerge w:val="restart"/>
                  <w:vAlign w:val="center"/>
                </w:tcPr>
                <w:p>
                  <w:pPr>
                    <w:adjustRightInd w:val="0"/>
                    <w:snapToGrid w:val="0"/>
                    <w:jc w:val="center"/>
                    <w:rPr>
                      <w:color w:val="auto"/>
                      <w:szCs w:val="21"/>
                    </w:rPr>
                  </w:pPr>
                  <w:r>
                    <w:rPr>
                      <w:color w:val="auto"/>
                      <w:szCs w:val="21"/>
                    </w:rPr>
                    <w:t>生活污水</w:t>
                  </w:r>
                </w:p>
              </w:tc>
              <w:tc>
                <w:tcPr>
                  <w:tcW w:w="544" w:type="pct"/>
                  <w:vMerge w:val="restart"/>
                  <w:vAlign w:val="center"/>
                </w:tcPr>
                <w:p>
                  <w:pPr>
                    <w:adjustRightInd w:val="0"/>
                    <w:snapToGrid w:val="0"/>
                    <w:jc w:val="center"/>
                    <w:rPr>
                      <w:color w:val="auto"/>
                      <w:szCs w:val="21"/>
                    </w:rPr>
                  </w:pPr>
                  <w:r>
                    <w:rPr>
                      <w:color w:val="auto"/>
                      <w:szCs w:val="21"/>
                    </w:rPr>
                    <w:t>pH值、COD、SS、NH</w:t>
                  </w:r>
                  <w:r>
                    <w:rPr>
                      <w:color w:val="auto"/>
                      <w:szCs w:val="21"/>
                      <w:vertAlign w:val="subscript"/>
                    </w:rPr>
                    <w:t>3</w:t>
                  </w:r>
                  <w:r>
                    <w:rPr>
                      <w:color w:val="auto"/>
                      <w:szCs w:val="21"/>
                    </w:rPr>
                    <w:t>-N、TN、TP</w:t>
                  </w:r>
                </w:p>
              </w:tc>
              <w:tc>
                <w:tcPr>
                  <w:tcW w:w="377" w:type="pct"/>
                  <w:vAlign w:val="center"/>
                </w:tcPr>
                <w:p>
                  <w:pPr>
                    <w:adjustRightInd w:val="0"/>
                    <w:snapToGrid w:val="0"/>
                    <w:jc w:val="center"/>
                    <w:rPr>
                      <w:color w:val="auto"/>
                      <w:szCs w:val="21"/>
                    </w:rPr>
                  </w:pPr>
                  <w:r>
                    <w:rPr>
                      <w:color w:val="auto"/>
                      <w:szCs w:val="21"/>
                    </w:rPr>
                    <w:t>TW001</w:t>
                  </w:r>
                </w:p>
              </w:tc>
              <w:tc>
                <w:tcPr>
                  <w:tcW w:w="330" w:type="pct"/>
                  <w:vMerge w:val="restart"/>
                  <w:vAlign w:val="center"/>
                </w:tcPr>
                <w:p>
                  <w:pPr>
                    <w:adjustRightInd w:val="0"/>
                    <w:snapToGrid w:val="0"/>
                    <w:jc w:val="center"/>
                    <w:rPr>
                      <w:color w:val="auto"/>
                      <w:szCs w:val="21"/>
                    </w:rPr>
                  </w:pPr>
                  <w:r>
                    <w:rPr>
                      <w:color w:val="auto"/>
                      <w:szCs w:val="21"/>
                    </w:rPr>
                    <w:t>化粪池</w:t>
                  </w:r>
                </w:p>
              </w:tc>
              <w:tc>
                <w:tcPr>
                  <w:tcW w:w="407" w:type="pct"/>
                  <w:vAlign w:val="center"/>
                </w:tcPr>
                <w:p>
                  <w:pPr>
                    <w:adjustRightInd w:val="0"/>
                    <w:snapToGrid w:val="0"/>
                    <w:jc w:val="center"/>
                    <w:rPr>
                      <w:color w:val="auto"/>
                      <w:szCs w:val="21"/>
                    </w:rPr>
                  </w:pPr>
                  <w:r>
                    <w:rPr>
                      <w:rFonts w:hint="eastAsia"/>
                      <w:color w:val="auto"/>
                      <w:szCs w:val="21"/>
                    </w:rPr>
                    <w:t>20m</w:t>
                  </w:r>
                  <w:r>
                    <w:rPr>
                      <w:rFonts w:hint="eastAsia"/>
                      <w:color w:val="auto"/>
                      <w:szCs w:val="21"/>
                      <w:vertAlign w:val="superscript"/>
                    </w:rPr>
                    <w:t>3</w:t>
                  </w:r>
                </w:p>
              </w:tc>
              <w:tc>
                <w:tcPr>
                  <w:tcW w:w="438" w:type="pct"/>
                  <w:vMerge w:val="restart"/>
                  <w:vAlign w:val="center"/>
                </w:tcPr>
                <w:p>
                  <w:pPr>
                    <w:adjustRightInd w:val="0"/>
                    <w:snapToGrid w:val="0"/>
                    <w:jc w:val="center"/>
                    <w:rPr>
                      <w:color w:val="auto"/>
                      <w:szCs w:val="21"/>
                    </w:rPr>
                  </w:pPr>
                  <w:r>
                    <w:rPr>
                      <w:color w:val="auto"/>
                      <w:szCs w:val="21"/>
                    </w:rPr>
                    <w:t>/</w:t>
                  </w:r>
                </w:p>
              </w:tc>
              <w:tc>
                <w:tcPr>
                  <w:tcW w:w="350" w:type="pct"/>
                  <w:vMerge w:val="restart"/>
                  <w:vAlign w:val="center"/>
                </w:tcPr>
                <w:p>
                  <w:pPr>
                    <w:adjustRightInd w:val="0"/>
                    <w:snapToGrid w:val="0"/>
                    <w:jc w:val="center"/>
                    <w:rPr>
                      <w:color w:val="auto"/>
                      <w:sz w:val="24"/>
                    </w:rPr>
                  </w:pPr>
                  <w:r>
                    <w:rPr>
                      <w:color w:val="auto"/>
                      <w:sz w:val="24"/>
                    </w:rPr>
                    <w:t>☑是</w:t>
                  </w:r>
                </w:p>
                <w:p>
                  <w:pPr>
                    <w:adjustRightInd w:val="0"/>
                    <w:snapToGrid w:val="0"/>
                    <w:jc w:val="center"/>
                    <w:rPr>
                      <w:color w:val="auto"/>
                      <w:szCs w:val="21"/>
                    </w:rPr>
                  </w:pPr>
                  <w:r>
                    <w:rPr>
                      <w:color w:val="auto"/>
                      <w:sz w:val="24"/>
                    </w:rPr>
                    <w:t>□否</w:t>
                  </w:r>
                </w:p>
              </w:tc>
              <w:tc>
                <w:tcPr>
                  <w:tcW w:w="312" w:type="pct"/>
                  <w:vMerge w:val="restart"/>
                  <w:vAlign w:val="center"/>
                </w:tcPr>
                <w:p>
                  <w:pPr>
                    <w:adjustRightInd w:val="0"/>
                    <w:snapToGrid w:val="0"/>
                    <w:jc w:val="center"/>
                    <w:rPr>
                      <w:color w:val="auto"/>
                      <w:szCs w:val="21"/>
                    </w:rPr>
                  </w:pPr>
                  <w:r>
                    <w:rPr>
                      <w:color w:val="auto"/>
                      <w:szCs w:val="21"/>
                    </w:rPr>
                    <w:t>梅村水处理厂</w:t>
                  </w:r>
                </w:p>
              </w:tc>
              <w:tc>
                <w:tcPr>
                  <w:tcW w:w="191" w:type="pct"/>
                  <w:vMerge w:val="restart"/>
                  <w:vAlign w:val="center"/>
                </w:tcPr>
                <w:p>
                  <w:pPr>
                    <w:adjustRightInd w:val="0"/>
                    <w:snapToGrid w:val="0"/>
                    <w:jc w:val="center"/>
                    <w:rPr>
                      <w:color w:val="auto"/>
                      <w:szCs w:val="21"/>
                    </w:rPr>
                  </w:pPr>
                  <w:r>
                    <w:rPr>
                      <w:color w:val="auto"/>
                      <w:szCs w:val="21"/>
                    </w:rPr>
                    <w:t>连续</w:t>
                  </w:r>
                </w:p>
              </w:tc>
              <w:tc>
                <w:tcPr>
                  <w:tcW w:w="301" w:type="pct"/>
                  <w:vMerge w:val="restart"/>
                  <w:vAlign w:val="center"/>
                </w:tcPr>
                <w:p>
                  <w:pPr>
                    <w:adjustRightInd w:val="0"/>
                    <w:snapToGrid w:val="0"/>
                    <w:jc w:val="center"/>
                    <w:rPr>
                      <w:color w:val="auto"/>
                      <w:szCs w:val="21"/>
                    </w:rPr>
                  </w:pPr>
                  <w:r>
                    <w:rPr>
                      <w:color w:val="auto"/>
                      <w:szCs w:val="21"/>
                    </w:rPr>
                    <w:t>DW001</w:t>
                  </w:r>
                </w:p>
              </w:tc>
              <w:tc>
                <w:tcPr>
                  <w:tcW w:w="320" w:type="pct"/>
                  <w:vMerge w:val="restart"/>
                  <w:vAlign w:val="center"/>
                </w:tcPr>
                <w:p>
                  <w:pPr>
                    <w:adjustRightInd w:val="0"/>
                    <w:snapToGrid w:val="0"/>
                    <w:jc w:val="center"/>
                    <w:rPr>
                      <w:color w:val="auto"/>
                      <w:sz w:val="24"/>
                    </w:rPr>
                  </w:pPr>
                  <w:r>
                    <w:rPr>
                      <w:color w:val="auto"/>
                      <w:sz w:val="24"/>
                    </w:rPr>
                    <w:t>☑是</w:t>
                  </w:r>
                </w:p>
                <w:p>
                  <w:pPr>
                    <w:adjustRightInd w:val="0"/>
                    <w:snapToGrid w:val="0"/>
                    <w:jc w:val="center"/>
                    <w:rPr>
                      <w:color w:val="auto"/>
                      <w:szCs w:val="21"/>
                    </w:rPr>
                  </w:pPr>
                  <w:r>
                    <w:rPr>
                      <w:color w:val="auto"/>
                      <w:sz w:val="24"/>
                    </w:rPr>
                    <w:t>□否</w:t>
                  </w:r>
                </w:p>
              </w:tc>
              <w:tc>
                <w:tcPr>
                  <w:tcW w:w="545" w:type="pct"/>
                  <w:vMerge w:val="restart"/>
                  <w:vAlign w:val="center"/>
                </w:tcPr>
                <w:p>
                  <w:pPr>
                    <w:adjustRightInd w:val="0"/>
                    <w:snapToGrid w:val="0"/>
                    <w:rPr>
                      <w:color w:val="auto"/>
                      <w:szCs w:val="21"/>
                    </w:rPr>
                  </w:pPr>
                  <w:r>
                    <w:rPr>
                      <w:color w:val="auto"/>
                      <w:sz w:val="24"/>
                    </w:rPr>
                    <w:t>☑</w:t>
                  </w:r>
                  <w:r>
                    <w:rPr>
                      <w:color w:val="auto"/>
                      <w:szCs w:val="21"/>
                    </w:rPr>
                    <w:t>企业总排</w:t>
                  </w:r>
                </w:p>
                <w:p>
                  <w:pPr>
                    <w:adjustRightInd w:val="0"/>
                    <w:snapToGrid w:val="0"/>
                    <w:rPr>
                      <w:color w:val="auto"/>
                      <w:szCs w:val="21"/>
                    </w:rPr>
                  </w:pPr>
                  <w:r>
                    <w:rPr>
                      <w:color w:val="auto"/>
                      <w:sz w:val="24"/>
                    </w:rPr>
                    <w:t>□</w:t>
                  </w:r>
                  <w:r>
                    <w:rPr>
                      <w:color w:val="auto"/>
                      <w:szCs w:val="21"/>
                    </w:rPr>
                    <w:t>雨水排放</w:t>
                  </w:r>
                </w:p>
                <w:p>
                  <w:pPr>
                    <w:adjustRightInd w:val="0"/>
                    <w:snapToGrid w:val="0"/>
                    <w:rPr>
                      <w:color w:val="auto"/>
                      <w:szCs w:val="21"/>
                    </w:rPr>
                  </w:pPr>
                  <w:r>
                    <w:rPr>
                      <w:color w:val="auto"/>
                      <w:sz w:val="24"/>
                    </w:rPr>
                    <w:t>□</w:t>
                  </w:r>
                  <w:r>
                    <w:rPr>
                      <w:color w:val="auto"/>
                      <w:szCs w:val="21"/>
                    </w:rPr>
                    <w:t>清下水排放</w:t>
                  </w:r>
                </w:p>
                <w:p>
                  <w:pPr>
                    <w:adjustRightInd w:val="0"/>
                    <w:snapToGrid w:val="0"/>
                    <w:rPr>
                      <w:color w:val="auto"/>
                      <w:szCs w:val="21"/>
                    </w:rPr>
                  </w:pPr>
                  <w:r>
                    <w:rPr>
                      <w:color w:val="auto"/>
                      <w:sz w:val="24"/>
                    </w:rPr>
                    <w:t>□</w:t>
                  </w:r>
                  <w:r>
                    <w:rPr>
                      <w:color w:val="auto"/>
                      <w:szCs w:val="21"/>
                    </w:rPr>
                    <w:t>温排水排放</w:t>
                  </w:r>
                </w:p>
                <w:p>
                  <w:pPr>
                    <w:adjustRightInd w:val="0"/>
                    <w:snapToGrid w:val="0"/>
                    <w:rPr>
                      <w:color w:val="auto"/>
                      <w:szCs w:val="21"/>
                    </w:rPr>
                  </w:pPr>
                  <w:r>
                    <w:rPr>
                      <w:color w:val="auto"/>
                      <w:sz w:val="24"/>
                    </w:rPr>
                    <w:t>□</w:t>
                  </w:r>
                  <w:r>
                    <w:rPr>
                      <w:color w:val="auto"/>
                      <w:szCs w:val="21"/>
                    </w:rPr>
                    <w:t>车间或车间处理设施排放口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 w:type="pct"/>
                  <w:vMerge w:val="continue"/>
                  <w:vAlign w:val="center"/>
                </w:tcPr>
                <w:p>
                  <w:pPr>
                    <w:adjustRightInd w:val="0"/>
                    <w:snapToGrid w:val="0"/>
                    <w:jc w:val="center"/>
                    <w:rPr>
                      <w:color w:val="auto"/>
                      <w:szCs w:val="21"/>
                    </w:rPr>
                  </w:pPr>
                </w:p>
              </w:tc>
              <w:tc>
                <w:tcPr>
                  <w:tcW w:w="759" w:type="pct"/>
                  <w:vMerge w:val="continue"/>
                  <w:vAlign w:val="center"/>
                </w:tcPr>
                <w:p>
                  <w:pPr>
                    <w:adjustRightInd w:val="0"/>
                    <w:snapToGrid w:val="0"/>
                    <w:jc w:val="center"/>
                    <w:rPr>
                      <w:color w:val="auto"/>
                      <w:szCs w:val="21"/>
                    </w:rPr>
                  </w:pPr>
                </w:p>
              </w:tc>
              <w:tc>
                <w:tcPr>
                  <w:tcW w:w="544" w:type="pct"/>
                  <w:vMerge w:val="continue"/>
                  <w:vAlign w:val="center"/>
                </w:tcPr>
                <w:p>
                  <w:pPr>
                    <w:adjustRightInd w:val="0"/>
                    <w:snapToGrid w:val="0"/>
                    <w:jc w:val="center"/>
                    <w:rPr>
                      <w:color w:val="auto"/>
                      <w:szCs w:val="21"/>
                    </w:rPr>
                  </w:pPr>
                </w:p>
              </w:tc>
              <w:tc>
                <w:tcPr>
                  <w:tcW w:w="377" w:type="pct"/>
                  <w:vAlign w:val="center"/>
                </w:tcPr>
                <w:p>
                  <w:pPr>
                    <w:adjustRightInd w:val="0"/>
                    <w:snapToGrid w:val="0"/>
                    <w:jc w:val="center"/>
                    <w:rPr>
                      <w:color w:val="auto"/>
                      <w:szCs w:val="21"/>
                    </w:rPr>
                  </w:pPr>
                  <w:r>
                    <w:rPr>
                      <w:color w:val="auto"/>
                      <w:szCs w:val="21"/>
                    </w:rPr>
                    <w:t>TW00</w:t>
                  </w:r>
                  <w:r>
                    <w:rPr>
                      <w:rFonts w:hint="eastAsia"/>
                      <w:color w:val="auto"/>
                      <w:szCs w:val="21"/>
                    </w:rPr>
                    <w:t>2</w:t>
                  </w:r>
                </w:p>
              </w:tc>
              <w:tc>
                <w:tcPr>
                  <w:tcW w:w="330" w:type="pct"/>
                  <w:vMerge w:val="continue"/>
                  <w:vAlign w:val="center"/>
                </w:tcPr>
                <w:p>
                  <w:pPr>
                    <w:adjustRightInd w:val="0"/>
                    <w:snapToGrid w:val="0"/>
                    <w:jc w:val="center"/>
                    <w:rPr>
                      <w:color w:val="auto"/>
                      <w:szCs w:val="21"/>
                    </w:rPr>
                  </w:pPr>
                </w:p>
              </w:tc>
              <w:tc>
                <w:tcPr>
                  <w:tcW w:w="407" w:type="pct"/>
                  <w:vAlign w:val="center"/>
                </w:tcPr>
                <w:p>
                  <w:pPr>
                    <w:adjustRightInd w:val="0"/>
                    <w:snapToGrid w:val="0"/>
                    <w:jc w:val="center"/>
                    <w:rPr>
                      <w:color w:val="auto"/>
                      <w:szCs w:val="21"/>
                    </w:rPr>
                  </w:pPr>
                  <w:r>
                    <w:rPr>
                      <w:rFonts w:hint="eastAsia"/>
                      <w:color w:val="auto"/>
                      <w:szCs w:val="21"/>
                    </w:rPr>
                    <w:t>20m</w:t>
                  </w:r>
                  <w:r>
                    <w:rPr>
                      <w:rFonts w:hint="eastAsia"/>
                      <w:color w:val="auto"/>
                      <w:szCs w:val="21"/>
                      <w:vertAlign w:val="superscript"/>
                    </w:rPr>
                    <w:t>3</w:t>
                  </w:r>
                </w:p>
              </w:tc>
              <w:tc>
                <w:tcPr>
                  <w:tcW w:w="438" w:type="pct"/>
                  <w:vMerge w:val="continue"/>
                  <w:vAlign w:val="center"/>
                </w:tcPr>
                <w:p>
                  <w:pPr>
                    <w:adjustRightInd w:val="0"/>
                    <w:snapToGrid w:val="0"/>
                    <w:jc w:val="center"/>
                    <w:rPr>
                      <w:color w:val="auto"/>
                      <w:szCs w:val="21"/>
                    </w:rPr>
                  </w:pPr>
                </w:p>
              </w:tc>
              <w:tc>
                <w:tcPr>
                  <w:tcW w:w="350" w:type="pct"/>
                  <w:vMerge w:val="continue"/>
                  <w:vAlign w:val="center"/>
                </w:tcPr>
                <w:p>
                  <w:pPr>
                    <w:adjustRightInd w:val="0"/>
                    <w:snapToGrid w:val="0"/>
                    <w:jc w:val="center"/>
                    <w:rPr>
                      <w:color w:val="auto"/>
                      <w:sz w:val="24"/>
                    </w:rPr>
                  </w:pPr>
                </w:p>
              </w:tc>
              <w:tc>
                <w:tcPr>
                  <w:tcW w:w="312" w:type="pct"/>
                  <w:vMerge w:val="continue"/>
                  <w:vAlign w:val="center"/>
                </w:tcPr>
                <w:p>
                  <w:pPr>
                    <w:adjustRightInd w:val="0"/>
                    <w:snapToGrid w:val="0"/>
                    <w:jc w:val="center"/>
                    <w:rPr>
                      <w:color w:val="auto"/>
                      <w:szCs w:val="21"/>
                    </w:rPr>
                  </w:pPr>
                </w:p>
              </w:tc>
              <w:tc>
                <w:tcPr>
                  <w:tcW w:w="191" w:type="pct"/>
                  <w:vMerge w:val="continue"/>
                  <w:vAlign w:val="center"/>
                </w:tcPr>
                <w:p>
                  <w:pPr>
                    <w:adjustRightInd w:val="0"/>
                    <w:snapToGrid w:val="0"/>
                    <w:jc w:val="center"/>
                    <w:rPr>
                      <w:color w:val="auto"/>
                      <w:szCs w:val="21"/>
                    </w:rPr>
                  </w:pPr>
                </w:p>
              </w:tc>
              <w:tc>
                <w:tcPr>
                  <w:tcW w:w="301" w:type="pct"/>
                  <w:vMerge w:val="continue"/>
                  <w:vAlign w:val="center"/>
                </w:tcPr>
                <w:p>
                  <w:pPr>
                    <w:adjustRightInd w:val="0"/>
                    <w:snapToGrid w:val="0"/>
                    <w:jc w:val="center"/>
                    <w:rPr>
                      <w:color w:val="auto"/>
                      <w:szCs w:val="21"/>
                    </w:rPr>
                  </w:pPr>
                </w:p>
              </w:tc>
              <w:tc>
                <w:tcPr>
                  <w:tcW w:w="320" w:type="pct"/>
                  <w:vMerge w:val="continue"/>
                  <w:vAlign w:val="center"/>
                </w:tcPr>
                <w:p>
                  <w:pPr>
                    <w:adjustRightInd w:val="0"/>
                    <w:snapToGrid w:val="0"/>
                    <w:jc w:val="center"/>
                    <w:rPr>
                      <w:color w:val="auto"/>
                      <w:sz w:val="24"/>
                    </w:rPr>
                  </w:pPr>
                </w:p>
              </w:tc>
              <w:tc>
                <w:tcPr>
                  <w:tcW w:w="545" w:type="pct"/>
                  <w:vMerge w:val="continue"/>
                  <w:vAlign w:val="center"/>
                </w:tcPr>
                <w:p>
                  <w:pPr>
                    <w:adjustRightInd w:val="0"/>
                    <w:snapToGrid w:val="0"/>
                    <w:rPr>
                      <w:color w:val="auto"/>
                      <w:sz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 w:type="pct"/>
                  <w:vMerge w:val="continue"/>
                  <w:vAlign w:val="center"/>
                </w:tcPr>
                <w:p>
                  <w:pPr>
                    <w:adjustRightInd w:val="0"/>
                    <w:snapToGrid w:val="0"/>
                    <w:jc w:val="center"/>
                    <w:rPr>
                      <w:color w:val="auto"/>
                      <w:szCs w:val="21"/>
                    </w:rPr>
                  </w:pPr>
                </w:p>
              </w:tc>
              <w:tc>
                <w:tcPr>
                  <w:tcW w:w="759" w:type="pct"/>
                  <w:vMerge w:val="continue"/>
                  <w:vAlign w:val="center"/>
                </w:tcPr>
                <w:p>
                  <w:pPr>
                    <w:adjustRightInd w:val="0"/>
                    <w:snapToGrid w:val="0"/>
                    <w:jc w:val="center"/>
                    <w:rPr>
                      <w:color w:val="auto"/>
                      <w:szCs w:val="21"/>
                    </w:rPr>
                  </w:pPr>
                </w:p>
              </w:tc>
              <w:tc>
                <w:tcPr>
                  <w:tcW w:w="544" w:type="pct"/>
                  <w:vMerge w:val="continue"/>
                  <w:vAlign w:val="center"/>
                </w:tcPr>
                <w:p>
                  <w:pPr>
                    <w:adjustRightInd w:val="0"/>
                    <w:snapToGrid w:val="0"/>
                    <w:jc w:val="center"/>
                    <w:rPr>
                      <w:color w:val="auto"/>
                      <w:szCs w:val="21"/>
                    </w:rPr>
                  </w:pPr>
                </w:p>
              </w:tc>
              <w:tc>
                <w:tcPr>
                  <w:tcW w:w="377" w:type="pct"/>
                  <w:vAlign w:val="center"/>
                </w:tcPr>
                <w:p>
                  <w:pPr>
                    <w:adjustRightInd w:val="0"/>
                    <w:snapToGrid w:val="0"/>
                    <w:jc w:val="center"/>
                    <w:rPr>
                      <w:color w:val="auto"/>
                      <w:szCs w:val="21"/>
                    </w:rPr>
                  </w:pPr>
                  <w:r>
                    <w:rPr>
                      <w:color w:val="auto"/>
                      <w:szCs w:val="21"/>
                    </w:rPr>
                    <w:t>TW00</w:t>
                  </w:r>
                  <w:r>
                    <w:rPr>
                      <w:rFonts w:hint="eastAsia"/>
                      <w:color w:val="auto"/>
                      <w:szCs w:val="21"/>
                    </w:rPr>
                    <w:t>3</w:t>
                  </w:r>
                </w:p>
              </w:tc>
              <w:tc>
                <w:tcPr>
                  <w:tcW w:w="330" w:type="pct"/>
                  <w:vMerge w:val="continue"/>
                  <w:vAlign w:val="center"/>
                </w:tcPr>
                <w:p>
                  <w:pPr>
                    <w:adjustRightInd w:val="0"/>
                    <w:snapToGrid w:val="0"/>
                    <w:jc w:val="center"/>
                    <w:rPr>
                      <w:color w:val="auto"/>
                      <w:szCs w:val="21"/>
                    </w:rPr>
                  </w:pPr>
                </w:p>
              </w:tc>
              <w:tc>
                <w:tcPr>
                  <w:tcW w:w="407" w:type="pct"/>
                  <w:vAlign w:val="center"/>
                </w:tcPr>
                <w:p>
                  <w:pPr>
                    <w:adjustRightInd w:val="0"/>
                    <w:snapToGrid w:val="0"/>
                    <w:jc w:val="center"/>
                    <w:rPr>
                      <w:color w:val="auto"/>
                      <w:szCs w:val="21"/>
                    </w:rPr>
                  </w:pPr>
                  <w:r>
                    <w:rPr>
                      <w:rFonts w:hint="eastAsia"/>
                      <w:color w:val="auto"/>
                      <w:szCs w:val="21"/>
                    </w:rPr>
                    <w:t>15m</w:t>
                  </w:r>
                  <w:r>
                    <w:rPr>
                      <w:rFonts w:hint="eastAsia"/>
                      <w:color w:val="auto"/>
                      <w:szCs w:val="21"/>
                      <w:vertAlign w:val="superscript"/>
                    </w:rPr>
                    <w:t>3</w:t>
                  </w:r>
                </w:p>
              </w:tc>
              <w:tc>
                <w:tcPr>
                  <w:tcW w:w="438" w:type="pct"/>
                  <w:vMerge w:val="continue"/>
                  <w:vAlign w:val="center"/>
                </w:tcPr>
                <w:p>
                  <w:pPr>
                    <w:adjustRightInd w:val="0"/>
                    <w:snapToGrid w:val="0"/>
                    <w:jc w:val="center"/>
                    <w:rPr>
                      <w:color w:val="auto"/>
                      <w:szCs w:val="21"/>
                    </w:rPr>
                  </w:pPr>
                </w:p>
              </w:tc>
              <w:tc>
                <w:tcPr>
                  <w:tcW w:w="350" w:type="pct"/>
                  <w:vMerge w:val="continue"/>
                  <w:vAlign w:val="center"/>
                </w:tcPr>
                <w:p>
                  <w:pPr>
                    <w:adjustRightInd w:val="0"/>
                    <w:snapToGrid w:val="0"/>
                    <w:jc w:val="center"/>
                    <w:rPr>
                      <w:color w:val="auto"/>
                      <w:sz w:val="24"/>
                    </w:rPr>
                  </w:pPr>
                </w:p>
              </w:tc>
              <w:tc>
                <w:tcPr>
                  <w:tcW w:w="312" w:type="pct"/>
                  <w:vMerge w:val="continue"/>
                  <w:vAlign w:val="center"/>
                </w:tcPr>
                <w:p>
                  <w:pPr>
                    <w:adjustRightInd w:val="0"/>
                    <w:snapToGrid w:val="0"/>
                    <w:jc w:val="center"/>
                    <w:rPr>
                      <w:color w:val="auto"/>
                      <w:szCs w:val="21"/>
                    </w:rPr>
                  </w:pPr>
                </w:p>
              </w:tc>
              <w:tc>
                <w:tcPr>
                  <w:tcW w:w="191" w:type="pct"/>
                  <w:vMerge w:val="continue"/>
                  <w:vAlign w:val="center"/>
                </w:tcPr>
                <w:p>
                  <w:pPr>
                    <w:adjustRightInd w:val="0"/>
                    <w:snapToGrid w:val="0"/>
                    <w:jc w:val="center"/>
                    <w:rPr>
                      <w:color w:val="auto"/>
                      <w:szCs w:val="21"/>
                    </w:rPr>
                  </w:pPr>
                </w:p>
              </w:tc>
              <w:tc>
                <w:tcPr>
                  <w:tcW w:w="301" w:type="pct"/>
                  <w:vMerge w:val="continue"/>
                  <w:vAlign w:val="center"/>
                </w:tcPr>
                <w:p>
                  <w:pPr>
                    <w:adjustRightInd w:val="0"/>
                    <w:snapToGrid w:val="0"/>
                    <w:jc w:val="center"/>
                    <w:rPr>
                      <w:color w:val="auto"/>
                      <w:szCs w:val="21"/>
                    </w:rPr>
                  </w:pPr>
                </w:p>
              </w:tc>
              <w:tc>
                <w:tcPr>
                  <w:tcW w:w="320" w:type="pct"/>
                  <w:vMerge w:val="continue"/>
                  <w:vAlign w:val="center"/>
                </w:tcPr>
                <w:p>
                  <w:pPr>
                    <w:adjustRightInd w:val="0"/>
                    <w:snapToGrid w:val="0"/>
                    <w:jc w:val="center"/>
                    <w:rPr>
                      <w:color w:val="auto"/>
                      <w:sz w:val="24"/>
                    </w:rPr>
                  </w:pPr>
                </w:p>
              </w:tc>
              <w:tc>
                <w:tcPr>
                  <w:tcW w:w="545" w:type="pct"/>
                  <w:vMerge w:val="continue"/>
                  <w:vAlign w:val="center"/>
                </w:tcPr>
                <w:p>
                  <w:pPr>
                    <w:adjustRightInd w:val="0"/>
                    <w:snapToGrid w:val="0"/>
                    <w:rPr>
                      <w:color w:val="auto"/>
                      <w:sz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 w:type="pct"/>
                  <w:vAlign w:val="center"/>
                </w:tcPr>
                <w:p>
                  <w:pPr>
                    <w:adjustRightInd w:val="0"/>
                    <w:snapToGrid w:val="0"/>
                    <w:jc w:val="center"/>
                    <w:rPr>
                      <w:color w:val="auto"/>
                      <w:szCs w:val="21"/>
                    </w:rPr>
                  </w:pPr>
                  <w:r>
                    <w:rPr>
                      <w:color w:val="auto"/>
                      <w:szCs w:val="21"/>
                    </w:rPr>
                    <w:t>2</w:t>
                  </w:r>
                </w:p>
              </w:tc>
              <w:tc>
                <w:tcPr>
                  <w:tcW w:w="759" w:type="pct"/>
                  <w:vAlign w:val="center"/>
                </w:tcPr>
                <w:p>
                  <w:pPr>
                    <w:adjustRightInd w:val="0"/>
                    <w:snapToGrid w:val="0"/>
                    <w:jc w:val="center"/>
                    <w:rPr>
                      <w:color w:val="auto"/>
                      <w:szCs w:val="21"/>
                    </w:rPr>
                  </w:pPr>
                  <w:r>
                    <w:rPr>
                      <w:rFonts w:hint="eastAsia"/>
                      <w:color w:val="auto"/>
                      <w:szCs w:val="21"/>
                    </w:rPr>
                    <w:t>纯水设备</w:t>
                  </w:r>
                  <w:r>
                    <w:rPr>
                      <w:color w:val="auto"/>
                      <w:szCs w:val="21"/>
                    </w:rPr>
                    <w:t>反冲洗废水</w:t>
                  </w:r>
                </w:p>
              </w:tc>
              <w:tc>
                <w:tcPr>
                  <w:tcW w:w="544" w:type="pct"/>
                  <w:vAlign w:val="center"/>
                </w:tcPr>
                <w:p>
                  <w:pPr>
                    <w:adjustRightInd w:val="0"/>
                    <w:snapToGrid w:val="0"/>
                    <w:jc w:val="center"/>
                    <w:rPr>
                      <w:color w:val="auto"/>
                      <w:szCs w:val="21"/>
                    </w:rPr>
                  </w:pPr>
                  <w:r>
                    <w:rPr>
                      <w:color w:val="auto"/>
                      <w:szCs w:val="21"/>
                    </w:rPr>
                    <w:t>COD、SS</w:t>
                  </w:r>
                </w:p>
              </w:tc>
              <w:tc>
                <w:tcPr>
                  <w:tcW w:w="377" w:type="pct"/>
                  <w:vMerge w:val="restart"/>
                  <w:vAlign w:val="center"/>
                </w:tcPr>
                <w:p>
                  <w:pPr>
                    <w:adjustRightInd w:val="0"/>
                    <w:snapToGrid w:val="0"/>
                    <w:jc w:val="center"/>
                    <w:rPr>
                      <w:color w:val="auto"/>
                      <w:szCs w:val="21"/>
                    </w:rPr>
                  </w:pPr>
                  <w:r>
                    <w:rPr>
                      <w:color w:val="auto"/>
                      <w:szCs w:val="21"/>
                    </w:rPr>
                    <w:t>/</w:t>
                  </w:r>
                </w:p>
              </w:tc>
              <w:tc>
                <w:tcPr>
                  <w:tcW w:w="330" w:type="pct"/>
                  <w:vMerge w:val="restart"/>
                  <w:vAlign w:val="center"/>
                </w:tcPr>
                <w:p>
                  <w:pPr>
                    <w:adjustRightInd w:val="0"/>
                    <w:snapToGrid w:val="0"/>
                    <w:jc w:val="center"/>
                    <w:rPr>
                      <w:color w:val="auto"/>
                      <w:szCs w:val="21"/>
                    </w:rPr>
                  </w:pPr>
                  <w:r>
                    <w:rPr>
                      <w:color w:val="auto"/>
                      <w:szCs w:val="21"/>
                    </w:rPr>
                    <w:t>/</w:t>
                  </w:r>
                </w:p>
              </w:tc>
              <w:tc>
                <w:tcPr>
                  <w:tcW w:w="407" w:type="pct"/>
                  <w:vMerge w:val="restart"/>
                  <w:vAlign w:val="center"/>
                </w:tcPr>
                <w:p>
                  <w:pPr>
                    <w:adjustRightInd w:val="0"/>
                    <w:snapToGrid w:val="0"/>
                    <w:jc w:val="center"/>
                    <w:rPr>
                      <w:color w:val="auto"/>
                      <w:szCs w:val="21"/>
                    </w:rPr>
                  </w:pPr>
                  <w:r>
                    <w:rPr>
                      <w:color w:val="auto"/>
                      <w:szCs w:val="21"/>
                    </w:rPr>
                    <w:t>/</w:t>
                  </w:r>
                </w:p>
              </w:tc>
              <w:tc>
                <w:tcPr>
                  <w:tcW w:w="438" w:type="pct"/>
                  <w:vMerge w:val="continue"/>
                  <w:vAlign w:val="center"/>
                </w:tcPr>
                <w:p>
                  <w:pPr>
                    <w:adjustRightInd w:val="0"/>
                    <w:snapToGrid w:val="0"/>
                    <w:jc w:val="center"/>
                    <w:rPr>
                      <w:color w:val="auto"/>
                      <w:szCs w:val="21"/>
                    </w:rPr>
                  </w:pPr>
                </w:p>
              </w:tc>
              <w:tc>
                <w:tcPr>
                  <w:tcW w:w="350" w:type="pct"/>
                  <w:vMerge w:val="continue"/>
                  <w:vAlign w:val="center"/>
                </w:tcPr>
                <w:p>
                  <w:pPr>
                    <w:adjustRightInd w:val="0"/>
                    <w:snapToGrid w:val="0"/>
                    <w:jc w:val="center"/>
                    <w:rPr>
                      <w:color w:val="auto"/>
                      <w:szCs w:val="21"/>
                    </w:rPr>
                  </w:pPr>
                </w:p>
              </w:tc>
              <w:tc>
                <w:tcPr>
                  <w:tcW w:w="312" w:type="pct"/>
                  <w:vMerge w:val="continue"/>
                  <w:vAlign w:val="center"/>
                </w:tcPr>
                <w:p>
                  <w:pPr>
                    <w:adjustRightInd w:val="0"/>
                    <w:snapToGrid w:val="0"/>
                    <w:jc w:val="center"/>
                    <w:rPr>
                      <w:color w:val="auto"/>
                      <w:szCs w:val="21"/>
                    </w:rPr>
                  </w:pPr>
                </w:p>
              </w:tc>
              <w:tc>
                <w:tcPr>
                  <w:tcW w:w="191" w:type="pct"/>
                  <w:vMerge w:val="continue"/>
                  <w:vAlign w:val="center"/>
                </w:tcPr>
                <w:p>
                  <w:pPr>
                    <w:adjustRightInd w:val="0"/>
                    <w:snapToGrid w:val="0"/>
                    <w:jc w:val="center"/>
                    <w:rPr>
                      <w:color w:val="auto"/>
                      <w:szCs w:val="21"/>
                    </w:rPr>
                  </w:pPr>
                </w:p>
              </w:tc>
              <w:tc>
                <w:tcPr>
                  <w:tcW w:w="301" w:type="pct"/>
                  <w:vMerge w:val="continue"/>
                  <w:vAlign w:val="center"/>
                </w:tcPr>
                <w:p>
                  <w:pPr>
                    <w:adjustRightInd w:val="0"/>
                    <w:snapToGrid w:val="0"/>
                    <w:jc w:val="center"/>
                    <w:rPr>
                      <w:color w:val="auto"/>
                      <w:szCs w:val="21"/>
                    </w:rPr>
                  </w:pPr>
                </w:p>
              </w:tc>
              <w:tc>
                <w:tcPr>
                  <w:tcW w:w="320" w:type="pct"/>
                  <w:vMerge w:val="continue"/>
                  <w:vAlign w:val="center"/>
                </w:tcPr>
                <w:p>
                  <w:pPr>
                    <w:adjustRightInd w:val="0"/>
                    <w:snapToGrid w:val="0"/>
                    <w:jc w:val="center"/>
                    <w:rPr>
                      <w:color w:val="auto"/>
                      <w:szCs w:val="21"/>
                    </w:rPr>
                  </w:pPr>
                </w:p>
              </w:tc>
              <w:tc>
                <w:tcPr>
                  <w:tcW w:w="545" w:type="pct"/>
                  <w:vMerge w:val="continue"/>
                  <w:vAlign w:val="center"/>
                </w:tcPr>
                <w:p>
                  <w:pPr>
                    <w:adjustRightInd w:val="0"/>
                    <w:snapToGrid w:val="0"/>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 w:type="pct"/>
                  <w:vAlign w:val="center"/>
                </w:tcPr>
                <w:p>
                  <w:pPr>
                    <w:adjustRightInd w:val="0"/>
                    <w:snapToGrid w:val="0"/>
                    <w:jc w:val="center"/>
                    <w:rPr>
                      <w:color w:val="auto"/>
                      <w:szCs w:val="21"/>
                    </w:rPr>
                  </w:pPr>
                  <w:r>
                    <w:rPr>
                      <w:color w:val="auto"/>
                      <w:szCs w:val="21"/>
                    </w:rPr>
                    <w:t>3</w:t>
                  </w:r>
                </w:p>
              </w:tc>
              <w:tc>
                <w:tcPr>
                  <w:tcW w:w="759" w:type="pct"/>
                  <w:vAlign w:val="center"/>
                </w:tcPr>
                <w:p>
                  <w:pPr>
                    <w:adjustRightInd w:val="0"/>
                    <w:snapToGrid w:val="0"/>
                    <w:jc w:val="center"/>
                    <w:rPr>
                      <w:color w:val="auto"/>
                      <w:szCs w:val="21"/>
                    </w:rPr>
                  </w:pPr>
                  <w:r>
                    <w:rPr>
                      <w:color w:val="auto"/>
                      <w:szCs w:val="21"/>
                    </w:rPr>
                    <w:t>纯水制备浓水</w:t>
                  </w:r>
                </w:p>
              </w:tc>
              <w:tc>
                <w:tcPr>
                  <w:tcW w:w="544" w:type="pct"/>
                  <w:vAlign w:val="center"/>
                </w:tcPr>
                <w:p>
                  <w:pPr>
                    <w:adjustRightInd w:val="0"/>
                    <w:snapToGrid w:val="0"/>
                    <w:jc w:val="center"/>
                    <w:rPr>
                      <w:color w:val="auto"/>
                      <w:szCs w:val="21"/>
                    </w:rPr>
                  </w:pPr>
                  <w:r>
                    <w:rPr>
                      <w:color w:val="auto"/>
                      <w:szCs w:val="21"/>
                    </w:rPr>
                    <w:t>COD、SS</w:t>
                  </w:r>
                </w:p>
              </w:tc>
              <w:tc>
                <w:tcPr>
                  <w:tcW w:w="377" w:type="pct"/>
                  <w:vMerge w:val="continue"/>
                  <w:vAlign w:val="center"/>
                </w:tcPr>
                <w:p>
                  <w:pPr>
                    <w:adjustRightInd w:val="0"/>
                    <w:snapToGrid w:val="0"/>
                    <w:jc w:val="center"/>
                    <w:rPr>
                      <w:color w:val="auto"/>
                      <w:szCs w:val="21"/>
                    </w:rPr>
                  </w:pPr>
                </w:p>
              </w:tc>
              <w:tc>
                <w:tcPr>
                  <w:tcW w:w="330" w:type="pct"/>
                  <w:vMerge w:val="continue"/>
                  <w:vAlign w:val="center"/>
                </w:tcPr>
                <w:p>
                  <w:pPr>
                    <w:adjustRightInd w:val="0"/>
                    <w:snapToGrid w:val="0"/>
                    <w:jc w:val="center"/>
                    <w:rPr>
                      <w:color w:val="auto"/>
                      <w:szCs w:val="21"/>
                    </w:rPr>
                  </w:pPr>
                </w:p>
              </w:tc>
              <w:tc>
                <w:tcPr>
                  <w:tcW w:w="407" w:type="pct"/>
                  <w:vMerge w:val="continue"/>
                  <w:vAlign w:val="center"/>
                </w:tcPr>
                <w:p>
                  <w:pPr>
                    <w:adjustRightInd w:val="0"/>
                    <w:snapToGrid w:val="0"/>
                    <w:jc w:val="center"/>
                    <w:rPr>
                      <w:color w:val="auto"/>
                      <w:szCs w:val="21"/>
                    </w:rPr>
                  </w:pPr>
                </w:p>
              </w:tc>
              <w:tc>
                <w:tcPr>
                  <w:tcW w:w="438" w:type="pct"/>
                  <w:vMerge w:val="continue"/>
                  <w:vAlign w:val="center"/>
                </w:tcPr>
                <w:p>
                  <w:pPr>
                    <w:adjustRightInd w:val="0"/>
                    <w:snapToGrid w:val="0"/>
                    <w:jc w:val="center"/>
                    <w:rPr>
                      <w:color w:val="auto"/>
                      <w:szCs w:val="21"/>
                    </w:rPr>
                  </w:pPr>
                </w:p>
              </w:tc>
              <w:tc>
                <w:tcPr>
                  <w:tcW w:w="350" w:type="pct"/>
                  <w:vMerge w:val="continue"/>
                  <w:vAlign w:val="center"/>
                </w:tcPr>
                <w:p>
                  <w:pPr>
                    <w:adjustRightInd w:val="0"/>
                    <w:snapToGrid w:val="0"/>
                    <w:jc w:val="center"/>
                    <w:rPr>
                      <w:color w:val="auto"/>
                      <w:szCs w:val="21"/>
                    </w:rPr>
                  </w:pPr>
                </w:p>
              </w:tc>
              <w:tc>
                <w:tcPr>
                  <w:tcW w:w="312" w:type="pct"/>
                  <w:vMerge w:val="continue"/>
                  <w:vAlign w:val="center"/>
                </w:tcPr>
                <w:p>
                  <w:pPr>
                    <w:adjustRightInd w:val="0"/>
                    <w:snapToGrid w:val="0"/>
                    <w:jc w:val="center"/>
                    <w:rPr>
                      <w:color w:val="auto"/>
                      <w:szCs w:val="21"/>
                    </w:rPr>
                  </w:pPr>
                </w:p>
              </w:tc>
              <w:tc>
                <w:tcPr>
                  <w:tcW w:w="191" w:type="pct"/>
                  <w:vMerge w:val="continue"/>
                  <w:vAlign w:val="center"/>
                </w:tcPr>
                <w:p>
                  <w:pPr>
                    <w:adjustRightInd w:val="0"/>
                    <w:snapToGrid w:val="0"/>
                    <w:jc w:val="center"/>
                    <w:rPr>
                      <w:color w:val="auto"/>
                      <w:szCs w:val="21"/>
                    </w:rPr>
                  </w:pPr>
                </w:p>
              </w:tc>
              <w:tc>
                <w:tcPr>
                  <w:tcW w:w="301" w:type="pct"/>
                  <w:vMerge w:val="continue"/>
                  <w:vAlign w:val="center"/>
                </w:tcPr>
                <w:p>
                  <w:pPr>
                    <w:adjustRightInd w:val="0"/>
                    <w:snapToGrid w:val="0"/>
                    <w:jc w:val="center"/>
                    <w:rPr>
                      <w:color w:val="auto"/>
                      <w:szCs w:val="21"/>
                    </w:rPr>
                  </w:pPr>
                </w:p>
              </w:tc>
              <w:tc>
                <w:tcPr>
                  <w:tcW w:w="320" w:type="pct"/>
                  <w:vMerge w:val="continue"/>
                  <w:vAlign w:val="center"/>
                </w:tcPr>
                <w:p>
                  <w:pPr>
                    <w:adjustRightInd w:val="0"/>
                    <w:snapToGrid w:val="0"/>
                    <w:jc w:val="center"/>
                    <w:rPr>
                      <w:color w:val="auto"/>
                      <w:szCs w:val="21"/>
                    </w:rPr>
                  </w:pPr>
                </w:p>
              </w:tc>
              <w:tc>
                <w:tcPr>
                  <w:tcW w:w="545" w:type="pct"/>
                  <w:vMerge w:val="continue"/>
                  <w:vAlign w:val="center"/>
                </w:tcPr>
                <w:p>
                  <w:pPr>
                    <w:adjustRightInd w:val="0"/>
                    <w:snapToGrid w:val="0"/>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 w:type="pct"/>
                  <w:vAlign w:val="center"/>
                </w:tcPr>
                <w:p>
                  <w:pPr>
                    <w:adjustRightInd w:val="0"/>
                    <w:snapToGrid w:val="0"/>
                    <w:jc w:val="center"/>
                    <w:rPr>
                      <w:color w:val="auto"/>
                      <w:szCs w:val="21"/>
                    </w:rPr>
                  </w:pPr>
                  <w:r>
                    <w:rPr>
                      <w:rFonts w:hint="eastAsia"/>
                      <w:color w:val="auto"/>
                      <w:szCs w:val="21"/>
                    </w:rPr>
                    <w:t>4</w:t>
                  </w:r>
                </w:p>
              </w:tc>
              <w:tc>
                <w:tcPr>
                  <w:tcW w:w="759" w:type="pct"/>
                  <w:vAlign w:val="center"/>
                </w:tcPr>
                <w:p>
                  <w:pPr>
                    <w:adjustRightInd w:val="0"/>
                    <w:snapToGrid w:val="0"/>
                    <w:jc w:val="center"/>
                    <w:rPr>
                      <w:color w:val="auto"/>
                      <w:szCs w:val="21"/>
                    </w:rPr>
                  </w:pPr>
                  <w:r>
                    <w:rPr>
                      <w:rFonts w:hint="eastAsia"/>
                      <w:color w:val="auto"/>
                      <w:szCs w:val="21"/>
                    </w:rPr>
                    <w:t>喷粉生产线废水</w:t>
                  </w:r>
                </w:p>
              </w:tc>
              <w:tc>
                <w:tcPr>
                  <w:tcW w:w="544" w:type="pct"/>
                  <w:vAlign w:val="center"/>
                </w:tcPr>
                <w:p>
                  <w:pPr>
                    <w:adjustRightInd w:val="0"/>
                    <w:snapToGrid w:val="0"/>
                    <w:jc w:val="center"/>
                    <w:rPr>
                      <w:color w:val="auto"/>
                      <w:szCs w:val="21"/>
                    </w:rPr>
                  </w:pPr>
                  <w:r>
                    <w:rPr>
                      <w:color w:val="auto"/>
                      <w:szCs w:val="21"/>
                    </w:rPr>
                    <w:t>pH、COD、SS、</w:t>
                  </w:r>
                  <w:r>
                    <w:rPr>
                      <w:rFonts w:hint="eastAsia"/>
                      <w:color w:val="auto"/>
                      <w:szCs w:val="21"/>
                    </w:rPr>
                    <w:t>石油类</w:t>
                  </w:r>
                  <w:r>
                    <w:rPr>
                      <w:color w:val="auto"/>
                      <w:szCs w:val="21"/>
                    </w:rPr>
                    <w:t>、LAS、</w:t>
                  </w:r>
                  <w:r>
                    <w:rPr>
                      <w:rFonts w:hint="eastAsia"/>
                      <w:color w:val="auto"/>
                      <w:szCs w:val="21"/>
                    </w:rPr>
                    <w:t>氟化物</w:t>
                  </w:r>
                </w:p>
              </w:tc>
              <w:tc>
                <w:tcPr>
                  <w:tcW w:w="377" w:type="pct"/>
                  <w:vAlign w:val="center"/>
                </w:tcPr>
                <w:p>
                  <w:pPr>
                    <w:adjustRightInd w:val="0"/>
                    <w:snapToGrid w:val="0"/>
                    <w:jc w:val="center"/>
                    <w:rPr>
                      <w:color w:val="auto"/>
                      <w:szCs w:val="21"/>
                    </w:rPr>
                  </w:pPr>
                  <w:r>
                    <w:rPr>
                      <w:color w:val="auto"/>
                      <w:szCs w:val="21"/>
                    </w:rPr>
                    <w:t>TW00</w:t>
                  </w:r>
                  <w:r>
                    <w:rPr>
                      <w:rFonts w:hint="eastAsia"/>
                      <w:color w:val="auto"/>
                      <w:szCs w:val="21"/>
                    </w:rPr>
                    <w:t>4</w:t>
                  </w:r>
                </w:p>
              </w:tc>
              <w:tc>
                <w:tcPr>
                  <w:tcW w:w="330" w:type="pct"/>
                  <w:vAlign w:val="center"/>
                </w:tcPr>
                <w:p>
                  <w:pPr>
                    <w:adjustRightInd w:val="0"/>
                    <w:snapToGrid w:val="0"/>
                    <w:jc w:val="center"/>
                    <w:rPr>
                      <w:color w:val="auto"/>
                      <w:szCs w:val="21"/>
                    </w:rPr>
                  </w:pPr>
                  <w:r>
                    <w:rPr>
                      <w:rFonts w:hint="eastAsia"/>
                      <w:color w:val="auto"/>
                      <w:szCs w:val="21"/>
                    </w:rPr>
                    <w:t>厂内污水处理系统</w:t>
                  </w:r>
                </w:p>
              </w:tc>
              <w:tc>
                <w:tcPr>
                  <w:tcW w:w="407" w:type="pct"/>
                  <w:vAlign w:val="center"/>
                </w:tcPr>
                <w:p>
                  <w:pPr>
                    <w:adjustRightInd w:val="0"/>
                    <w:snapToGrid w:val="0"/>
                    <w:jc w:val="center"/>
                    <w:rPr>
                      <w:color w:val="auto"/>
                      <w:szCs w:val="21"/>
                    </w:rPr>
                  </w:pPr>
                  <w:r>
                    <w:rPr>
                      <w:rFonts w:hint="eastAsia"/>
                      <w:color w:val="auto"/>
                      <w:szCs w:val="21"/>
                    </w:rPr>
                    <w:t>2</w:t>
                  </w:r>
                  <w:r>
                    <w:rPr>
                      <w:color w:val="auto"/>
                      <w:szCs w:val="21"/>
                    </w:rPr>
                    <w:t>t/</w:t>
                  </w:r>
                  <w:r>
                    <w:rPr>
                      <w:rFonts w:hint="eastAsia"/>
                      <w:color w:val="auto"/>
                      <w:szCs w:val="21"/>
                    </w:rPr>
                    <w:t>h</w:t>
                  </w:r>
                </w:p>
              </w:tc>
              <w:tc>
                <w:tcPr>
                  <w:tcW w:w="438" w:type="pct"/>
                  <w:vAlign w:val="center"/>
                </w:tcPr>
                <w:p>
                  <w:pPr>
                    <w:adjustRightInd w:val="0"/>
                    <w:snapToGrid w:val="0"/>
                    <w:jc w:val="center"/>
                    <w:rPr>
                      <w:color w:val="auto"/>
                      <w:szCs w:val="21"/>
                    </w:rPr>
                  </w:pPr>
                  <w:r>
                    <w:rPr>
                      <w:rFonts w:hint="eastAsia"/>
                      <w:color w:val="auto"/>
                      <w:szCs w:val="21"/>
                    </w:rPr>
                    <w:t>隔油+混凝气浮+砂滤+二级反渗透+蒸发浓缩</w:t>
                  </w:r>
                </w:p>
              </w:tc>
              <w:tc>
                <w:tcPr>
                  <w:tcW w:w="350" w:type="pct"/>
                  <w:vAlign w:val="center"/>
                </w:tcPr>
                <w:p>
                  <w:pPr>
                    <w:adjustRightInd w:val="0"/>
                    <w:snapToGrid w:val="0"/>
                    <w:jc w:val="center"/>
                    <w:rPr>
                      <w:color w:val="auto"/>
                      <w:szCs w:val="21"/>
                    </w:rPr>
                  </w:pPr>
                  <w:r>
                    <w:rPr>
                      <w:color w:val="auto"/>
                      <w:szCs w:val="21"/>
                    </w:rPr>
                    <w:t>☑是</w:t>
                  </w:r>
                </w:p>
                <w:p>
                  <w:pPr>
                    <w:adjustRightInd w:val="0"/>
                    <w:snapToGrid w:val="0"/>
                    <w:jc w:val="center"/>
                    <w:rPr>
                      <w:color w:val="auto"/>
                      <w:szCs w:val="21"/>
                    </w:rPr>
                  </w:pPr>
                  <w:r>
                    <w:rPr>
                      <w:color w:val="auto"/>
                      <w:szCs w:val="21"/>
                    </w:rPr>
                    <w:t>□否</w:t>
                  </w:r>
                </w:p>
              </w:tc>
              <w:tc>
                <w:tcPr>
                  <w:tcW w:w="312" w:type="pct"/>
                  <w:vAlign w:val="center"/>
                </w:tcPr>
                <w:p>
                  <w:pPr>
                    <w:adjustRightInd w:val="0"/>
                    <w:snapToGrid w:val="0"/>
                    <w:jc w:val="center"/>
                    <w:rPr>
                      <w:color w:val="auto"/>
                      <w:szCs w:val="21"/>
                    </w:rPr>
                  </w:pPr>
                  <w:r>
                    <w:rPr>
                      <w:color w:val="auto"/>
                      <w:szCs w:val="21"/>
                    </w:rPr>
                    <w:t>不排放</w:t>
                  </w:r>
                </w:p>
              </w:tc>
              <w:tc>
                <w:tcPr>
                  <w:tcW w:w="191" w:type="pct"/>
                  <w:vAlign w:val="center"/>
                </w:tcPr>
                <w:p>
                  <w:pPr>
                    <w:adjustRightInd w:val="0"/>
                    <w:snapToGrid w:val="0"/>
                    <w:jc w:val="center"/>
                    <w:rPr>
                      <w:color w:val="auto"/>
                      <w:szCs w:val="21"/>
                    </w:rPr>
                  </w:pPr>
                  <w:r>
                    <w:rPr>
                      <w:color w:val="auto"/>
                      <w:szCs w:val="21"/>
                    </w:rPr>
                    <w:t>—</w:t>
                  </w:r>
                </w:p>
              </w:tc>
              <w:tc>
                <w:tcPr>
                  <w:tcW w:w="301" w:type="pct"/>
                  <w:vAlign w:val="center"/>
                </w:tcPr>
                <w:p>
                  <w:pPr>
                    <w:adjustRightInd w:val="0"/>
                    <w:snapToGrid w:val="0"/>
                    <w:jc w:val="center"/>
                    <w:rPr>
                      <w:color w:val="auto"/>
                      <w:szCs w:val="21"/>
                    </w:rPr>
                  </w:pPr>
                  <w:r>
                    <w:rPr>
                      <w:color w:val="auto"/>
                      <w:szCs w:val="21"/>
                    </w:rPr>
                    <w:t>—</w:t>
                  </w:r>
                </w:p>
              </w:tc>
              <w:tc>
                <w:tcPr>
                  <w:tcW w:w="320" w:type="pct"/>
                  <w:vAlign w:val="center"/>
                </w:tcPr>
                <w:p>
                  <w:pPr>
                    <w:adjustRightInd w:val="0"/>
                    <w:snapToGrid w:val="0"/>
                    <w:jc w:val="center"/>
                    <w:rPr>
                      <w:color w:val="auto"/>
                      <w:szCs w:val="21"/>
                    </w:rPr>
                  </w:pPr>
                  <w:r>
                    <w:rPr>
                      <w:color w:val="auto"/>
                      <w:szCs w:val="21"/>
                    </w:rPr>
                    <w:t>—</w:t>
                  </w:r>
                </w:p>
              </w:tc>
              <w:tc>
                <w:tcPr>
                  <w:tcW w:w="545" w:type="pct"/>
                  <w:vAlign w:val="center"/>
                </w:tcPr>
                <w:p>
                  <w:pPr>
                    <w:adjustRightInd w:val="0"/>
                    <w:snapToGrid w:val="0"/>
                    <w:jc w:val="center"/>
                    <w:rPr>
                      <w:color w:val="auto"/>
                      <w:szCs w:val="21"/>
                    </w:rPr>
                  </w:pPr>
                  <w:r>
                    <w:rPr>
                      <w:color w:val="auto"/>
                      <w:szCs w:val="21"/>
                    </w:rPr>
                    <w:t>—</w:t>
                  </w:r>
                </w:p>
              </w:tc>
            </w:tr>
          </w:tbl>
          <w:p>
            <w:pPr>
              <w:adjustRightInd w:val="0"/>
              <w:snapToGrid w:val="0"/>
              <w:spacing w:before="159" w:beforeLines="50" w:line="360" w:lineRule="auto"/>
              <w:ind w:firstLine="480" w:firstLineChars="200"/>
              <w:jc w:val="left"/>
              <w:rPr>
                <w:rFonts w:ascii="Calibri" w:hAnsi="Calibri" w:cs="Calibri"/>
                <w:snapToGrid w:val="0"/>
                <w:color w:val="auto"/>
                <w:kern w:val="0"/>
                <w:sz w:val="24"/>
              </w:rPr>
            </w:pPr>
            <w:r>
              <w:rPr>
                <w:rFonts w:ascii="Calibri" w:hAnsi="Calibri" w:cs="Calibri"/>
                <w:color w:val="auto"/>
                <w:kern w:val="0"/>
                <w:sz w:val="24"/>
              </w:rPr>
              <w:t>废水间接排放口基本情况见下表</w:t>
            </w:r>
            <w:r>
              <w:rPr>
                <w:rFonts w:ascii="Calibri" w:hAnsi="Calibri" w:cs="Calibri"/>
                <w:snapToGrid w:val="0"/>
                <w:color w:val="auto"/>
                <w:kern w:val="0"/>
                <w:sz w:val="24"/>
              </w:rPr>
              <w:t>。</w:t>
            </w:r>
          </w:p>
          <w:p>
            <w:pPr>
              <w:pStyle w:val="6"/>
              <w:numPr>
                <w:ilvl w:val="0"/>
                <w:numId w:val="16"/>
              </w:numPr>
              <w:adjustRightInd w:val="0"/>
              <w:snapToGrid w:val="0"/>
              <w:ind w:firstLineChars="0"/>
              <w:jc w:val="center"/>
              <w:rPr>
                <w:rFonts w:ascii="Calibri" w:hAnsi="Calibri" w:cs="Calibri"/>
                <w:b/>
                <w:bCs/>
                <w:color w:val="auto"/>
                <w:kern w:val="0"/>
                <w:sz w:val="24"/>
              </w:rPr>
            </w:pPr>
            <w:r>
              <w:rPr>
                <w:rFonts w:ascii="Calibri" w:hAnsi="Calibri" w:cs="Calibri"/>
                <w:b/>
                <w:bCs/>
                <w:color w:val="auto"/>
                <w:kern w:val="0"/>
                <w:sz w:val="24"/>
              </w:rPr>
              <w:t>废水间接排放口基本情况表（全厂）</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198"/>
              <w:gridCol w:w="1168"/>
              <w:gridCol w:w="986"/>
              <w:gridCol w:w="1305"/>
              <w:gridCol w:w="1233"/>
              <w:gridCol w:w="1243"/>
              <w:gridCol w:w="1045"/>
              <w:gridCol w:w="839"/>
              <w:gridCol w:w="1332"/>
              <w:gridCol w:w="1099"/>
              <w:gridCol w:w="13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restart"/>
                  <w:tcMar>
                    <w:top w:w="0" w:type="dxa"/>
                    <w:left w:w="6" w:type="dxa"/>
                    <w:bottom w:w="0" w:type="dxa"/>
                    <w:right w:w="6" w:type="dxa"/>
                  </w:tcMar>
                  <w:vAlign w:val="center"/>
                </w:tcPr>
                <w:p>
                  <w:pPr>
                    <w:adjustRightInd w:val="0"/>
                    <w:snapToGrid w:val="0"/>
                    <w:jc w:val="center"/>
                    <w:rPr>
                      <w:b/>
                      <w:color w:val="auto"/>
                      <w:szCs w:val="21"/>
                    </w:rPr>
                  </w:pPr>
                  <w:r>
                    <w:rPr>
                      <w:b/>
                      <w:color w:val="auto"/>
                      <w:szCs w:val="21"/>
                    </w:rPr>
                    <w:t>序号</w:t>
                  </w:r>
                </w:p>
              </w:tc>
              <w:tc>
                <w:tcPr>
                  <w:tcW w:w="447" w:type="pct"/>
                  <w:vMerge w:val="restart"/>
                  <w:tcMar>
                    <w:top w:w="0" w:type="dxa"/>
                    <w:left w:w="6" w:type="dxa"/>
                    <w:bottom w:w="0" w:type="dxa"/>
                    <w:right w:w="6" w:type="dxa"/>
                  </w:tcMar>
                  <w:vAlign w:val="center"/>
                </w:tcPr>
                <w:p>
                  <w:pPr>
                    <w:adjustRightInd w:val="0"/>
                    <w:snapToGrid w:val="0"/>
                    <w:jc w:val="center"/>
                    <w:rPr>
                      <w:b/>
                      <w:color w:val="auto"/>
                      <w:szCs w:val="21"/>
                    </w:rPr>
                  </w:pPr>
                  <w:r>
                    <w:rPr>
                      <w:b/>
                      <w:color w:val="auto"/>
                      <w:szCs w:val="21"/>
                    </w:rPr>
                    <w:t>排放口编号</w:t>
                  </w:r>
                </w:p>
              </w:tc>
              <w:tc>
                <w:tcPr>
                  <w:tcW w:w="436" w:type="pct"/>
                  <w:vMerge w:val="restart"/>
                  <w:tcMar>
                    <w:top w:w="0" w:type="dxa"/>
                    <w:left w:w="6" w:type="dxa"/>
                    <w:bottom w:w="0" w:type="dxa"/>
                    <w:right w:w="6" w:type="dxa"/>
                  </w:tcMar>
                  <w:vAlign w:val="center"/>
                </w:tcPr>
                <w:p>
                  <w:pPr>
                    <w:adjustRightInd w:val="0"/>
                    <w:snapToGrid w:val="0"/>
                    <w:jc w:val="center"/>
                    <w:rPr>
                      <w:b/>
                      <w:color w:val="auto"/>
                      <w:szCs w:val="21"/>
                    </w:rPr>
                  </w:pPr>
                  <w:r>
                    <w:rPr>
                      <w:b/>
                      <w:color w:val="auto"/>
                      <w:szCs w:val="21"/>
                    </w:rPr>
                    <w:t>排放口名称</w:t>
                  </w:r>
                </w:p>
              </w:tc>
              <w:tc>
                <w:tcPr>
                  <w:tcW w:w="368" w:type="pct"/>
                  <w:vMerge w:val="restart"/>
                  <w:tcMar>
                    <w:top w:w="0" w:type="dxa"/>
                    <w:left w:w="6" w:type="dxa"/>
                    <w:bottom w:w="0" w:type="dxa"/>
                    <w:right w:w="6" w:type="dxa"/>
                  </w:tcMar>
                  <w:vAlign w:val="center"/>
                </w:tcPr>
                <w:p>
                  <w:pPr>
                    <w:adjustRightInd w:val="0"/>
                    <w:snapToGrid w:val="0"/>
                    <w:jc w:val="center"/>
                    <w:rPr>
                      <w:b/>
                      <w:color w:val="auto"/>
                      <w:szCs w:val="21"/>
                    </w:rPr>
                  </w:pPr>
                  <w:r>
                    <w:rPr>
                      <w:b/>
                      <w:bCs/>
                      <w:color w:val="auto"/>
                      <w:szCs w:val="21"/>
                    </w:rPr>
                    <w:t>排放口类型</w:t>
                  </w:r>
                </w:p>
              </w:tc>
              <w:tc>
                <w:tcPr>
                  <w:tcW w:w="947" w:type="pct"/>
                  <w:gridSpan w:val="2"/>
                  <w:tcMar>
                    <w:top w:w="0" w:type="dxa"/>
                    <w:left w:w="6" w:type="dxa"/>
                    <w:bottom w:w="0" w:type="dxa"/>
                    <w:right w:w="6" w:type="dxa"/>
                  </w:tcMar>
                  <w:vAlign w:val="center"/>
                </w:tcPr>
                <w:p>
                  <w:pPr>
                    <w:adjustRightInd w:val="0"/>
                    <w:snapToGrid w:val="0"/>
                    <w:jc w:val="center"/>
                    <w:rPr>
                      <w:b/>
                      <w:color w:val="auto"/>
                      <w:szCs w:val="21"/>
                    </w:rPr>
                  </w:pPr>
                  <w:r>
                    <w:rPr>
                      <w:b/>
                      <w:color w:val="auto"/>
                      <w:szCs w:val="21"/>
                    </w:rPr>
                    <w:t>排放口地理位置</w:t>
                  </w:r>
                </w:p>
              </w:tc>
              <w:tc>
                <w:tcPr>
                  <w:tcW w:w="464" w:type="pct"/>
                  <w:vMerge w:val="restart"/>
                  <w:tcMar>
                    <w:top w:w="0" w:type="dxa"/>
                    <w:left w:w="6" w:type="dxa"/>
                    <w:bottom w:w="0" w:type="dxa"/>
                    <w:right w:w="6" w:type="dxa"/>
                  </w:tcMar>
                  <w:vAlign w:val="center"/>
                </w:tcPr>
                <w:p>
                  <w:pPr>
                    <w:adjustRightInd w:val="0"/>
                    <w:snapToGrid w:val="0"/>
                    <w:jc w:val="center"/>
                    <w:rPr>
                      <w:b/>
                      <w:color w:val="auto"/>
                      <w:szCs w:val="21"/>
                    </w:rPr>
                  </w:pPr>
                  <w:r>
                    <w:rPr>
                      <w:b/>
                      <w:color w:val="auto"/>
                      <w:szCs w:val="21"/>
                    </w:rPr>
                    <w:t>废水排放量（万t/a）</w:t>
                  </w:r>
                </w:p>
              </w:tc>
              <w:tc>
                <w:tcPr>
                  <w:tcW w:w="390" w:type="pct"/>
                  <w:vMerge w:val="restart"/>
                  <w:tcMar>
                    <w:top w:w="0" w:type="dxa"/>
                    <w:left w:w="6" w:type="dxa"/>
                    <w:bottom w:w="0" w:type="dxa"/>
                    <w:right w:w="6" w:type="dxa"/>
                  </w:tcMar>
                  <w:vAlign w:val="center"/>
                </w:tcPr>
                <w:p>
                  <w:pPr>
                    <w:adjustRightInd w:val="0"/>
                    <w:snapToGrid w:val="0"/>
                    <w:jc w:val="center"/>
                    <w:rPr>
                      <w:b/>
                      <w:color w:val="auto"/>
                      <w:szCs w:val="21"/>
                    </w:rPr>
                  </w:pPr>
                  <w:r>
                    <w:rPr>
                      <w:b/>
                      <w:color w:val="auto"/>
                      <w:szCs w:val="21"/>
                    </w:rPr>
                    <w:t>排放去向</w:t>
                  </w:r>
                </w:p>
              </w:tc>
              <w:tc>
                <w:tcPr>
                  <w:tcW w:w="313" w:type="pct"/>
                  <w:vMerge w:val="restart"/>
                  <w:tcMar>
                    <w:top w:w="0" w:type="dxa"/>
                    <w:left w:w="6" w:type="dxa"/>
                    <w:bottom w:w="0" w:type="dxa"/>
                    <w:right w:w="6" w:type="dxa"/>
                  </w:tcMar>
                  <w:vAlign w:val="center"/>
                </w:tcPr>
                <w:p>
                  <w:pPr>
                    <w:adjustRightInd w:val="0"/>
                    <w:snapToGrid w:val="0"/>
                    <w:jc w:val="center"/>
                    <w:rPr>
                      <w:b/>
                      <w:color w:val="auto"/>
                      <w:szCs w:val="21"/>
                    </w:rPr>
                  </w:pPr>
                  <w:r>
                    <w:rPr>
                      <w:b/>
                      <w:color w:val="auto"/>
                      <w:szCs w:val="21"/>
                    </w:rPr>
                    <w:t>排放规律</w:t>
                  </w:r>
                </w:p>
              </w:tc>
              <w:tc>
                <w:tcPr>
                  <w:tcW w:w="1400" w:type="pct"/>
                  <w:gridSpan w:val="3"/>
                  <w:tcMar>
                    <w:top w:w="0" w:type="dxa"/>
                    <w:left w:w="6" w:type="dxa"/>
                    <w:bottom w:w="0" w:type="dxa"/>
                    <w:right w:w="6" w:type="dxa"/>
                  </w:tcMar>
                  <w:vAlign w:val="center"/>
                </w:tcPr>
                <w:p>
                  <w:pPr>
                    <w:adjustRightInd w:val="0"/>
                    <w:snapToGrid w:val="0"/>
                    <w:jc w:val="center"/>
                    <w:rPr>
                      <w:b/>
                      <w:color w:val="auto"/>
                      <w:szCs w:val="21"/>
                    </w:rPr>
                  </w:pPr>
                  <w:r>
                    <w:rPr>
                      <w:b/>
                      <w:color w:val="auto"/>
                      <w:szCs w:val="21"/>
                    </w:rPr>
                    <w:t>排放标准（mg/L）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tcMar>
                    <w:top w:w="0" w:type="dxa"/>
                    <w:left w:w="6" w:type="dxa"/>
                    <w:bottom w:w="0" w:type="dxa"/>
                    <w:right w:w="6" w:type="dxa"/>
                  </w:tcMar>
                  <w:vAlign w:val="center"/>
                </w:tcPr>
                <w:p>
                  <w:pPr>
                    <w:adjustRightInd w:val="0"/>
                    <w:snapToGrid w:val="0"/>
                    <w:jc w:val="center"/>
                    <w:rPr>
                      <w:b/>
                      <w:color w:val="auto"/>
                      <w:szCs w:val="21"/>
                    </w:rPr>
                  </w:pPr>
                </w:p>
              </w:tc>
              <w:tc>
                <w:tcPr>
                  <w:tcW w:w="447" w:type="pct"/>
                  <w:vMerge w:val="continue"/>
                  <w:tcMar>
                    <w:top w:w="0" w:type="dxa"/>
                    <w:left w:w="6" w:type="dxa"/>
                    <w:bottom w:w="0" w:type="dxa"/>
                    <w:right w:w="6" w:type="dxa"/>
                  </w:tcMar>
                  <w:vAlign w:val="center"/>
                </w:tcPr>
                <w:p>
                  <w:pPr>
                    <w:adjustRightInd w:val="0"/>
                    <w:snapToGrid w:val="0"/>
                    <w:jc w:val="center"/>
                    <w:rPr>
                      <w:b/>
                      <w:color w:val="auto"/>
                      <w:szCs w:val="21"/>
                    </w:rPr>
                  </w:pPr>
                </w:p>
              </w:tc>
              <w:tc>
                <w:tcPr>
                  <w:tcW w:w="436" w:type="pct"/>
                  <w:vMerge w:val="continue"/>
                  <w:tcMar>
                    <w:top w:w="0" w:type="dxa"/>
                    <w:left w:w="6" w:type="dxa"/>
                    <w:bottom w:w="0" w:type="dxa"/>
                    <w:right w:w="6" w:type="dxa"/>
                  </w:tcMar>
                  <w:vAlign w:val="center"/>
                </w:tcPr>
                <w:p>
                  <w:pPr>
                    <w:adjustRightInd w:val="0"/>
                    <w:snapToGrid w:val="0"/>
                    <w:jc w:val="center"/>
                    <w:rPr>
                      <w:b/>
                      <w:color w:val="auto"/>
                      <w:szCs w:val="21"/>
                    </w:rPr>
                  </w:pPr>
                </w:p>
              </w:tc>
              <w:tc>
                <w:tcPr>
                  <w:tcW w:w="368" w:type="pct"/>
                  <w:vMerge w:val="continue"/>
                  <w:tcMar>
                    <w:top w:w="0" w:type="dxa"/>
                    <w:left w:w="6" w:type="dxa"/>
                    <w:bottom w:w="0" w:type="dxa"/>
                    <w:right w:w="6" w:type="dxa"/>
                  </w:tcMar>
                  <w:vAlign w:val="center"/>
                </w:tcPr>
                <w:p>
                  <w:pPr>
                    <w:adjustRightInd w:val="0"/>
                    <w:snapToGrid w:val="0"/>
                    <w:jc w:val="center"/>
                    <w:rPr>
                      <w:b/>
                      <w:color w:val="auto"/>
                      <w:szCs w:val="21"/>
                    </w:rPr>
                  </w:pPr>
                </w:p>
              </w:tc>
              <w:tc>
                <w:tcPr>
                  <w:tcW w:w="487" w:type="pct"/>
                  <w:tcMar>
                    <w:top w:w="0" w:type="dxa"/>
                    <w:left w:w="6" w:type="dxa"/>
                    <w:bottom w:w="0" w:type="dxa"/>
                    <w:right w:w="6" w:type="dxa"/>
                  </w:tcMar>
                  <w:vAlign w:val="center"/>
                </w:tcPr>
                <w:p>
                  <w:pPr>
                    <w:adjustRightInd w:val="0"/>
                    <w:snapToGrid w:val="0"/>
                    <w:jc w:val="center"/>
                    <w:rPr>
                      <w:b/>
                      <w:color w:val="auto"/>
                      <w:szCs w:val="21"/>
                    </w:rPr>
                  </w:pPr>
                  <w:r>
                    <w:rPr>
                      <w:b/>
                      <w:color w:val="auto"/>
                      <w:szCs w:val="21"/>
                    </w:rPr>
                    <w:t>经度</w:t>
                  </w:r>
                </w:p>
              </w:tc>
              <w:tc>
                <w:tcPr>
                  <w:tcW w:w="460" w:type="pct"/>
                  <w:tcMar>
                    <w:top w:w="0" w:type="dxa"/>
                    <w:left w:w="6" w:type="dxa"/>
                    <w:bottom w:w="0" w:type="dxa"/>
                    <w:right w:w="6" w:type="dxa"/>
                  </w:tcMar>
                  <w:vAlign w:val="center"/>
                </w:tcPr>
                <w:p>
                  <w:pPr>
                    <w:adjustRightInd w:val="0"/>
                    <w:snapToGrid w:val="0"/>
                    <w:jc w:val="center"/>
                    <w:rPr>
                      <w:b/>
                      <w:color w:val="auto"/>
                      <w:szCs w:val="21"/>
                    </w:rPr>
                  </w:pPr>
                  <w:r>
                    <w:rPr>
                      <w:b/>
                      <w:color w:val="auto"/>
                      <w:szCs w:val="21"/>
                    </w:rPr>
                    <w:t>纬度</w:t>
                  </w:r>
                </w:p>
              </w:tc>
              <w:tc>
                <w:tcPr>
                  <w:tcW w:w="464" w:type="pct"/>
                  <w:vMerge w:val="continue"/>
                  <w:tcMar>
                    <w:top w:w="0" w:type="dxa"/>
                    <w:left w:w="6" w:type="dxa"/>
                    <w:bottom w:w="0" w:type="dxa"/>
                    <w:right w:w="6" w:type="dxa"/>
                  </w:tcMar>
                  <w:vAlign w:val="center"/>
                </w:tcPr>
                <w:p>
                  <w:pPr>
                    <w:adjustRightInd w:val="0"/>
                    <w:snapToGrid w:val="0"/>
                    <w:jc w:val="center"/>
                    <w:rPr>
                      <w:b/>
                      <w:color w:val="auto"/>
                      <w:szCs w:val="21"/>
                    </w:rPr>
                  </w:pPr>
                </w:p>
              </w:tc>
              <w:tc>
                <w:tcPr>
                  <w:tcW w:w="390" w:type="pct"/>
                  <w:vMerge w:val="continue"/>
                  <w:tcMar>
                    <w:top w:w="0" w:type="dxa"/>
                    <w:left w:w="6" w:type="dxa"/>
                    <w:bottom w:w="0" w:type="dxa"/>
                    <w:right w:w="6" w:type="dxa"/>
                  </w:tcMar>
                  <w:vAlign w:val="center"/>
                </w:tcPr>
                <w:p>
                  <w:pPr>
                    <w:adjustRightInd w:val="0"/>
                    <w:snapToGrid w:val="0"/>
                    <w:jc w:val="center"/>
                    <w:rPr>
                      <w:b/>
                      <w:color w:val="auto"/>
                      <w:szCs w:val="21"/>
                    </w:rPr>
                  </w:pPr>
                </w:p>
              </w:tc>
              <w:tc>
                <w:tcPr>
                  <w:tcW w:w="313" w:type="pct"/>
                  <w:vMerge w:val="continue"/>
                  <w:tcMar>
                    <w:top w:w="0" w:type="dxa"/>
                    <w:left w:w="6" w:type="dxa"/>
                    <w:bottom w:w="0" w:type="dxa"/>
                    <w:right w:w="6" w:type="dxa"/>
                  </w:tcMar>
                  <w:vAlign w:val="center"/>
                </w:tcPr>
                <w:p>
                  <w:pPr>
                    <w:adjustRightInd w:val="0"/>
                    <w:snapToGrid w:val="0"/>
                    <w:jc w:val="center"/>
                    <w:rPr>
                      <w:b/>
                      <w:color w:val="auto"/>
                      <w:szCs w:val="21"/>
                    </w:rPr>
                  </w:pPr>
                </w:p>
              </w:tc>
              <w:tc>
                <w:tcPr>
                  <w:tcW w:w="497" w:type="pct"/>
                  <w:tcMar>
                    <w:top w:w="0" w:type="dxa"/>
                    <w:left w:w="6" w:type="dxa"/>
                    <w:bottom w:w="0" w:type="dxa"/>
                    <w:right w:w="6" w:type="dxa"/>
                  </w:tcMar>
                  <w:vAlign w:val="center"/>
                </w:tcPr>
                <w:p>
                  <w:pPr>
                    <w:adjustRightInd w:val="0"/>
                    <w:snapToGrid w:val="0"/>
                    <w:jc w:val="center"/>
                    <w:rPr>
                      <w:b/>
                      <w:color w:val="auto"/>
                      <w:szCs w:val="21"/>
                    </w:rPr>
                  </w:pPr>
                  <w:r>
                    <w:rPr>
                      <w:b/>
                      <w:color w:val="auto"/>
                      <w:szCs w:val="21"/>
                    </w:rPr>
                    <w:t>污染物种类</w:t>
                  </w:r>
                </w:p>
              </w:tc>
              <w:tc>
                <w:tcPr>
                  <w:tcW w:w="410" w:type="pct"/>
                  <w:tcMar>
                    <w:top w:w="0" w:type="dxa"/>
                    <w:left w:w="6" w:type="dxa"/>
                    <w:bottom w:w="0" w:type="dxa"/>
                    <w:right w:w="6" w:type="dxa"/>
                  </w:tcMar>
                  <w:vAlign w:val="center"/>
                </w:tcPr>
                <w:p>
                  <w:pPr>
                    <w:adjustRightInd w:val="0"/>
                    <w:snapToGrid w:val="0"/>
                    <w:jc w:val="center"/>
                    <w:rPr>
                      <w:b/>
                      <w:color w:val="auto"/>
                      <w:szCs w:val="21"/>
                    </w:rPr>
                  </w:pPr>
                  <w:r>
                    <w:rPr>
                      <w:b/>
                      <w:color w:val="auto"/>
                      <w:szCs w:val="21"/>
                    </w:rPr>
                    <w:t>接管标准</w:t>
                  </w:r>
                </w:p>
              </w:tc>
              <w:tc>
                <w:tcPr>
                  <w:tcW w:w="492" w:type="pct"/>
                  <w:tcMar>
                    <w:top w:w="0" w:type="dxa"/>
                    <w:left w:w="6" w:type="dxa"/>
                    <w:bottom w:w="0" w:type="dxa"/>
                    <w:right w:w="6" w:type="dxa"/>
                  </w:tcMar>
                  <w:vAlign w:val="center"/>
                </w:tcPr>
                <w:p>
                  <w:pPr>
                    <w:adjustRightInd w:val="0"/>
                    <w:snapToGrid w:val="0"/>
                    <w:jc w:val="center"/>
                    <w:rPr>
                      <w:b/>
                      <w:color w:val="auto"/>
                      <w:szCs w:val="21"/>
                    </w:rPr>
                  </w:pPr>
                  <w:r>
                    <w:rPr>
                      <w:b/>
                      <w:color w:val="auto"/>
                      <w:szCs w:val="21"/>
                    </w:rPr>
                    <w:t>尾水排放标准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restart"/>
                  <w:tcMar>
                    <w:top w:w="0" w:type="dxa"/>
                    <w:left w:w="6" w:type="dxa"/>
                    <w:bottom w:w="0" w:type="dxa"/>
                    <w:right w:w="6" w:type="dxa"/>
                  </w:tcMar>
                  <w:vAlign w:val="center"/>
                </w:tcPr>
                <w:p>
                  <w:pPr>
                    <w:adjustRightInd w:val="0"/>
                    <w:snapToGrid w:val="0"/>
                    <w:jc w:val="center"/>
                    <w:rPr>
                      <w:color w:val="auto"/>
                      <w:szCs w:val="21"/>
                    </w:rPr>
                  </w:pPr>
                  <w:r>
                    <w:rPr>
                      <w:color w:val="auto"/>
                      <w:szCs w:val="21"/>
                    </w:rPr>
                    <w:t>1</w:t>
                  </w:r>
                </w:p>
              </w:tc>
              <w:tc>
                <w:tcPr>
                  <w:tcW w:w="447" w:type="pct"/>
                  <w:vMerge w:val="restart"/>
                  <w:tcMar>
                    <w:top w:w="0" w:type="dxa"/>
                    <w:left w:w="6" w:type="dxa"/>
                    <w:bottom w:w="0" w:type="dxa"/>
                    <w:right w:w="6" w:type="dxa"/>
                  </w:tcMar>
                  <w:vAlign w:val="center"/>
                </w:tcPr>
                <w:p>
                  <w:pPr>
                    <w:adjustRightInd w:val="0"/>
                    <w:snapToGrid w:val="0"/>
                    <w:jc w:val="center"/>
                    <w:rPr>
                      <w:color w:val="auto"/>
                      <w:szCs w:val="21"/>
                    </w:rPr>
                  </w:pPr>
                  <w:r>
                    <w:rPr>
                      <w:color w:val="auto"/>
                      <w:szCs w:val="21"/>
                    </w:rPr>
                    <w:t>DW001</w:t>
                  </w:r>
                </w:p>
              </w:tc>
              <w:tc>
                <w:tcPr>
                  <w:tcW w:w="436" w:type="pct"/>
                  <w:vMerge w:val="restart"/>
                  <w:tcMar>
                    <w:top w:w="0" w:type="dxa"/>
                    <w:left w:w="6" w:type="dxa"/>
                    <w:bottom w:w="0" w:type="dxa"/>
                    <w:right w:w="6" w:type="dxa"/>
                  </w:tcMar>
                  <w:vAlign w:val="center"/>
                </w:tcPr>
                <w:p>
                  <w:pPr>
                    <w:adjustRightInd w:val="0"/>
                    <w:snapToGrid w:val="0"/>
                    <w:jc w:val="center"/>
                    <w:rPr>
                      <w:color w:val="auto"/>
                      <w:szCs w:val="21"/>
                    </w:rPr>
                  </w:pPr>
                  <w:r>
                    <w:rPr>
                      <w:color w:val="auto"/>
                      <w:szCs w:val="21"/>
                    </w:rPr>
                    <w:t>污水排放口</w:t>
                  </w:r>
                </w:p>
              </w:tc>
              <w:tc>
                <w:tcPr>
                  <w:tcW w:w="368" w:type="pct"/>
                  <w:vMerge w:val="restart"/>
                  <w:tcMar>
                    <w:top w:w="0" w:type="dxa"/>
                    <w:left w:w="6" w:type="dxa"/>
                    <w:bottom w:w="0" w:type="dxa"/>
                    <w:right w:w="6" w:type="dxa"/>
                  </w:tcMar>
                  <w:vAlign w:val="center"/>
                </w:tcPr>
                <w:p>
                  <w:pPr>
                    <w:adjustRightInd w:val="0"/>
                    <w:snapToGrid w:val="0"/>
                    <w:jc w:val="center"/>
                    <w:rPr>
                      <w:color w:val="auto"/>
                      <w:szCs w:val="21"/>
                    </w:rPr>
                  </w:pPr>
                  <w:r>
                    <w:rPr>
                      <w:color w:val="auto"/>
                      <w:szCs w:val="21"/>
                    </w:rPr>
                    <w:t>企业总排</w:t>
                  </w:r>
                </w:p>
              </w:tc>
              <w:tc>
                <w:tcPr>
                  <w:tcW w:w="487" w:type="pct"/>
                  <w:vMerge w:val="restart"/>
                  <w:tcMar>
                    <w:top w:w="0" w:type="dxa"/>
                    <w:left w:w="6" w:type="dxa"/>
                    <w:bottom w:w="0" w:type="dxa"/>
                    <w:right w:w="6" w:type="dxa"/>
                  </w:tcMar>
                  <w:vAlign w:val="center"/>
                </w:tcPr>
                <w:p>
                  <w:pPr>
                    <w:adjustRightInd w:val="0"/>
                    <w:snapToGrid w:val="0"/>
                    <w:jc w:val="center"/>
                    <w:rPr>
                      <w:color w:val="auto"/>
                      <w:szCs w:val="21"/>
                    </w:rPr>
                  </w:pPr>
                  <w:r>
                    <w:rPr>
                      <w:color w:val="auto"/>
                    </w:rPr>
                    <w:t>120.4</w:t>
                  </w:r>
                  <w:r>
                    <w:rPr>
                      <w:rFonts w:hint="eastAsia"/>
                      <w:color w:val="auto"/>
                    </w:rPr>
                    <w:t>1282497</w:t>
                  </w:r>
                </w:p>
              </w:tc>
              <w:tc>
                <w:tcPr>
                  <w:tcW w:w="460" w:type="pct"/>
                  <w:vMerge w:val="restart"/>
                  <w:tcMar>
                    <w:top w:w="0" w:type="dxa"/>
                    <w:left w:w="6" w:type="dxa"/>
                    <w:bottom w:w="0" w:type="dxa"/>
                    <w:right w:w="6" w:type="dxa"/>
                  </w:tcMar>
                  <w:vAlign w:val="center"/>
                </w:tcPr>
                <w:p>
                  <w:pPr>
                    <w:adjustRightInd w:val="0"/>
                    <w:snapToGrid w:val="0"/>
                    <w:jc w:val="center"/>
                    <w:rPr>
                      <w:color w:val="auto"/>
                      <w:szCs w:val="21"/>
                    </w:rPr>
                  </w:pPr>
                  <w:r>
                    <w:rPr>
                      <w:color w:val="auto"/>
                    </w:rPr>
                    <w:t>31.</w:t>
                  </w:r>
                  <w:r>
                    <w:rPr>
                      <w:rFonts w:hint="eastAsia"/>
                      <w:color w:val="auto"/>
                    </w:rPr>
                    <w:t>575270563</w:t>
                  </w:r>
                </w:p>
              </w:tc>
              <w:tc>
                <w:tcPr>
                  <w:tcW w:w="464" w:type="pct"/>
                  <w:vMerge w:val="restart"/>
                  <w:tcMar>
                    <w:top w:w="0" w:type="dxa"/>
                    <w:left w:w="6" w:type="dxa"/>
                    <w:bottom w:w="0" w:type="dxa"/>
                    <w:right w:w="6" w:type="dxa"/>
                  </w:tcMar>
                  <w:vAlign w:val="center"/>
                </w:tcPr>
                <w:p>
                  <w:pPr>
                    <w:adjustRightInd w:val="0"/>
                    <w:snapToGrid w:val="0"/>
                    <w:jc w:val="center"/>
                    <w:rPr>
                      <w:rFonts w:hint="default"/>
                      <w:color w:val="auto"/>
                      <w:szCs w:val="21"/>
                      <w:lang w:val="en-US"/>
                    </w:rPr>
                  </w:pPr>
                  <w:r>
                    <w:rPr>
                      <w:rFonts w:hint="eastAsia"/>
                      <w:color w:val="auto"/>
                      <w:szCs w:val="21"/>
                    </w:rPr>
                    <w:t>0.</w:t>
                  </w:r>
                  <w:r>
                    <w:rPr>
                      <w:rFonts w:hint="eastAsia"/>
                      <w:color w:val="auto"/>
                      <w:szCs w:val="21"/>
                      <w:lang w:val="en-US" w:eastAsia="zh-CN"/>
                    </w:rPr>
                    <w:t>24363</w:t>
                  </w:r>
                </w:p>
              </w:tc>
              <w:tc>
                <w:tcPr>
                  <w:tcW w:w="390" w:type="pct"/>
                  <w:vMerge w:val="restart"/>
                  <w:tcMar>
                    <w:top w:w="0" w:type="dxa"/>
                    <w:left w:w="6" w:type="dxa"/>
                    <w:bottom w:w="0" w:type="dxa"/>
                    <w:right w:w="6" w:type="dxa"/>
                  </w:tcMar>
                  <w:vAlign w:val="center"/>
                </w:tcPr>
                <w:p>
                  <w:pPr>
                    <w:adjustRightInd w:val="0"/>
                    <w:snapToGrid w:val="0"/>
                    <w:jc w:val="center"/>
                    <w:rPr>
                      <w:color w:val="auto"/>
                      <w:szCs w:val="21"/>
                    </w:rPr>
                  </w:pPr>
                  <w:r>
                    <w:rPr>
                      <w:rFonts w:hint="eastAsia"/>
                      <w:color w:val="auto"/>
                      <w:szCs w:val="21"/>
                    </w:rPr>
                    <w:t>梅村水处理厂</w:t>
                  </w:r>
                </w:p>
              </w:tc>
              <w:tc>
                <w:tcPr>
                  <w:tcW w:w="313" w:type="pct"/>
                  <w:vMerge w:val="restart"/>
                  <w:tcMar>
                    <w:top w:w="0" w:type="dxa"/>
                    <w:left w:w="6" w:type="dxa"/>
                    <w:bottom w:w="0" w:type="dxa"/>
                    <w:right w:w="6" w:type="dxa"/>
                  </w:tcMar>
                  <w:vAlign w:val="center"/>
                </w:tcPr>
                <w:p>
                  <w:pPr>
                    <w:adjustRightInd w:val="0"/>
                    <w:snapToGrid w:val="0"/>
                    <w:jc w:val="center"/>
                    <w:rPr>
                      <w:color w:val="auto"/>
                      <w:szCs w:val="21"/>
                    </w:rPr>
                  </w:pPr>
                  <w:r>
                    <w:rPr>
                      <w:rFonts w:hint="eastAsia"/>
                      <w:color w:val="auto"/>
                      <w:szCs w:val="21"/>
                    </w:rPr>
                    <w:t>间断</w:t>
                  </w:r>
                </w:p>
              </w:tc>
              <w:tc>
                <w:tcPr>
                  <w:tcW w:w="497" w:type="pct"/>
                  <w:tcMar>
                    <w:top w:w="0" w:type="dxa"/>
                    <w:left w:w="6" w:type="dxa"/>
                    <w:bottom w:w="0" w:type="dxa"/>
                    <w:right w:w="6" w:type="dxa"/>
                  </w:tcMar>
                  <w:vAlign w:val="center"/>
                </w:tcPr>
                <w:p>
                  <w:pPr>
                    <w:pStyle w:val="38"/>
                    <w:adjustRightInd w:val="0"/>
                    <w:rPr>
                      <w:color w:val="auto"/>
                      <w:sz w:val="21"/>
                      <w:szCs w:val="21"/>
                    </w:rPr>
                  </w:pPr>
                  <w:r>
                    <w:rPr>
                      <w:color w:val="auto"/>
                      <w:sz w:val="21"/>
                      <w:szCs w:val="21"/>
                    </w:rPr>
                    <w:t>pH</w:t>
                  </w:r>
                </w:p>
              </w:tc>
              <w:tc>
                <w:tcPr>
                  <w:tcW w:w="410" w:type="pct"/>
                  <w:tcMar>
                    <w:top w:w="0" w:type="dxa"/>
                    <w:left w:w="6" w:type="dxa"/>
                    <w:bottom w:w="0" w:type="dxa"/>
                    <w:right w:w="6" w:type="dxa"/>
                  </w:tcMar>
                  <w:vAlign w:val="center"/>
                </w:tcPr>
                <w:p>
                  <w:pPr>
                    <w:pStyle w:val="38"/>
                    <w:adjustRightInd w:val="0"/>
                    <w:rPr>
                      <w:color w:val="auto"/>
                      <w:sz w:val="21"/>
                      <w:szCs w:val="21"/>
                    </w:rPr>
                  </w:pPr>
                  <w:r>
                    <w:rPr>
                      <w:color w:val="auto"/>
                      <w:sz w:val="21"/>
                      <w:szCs w:val="21"/>
                    </w:rPr>
                    <w:t>6-9</w:t>
                  </w:r>
                </w:p>
              </w:tc>
              <w:tc>
                <w:tcPr>
                  <w:tcW w:w="492" w:type="pct"/>
                  <w:tcMar>
                    <w:top w:w="0" w:type="dxa"/>
                    <w:left w:w="6" w:type="dxa"/>
                    <w:bottom w:w="0" w:type="dxa"/>
                    <w:right w:w="6" w:type="dxa"/>
                  </w:tcMar>
                  <w:vAlign w:val="center"/>
                </w:tcPr>
                <w:p>
                  <w:pPr>
                    <w:pStyle w:val="38"/>
                    <w:adjustRightInd w:val="0"/>
                    <w:rPr>
                      <w:color w:val="auto"/>
                      <w:sz w:val="21"/>
                      <w:szCs w:val="21"/>
                    </w:rPr>
                  </w:pPr>
                  <w:r>
                    <w:rPr>
                      <w:color w:val="auto"/>
                      <w:sz w:val="21"/>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47"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36" w:type="pct"/>
                  <w:vMerge w:val="continue"/>
                  <w:tcMar>
                    <w:top w:w="0" w:type="dxa"/>
                    <w:left w:w="6" w:type="dxa"/>
                    <w:bottom w:w="0" w:type="dxa"/>
                    <w:right w:w="6" w:type="dxa"/>
                  </w:tcMar>
                  <w:vAlign w:val="center"/>
                </w:tcPr>
                <w:p>
                  <w:pPr>
                    <w:adjustRightInd w:val="0"/>
                    <w:snapToGrid w:val="0"/>
                    <w:jc w:val="center"/>
                    <w:rPr>
                      <w:color w:val="auto"/>
                      <w:szCs w:val="21"/>
                    </w:rPr>
                  </w:pPr>
                </w:p>
              </w:tc>
              <w:tc>
                <w:tcPr>
                  <w:tcW w:w="368"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87"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60"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64" w:type="pct"/>
                  <w:vMerge w:val="continue"/>
                  <w:tcMar>
                    <w:top w:w="0" w:type="dxa"/>
                    <w:left w:w="6" w:type="dxa"/>
                    <w:bottom w:w="0" w:type="dxa"/>
                    <w:right w:w="6" w:type="dxa"/>
                  </w:tcMar>
                  <w:vAlign w:val="center"/>
                </w:tcPr>
                <w:p>
                  <w:pPr>
                    <w:adjustRightInd w:val="0"/>
                    <w:snapToGrid w:val="0"/>
                    <w:jc w:val="center"/>
                    <w:rPr>
                      <w:color w:val="auto"/>
                      <w:szCs w:val="21"/>
                    </w:rPr>
                  </w:pPr>
                </w:p>
              </w:tc>
              <w:tc>
                <w:tcPr>
                  <w:tcW w:w="390" w:type="pct"/>
                  <w:vMerge w:val="continue"/>
                  <w:tcMar>
                    <w:top w:w="0" w:type="dxa"/>
                    <w:left w:w="6" w:type="dxa"/>
                    <w:bottom w:w="0" w:type="dxa"/>
                    <w:right w:w="6" w:type="dxa"/>
                  </w:tcMar>
                  <w:vAlign w:val="center"/>
                </w:tcPr>
                <w:p>
                  <w:pPr>
                    <w:adjustRightInd w:val="0"/>
                    <w:snapToGrid w:val="0"/>
                    <w:jc w:val="center"/>
                    <w:rPr>
                      <w:color w:val="auto"/>
                      <w:szCs w:val="21"/>
                    </w:rPr>
                  </w:pPr>
                </w:p>
              </w:tc>
              <w:tc>
                <w:tcPr>
                  <w:tcW w:w="313"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97" w:type="pct"/>
                  <w:tcMar>
                    <w:top w:w="0" w:type="dxa"/>
                    <w:left w:w="6" w:type="dxa"/>
                    <w:bottom w:w="0" w:type="dxa"/>
                    <w:right w:w="6" w:type="dxa"/>
                  </w:tcMar>
                  <w:vAlign w:val="center"/>
                </w:tcPr>
                <w:p>
                  <w:pPr>
                    <w:pStyle w:val="38"/>
                    <w:adjustRightInd w:val="0"/>
                    <w:rPr>
                      <w:color w:val="auto"/>
                      <w:sz w:val="21"/>
                      <w:szCs w:val="21"/>
                    </w:rPr>
                  </w:pPr>
                  <w:r>
                    <w:rPr>
                      <w:color w:val="auto"/>
                      <w:sz w:val="21"/>
                      <w:szCs w:val="21"/>
                    </w:rPr>
                    <w:t>COD</w:t>
                  </w:r>
                </w:p>
              </w:tc>
              <w:tc>
                <w:tcPr>
                  <w:tcW w:w="410" w:type="pct"/>
                  <w:tcMar>
                    <w:top w:w="0" w:type="dxa"/>
                    <w:left w:w="6" w:type="dxa"/>
                    <w:bottom w:w="0" w:type="dxa"/>
                    <w:right w:w="6" w:type="dxa"/>
                  </w:tcMar>
                  <w:vAlign w:val="center"/>
                </w:tcPr>
                <w:p>
                  <w:pPr>
                    <w:widowControl/>
                    <w:jc w:val="center"/>
                    <w:textAlignment w:val="center"/>
                    <w:rPr>
                      <w:color w:val="auto"/>
                      <w:szCs w:val="21"/>
                    </w:rPr>
                  </w:pPr>
                  <w:r>
                    <w:rPr>
                      <w:color w:val="auto"/>
                      <w:kern w:val="0"/>
                      <w:sz w:val="22"/>
                      <w:szCs w:val="22"/>
                      <w:lang w:bidi="ar"/>
                    </w:rPr>
                    <w:t xml:space="preserve">500 </w:t>
                  </w:r>
                </w:p>
              </w:tc>
              <w:tc>
                <w:tcPr>
                  <w:tcW w:w="492" w:type="pct"/>
                  <w:tcMar>
                    <w:top w:w="0" w:type="dxa"/>
                    <w:left w:w="6" w:type="dxa"/>
                    <w:bottom w:w="0" w:type="dxa"/>
                    <w:right w:w="6" w:type="dxa"/>
                  </w:tcMar>
                  <w:vAlign w:val="center"/>
                </w:tcPr>
                <w:p>
                  <w:pPr>
                    <w:widowControl/>
                    <w:jc w:val="center"/>
                    <w:textAlignment w:val="center"/>
                    <w:rPr>
                      <w:color w:val="auto"/>
                      <w:szCs w:val="21"/>
                    </w:rPr>
                  </w:pPr>
                  <w:r>
                    <w:rPr>
                      <w:color w:val="auto"/>
                      <w:kern w:val="0"/>
                      <w:sz w:val="22"/>
                      <w:szCs w:val="22"/>
                      <w:lang w:bidi="ar"/>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47"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36" w:type="pct"/>
                  <w:vMerge w:val="continue"/>
                  <w:tcMar>
                    <w:top w:w="0" w:type="dxa"/>
                    <w:left w:w="6" w:type="dxa"/>
                    <w:bottom w:w="0" w:type="dxa"/>
                    <w:right w:w="6" w:type="dxa"/>
                  </w:tcMar>
                  <w:vAlign w:val="center"/>
                </w:tcPr>
                <w:p>
                  <w:pPr>
                    <w:adjustRightInd w:val="0"/>
                    <w:snapToGrid w:val="0"/>
                    <w:jc w:val="center"/>
                    <w:rPr>
                      <w:color w:val="auto"/>
                      <w:szCs w:val="21"/>
                    </w:rPr>
                  </w:pPr>
                </w:p>
              </w:tc>
              <w:tc>
                <w:tcPr>
                  <w:tcW w:w="368"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87"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60"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64" w:type="pct"/>
                  <w:vMerge w:val="continue"/>
                  <w:tcMar>
                    <w:top w:w="0" w:type="dxa"/>
                    <w:left w:w="6" w:type="dxa"/>
                    <w:bottom w:w="0" w:type="dxa"/>
                    <w:right w:w="6" w:type="dxa"/>
                  </w:tcMar>
                  <w:vAlign w:val="center"/>
                </w:tcPr>
                <w:p>
                  <w:pPr>
                    <w:adjustRightInd w:val="0"/>
                    <w:snapToGrid w:val="0"/>
                    <w:jc w:val="center"/>
                    <w:rPr>
                      <w:color w:val="auto"/>
                      <w:szCs w:val="21"/>
                    </w:rPr>
                  </w:pPr>
                </w:p>
              </w:tc>
              <w:tc>
                <w:tcPr>
                  <w:tcW w:w="390" w:type="pct"/>
                  <w:vMerge w:val="continue"/>
                  <w:tcMar>
                    <w:top w:w="0" w:type="dxa"/>
                    <w:left w:w="6" w:type="dxa"/>
                    <w:bottom w:w="0" w:type="dxa"/>
                    <w:right w:w="6" w:type="dxa"/>
                  </w:tcMar>
                  <w:vAlign w:val="center"/>
                </w:tcPr>
                <w:p>
                  <w:pPr>
                    <w:adjustRightInd w:val="0"/>
                    <w:snapToGrid w:val="0"/>
                    <w:jc w:val="center"/>
                    <w:rPr>
                      <w:color w:val="auto"/>
                      <w:szCs w:val="21"/>
                    </w:rPr>
                  </w:pPr>
                </w:p>
              </w:tc>
              <w:tc>
                <w:tcPr>
                  <w:tcW w:w="313"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97" w:type="pct"/>
                  <w:tcMar>
                    <w:top w:w="0" w:type="dxa"/>
                    <w:left w:w="6" w:type="dxa"/>
                    <w:bottom w:w="0" w:type="dxa"/>
                    <w:right w:w="6" w:type="dxa"/>
                  </w:tcMar>
                  <w:vAlign w:val="center"/>
                </w:tcPr>
                <w:p>
                  <w:pPr>
                    <w:pStyle w:val="38"/>
                    <w:adjustRightInd w:val="0"/>
                    <w:rPr>
                      <w:color w:val="auto"/>
                      <w:sz w:val="21"/>
                      <w:szCs w:val="21"/>
                    </w:rPr>
                  </w:pPr>
                  <w:r>
                    <w:rPr>
                      <w:color w:val="auto"/>
                      <w:sz w:val="21"/>
                      <w:szCs w:val="21"/>
                    </w:rPr>
                    <w:t>SS</w:t>
                  </w:r>
                </w:p>
              </w:tc>
              <w:tc>
                <w:tcPr>
                  <w:tcW w:w="410" w:type="pct"/>
                  <w:tcMar>
                    <w:top w:w="0" w:type="dxa"/>
                    <w:left w:w="6" w:type="dxa"/>
                    <w:bottom w:w="0" w:type="dxa"/>
                    <w:right w:w="6" w:type="dxa"/>
                  </w:tcMar>
                  <w:vAlign w:val="center"/>
                </w:tcPr>
                <w:p>
                  <w:pPr>
                    <w:widowControl/>
                    <w:jc w:val="center"/>
                    <w:textAlignment w:val="center"/>
                    <w:rPr>
                      <w:color w:val="auto"/>
                      <w:szCs w:val="21"/>
                    </w:rPr>
                  </w:pPr>
                  <w:r>
                    <w:rPr>
                      <w:color w:val="auto"/>
                      <w:kern w:val="0"/>
                      <w:sz w:val="22"/>
                      <w:szCs w:val="22"/>
                      <w:lang w:bidi="ar"/>
                    </w:rPr>
                    <w:t xml:space="preserve">400 </w:t>
                  </w:r>
                </w:p>
              </w:tc>
              <w:tc>
                <w:tcPr>
                  <w:tcW w:w="492" w:type="pct"/>
                  <w:tcMar>
                    <w:top w:w="0" w:type="dxa"/>
                    <w:left w:w="6" w:type="dxa"/>
                    <w:bottom w:w="0" w:type="dxa"/>
                    <w:right w:w="6" w:type="dxa"/>
                  </w:tcMar>
                  <w:vAlign w:val="center"/>
                </w:tcPr>
                <w:p>
                  <w:pPr>
                    <w:widowControl/>
                    <w:jc w:val="center"/>
                    <w:textAlignment w:val="center"/>
                    <w:rPr>
                      <w:color w:val="auto"/>
                      <w:szCs w:val="21"/>
                    </w:rPr>
                  </w:pPr>
                  <w:r>
                    <w:rPr>
                      <w:color w:val="auto"/>
                      <w:kern w:val="0"/>
                      <w:sz w:val="22"/>
                      <w:szCs w:val="22"/>
                      <w:lang w:bidi="ar"/>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47"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36" w:type="pct"/>
                  <w:vMerge w:val="continue"/>
                  <w:tcMar>
                    <w:top w:w="0" w:type="dxa"/>
                    <w:left w:w="6" w:type="dxa"/>
                    <w:bottom w:w="0" w:type="dxa"/>
                    <w:right w:w="6" w:type="dxa"/>
                  </w:tcMar>
                  <w:vAlign w:val="center"/>
                </w:tcPr>
                <w:p>
                  <w:pPr>
                    <w:adjustRightInd w:val="0"/>
                    <w:snapToGrid w:val="0"/>
                    <w:jc w:val="center"/>
                    <w:rPr>
                      <w:color w:val="auto"/>
                      <w:szCs w:val="21"/>
                    </w:rPr>
                  </w:pPr>
                </w:p>
              </w:tc>
              <w:tc>
                <w:tcPr>
                  <w:tcW w:w="368"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87"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60"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64" w:type="pct"/>
                  <w:vMerge w:val="continue"/>
                  <w:tcMar>
                    <w:top w:w="0" w:type="dxa"/>
                    <w:left w:w="6" w:type="dxa"/>
                    <w:bottom w:w="0" w:type="dxa"/>
                    <w:right w:w="6" w:type="dxa"/>
                  </w:tcMar>
                  <w:vAlign w:val="center"/>
                </w:tcPr>
                <w:p>
                  <w:pPr>
                    <w:adjustRightInd w:val="0"/>
                    <w:snapToGrid w:val="0"/>
                    <w:jc w:val="center"/>
                    <w:rPr>
                      <w:color w:val="auto"/>
                      <w:szCs w:val="21"/>
                    </w:rPr>
                  </w:pPr>
                </w:p>
              </w:tc>
              <w:tc>
                <w:tcPr>
                  <w:tcW w:w="390" w:type="pct"/>
                  <w:vMerge w:val="continue"/>
                  <w:tcMar>
                    <w:top w:w="0" w:type="dxa"/>
                    <w:left w:w="6" w:type="dxa"/>
                    <w:bottom w:w="0" w:type="dxa"/>
                    <w:right w:w="6" w:type="dxa"/>
                  </w:tcMar>
                  <w:vAlign w:val="center"/>
                </w:tcPr>
                <w:p>
                  <w:pPr>
                    <w:adjustRightInd w:val="0"/>
                    <w:snapToGrid w:val="0"/>
                    <w:jc w:val="center"/>
                    <w:rPr>
                      <w:color w:val="auto"/>
                      <w:szCs w:val="21"/>
                    </w:rPr>
                  </w:pPr>
                </w:p>
              </w:tc>
              <w:tc>
                <w:tcPr>
                  <w:tcW w:w="313"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97" w:type="pct"/>
                  <w:tcMar>
                    <w:top w:w="0" w:type="dxa"/>
                    <w:left w:w="6" w:type="dxa"/>
                    <w:bottom w:w="0" w:type="dxa"/>
                    <w:right w:w="6" w:type="dxa"/>
                  </w:tcMar>
                  <w:vAlign w:val="center"/>
                </w:tcPr>
                <w:p>
                  <w:pPr>
                    <w:pStyle w:val="38"/>
                    <w:adjustRightInd w:val="0"/>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410" w:type="pct"/>
                  <w:tcMar>
                    <w:top w:w="0" w:type="dxa"/>
                    <w:left w:w="6" w:type="dxa"/>
                    <w:bottom w:w="0" w:type="dxa"/>
                    <w:right w:w="6" w:type="dxa"/>
                  </w:tcMar>
                  <w:vAlign w:val="center"/>
                </w:tcPr>
                <w:p>
                  <w:pPr>
                    <w:widowControl/>
                    <w:jc w:val="center"/>
                    <w:textAlignment w:val="center"/>
                    <w:rPr>
                      <w:color w:val="auto"/>
                      <w:szCs w:val="21"/>
                    </w:rPr>
                  </w:pPr>
                  <w:r>
                    <w:rPr>
                      <w:color w:val="auto"/>
                      <w:kern w:val="0"/>
                      <w:sz w:val="22"/>
                      <w:szCs w:val="22"/>
                      <w:lang w:bidi="ar"/>
                    </w:rPr>
                    <w:t xml:space="preserve">45 </w:t>
                  </w:r>
                </w:p>
              </w:tc>
              <w:tc>
                <w:tcPr>
                  <w:tcW w:w="492" w:type="pct"/>
                  <w:tcMar>
                    <w:top w:w="0" w:type="dxa"/>
                    <w:left w:w="6" w:type="dxa"/>
                    <w:bottom w:w="0" w:type="dxa"/>
                    <w:right w:w="6" w:type="dxa"/>
                  </w:tcMar>
                  <w:vAlign w:val="center"/>
                </w:tcPr>
                <w:p>
                  <w:pPr>
                    <w:widowControl/>
                    <w:jc w:val="center"/>
                    <w:textAlignment w:val="center"/>
                    <w:rPr>
                      <w:color w:val="auto"/>
                      <w:szCs w:val="21"/>
                    </w:rPr>
                  </w:pPr>
                  <w:r>
                    <w:rPr>
                      <w:color w:val="auto"/>
                      <w:kern w:val="0"/>
                      <w:sz w:val="22"/>
                      <w:szCs w:val="22"/>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47"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36" w:type="pct"/>
                  <w:vMerge w:val="continue"/>
                  <w:tcMar>
                    <w:top w:w="0" w:type="dxa"/>
                    <w:left w:w="6" w:type="dxa"/>
                    <w:bottom w:w="0" w:type="dxa"/>
                    <w:right w:w="6" w:type="dxa"/>
                  </w:tcMar>
                  <w:vAlign w:val="center"/>
                </w:tcPr>
                <w:p>
                  <w:pPr>
                    <w:adjustRightInd w:val="0"/>
                    <w:snapToGrid w:val="0"/>
                    <w:jc w:val="center"/>
                    <w:rPr>
                      <w:color w:val="auto"/>
                      <w:szCs w:val="21"/>
                    </w:rPr>
                  </w:pPr>
                </w:p>
              </w:tc>
              <w:tc>
                <w:tcPr>
                  <w:tcW w:w="368"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87"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60"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64" w:type="pct"/>
                  <w:vMerge w:val="continue"/>
                  <w:tcMar>
                    <w:top w:w="0" w:type="dxa"/>
                    <w:left w:w="6" w:type="dxa"/>
                    <w:bottom w:w="0" w:type="dxa"/>
                    <w:right w:w="6" w:type="dxa"/>
                  </w:tcMar>
                  <w:vAlign w:val="center"/>
                </w:tcPr>
                <w:p>
                  <w:pPr>
                    <w:adjustRightInd w:val="0"/>
                    <w:snapToGrid w:val="0"/>
                    <w:jc w:val="center"/>
                    <w:rPr>
                      <w:color w:val="auto"/>
                      <w:szCs w:val="21"/>
                    </w:rPr>
                  </w:pPr>
                </w:p>
              </w:tc>
              <w:tc>
                <w:tcPr>
                  <w:tcW w:w="390" w:type="pct"/>
                  <w:vMerge w:val="continue"/>
                  <w:tcMar>
                    <w:top w:w="0" w:type="dxa"/>
                    <w:left w:w="6" w:type="dxa"/>
                    <w:bottom w:w="0" w:type="dxa"/>
                    <w:right w:w="6" w:type="dxa"/>
                  </w:tcMar>
                  <w:vAlign w:val="center"/>
                </w:tcPr>
                <w:p>
                  <w:pPr>
                    <w:adjustRightInd w:val="0"/>
                    <w:snapToGrid w:val="0"/>
                    <w:jc w:val="center"/>
                    <w:rPr>
                      <w:color w:val="auto"/>
                      <w:szCs w:val="21"/>
                    </w:rPr>
                  </w:pPr>
                </w:p>
              </w:tc>
              <w:tc>
                <w:tcPr>
                  <w:tcW w:w="313"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97" w:type="pct"/>
                  <w:tcMar>
                    <w:top w:w="0" w:type="dxa"/>
                    <w:left w:w="6" w:type="dxa"/>
                    <w:bottom w:w="0" w:type="dxa"/>
                    <w:right w:w="6" w:type="dxa"/>
                  </w:tcMar>
                  <w:vAlign w:val="center"/>
                </w:tcPr>
                <w:p>
                  <w:pPr>
                    <w:pStyle w:val="38"/>
                    <w:adjustRightInd w:val="0"/>
                    <w:rPr>
                      <w:color w:val="auto"/>
                      <w:sz w:val="21"/>
                      <w:szCs w:val="21"/>
                    </w:rPr>
                  </w:pPr>
                  <w:r>
                    <w:rPr>
                      <w:color w:val="auto"/>
                      <w:sz w:val="21"/>
                      <w:szCs w:val="21"/>
                    </w:rPr>
                    <w:t>TN</w:t>
                  </w:r>
                </w:p>
              </w:tc>
              <w:tc>
                <w:tcPr>
                  <w:tcW w:w="410" w:type="pct"/>
                  <w:tcMar>
                    <w:top w:w="0" w:type="dxa"/>
                    <w:left w:w="6" w:type="dxa"/>
                    <w:bottom w:w="0" w:type="dxa"/>
                    <w:right w:w="6" w:type="dxa"/>
                  </w:tcMar>
                  <w:vAlign w:val="center"/>
                </w:tcPr>
                <w:p>
                  <w:pPr>
                    <w:widowControl/>
                    <w:jc w:val="center"/>
                    <w:textAlignment w:val="center"/>
                    <w:rPr>
                      <w:color w:val="auto"/>
                      <w:szCs w:val="21"/>
                    </w:rPr>
                  </w:pPr>
                  <w:r>
                    <w:rPr>
                      <w:color w:val="auto"/>
                      <w:kern w:val="0"/>
                      <w:sz w:val="22"/>
                      <w:szCs w:val="22"/>
                      <w:lang w:bidi="ar"/>
                    </w:rPr>
                    <w:t xml:space="preserve">70 </w:t>
                  </w:r>
                </w:p>
              </w:tc>
              <w:tc>
                <w:tcPr>
                  <w:tcW w:w="492" w:type="pct"/>
                  <w:tcMar>
                    <w:top w:w="0" w:type="dxa"/>
                    <w:left w:w="6" w:type="dxa"/>
                    <w:bottom w:w="0" w:type="dxa"/>
                    <w:right w:w="6" w:type="dxa"/>
                  </w:tcMar>
                  <w:vAlign w:val="center"/>
                </w:tcPr>
                <w:p>
                  <w:pPr>
                    <w:widowControl/>
                    <w:jc w:val="center"/>
                    <w:textAlignment w:val="center"/>
                    <w:rPr>
                      <w:color w:val="auto"/>
                      <w:szCs w:val="21"/>
                    </w:rPr>
                  </w:pPr>
                  <w:r>
                    <w:rPr>
                      <w:color w:val="auto"/>
                      <w:kern w:val="0"/>
                      <w:sz w:val="22"/>
                      <w:szCs w:val="22"/>
                      <w:lang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47"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36" w:type="pct"/>
                  <w:vMerge w:val="continue"/>
                  <w:tcMar>
                    <w:top w:w="0" w:type="dxa"/>
                    <w:left w:w="6" w:type="dxa"/>
                    <w:bottom w:w="0" w:type="dxa"/>
                    <w:right w:w="6" w:type="dxa"/>
                  </w:tcMar>
                  <w:vAlign w:val="center"/>
                </w:tcPr>
                <w:p>
                  <w:pPr>
                    <w:adjustRightInd w:val="0"/>
                    <w:snapToGrid w:val="0"/>
                    <w:jc w:val="center"/>
                    <w:rPr>
                      <w:color w:val="auto"/>
                      <w:szCs w:val="21"/>
                    </w:rPr>
                  </w:pPr>
                </w:p>
              </w:tc>
              <w:tc>
                <w:tcPr>
                  <w:tcW w:w="368"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87"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60"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64" w:type="pct"/>
                  <w:vMerge w:val="continue"/>
                  <w:tcMar>
                    <w:top w:w="0" w:type="dxa"/>
                    <w:left w:w="6" w:type="dxa"/>
                    <w:bottom w:w="0" w:type="dxa"/>
                    <w:right w:w="6" w:type="dxa"/>
                  </w:tcMar>
                  <w:vAlign w:val="center"/>
                </w:tcPr>
                <w:p>
                  <w:pPr>
                    <w:adjustRightInd w:val="0"/>
                    <w:snapToGrid w:val="0"/>
                    <w:jc w:val="center"/>
                    <w:rPr>
                      <w:color w:val="auto"/>
                      <w:szCs w:val="21"/>
                    </w:rPr>
                  </w:pPr>
                </w:p>
              </w:tc>
              <w:tc>
                <w:tcPr>
                  <w:tcW w:w="390" w:type="pct"/>
                  <w:vMerge w:val="continue"/>
                  <w:tcMar>
                    <w:top w:w="0" w:type="dxa"/>
                    <w:left w:w="6" w:type="dxa"/>
                    <w:bottom w:w="0" w:type="dxa"/>
                    <w:right w:w="6" w:type="dxa"/>
                  </w:tcMar>
                  <w:vAlign w:val="center"/>
                </w:tcPr>
                <w:p>
                  <w:pPr>
                    <w:adjustRightInd w:val="0"/>
                    <w:snapToGrid w:val="0"/>
                    <w:jc w:val="center"/>
                    <w:rPr>
                      <w:color w:val="auto"/>
                      <w:szCs w:val="21"/>
                    </w:rPr>
                  </w:pPr>
                </w:p>
              </w:tc>
              <w:tc>
                <w:tcPr>
                  <w:tcW w:w="313" w:type="pct"/>
                  <w:vMerge w:val="continue"/>
                  <w:tcMar>
                    <w:top w:w="0" w:type="dxa"/>
                    <w:left w:w="6" w:type="dxa"/>
                    <w:bottom w:w="0" w:type="dxa"/>
                    <w:right w:w="6" w:type="dxa"/>
                  </w:tcMar>
                  <w:vAlign w:val="center"/>
                </w:tcPr>
                <w:p>
                  <w:pPr>
                    <w:adjustRightInd w:val="0"/>
                    <w:snapToGrid w:val="0"/>
                    <w:jc w:val="center"/>
                    <w:rPr>
                      <w:color w:val="auto"/>
                      <w:szCs w:val="21"/>
                    </w:rPr>
                  </w:pPr>
                </w:p>
              </w:tc>
              <w:tc>
                <w:tcPr>
                  <w:tcW w:w="497" w:type="pct"/>
                  <w:tcMar>
                    <w:top w:w="0" w:type="dxa"/>
                    <w:left w:w="6" w:type="dxa"/>
                    <w:bottom w:w="0" w:type="dxa"/>
                    <w:right w:w="6" w:type="dxa"/>
                  </w:tcMar>
                  <w:vAlign w:val="center"/>
                </w:tcPr>
                <w:p>
                  <w:pPr>
                    <w:pStyle w:val="38"/>
                    <w:adjustRightInd w:val="0"/>
                    <w:rPr>
                      <w:color w:val="auto"/>
                      <w:sz w:val="21"/>
                      <w:szCs w:val="21"/>
                    </w:rPr>
                  </w:pPr>
                  <w:r>
                    <w:rPr>
                      <w:color w:val="auto"/>
                      <w:sz w:val="21"/>
                      <w:szCs w:val="21"/>
                    </w:rPr>
                    <w:t>TP</w:t>
                  </w:r>
                </w:p>
              </w:tc>
              <w:tc>
                <w:tcPr>
                  <w:tcW w:w="410" w:type="pct"/>
                  <w:tcMar>
                    <w:top w:w="0" w:type="dxa"/>
                    <w:left w:w="6" w:type="dxa"/>
                    <w:bottom w:w="0" w:type="dxa"/>
                    <w:right w:w="6" w:type="dxa"/>
                  </w:tcMar>
                  <w:vAlign w:val="center"/>
                </w:tcPr>
                <w:p>
                  <w:pPr>
                    <w:widowControl/>
                    <w:jc w:val="center"/>
                    <w:textAlignment w:val="center"/>
                    <w:rPr>
                      <w:color w:val="auto"/>
                      <w:szCs w:val="21"/>
                    </w:rPr>
                  </w:pPr>
                  <w:r>
                    <w:rPr>
                      <w:color w:val="auto"/>
                      <w:kern w:val="0"/>
                      <w:sz w:val="22"/>
                      <w:szCs w:val="22"/>
                      <w:lang w:bidi="ar"/>
                    </w:rPr>
                    <w:t xml:space="preserve">8 </w:t>
                  </w:r>
                </w:p>
              </w:tc>
              <w:tc>
                <w:tcPr>
                  <w:tcW w:w="492" w:type="pct"/>
                  <w:tcMar>
                    <w:top w:w="0" w:type="dxa"/>
                    <w:left w:w="6" w:type="dxa"/>
                    <w:bottom w:w="0" w:type="dxa"/>
                    <w:right w:w="6" w:type="dxa"/>
                  </w:tcMar>
                  <w:vAlign w:val="center"/>
                </w:tcPr>
                <w:p>
                  <w:pPr>
                    <w:widowControl/>
                    <w:jc w:val="center"/>
                    <w:textAlignment w:val="center"/>
                    <w:rPr>
                      <w:color w:val="auto"/>
                      <w:szCs w:val="21"/>
                    </w:rPr>
                  </w:pPr>
                  <w:r>
                    <w:rPr>
                      <w:color w:val="auto"/>
                      <w:kern w:val="0"/>
                      <w:sz w:val="22"/>
                      <w:szCs w:val="22"/>
                      <w:lang w:bidi="ar"/>
                    </w:rPr>
                    <w:t>0.15</w:t>
                  </w:r>
                </w:p>
              </w:tc>
            </w:tr>
          </w:tbl>
          <w:p>
            <w:pPr>
              <w:pStyle w:val="16"/>
              <w:rPr>
                <w:color w:val="auto"/>
              </w:rPr>
            </w:pPr>
          </w:p>
          <w:p>
            <w:pPr>
              <w:pStyle w:val="23"/>
              <w:spacing w:before="0" w:beforeAutospacing="0" w:after="0" w:afterAutospacing="0" w:line="360" w:lineRule="auto"/>
              <w:outlineLvl w:val="0"/>
              <w:rPr>
                <w:rFonts w:ascii="Times New Roman" w:hAnsi="Times New Roman" w:cs="Calibri"/>
                <w:color w:val="auto"/>
                <w:szCs w:val="24"/>
              </w:rPr>
            </w:pPr>
          </w:p>
          <w:p>
            <w:pPr>
              <w:pStyle w:val="23"/>
              <w:spacing w:before="0" w:beforeAutospacing="0" w:after="0" w:afterAutospacing="0" w:line="360" w:lineRule="auto"/>
              <w:outlineLvl w:val="0"/>
              <w:rPr>
                <w:rFonts w:ascii="Times New Roman" w:hAnsi="Times New Roman" w:cs="Calibri"/>
                <w:color w:val="auto"/>
                <w:szCs w:val="24"/>
              </w:rPr>
            </w:pPr>
          </w:p>
          <w:p>
            <w:pPr>
              <w:pStyle w:val="23"/>
              <w:spacing w:before="0" w:beforeAutospacing="0" w:after="0" w:afterAutospacing="0" w:line="360" w:lineRule="auto"/>
              <w:outlineLvl w:val="0"/>
              <w:rPr>
                <w:rFonts w:ascii="Times New Roman" w:hAnsi="Times New Roman" w:cs="Calibri"/>
                <w:color w:val="auto"/>
                <w:szCs w:val="24"/>
              </w:rPr>
            </w:pPr>
          </w:p>
          <w:p>
            <w:pPr>
              <w:pStyle w:val="23"/>
              <w:spacing w:before="0" w:beforeAutospacing="0" w:after="0" w:afterAutospacing="0" w:line="360" w:lineRule="auto"/>
              <w:outlineLvl w:val="0"/>
              <w:rPr>
                <w:rFonts w:ascii="Times New Roman" w:hAnsi="Times New Roman" w:cs="Calibri"/>
                <w:color w:val="auto"/>
                <w:szCs w:val="24"/>
              </w:rPr>
            </w:pPr>
          </w:p>
        </w:tc>
      </w:tr>
    </w:tbl>
    <w:p>
      <w:pPr>
        <w:pStyle w:val="23"/>
        <w:jc w:val="both"/>
        <w:outlineLvl w:val="0"/>
        <w:rPr>
          <w:rFonts w:ascii="Times New Roman" w:hAnsi="Times New Roman"/>
          <w:snapToGrid w:val="0"/>
          <w:color w:val="auto"/>
          <w:sz w:val="30"/>
          <w:szCs w:val="30"/>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0" w:num="1"/>
          <w:docGrid w:type="linesAndChars" w:linePitch="319" w:charSpace="0"/>
        </w:sectPr>
      </w:pPr>
    </w:p>
    <w:tbl>
      <w:tblPr>
        <w:tblStyle w:val="27"/>
        <w:tblW w:w="8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
        <w:gridCol w:w="8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7" w:hRule="atLeast"/>
        </w:trPr>
        <w:tc>
          <w:tcPr>
            <w:tcW w:w="236" w:type="dxa"/>
            <w:tcBorders>
              <w:right w:val="single" w:color="000000" w:sz="4" w:space="0"/>
            </w:tcBorders>
          </w:tcPr>
          <w:p>
            <w:pPr>
              <w:pStyle w:val="23"/>
              <w:jc w:val="both"/>
              <w:outlineLvl w:val="0"/>
              <w:rPr>
                <w:rFonts w:ascii="Times New Roman" w:hAnsi="Times New Roman" w:cs="Calibri"/>
                <w:snapToGrid w:val="0"/>
                <w:color w:val="auto"/>
                <w:sz w:val="30"/>
                <w:szCs w:val="30"/>
              </w:rPr>
            </w:pPr>
          </w:p>
        </w:tc>
        <w:tc>
          <w:tcPr>
            <w:tcW w:w="8370" w:type="dxa"/>
            <w:tcBorders>
              <w:left w:val="single" w:color="000000" w:sz="4" w:space="0"/>
            </w:tcBorders>
          </w:tcPr>
          <w:p>
            <w:pPr>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（3）厂内污水处理系统处理工艺</w:t>
            </w:r>
          </w:p>
          <w:p>
            <w:pPr>
              <w:jc w:val="center"/>
              <w:rPr>
                <w:color w:val="auto"/>
              </w:rPr>
            </w:pPr>
            <w:r>
              <w:drawing>
                <wp:inline distT="0" distB="0" distL="114300" distR="114300">
                  <wp:extent cx="4391025" cy="6409055"/>
                  <wp:effectExtent l="0" t="0" r="9525" b="1079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8"/>
                          <a:stretch>
                            <a:fillRect/>
                          </a:stretch>
                        </pic:blipFill>
                        <pic:spPr>
                          <a:xfrm>
                            <a:off x="0" y="0"/>
                            <a:ext cx="4391025" cy="6409055"/>
                          </a:xfrm>
                          <a:prstGeom prst="rect">
                            <a:avLst/>
                          </a:prstGeom>
                          <a:noFill/>
                          <a:ln>
                            <a:noFill/>
                          </a:ln>
                        </pic:spPr>
                      </pic:pic>
                    </a:graphicData>
                  </a:graphic>
                </wp:inline>
              </w:drawing>
            </w:r>
          </w:p>
          <w:p>
            <w:pPr>
              <w:numPr>
                <w:ilvl w:val="0"/>
                <w:numId w:val="19"/>
              </w:numPr>
              <w:adjustRightInd w:val="0"/>
              <w:snapToGrid w:val="0"/>
              <w:jc w:val="center"/>
              <w:rPr>
                <w:b/>
                <w:bCs/>
                <w:color w:val="auto"/>
                <w:sz w:val="24"/>
                <w:szCs w:val="24"/>
              </w:rPr>
            </w:pPr>
            <w:r>
              <w:rPr>
                <w:rFonts w:hint="eastAsia"/>
                <w:b/>
                <w:bCs/>
                <w:color w:val="auto"/>
                <w:sz w:val="24"/>
                <w:szCs w:val="24"/>
              </w:rPr>
              <w:t>废水</w:t>
            </w:r>
            <w:r>
              <w:rPr>
                <w:b/>
                <w:bCs/>
                <w:color w:val="auto"/>
                <w:sz w:val="24"/>
                <w:szCs w:val="24"/>
              </w:rPr>
              <w:t>工艺流程图</w:t>
            </w:r>
          </w:p>
          <w:p>
            <w:pPr>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工艺流程简述：</w:t>
            </w:r>
          </w:p>
          <w:p>
            <w:pPr>
              <w:pStyle w:val="16"/>
              <w:spacing w:after="0" w:line="360" w:lineRule="auto"/>
              <w:ind w:left="0" w:leftChars="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产废水通过污水管网进入隔油调节池，废水经过加药处理、混凝气浮、砂滤、活性炭后进入中间水箱，然后经过多水质调整，二级反渗透后等排至产水箱，通过回用水泵回用至车间。全厂生产废水不外排。废水处理工艺设施包括：废水调节池两个，斜管沉淀槽1 套，气浮装置（2m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/h）1 套，反渗透装置（3m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/h）2套，浓缩液蒸发装置（500kg/h）1套。</w:t>
            </w:r>
          </w:p>
          <w:p>
            <w:pPr>
              <w:pStyle w:val="16"/>
              <w:spacing w:after="0" w:line="360" w:lineRule="auto"/>
              <w:ind w:left="0" w:leftChars="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废水主要来源：喷粉工艺清槽废水、水洗水（包括脱脂水洗、陶化水洗、纯水洗、纯水直喷）。</w:t>
            </w:r>
          </w:p>
          <w:p>
            <w:pPr>
              <w:adjustRightInd w:val="0"/>
              <w:snapToGrid w:val="0"/>
              <w:spacing w:line="360" w:lineRule="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（4）水污染源监测计划</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参照《排污单位自行监测技术指南总则》（HJ819-2017），厂内间接排放口监测频次为1次/年，因此水污染源监测计划见下表。</w:t>
            </w:r>
          </w:p>
          <w:p>
            <w:pPr>
              <w:pStyle w:val="6"/>
              <w:numPr>
                <w:ilvl w:val="0"/>
                <w:numId w:val="16"/>
              </w:numPr>
              <w:adjustRightInd w:val="0"/>
              <w:snapToGrid w:val="0"/>
              <w:ind w:firstLineChars="0"/>
              <w:jc w:val="center"/>
              <w:rPr>
                <w:color w:val="auto"/>
              </w:rPr>
            </w:pPr>
            <w:r>
              <w:rPr>
                <w:color w:val="auto"/>
              </w:rPr>
              <w:t>废水污染源环境监测计划</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180"/>
              <w:gridCol w:w="1105"/>
              <w:gridCol w:w="1601"/>
              <w:gridCol w:w="1152"/>
              <w:gridCol w:w="24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Mar>
                    <w:top w:w="0" w:type="dxa"/>
                    <w:left w:w="0" w:type="dxa"/>
                    <w:bottom w:w="0" w:type="dxa"/>
                    <w:right w:w="0" w:type="dxa"/>
                  </w:tcMar>
                  <w:vAlign w:val="center"/>
                </w:tcPr>
                <w:p>
                  <w:pPr>
                    <w:adjustRightInd w:val="0"/>
                    <w:snapToGrid w:val="0"/>
                    <w:jc w:val="center"/>
                    <w:rPr>
                      <w:color w:val="auto"/>
                    </w:rPr>
                  </w:pPr>
                  <w:r>
                    <w:rPr>
                      <w:color w:val="auto"/>
                    </w:rPr>
                    <w:t>序号</w:t>
                  </w:r>
                </w:p>
              </w:tc>
              <w:tc>
                <w:tcPr>
                  <w:tcW w:w="724" w:type="pct"/>
                  <w:tcMar>
                    <w:top w:w="0" w:type="dxa"/>
                    <w:left w:w="0" w:type="dxa"/>
                    <w:bottom w:w="0" w:type="dxa"/>
                    <w:right w:w="0" w:type="dxa"/>
                  </w:tcMar>
                  <w:vAlign w:val="center"/>
                </w:tcPr>
                <w:p>
                  <w:pPr>
                    <w:adjustRightInd w:val="0"/>
                    <w:snapToGrid w:val="0"/>
                    <w:jc w:val="center"/>
                    <w:rPr>
                      <w:color w:val="auto"/>
                    </w:rPr>
                  </w:pPr>
                  <w:r>
                    <w:rPr>
                      <w:color w:val="auto"/>
                    </w:rPr>
                    <w:t>监测位置</w:t>
                  </w:r>
                </w:p>
              </w:tc>
              <w:tc>
                <w:tcPr>
                  <w:tcW w:w="678" w:type="pct"/>
                  <w:tcMar>
                    <w:top w:w="0" w:type="dxa"/>
                    <w:left w:w="0" w:type="dxa"/>
                    <w:bottom w:w="0" w:type="dxa"/>
                    <w:right w:w="0" w:type="dxa"/>
                  </w:tcMar>
                  <w:vAlign w:val="center"/>
                </w:tcPr>
                <w:p>
                  <w:pPr>
                    <w:adjustRightInd w:val="0"/>
                    <w:snapToGrid w:val="0"/>
                    <w:jc w:val="center"/>
                    <w:rPr>
                      <w:color w:val="auto"/>
                    </w:rPr>
                  </w:pPr>
                  <w:r>
                    <w:rPr>
                      <w:color w:val="auto"/>
                    </w:rPr>
                    <w:t>排放口编号</w:t>
                  </w:r>
                </w:p>
              </w:tc>
              <w:tc>
                <w:tcPr>
                  <w:tcW w:w="982" w:type="pct"/>
                  <w:tcMar>
                    <w:top w:w="0" w:type="dxa"/>
                    <w:left w:w="0" w:type="dxa"/>
                    <w:bottom w:w="0" w:type="dxa"/>
                    <w:right w:w="0" w:type="dxa"/>
                  </w:tcMar>
                  <w:vAlign w:val="center"/>
                </w:tcPr>
                <w:p>
                  <w:pPr>
                    <w:adjustRightInd w:val="0"/>
                    <w:snapToGrid w:val="0"/>
                    <w:jc w:val="center"/>
                    <w:rPr>
                      <w:color w:val="auto"/>
                    </w:rPr>
                  </w:pPr>
                  <w:r>
                    <w:rPr>
                      <w:color w:val="auto"/>
                    </w:rPr>
                    <w:t>污染物名称</w:t>
                  </w:r>
                </w:p>
              </w:tc>
              <w:tc>
                <w:tcPr>
                  <w:tcW w:w="707" w:type="pct"/>
                  <w:tcMar>
                    <w:top w:w="0" w:type="dxa"/>
                    <w:left w:w="0" w:type="dxa"/>
                    <w:bottom w:w="0" w:type="dxa"/>
                    <w:right w:w="0" w:type="dxa"/>
                  </w:tcMar>
                  <w:vAlign w:val="center"/>
                </w:tcPr>
                <w:p>
                  <w:pPr>
                    <w:adjustRightInd w:val="0"/>
                    <w:snapToGrid w:val="0"/>
                    <w:jc w:val="center"/>
                    <w:rPr>
                      <w:color w:val="auto"/>
                    </w:rPr>
                  </w:pPr>
                  <w:r>
                    <w:rPr>
                      <w:color w:val="auto"/>
                    </w:rPr>
                    <w:t>监测频次</w:t>
                  </w:r>
                </w:p>
              </w:tc>
              <w:tc>
                <w:tcPr>
                  <w:tcW w:w="1532" w:type="pct"/>
                  <w:tcMar>
                    <w:top w:w="0" w:type="dxa"/>
                    <w:left w:w="0" w:type="dxa"/>
                    <w:bottom w:w="0" w:type="dxa"/>
                    <w:right w:w="0" w:type="dxa"/>
                  </w:tcMar>
                  <w:vAlign w:val="center"/>
                </w:tcPr>
                <w:p>
                  <w:pPr>
                    <w:adjustRightInd w:val="0"/>
                    <w:snapToGrid w:val="0"/>
                    <w:jc w:val="center"/>
                    <w:rPr>
                      <w:color w:val="auto"/>
                    </w:rPr>
                  </w:pPr>
                  <w:r>
                    <w:rPr>
                      <w:color w:val="auto"/>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tcMar>
                    <w:top w:w="0" w:type="dxa"/>
                    <w:left w:w="0" w:type="dxa"/>
                    <w:bottom w:w="0" w:type="dxa"/>
                    <w:right w:w="0" w:type="dxa"/>
                  </w:tcMar>
                  <w:vAlign w:val="center"/>
                </w:tcPr>
                <w:p>
                  <w:pPr>
                    <w:adjustRightInd w:val="0"/>
                    <w:snapToGrid w:val="0"/>
                    <w:jc w:val="center"/>
                    <w:rPr>
                      <w:color w:val="auto"/>
                    </w:rPr>
                  </w:pPr>
                  <w:r>
                    <w:rPr>
                      <w:color w:val="auto"/>
                    </w:rPr>
                    <w:t>1</w:t>
                  </w:r>
                </w:p>
              </w:tc>
              <w:tc>
                <w:tcPr>
                  <w:tcW w:w="724" w:type="pct"/>
                  <w:tcMar>
                    <w:top w:w="0" w:type="dxa"/>
                    <w:left w:w="0" w:type="dxa"/>
                    <w:bottom w:w="0" w:type="dxa"/>
                    <w:right w:w="0" w:type="dxa"/>
                  </w:tcMar>
                  <w:vAlign w:val="center"/>
                </w:tcPr>
                <w:p>
                  <w:pPr>
                    <w:adjustRightInd w:val="0"/>
                    <w:snapToGrid w:val="0"/>
                    <w:jc w:val="center"/>
                    <w:rPr>
                      <w:color w:val="auto"/>
                    </w:rPr>
                  </w:pPr>
                  <w:r>
                    <w:rPr>
                      <w:color w:val="auto"/>
                    </w:rPr>
                    <w:t>企业总排口</w:t>
                  </w:r>
                </w:p>
              </w:tc>
              <w:tc>
                <w:tcPr>
                  <w:tcW w:w="678" w:type="pct"/>
                  <w:tcMar>
                    <w:top w:w="0" w:type="dxa"/>
                    <w:left w:w="0" w:type="dxa"/>
                    <w:bottom w:w="0" w:type="dxa"/>
                    <w:right w:w="0" w:type="dxa"/>
                  </w:tcMar>
                  <w:vAlign w:val="center"/>
                </w:tcPr>
                <w:p>
                  <w:pPr>
                    <w:adjustRightInd w:val="0"/>
                    <w:snapToGrid w:val="0"/>
                    <w:jc w:val="center"/>
                    <w:rPr>
                      <w:color w:val="auto"/>
                    </w:rPr>
                  </w:pPr>
                  <w:r>
                    <w:rPr>
                      <w:color w:val="auto"/>
                    </w:rPr>
                    <w:t>DW001</w:t>
                  </w:r>
                </w:p>
              </w:tc>
              <w:tc>
                <w:tcPr>
                  <w:tcW w:w="982" w:type="pct"/>
                  <w:tcMar>
                    <w:top w:w="0" w:type="dxa"/>
                    <w:left w:w="0" w:type="dxa"/>
                    <w:bottom w:w="0" w:type="dxa"/>
                    <w:right w:w="0" w:type="dxa"/>
                  </w:tcMar>
                  <w:vAlign w:val="center"/>
                </w:tcPr>
                <w:p>
                  <w:pPr>
                    <w:adjustRightInd w:val="0"/>
                    <w:snapToGrid w:val="0"/>
                    <w:spacing w:line="320" w:lineRule="exact"/>
                    <w:jc w:val="center"/>
                    <w:rPr>
                      <w:color w:val="auto"/>
                    </w:rPr>
                  </w:pPr>
                  <w:r>
                    <w:rPr>
                      <w:color w:val="auto"/>
                    </w:rPr>
                    <w:t>pH、COD、SS、NH3-N、TN、TP</w:t>
                  </w:r>
                </w:p>
              </w:tc>
              <w:tc>
                <w:tcPr>
                  <w:tcW w:w="707" w:type="pct"/>
                  <w:tcMar>
                    <w:top w:w="0" w:type="dxa"/>
                    <w:left w:w="0" w:type="dxa"/>
                    <w:bottom w:w="0" w:type="dxa"/>
                    <w:right w:w="0" w:type="dxa"/>
                  </w:tcMar>
                  <w:vAlign w:val="center"/>
                </w:tcPr>
                <w:p>
                  <w:pPr>
                    <w:adjustRightInd w:val="0"/>
                    <w:snapToGrid w:val="0"/>
                    <w:jc w:val="center"/>
                    <w:rPr>
                      <w:color w:val="auto"/>
                    </w:rPr>
                  </w:pPr>
                  <w:r>
                    <w:rPr>
                      <w:color w:val="auto"/>
                    </w:rPr>
                    <w:t>1次/</w:t>
                  </w:r>
                  <w:r>
                    <w:rPr>
                      <w:rFonts w:hint="eastAsia"/>
                      <w:color w:val="auto"/>
                    </w:rPr>
                    <w:t>年</w:t>
                  </w:r>
                </w:p>
              </w:tc>
              <w:tc>
                <w:tcPr>
                  <w:tcW w:w="1532" w:type="pct"/>
                  <w:tcMar>
                    <w:top w:w="0" w:type="dxa"/>
                    <w:left w:w="0" w:type="dxa"/>
                    <w:bottom w:w="0" w:type="dxa"/>
                    <w:right w:w="0" w:type="dxa"/>
                  </w:tcMar>
                  <w:vAlign w:val="center"/>
                </w:tcPr>
                <w:p>
                  <w:pPr>
                    <w:wordWrap w:val="0"/>
                    <w:adjustRightInd w:val="0"/>
                    <w:snapToGrid w:val="0"/>
                    <w:jc w:val="center"/>
                    <w:rPr>
                      <w:color w:val="auto"/>
                    </w:rPr>
                  </w:pPr>
                  <w:r>
                    <w:rPr>
                      <w:color w:val="auto"/>
                    </w:rPr>
                    <w:t>《污水综合排放标准》（GB8978-1996）表4中的三级标准和《污水排入城镇下水道水质标准》（GB/T31962-2015）表1中A级标准</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rPr>
              <w:t>）污水处理设施可行性分析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rPr>
              <w:t>厂内污水处理系统处理规模2</w:t>
            </w:r>
            <w:r>
              <w:rPr>
                <w:rFonts w:hint="default" w:ascii="Times New Roman" w:hAnsi="Times New Roman" w:eastAsia="宋体" w:cs="Times New Roman"/>
                <w:color w:val="auto"/>
                <w:sz w:val="24"/>
                <w:szCs w:val="24"/>
                <w:lang w:val="zh-CN"/>
              </w:rPr>
              <w:t>m</w:t>
            </w:r>
            <w:r>
              <w:rPr>
                <w:rFonts w:hint="default" w:ascii="Times New Roman" w:hAnsi="Times New Roman" w:eastAsia="宋体" w:cs="Times New Roman"/>
                <w:color w:val="auto"/>
                <w:sz w:val="24"/>
                <w:szCs w:val="24"/>
                <w:vertAlign w:val="superscript"/>
                <w:lang w:val="zh-CN"/>
              </w:rPr>
              <w:t>3</w:t>
            </w:r>
            <w:r>
              <w:rPr>
                <w:rFonts w:hint="default"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lang w:val="zh-CN"/>
              </w:rPr>
              <w:t>，各处理单元设计参数如下表：</w:t>
            </w:r>
          </w:p>
          <w:p>
            <w:pPr>
              <w:pStyle w:val="6"/>
              <w:numPr>
                <w:ilvl w:val="0"/>
                <w:numId w:val="16"/>
              </w:numPr>
              <w:adjustRightInd w:val="0"/>
              <w:snapToGrid w:val="0"/>
              <w:ind w:firstLineChars="0"/>
              <w:jc w:val="center"/>
              <w:rPr>
                <w:color w:val="auto"/>
              </w:rPr>
            </w:pPr>
            <w:r>
              <w:rPr>
                <w:color w:val="auto"/>
              </w:rPr>
              <w:t>厂区污水处理站设计参数</w:t>
            </w:r>
          </w:p>
          <w:tbl>
            <w:tblPr>
              <w:tblStyle w:val="26"/>
              <w:tblW w:w="484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564"/>
              <w:gridCol w:w="2033"/>
              <w:gridCol w:w="24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51" w:type="pct"/>
                  <w:vAlign w:val="center"/>
                </w:tcPr>
                <w:p>
                  <w:pPr>
                    <w:adjustRightInd w:val="0"/>
                    <w:snapToGrid w:val="0"/>
                    <w:jc w:val="center"/>
                    <w:rPr>
                      <w:color w:val="auto"/>
                    </w:rPr>
                  </w:pPr>
                  <w:r>
                    <w:rPr>
                      <w:color w:val="auto"/>
                    </w:rPr>
                    <w:t>序号</w:t>
                  </w:r>
                </w:p>
              </w:tc>
              <w:tc>
                <w:tcPr>
                  <w:tcW w:w="1623" w:type="pct"/>
                  <w:vAlign w:val="center"/>
                </w:tcPr>
                <w:p>
                  <w:pPr>
                    <w:adjustRightInd w:val="0"/>
                    <w:snapToGrid w:val="0"/>
                    <w:jc w:val="center"/>
                    <w:rPr>
                      <w:color w:val="auto"/>
                    </w:rPr>
                  </w:pPr>
                  <w:r>
                    <w:rPr>
                      <w:color w:val="auto"/>
                    </w:rPr>
                    <w:t>处理单元</w:t>
                  </w:r>
                </w:p>
              </w:tc>
              <w:tc>
                <w:tcPr>
                  <w:tcW w:w="1287" w:type="pct"/>
                  <w:vAlign w:val="center"/>
                </w:tcPr>
                <w:p>
                  <w:pPr>
                    <w:adjustRightInd w:val="0"/>
                    <w:snapToGrid w:val="0"/>
                    <w:jc w:val="center"/>
                    <w:rPr>
                      <w:color w:val="auto"/>
                    </w:rPr>
                  </w:pPr>
                  <w:r>
                    <w:rPr>
                      <w:color w:val="auto"/>
                    </w:rPr>
                    <w:t>尺寸/m</w:t>
                  </w:r>
                </w:p>
              </w:tc>
              <w:tc>
                <w:tcPr>
                  <w:tcW w:w="1537" w:type="pct"/>
                  <w:vAlign w:val="center"/>
                </w:tcPr>
                <w:p>
                  <w:pPr>
                    <w:adjustRightInd w:val="0"/>
                    <w:snapToGrid w:val="0"/>
                    <w:jc w:val="center"/>
                    <w:rPr>
                      <w:color w:val="auto"/>
                    </w:rPr>
                  </w:pPr>
                  <w:r>
                    <w:rPr>
                      <w:color w:val="auto"/>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51" w:type="pct"/>
                  <w:vAlign w:val="center"/>
                </w:tcPr>
                <w:p>
                  <w:pPr>
                    <w:adjustRightInd w:val="0"/>
                    <w:snapToGrid w:val="0"/>
                    <w:jc w:val="center"/>
                    <w:rPr>
                      <w:color w:val="auto"/>
                    </w:rPr>
                  </w:pPr>
                  <w:r>
                    <w:rPr>
                      <w:color w:val="auto"/>
                    </w:rPr>
                    <w:t>1</w:t>
                  </w:r>
                </w:p>
              </w:tc>
              <w:tc>
                <w:tcPr>
                  <w:tcW w:w="1623" w:type="pct"/>
                  <w:vAlign w:val="center"/>
                </w:tcPr>
                <w:p>
                  <w:pPr>
                    <w:adjustRightInd w:val="0"/>
                    <w:snapToGrid w:val="0"/>
                    <w:jc w:val="center"/>
                    <w:rPr>
                      <w:color w:val="auto"/>
                    </w:rPr>
                  </w:pPr>
                  <w:r>
                    <w:rPr>
                      <w:color w:val="auto"/>
                    </w:rPr>
                    <w:t>废水调节池</w:t>
                  </w:r>
                </w:p>
              </w:tc>
              <w:tc>
                <w:tcPr>
                  <w:tcW w:w="1287" w:type="pct"/>
                  <w:vAlign w:val="center"/>
                </w:tcPr>
                <w:p>
                  <w:pPr>
                    <w:adjustRightInd w:val="0"/>
                    <w:snapToGrid w:val="0"/>
                    <w:jc w:val="center"/>
                    <w:rPr>
                      <w:color w:val="auto"/>
                    </w:rPr>
                  </w:pPr>
                  <w:r>
                    <w:rPr>
                      <w:color w:val="auto"/>
                    </w:rPr>
                    <w:t>均&gt;2m3</w:t>
                  </w:r>
                </w:p>
              </w:tc>
              <w:tc>
                <w:tcPr>
                  <w:tcW w:w="1537" w:type="pct"/>
                  <w:vAlign w:val="center"/>
                </w:tcPr>
                <w:p>
                  <w:pPr>
                    <w:adjustRightInd w:val="0"/>
                    <w:snapToGrid w:val="0"/>
                    <w:jc w:val="center"/>
                    <w:rPr>
                      <w:color w:val="auto"/>
                    </w:rPr>
                  </w:pPr>
                  <w:r>
                    <w:rPr>
                      <w:color w:val="auto"/>
                    </w:rPr>
                    <w:t>2个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51" w:type="pct"/>
                  <w:vAlign w:val="center"/>
                </w:tcPr>
                <w:p>
                  <w:pPr>
                    <w:adjustRightInd w:val="0"/>
                    <w:snapToGrid w:val="0"/>
                    <w:jc w:val="center"/>
                    <w:rPr>
                      <w:color w:val="auto"/>
                    </w:rPr>
                  </w:pPr>
                  <w:r>
                    <w:rPr>
                      <w:color w:val="auto"/>
                    </w:rPr>
                    <w:t>2</w:t>
                  </w:r>
                </w:p>
              </w:tc>
              <w:tc>
                <w:tcPr>
                  <w:tcW w:w="1623" w:type="pct"/>
                  <w:vAlign w:val="center"/>
                </w:tcPr>
                <w:p>
                  <w:pPr>
                    <w:adjustRightInd w:val="0"/>
                    <w:snapToGrid w:val="0"/>
                    <w:jc w:val="center"/>
                    <w:rPr>
                      <w:color w:val="auto"/>
                    </w:rPr>
                  </w:pPr>
                  <w:r>
                    <w:rPr>
                      <w:color w:val="auto"/>
                    </w:rPr>
                    <w:t>斜管沉淀池</w:t>
                  </w:r>
                </w:p>
              </w:tc>
              <w:tc>
                <w:tcPr>
                  <w:tcW w:w="1287" w:type="pct"/>
                  <w:vAlign w:val="center"/>
                </w:tcPr>
                <w:p>
                  <w:pPr>
                    <w:adjustRightInd w:val="0"/>
                    <w:snapToGrid w:val="0"/>
                    <w:jc w:val="center"/>
                    <w:rPr>
                      <w:color w:val="auto"/>
                    </w:rPr>
                  </w:pPr>
                  <w:r>
                    <w:rPr>
                      <w:color w:val="auto"/>
                    </w:rPr>
                    <w:t>2m3/h</w:t>
                  </w:r>
                </w:p>
              </w:tc>
              <w:tc>
                <w:tcPr>
                  <w:tcW w:w="1537" w:type="pct"/>
                  <w:vAlign w:val="center"/>
                </w:tcPr>
                <w:p>
                  <w:pPr>
                    <w:adjustRightInd w:val="0"/>
                    <w:snapToGrid w:val="0"/>
                    <w:jc w:val="center"/>
                    <w:rPr>
                      <w:color w:val="auto"/>
                    </w:rPr>
                  </w:pPr>
                  <w:r>
                    <w:rPr>
                      <w:color w:val="auto"/>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51" w:type="pct"/>
                  <w:vAlign w:val="center"/>
                </w:tcPr>
                <w:p>
                  <w:pPr>
                    <w:adjustRightInd w:val="0"/>
                    <w:snapToGrid w:val="0"/>
                    <w:jc w:val="center"/>
                    <w:rPr>
                      <w:color w:val="auto"/>
                    </w:rPr>
                  </w:pPr>
                  <w:r>
                    <w:rPr>
                      <w:color w:val="auto"/>
                    </w:rPr>
                    <w:t>3</w:t>
                  </w:r>
                </w:p>
              </w:tc>
              <w:tc>
                <w:tcPr>
                  <w:tcW w:w="1623" w:type="pct"/>
                  <w:vAlign w:val="center"/>
                </w:tcPr>
                <w:p>
                  <w:pPr>
                    <w:adjustRightInd w:val="0"/>
                    <w:snapToGrid w:val="0"/>
                    <w:jc w:val="center"/>
                    <w:rPr>
                      <w:color w:val="auto"/>
                    </w:rPr>
                  </w:pPr>
                  <w:r>
                    <w:rPr>
                      <w:color w:val="auto"/>
                    </w:rPr>
                    <w:t>气浮装置</w:t>
                  </w:r>
                </w:p>
              </w:tc>
              <w:tc>
                <w:tcPr>
                  <w:tcW w:w="1287" w:type="pct"/>
                  <w:vAlign w:val="center"/>
                </w:tcPr>
                <w:p>
                  <w:pPr>
                    <w:adjustRightInd w:val="0"/>
                    <w:snapToGrid w:val="0"/>
                    <w:jc w:val="center"/>
                    <w:rPr>
                      <w:color w:val="auto"/>
                    </w:rPr>
                  </w:pPr>
                  <w:r>
                    <w:rPr>
                      <w:color w:val="auto"/>
                    </w:rPr>
                    <w:t>2m3/h</w:t>
                  </w:r>
                </w:p>
              </w:tc>
              <w:tc>
                <w:tcPr>
                  <w:tcW w:w="1537" w:type="pct"/>
                  <w:vAlign w:val="center"/>
                </w:tcPr>
                <w:p>
                  <w:pPr>
                    <w:adjustRightInd w:val="0"/>
                    <w:snapToGrid w:val="0"/>
                    <w:jc w:val="center"/>
                    <w:rPr>
                      <w:color w:val="auto"/>
                    </w:rPr>
                  </w:pPr>
                  <w:r>
                    <w:rPr>
                      <w:color w:val="auto"/>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551" w:type="pct"/>
                  <w:vAlign w:val="center"/>
                </w:tcPr>
                <w:p>
                  <w:pPr>
                    <w:adjustRightInd w:val="0"/>
                    <w:snapToGrid w:val="0"/>
                    <w:jc w:val="center"/>
                    <w:rPr>
                      <w:color w:val="auto"/>
                    </w:rPr>
                  </w:pPr>
                  <w:r>
                    <w:rPr>
                      <w:color w:val="auto"/>
                    </w:rPr>
                    <w:t>4</w:t>
                  </w:r>
                </w:p>
              </w:tc>
              <w:tc>
                <w:tcPr>
                  <w:tcW w:w="1623" w:type="pct"/>
                  <w:vAlign w:val="center"/>
                </w:tcPr>
                <w:p>
                  <w:pPr>
                    <w:adjustRightInd w:val="0"/>
                    <w:snapToGrid w:val="0"/>
                    <w:jc w:val="center"/>
                    <w:rPr>
                      <w:color w:val="auto"/>
                    </w:rPr>
                  </w:pPr>
                  <w:r>
                    <w:rPr>
                      <w:color w:val="auto"/>
                    </w:rPr>
                    <w:t>反渗透装置</w:t>
                  </w:r>
                </w:p>
              </w:tc>
              <w:tc>
                <w:tcPr>
                  <w:tcW w:w="1287" w:type="pct"/>
                  <w:vAlign w:val="center"/>
                </w:tcPr>
                <w:p>
                  <w:pPr>
                    <w:adjustRightInd w:val="0"/>
                    <w:snapToGrid w:val="0"/>
                    <w:jc w:val="center"/>
                    <w:rPr>
                      <w:color w:val="auto"/>
                    </w:rPr>
                  </w:pPr>
                  <w:r>
                    <w:rPr>
                      <w:color w:val="auto"/>
                    </w:rPr>
                    <w:t>3m3/h</w:t>
                  </w:r>
                </w:p>
              </w:tc>
              <w:tc>
                <w:tcPr>
                  <w:tcW w:w="1537" w:type="pct"/>
                  <w:vAlign w:val="center"/>
                </w:tcPr>
                <w:p>
                  <w:pPr>
                    <w:adjustRightInd w:val="0"/>
                    <w:snapToGrid w:val="0"/>
                    <w:jc w:val="center"/>
                    <w:rPr>
                      <w:color w:val="auto"/>
                    </w:rPr>
                  </w:pPr>
                  <w:r>
                    <w:rPr>
                      <w:color w:val="auto"/>
                    </w:rPr>
                    <w:t>2套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551" w:type="pct"/>
                  <w:vAlign w:val="center"/>
                </w:tcPr>
                <w:p>
                  <w:pPr>
                    <w:adjustRightInd w:val="0"/>
                    <w:snapToGrid w:val="0"/>
                    <w:jc w:val="center"/>
                    <w:rPr>
                      <w:color w:val="auto"/>
                    </w:rPr>
                  </w:pPr>
                  <w:r>
                    <w:rPr>
                      <w:color w:val="auto"/>
                    </w:rPr>
                    <w:t>5</w:t>
                  </w:r>
                </w:p>
              </w:tc>
              <w:tc>
                <w:tcPr>
                  <w:tcW w:w="1623" w:type="pct"/>
                  <w:vAlign w:val="center"/>
                </w:tcPr>
                <w:p>
                  <w:pPr>
                    <w:adjustRightInd w:val="0"/>
                    <w:snapToGrid w:val="0"/>
                    <w:jc w:val="center"/>
                    <w:rPr>
                      <w:color w:val="auto"/>
                    </w:rPr>
                  </w:pPr>
                  <w:r>
                    <w:rPr>
                      <w:color w:val="auto"/>
                    </w:rPr>
                    <w:t>浓缩液蒸发装置</w:t>
                  </w:r>
                </w:p>
              </w:tc>
              <w:tc>
                <w:tcPr>
                  <w:tcW w:w="1287" w:type="pct"/>
                  <w:vAlign w:val="center"/>
                </w:tcPr>
                <w:p>
                  <w:pPr>
                    <w:adjustRightInd w:val="0"/>
                    <w:snapToGrid w:val="0"/>
                    <w:jc w:val="center"/>
                    <w:rPr>
                      <w:color w:val="auto"/>
                    </w:rPr>
                  </w:pPr>
                  <w:r>
                    <w:rPr>
                      <w:color w:val="auto"/>
                    </w:rPr>
                    <w:t>500kg/h</w:t>
                  </w:r>
                </w:p>
              </w:tc>
              <w:tc>
                <w:tcPr>
                  <w:tcW w:w="1537" w:type="pct"/>
                  <w:vAlign w:val="center"/>
                </w:tcPr>
                <w:p>
                  <w:pPr>
                    <w:adjustRightInd w:val="0"/>
                    <w:snapToGrid w:val="0"/>
                    <w:jc w:val="center"/>
                    <w:rPr>
                      <w:color w:val="auto"/>
                    </w:rPr>
                  </w:pPr>
                  <w:r>
                    <w:rPr>
                      <w:color w:val="auto"/>
                    </w:rPr>
                    <w:t>1套</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105" w:leftChars="50" w:right="105" w:rightChars="50" w:firstLine="0"/>
              <w:textAlignment w:val="auto"/>
              <w:rPr>
                <w:rFonts w:hint="default" w:ascii="Times New Roman" w:hAnsi="Times New Roman" w:eastAsia="宋体" w:cs="Times New Roman"/>
                <w:b/>
                <w:bCs/>
                <w:color w:val="auto"/>
                <w:sz w:val="24"/>
                <w:szCs w:val="24"/>
                <w:lang w:val="en-US" w:eastAsia="zh-CN"/>
              </w:rPr>
            </w:pPr>
            <w:r>
              <w:rPr>
                <w:color w:val="auto"/>
              </w:rPr>
              <w:commentReference w:id="28"/>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处理能力分析</w:t>
            </w:r>
          </w:p>
          <w:p>
            <w:pPr>
              <w:adjustRightInd w:val="0"/>
              <w:snapToGrid w:val="0"/>
              <w:spacing w:line="360" w:lineRule="auto"/>
              <w:ind w:left="105" w:leftChars="50" w:right="105" w:rightChars="50" w:firstLine="480"/>
              <w:rPr>
                <w:rFonts w:hint="eastAsia" w:cs="Times New Roman"/>
                <w:color w:val="auto"/>
                <w:sz w:val="24"/>
                <w:szCs w:val="24"/>
                <w:lang w:val="en-US" w:eastAsia="zh-CN"/>
              </w:rPr>
            </w:pPr>
            <w:r>
              <w:rPr>
                <w:rFonts w:hint="eastAsia" w:cs="Times New Roman"/>
                <w:color w:val="auto"/>
                <w:sz w:val="24"/>
                <w:szCs w:val="24"/>
                <w:lang w:val="en-US" w:eastAsia="zh-CN"/>
              </w:rPr>
              <w:t>废水处理设施的处理能力分析见下表：</w:t>
            </w:r>
          </w:p>
          <w:p>
            <w:pPr>
              <w:pStyle w:val="6"/>
              <w:numPr>
                <w:ilvl w:val="0"/>
                <w:numId w:val="16"/>
              </w:numPr>
              <w:adjustRightInd w:val="0"/>
              <w:snapToGrid w:val="0"/>
              <w:ind w:firstLineChars="0"/>
              <w:jc w:val="center"/>
              <w:rPr>
                <w:rFonts w:hint="eastAsia"/>
                <w:color w:val="auto"/>
                <w:lang w:val="en-US" w:eastAsia="zh-CN"/>
              </w:rPr>
            </w:pPr>
            <w:r>
              <w:rPr>
                <w:rFonts w:hint="default" w:ascii="Times New Roman" w:hAnsi="Times New Roman" w:eastAsia="宋体" w:cs="Times New Roman"/>
                <w:b/>
                <w:bCs/>
                <w:color w:val="auto"/>
                <w:sz w:val="24"/>
                <w:szCs w:val="24"/>
              </w:rPr>
              <w:t>废水处理设施处理能力分析一览表</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80"/>
              <w:gridCol w:w="1350"/>
              <w:gridCol w:w="1485"/>
              <w:gridCol w:w="1320"/>
              <w:gridCol w:w="12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30" w:type="dxa"/>
                  <w:gridSpan w:val="2"/>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废水产生情况</w:t>
                  </w:r>
                </w:p>
              </w:tc>
              <w:tc>
                <w:tcPr>
                  <w:tcW w:w="1485"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处理设施</w:t>
                  </w:r>
                </w:p>
              </w:tc>
              <w:tc>
                <w:tcPr>
                  <w:tcW w:w="1320"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处理能力</w:t>
                  </w:r>
                </w:p>
              </w:tc>
              <w:tc>
                <w:tcPr>
                  <w:tcW w:w="1209"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是否满足需求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80"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污染源</w:t>
                  </w:r>
                </w:p>
              </w:tc>
              <w:tc>
                <w:tcPr>
                  <w:tcW w:w="1350"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产生量</w:t>
                  </w:r>
                </w:p>
              </w:tc>
              <w:tc>
                <w:tcPr>
                  <w:tcW w:w="1485"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20"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209"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80"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预脱脂槽清槽废水+脱脂槽清槽废水+陶化清槽废水</w:t>
                  </w:r>
                </w:p>
              </w:tc>
              <w:tc>
                <w:tcPr>
                  <w:tcW w:w="1350"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279.3t/a</w:t>
                  </w:r>
                </w:p>
              </w:tc>
              <w:tc>
                <w:tcPr>
                  <w:tcW w:w="1485"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隔油+混凝气浮+砂滤+二级反渗透</w:t>
                  </w:r>
                </w:p>
              </w:tc>
              <w:tc>
                <w:tcPr>
                  <w:tcW w:w="1320"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Cs/>
                      <w:color w:val="auto"/>
                      <w:sz w:val="21"/>
                      <w:szCs w:val="21"/>
                    </w:rPr>
                    <w:t>2m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/h</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color w:val="auto"/>
                      <w:sz w:val="21"/>
                      <w:szCs w:val="21"/>
                      <w:vertAlign w:val="baseline"/>
                      <w:lang w:val="en-US" w:eastAsia="zh-CN"/>
                    </w:rPr>
                    <w:t>14400t/a</w:t>
                  </w:r>
                  <w:r>
                    <w:rPr>
                      <w:rFonts w:hint="default" w:ascii="Times New Roman" w:hAnsi="Times New Roman" w:eastAsia="宋体" w:cs="Times New Roman"/>
                      <w:bCs/>
                      <w:color w:val="auto"/>
                      <w:sz w:val="21"/>
                      <w:szCs w:val="21"/>
                      <w:lang w:eastAsia="zh-CN"/>
                    </w:rPr>
                    <w:t>）</w:t>
                  </w:r>
                </w:p>
              </w:tc>
              <w:tc>
                <w:tcPr>
                  <w:tcW w:w="1209"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80"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水洗水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脱脂水洗</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陶化水洗+</w:t>
                  </w:r>
                  <w:r>
                    <w:rPr>
                      <w:rFonts w:hint="default" w:ascii="Times New Roman" w:hAnsi="Times New Roman" w:eastAsia="宋体" w:cs="Times New Roman"/>
                      <w:color w:val="auto"/>
                      <w:sz w:val="21"/>
                      <w:szCs w:val="21"/>
                    </w:rPr>
                    <w:t>纯水洗+纯水直喷）</w:t>
                  </w:r>
                </w:p>
              </w:tc>
              <w:tc>
                <w:tcPr>
                  <w:tcW w:w="1350"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850.2t/a</w:t>
                  </w:r>
                </w:p>
              </w:tc>
              <w:tc>
                <w:tcPr>
                  <w:tcW w:w="1485"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20"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209"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80"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合计</w:t>
                  </w:r>
                </w:p>
              </w:tc>
              <w:tc>
                <w:tcPr>
                  <w:tcW w:w="1350"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1129.5</w:t>
                  </w:r>
                  <w:r>
                    <w:rPr>
                      <w:rFonts w:hint="default" w:ascii="Times New Roman" w:hAnsi="Times New Roman" w:eastAsia="宋体" w:cs="Times New Roman"/>
                      <w:color w:val="auto"/>
                      <w:sz w:val="21"/>
                      <w:szCs w:val="21"/>
                      <w:vertAlign w:val="baseline"/>
                      <w:lang w:val="en-US" w:eastAsia="zh-CN"/>
                    </w:rPr>
                    <w:t>t/a</w:t>
                  </w:r>
                </w:p>
              </w:tc>
              <w:tc>
                <w:tcPr>
                  <w:tcW w:w="1485"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320"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c>
                <w:tcPr>
                  <w:tcW w:w="1209"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80"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膜处理浓水</w:t>
                  </w:r>
                </w:p>
              </w:tc>
              <w:tc>
                <w:tcPr>
                  <w:tcW w:w="1350"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451.8t/a</w:t>
                  </w:r>
                </w:p>
              </w:tc>
              <w:tc>
                <w:tcPr>
                  <w:tcW w:w="1485"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浓缩液蒸发装置</w:t>
                  </w:r>
                </w:p>
              </w:tc>
              <w:tc>
                <w:tcPr>
                  <w:tcW w:w="1320"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500kg/h（3600t/a）</w:t>
                  </w:r>
                </w:p>
              </w:tc>
              <w:tc>
                <w:tcPr>
                  <w:tcW w:w="1209"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80"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合计</w:t>
                  </w:r>
                </w:p>
              </w:tc>
              <w:tc>
                <w:tcPr>
                  <w:tcW w:w="1350" w:type="dxa"/>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451.8t/a</w:t>
                  </w:r>
                </w:p>
              </w:tc>
              <w:tc>
                <w:tcPr>
                  <w:tcW w:w="1485"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color w:val="auto"/>
                      <w:sz w:val="21"/>
                      <w:szCs w:val="21"/>
                      <w:vertAlign w:val="baseline"/>
                      <w:lang w:val="en-US" w:eastAsia="zh-CN"/>
                    </w:rPr>
                  </w:pPr>
                </w:p>
              </w:tc>
              <w:tc>
                <w:tcPr>
                  <w:tcW w:w="1320"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color w:val="auto"/>
                      <w:sz w:val="21"/>
                      <w:szCs w:val="21"/>
                      <w:vertAlign w:val="baseline"/>
                      <w:lang w:val="en-US" w:eastAsia="zh-CN"/>
                    </w:rPr>
                  </w:pPr>
                </w:p>
              </w:tc>
              <w:tc>
                <w:tcPr>
                  <w:tcW w:w="1209" w:type="dxa"/>
                  <w:vMerge w:val="continue"/>
                  <w:tcBorders>
                    <w:tl2br w:val="nil"/>
                    <w:tr2bl w:val="nil"/>
                  </w:tcBorders>
                  <w:vAlign w:val="center"/>
                </w:tcPr>
                <w:p>
                  <w:pPr>
                    <w:pStyle w:val="2"/>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color w:val="auto"/>
                      <w:sz w:val="21"/>
                      <w:szCs w:val="21"/>
                      <w:vertAlign w:val="baseline"/>
                      <w:lang w:val="en-US" w:eastAsia="zh-CN"/>
                    </w:rPr>
                  </w:pPr>
                </w:p>
              </w:tc>
            </w:tr>
          </w:tbl>
          <w:p>
            <w:pPr>
              <w:pStyle w:val="2"/>
              <w:ind w:firstLine="480" w:firstLineChars="200"/>
              <w:rPr>
                <w:rFonts w:hint="default"/>
                <w:color w:val="auto"/>
                <w:sz w:val="24"/>
                <w:szCs w:val="24"/>
                <w:lang w:val="en-US" w:eastAsia="zh-CN"/>
              </w:rPr>
            </w:pPr>
            <w:r>
              <w:rPr>
                <w:rFonts w:hint="eastAsia"/>
                <w:color w:val="auto"/>
                <w:sz w:val="24"/>
                <w:szCs w:val="24"/>
                <w:lang w:val="en-US" w:eastAsia="zh-CN"/>
              </w:rPr>
              <w:t>由上表可见，废水处理设施处理能力可满足本项目建成后全厂废水处理需求。</w:t>
            </w:r>
          </w:p>
          <w:p>
            <w:pPr>
              <w:adjustRightInd w:val="0"/>
              <w:snapToGrid w:val="0"/>
              <w:spacing w:line="360" w:lineRule="auto"/>
              <w:ind w:left="105" w:leftChars="50" w:right="105" w:rightChars="5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本项目喷粉生产工艺废水主要污染因子为pH、COD、SS、石油类、LAS、氟化物。污水处理站对本项目废水的处理效果见下表：</w:t>
            </w:r>
          </w:p>
          <w:p>
            <w:pPr>
              <w:pStyle w:val="6"/>
              <w:numPr>
                <w:ilvl w:val="0"/>
                <w:numId w:val="16"/>
              </w:numPr>
              <w:adjustRightInd w:val="0"/>
              <w:snapToGrid w:val="0"/>
              <w:ind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污水处理设施各单元处理能力一览表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1"/>
              <w:gridCol w:w="8"/>
              <w:gridCol w:w="1691"/>
              <w:gridCol w:w="851"/>
              <w:gridCol w:w="992"/>
              <w:gridCol w:w="955"/>
              <w:gridCol w:w="1028"/>
              <w:gridCol w:w="771"/>
              <w:gridCol w:w="9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30" w:type="dxa"/>
                  <w:gridSpan w:val="3"/>
                  <w:tcBorders>
                    <w:tl2br w:val="nil"/>
                    <w:tr2bl w:val="nil"/>
                  </w:tcBorders>
                  <w:vAlign w:val="center"/>
                </w:tcPr>
                <w:p>
                  <w:pPr>
                    <w:widowControl/>
                    <w:adjustRightInd w:val="0"/>
                    <w:snapToGrid w:val="0"/>
                    <w:jc w:val="center"/>
                    <w:rPr>
                      <w:b/>
                      <w:bCs/>
                      <w:color w:val="auto"/>
                      <w:highlight w:val="none"/>
                    </w:rPr>
                  </w:pPr>
                  <w:r>
                    <w:rPr>
                      <w:rFonts w:hint="eastAsia"/>
                      <w:b/>
                      <w:bCs/>
                      <w:color w:val="auto"/>
                      <w:highlight w:val="none"/>
                    </w:rPr>
                    <w:t>处理单元</w:t>
                  </w:r>
                </w:p>
              </w:tc>
              <w:tc>
                <w:tcPr>
                  <w:tcW w:w="851" w:type="dxa"/>
                  <w:tcBorders>
                    <w:tl2br w:val="nil"/>
                    <w:tr2bl w:val="nil"/>
                  </w:tcBorders>
                  <w:vAlign w:val="center"/>
                </w:tcPr>
                <w:p>
                  <w:pPr>
                    <w:widowControl/>
                    <w:adjustRightInd w:val="0"/>
                    <w:snapToGrid w:val="0"/>
                    <w:jc w:val="center"/>
                    <w:rPr>
                      <w:b/>
                      <w:bCs/>
                      <w:color w:val="auto"/>
                      <w:highlight w:val="none"/>
                    </w:rPr>
                  </w:pPr>
                  <w:r>
                    <w:rPr>
                      <w:rFonts w:hint="eastAsia"/>
                      <w:b/>
                      <w:bCs/>
                      <w:color w:val="auto"/>
                      <w:highlight w:val="none"/>
                    </w:rPr>
                    <w:t>p</w:t>
                  </w:r>
                  <w:r>
                    <w:rPr>
                      <w:b/>
                      <w:bCs/>
                      <w:color w:val="auto"/>
                      <w:highlight w:val="none"/>
                    </w:rPr>
                    <w:t>H</w:t>
                  </w:r>
                </w:p>
              </w:tc>
              <w:tc>
                <w:tcPr>
                  <w:tcW w:w="992" w:type="dxa"/>
                  <w:tcBorders>
                    <w:tl2br w:val="nil"/>
                    <w:tr2bl w:val="nil"/>
                  </w:tcBorders>
                  <w:vAlign w:val="center"/>
                </w:tcPr>
                <w:p>
                  <w:pPr>
                    <w:adjustRightInd w:val="0"/>
                    <w:snapToGrid w:val="0"/>
                    <w:jc w:val="center"/>
                    <w:rPr>
                      <w:b/>
                      <w:bCs/>
                      <w:color w:val="auto"/>
                      <w:highlight w:val="none"/>
                    </w:rPr>
                  </w:pPr>
                  <w:r>
                    <w:rPr>
                      <w:rFonts w:hint="eastAsia"/>
                      <w:b/>
                      <w:bCs/>
                      <w:color w:val="auto"/>
                      <w:highlight w:val="none"/>
                    </w:rPr>
                    <w:t>COD</w:t>
                  </w:r>
                </w:p>
              </w:tc>
              <w:tc>
                <w:tcPr>
                  <w:tcW w:w="955" w:type="dxa"/>
                  <w:tcBorders>
                    <w:tl2br w:val="nil"/>
                    <w:tr2bl w:val="nil"/>
                  </w:tcBorders>
                  <w:vAlign w:val="center"/>
                </w:tcPr>
                <w:p>
                  <w:pPr>
                    <w:widowControl/>
                    <w:adjustRightInd w:val="0"/>
                    <w:snapToGrid w:val="0"/>
                    <w:jc w:val="center"/>
                    <w:rPr>
                      <w:b/>
                      <w:bCs/>
                      <w:color w:val="auto"/>
                      <w:highlight w:val="none"/>
                    </w:rPr>
                  </w:pPr>
                  <w:r>
                    <w:rPr>
                      <w:rFonts w:hint="eastAsia"/>
                      <w:b/>
                      <w:bCs/>
                      <w:color w:val="auto"/>
                      <w:highlight w:val="none"/>
                    </w:rPr>
                    <w:t>SS</w:t>
                  </w:r>
                </w:p>
              </w:tc>
              <w:tc>
                <w:tcPr>
                  <w:tcW w:w="1028" w:type="dxa"/>
                  <w:tcBorders>
                    <w:tl2br w:val="nil"/>
                    <w:tr2bl w:val="nil"/>
                  </w:tcBorders>
                  <w:vAlign w:val="center"/>
                </w:tcPr>
                <w:p>
                  <w:pPr>
                    <w:adjustRightInd w:val="0"/>
                    <w:snapToGrid w:val="0"/>
                    <w:jc w:val="center"/>
                    <w:rPr>
                      <w:b/>
                      <w:bCs/>
                      <w:color w:val="auto"/>
                      <w:highlight w:val="none"/>
                    </w:rPr>
                  </w:pPr>
                  <w:r>
                    <w:rPr>
                      <w:rFonts w:hint="eastAsia"/>
                      <w:b/>
                      <w:bCs/>
                      <w:color w:val="auto"/>
                      <w:highlight w:val="none"/>
                    </w:rPr>
                    <w:t>石油类</w:t>
                  </w:r>
                </w:p>
              </w:tc>
              <w:tc>
                <w:tcPr>
                  <w:tcW w:w="771" w:type="dxa"/>
                  <w:tcBorders>
                    <w:tl2br w:val="nil"/>
                    <w:tr2bl w:val="nil"/>
                  </w:tcBorders>
                  <w:vAlign w:val="center"/>
                </w:tcPr>
                <w:p>
                  <w:pPr>
                    <w:adjustRightInd w:val="0"/>
                    <w:snapToGrid w:val="0"/>
                    <w:jc w:val="center"/>
                    <w:rPr>
                      <w:b/>
                      <w:bCs/>
                      <w:color w:val="auto"/>
                      <w:highlight w:val="none"/>
                    </w:rPr>
                  </w:pPr>
                  <w:r>
                    <w:rPr>
                      <w:b/>
                      <w:bCs/>
                      <w:color w:val="auto"/>
                      <w:highlight w:val="none"/>
                    </w:rPr>
                    <w:t>LAS</w:t>
                  </w:r>
                </w:p>
              </w:tc>
              <w:tc>
                <w:tcPr>
                  <w:tcW w:w="927" w:type="dxa"/>
                  <w:tcBorders>
                    <w:tl2br w:val="nil"/>
                    <w:tr2bl w:val="nil"/>
                  </w:tcBorders>
                  <w:vAlign w:val="center"/>
                </w:tcPr>
                <w:p>
                  <w:pPr>
                    <w:adjustRightInd w:val="0"/>
                    <w:snapToGrid w:val="0"/>
                    <w:jc w:val="center"/>
                    <w:rPr>
                      <w:b/>
                      <w:bCs/>
                      <w:color w:val="auto"/>
                      <w:highlight w:val="none"/>
                    </w:rPr>
                  </w:pPr>
                  <w:r>
                    <w:rPr>
                      <w:rFonts w:hint="eastAsia"/>
                      <w:b/>
                      <w:bCs/>
                      <w:color w:val="auto"/>
                      <w:highlight w:val="none"/>
                    </w:rPr>
                    <w:t>氟化物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31" w:type="dxa"/>
                  <w:vMerge w:val="restart"/>
                  <w:tcBorders>
                    <w:tl2br w:val="nil"/>
                    <w:tr2bl w:val="nil"/>
                  </w:tcBorders>
                  <w:vAlign w:val="center"/>
                </w:tcPr>
                <w:p>
                  <w:pPr>
                    <w:jc w:val="center"/>
                    <w:rPr>
                      <w:color w:val="auto"/>
                      <w:highlight w:val="none"/>
                    </w:rPr>
                  </w:pPr>
                  <w:r>
                    <w:rPr>
                      <w:rFonts w:hint="eastAsia"/>
                      <w:color w:val="auto"/>
                      <w:highlight w:val="none"/>
                    </w:rPr>
                    <w:t>一元化</w:t>
                  </w:r>
                  <w:r>
                    <w:rPr>
                      <w:color w:val="auto"/>
                      <w:highlight w:val="none"/>
                    </w:rPr>
                    <w:t>气浮装置</w:t>
                  </w:r>
                </w:p>
              </w:tc>
              <w:tc>
                <w:tcPr>
                  <w:tcW w:w="1699" w:type="dxa"/>
                  <w:gridSpan w:val="2"/>
                  <w:tcBorders>
                    <w:tl2br w:val="nil"/>
                    <w:tr2bl w:val="nil"/>
                  </w:tcBorders>
                  <w:vAlign w:val="center"/>
                </w:tcPr>
                <w:p>
                  <w:pPr>
                    <w:jc w:val="center"/>
                    <w:rPr>
                      <w:color w:val="auto"/>
                      <w:highlight w:val="none"/>
                    </w:rPr>
                  </w:pPr>
                  <w:r>
                    <w:rPr>
                      <w:rFonts w:hint="eastAsia"/>
                      <w:color w:val="auto"/>
                      <w:highlight w:val="none"/>
                    </w:rPr>
                    <w:t>进水浓度(mg/L)</w:t>
                  </w:r>
                </w:p>
              </w:tc>
              <w:tc>
                <w:tcPr>
                  <w:tcW w:w="851" w:type="dxa"/>
                  <w:tcBorders>
                    <w:tl2br w:val="nil"/>
                    <w:tr2bl w:val="nil"/>
                  </w:tcBorders>
                  <w:vAlign w:val="center"/>
                </w:tcPr>
                <w:p>
                  <w:pPr>
                    <w:jc w:val="center"/>
                    <w:rPr>
                      <w:color w:val="auto"/>
                      <w:highlight w:val="none"/>
                    </w:rPr>
                  </w:pPr>
                  <w:r>
                    <w:rPr>
                      <w:rFonts w:hint="eastAsia"/>
                      <w:color w:val="auto"/>
                      <w:highlight w:val="none"/>
                    </w:rPr>
                    <w:t>5-9</w:t>
                  </w:r>
                </w:p>
              </w:tc>
              <w:tc>
                <w:tcPr>
                  <w:tcW w:w="992" w:type="dxa"/>
                  <w:tcBorders>
                    <w:tl2br w:val="nil"/>
                    <w:tr2bl w:val="nil"/>
                  </w:tcBorders>
                  <w:vAlign w:val="center"/>
                </w:tcPr>
                <w:p>
                  <w:pPr>
                    <w:jc w:val="center"/>
                    <w:rPr>
                      <w:color w:val="auto"/>
                      <w:highlight w:val="none"/>
                    </w:rPr>
                  </w:pPr>
                  <w:r>
                    <w:rPr>
                      <w:color w:val="auto"/>
                      <w:highlight w:val="none"/>
                    </w:rPr>
                    <w:t>＜1000</w:t>
                  </w:r>
                </w:p>
              </w:tc>
              <w:tc>
                <w:tcPr>
                  <w:tcW w:w="955" w:type="dxa"/>
                  <w:tcBorders>
                    <w:tl2br w:val="nil"/>
                    <w:tr2bl w:val="nil"/>
                  </w:tcBorders>
                  <w:vAlign w:val="center"/>
                </w:tcPr>
                <w:p>
                  <w:pPr>
                    <w:jc w:val="center"/>
                    <w:rPr>
                      <w:color w:val="auto"/>
                      <w:highlight w:val="none"/>
                    </w:rPr>
                  </w:pPr>
                  <w:r>
                    <w:rPr>
                      <w:color w:val="auto"/>
                      <w:highlight w:val="none"/>
                    </w:rPr>
                    <w:t>＜</w:t>
                  </w:r>
                  <w:r>
                    <w:rPr>
                      <w:rFonts w:hint="eastAsia"/>
                      <w:color w:val="auto"/>
                      <w:highlight w:val="none"/>
                    </w:rPr>
                    <w:t>5</w:t>
                  </w:r>
                  <w:r>
                    <w:rPr>
                      <w:color w:val="auto"/>
                      <w:highlight w:val="none"/>
                    </w:rPr>
                    <w:t>00</w:t>
                  </w:r>
                </w:p>
              </w:tc>
              <w:tc>
                <w:tcPr>
                  <w:tcW w:w="1028" w:type="dxa"/>
                  <w:tcBorders>
                    <w:tl2br w:val="nil"/>
                    <w:tr2bl w:val="nil"/>
                  </w:tcBorders>
                  <w:vAlign w:val="center"/>
                </w:tcPr>
                <w:p>
                  <w:pPr>
                    <w:jc w:val="center"/>
                    <w:rPr>
                      <w:color w:val="auto"/>
                      <w:highlight w:val="none"/>
                    </w:rPr>
                  </w:pPr>
                  <w:r>
                    <w:rPr>
                      <w:color w:val="auto"/>
                      <w:highlight w:val="none"/>
                    </w:rPr>
                    <w:t>＜</w:t>
                  </w:r>
                  <w:r>
                    <w:rPr>
                      <w:rFonts w:hint="eastAsia"/>
                      <w:color w:val="auto"/>
                      <w:highlight w:val="none"/>
                    </w:rPr>
                    <w:t>100</w:t>
                  </w:r>
                </w:p>
              </w:tc>
              <w:tc>
                <w:tcPr>
                  <w:tcW w:w="771" w:type="dxa"/>
                  <w:tcBorders>
                    <w:tl2br w:val="nil"/>
                    <w:tr2bl w:val="nil"/>
                  </w:tcBorders>
                  <w:vAlign w:val="center"/>
                </w:tcPr>
                <w:p>
                  <w:pPr>
                    <w:jc w:val="center"/>
                    <w:rPr>
                      <w:color w:val="auto"/>
                      <w:highlight w:val="none"/>
                    </w:rPr>
                  </w:pPr>
                  <w:r>
                    <w:rPr>
                      <w:color w:val="auto"/>
                      <w:highlight w:val="none"/>
                    </w:rPr>
                    <w:t>＜</w:t>
                  </w:r>
                  <w:r>
                    <w:rPr>
                      <w:rFonts w:hint="eastAsia"/>
                      <w:color w:val="auto"/>
                      <w:highlight w:val="none"/>
                    </w:rPr>
                    <w:t>50</w:t>
                  </w:r>
                </w:p>
              </w:tc>
              <w:tc>
                <w:tcPr>
                  <w:tcW w:w="927" w:type="dxa"/>
                  <w:tcBorders>
                    <w:tl2br w:val="nil"/>
                    <w:tr2bl w:val="nil"/>
                  </w:tcBorders>
                  <w:vAlign w:val="center"/>
                </w:tcPr>
                <w:p>
                  <w:pPr>
                    <w:jc w:val="center"/>
                    <w:rPr>
                      <w:color w:val="auto"/>
                      <w:highlight w:val="none"/>
                    </w:rPr>
                  </w:pPr>
                  <w:r>
                    <w:rPr>
                      <w:color w:val="auto"/>
                      <w:highlight w:val="none"/>
                    </w:rPr>
                    <w:t>＜</w:t>
                  </w:r>
                  <w:r>
                    <w:rPr>
                      <w:rFonts w:hint="eastAsia"/>
                      <w:color w:val="auto"/>
                      <w:highlight w:val="none"/>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31" w:type="dxa"/>
                  <w:vMerge w:val="continue"/>
                  <w:tcBorders>
                    <w:tl2br w:val="nil"/>
                    <w:tr2bl w:val="nil"/>
                  </w:tcBorders>
                  <w:vAlign w:val="center"/>
                </w:tcPr>
                <w:p>
                  <w:pPr>
                    <w:jc w:val="center"/>
                    <w:rPr>
                      <w:color w:val="auto"/>
                      <w:highlight w:val="none"/>
                    </w:rPr>
                  </w:pPr>
                </w:p>
              </w:tc>
              <w:tc>
                <w:tcPr>
                  <w:tcW w:w="1699" w:type="dxa"/>
                  <w:gridSpan w:val="2"/>
                  <w:tcBorders>
                    <w:tl2br w:val="nil"/>
                    <w:tr2bl w:val="nil"/>
                  </w:tcBorders>
                  <w:vAlign w:val="center"/>
                </w:tcPr>
                <w:p>
                  <w:pPr>
                    <w:jc w:val="center"/>
                    <w:rPr>
                      <w:color w:val="auto"/>
                      <w:highlight w:val="none"/>
                    </w:rPr>
                  </w:pPr>
                  <w:r>
                    <w:rPr>
                      <w:rFonts w:hint="eastAsia"/>
                      <w:color w:val="auto"/>
                      <w:highlight w:val="none"/>
                    </w:rPr>
                    <w:t>出水浓度(mg/L)</w:t>
                  </w:r>
                </w:p>
              </w:tc>
              <w:tc>
                <w:tcPr>
                  <w:tcW w:w="85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6.5-9</w:t>
                  </w:r>
                </w:p>
              </w:tc>
              <w:tc>
                <w:tcPr>
                  <w:tcW w:w="992"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955"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028"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77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927"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31" w:type="dxa"/>
                  <w:vMerge w:val="continue"/>
                  <w:tcBorders>
                    <w:tl2br w:val="nil"/>
                    <w:tr2bl w:val="nil"/>
                  </w:tcBorders>
                  <w:vAlign w:val="center"/>
                </w:tcPr>
                <w:p>
                  <w:pPr>
                    <w:jc w:val="center"/>
                    <w:rPr>
                      <w:color w:val="auto"/>
                      <w:highlight w:val="none"/>
                    </w:rPr>
                  </w:pPr>
                </w:p>
              </w:tc>
              <w:tc>
                <w:tcPr>
                  <w:tcW w:w="1699" w:type="dxa"/>
                  <w:gridSpan w:val="2"/>
                  <w:tcBorders>
                    <w:tl2br w:val="nil"/>
                    <w:tr2bl w:val="nil"/>
                  </w:tcBorders>
                  <w:vAlign w:val="center"/>
                </w:tcPr>
                <w:p>
                  <w:pPr>
                    <w:jc w:val="center"/>
                    <w:rPr>
                      <w:color w:val="auto"/>
                      <w:highlight w:val="none"/>
                    </w:rPr>
                  </w:pPr>
                  <w:r>
                    <w:rPr>
                      <w:rFonts w:hint="eastAsia"/>
                      <w:color w:val="auto"/>
                      <w:highlight w:val="none"/>
                    </w:rPr>
                    <w:t>处理效率</w:t>
                  </w:r>
                </w:p>
              </w:tc>
              <w:tc>
                <w:tcPr>
                  <w:tcW w:w="85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92"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955"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1028"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7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927"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31" w:type="dxa"/>
                  <w:vMerge w:val="restart"/>
                  <w:tcBorders>
                    <w:tl2br w:val="nil"/>
                    <w:tr2bl w:val="nil"/>
                  </w:tcBorders>
                  <w:vAlign w:val="center"/>
                </w:tcPr>
                <w:p>
                  <w:pPr>
                    <w:jc w:val="center"/>
                    <w:rPr>
                      <w:color w:val="auto"/>
                      <w:highlight w:val="none"/>
                    </w:rPr>
                  </w:pPr>
                  <w:r>
                    <w:rPr>
                      <w:rFonts w:hint="eastAsia"/>
                      <w:color w:val="auto"/>
                      <w:highlight w:val="none"/>
                    </w:rPr>
                    <w:t>砂滤系统</w:t>
                  </w:r>
                </w:p>
              </w:tc>
              <w:tc>
                <w:tcPr>
                  <w:tcW w:w="1699" w:type="dxa"/>
                  <w:gridSpan w:val="2"/>
                  <w:tcBorders>
                    <w:tl2br w:val="nil"/>
                    <w:tr2bl w:val="nil"/>
                  </w:tcBorders>
                  <w:vAlign w:val="center"/>
                </w:tcPr>
                <w:p>
                  <w:pPr>
                    <w:jc w:val="center"/>
                    <w:rPr>
                      <w:color w:val="auto"/>
                      <w:highlight w:val="none"/>
                    </w:rPr>
                  </w:pPr>
                  <w:r>
                    <w:rPr>
                      <w:rFonts w:hint="eastAsia"/>
                      <w:color w:val="auto"/>
                      <w:highlight w:val="none"/>
                    </w:rPr>
                    <w:t>进水浓度(mg/L)</w:t>
                  </w:r>
                </w:p>
              </w:tc>
              <w:tc>
                <w:tcPr>
                  <w:tcW w:w="85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6.5-9</w:t>
                  </w:r>
                </w:p>
              </w:tc>
              <w:tc>
                <w:tcPr>
                  <w:tcW w:w="992"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955"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1028"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77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927"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31" w:type="dxa"/>
                  <w:vMerge w:val="continue"/>
                  <w:tcBorders>
                    <w:tl2br w:val="nil"/>
                    <w:tr2bl w:val="nil"/>
                  </w:tcBorders>
                  <w:vAlign w:val="center"/>
                </w:tcPr>
                <w:p>
                  <w:pPr>
                    <w:jc w:val="center"/>
                    <w:rPr>
                      <w:color w:val="auto"/>
                      <w:highlight w:val="none"/>
                    </w:rPr>
                  </w:pPr>
                </w:p>
              </w:tc>
              <w:tc>
                <w:tcPr>
                  <w:tcW w:w="1699" w:type="dxa"/>
                  <w:gridSpan w:val="2"/>
                  <w:tcBorders>
                    <w:tl2br w:val="nil"/>
                    <w:tr2bl w:val="nil"/>
                  </w:tcBorders>
                  <w:vAlign w:val="center"/>
                </w:tcPr>
                <w:p>
                  <w:pPr>
                    <w:jc w:val="center"/>
                    <w:rPr>
                      <w:color w:val="auto"/>
                      <w:highlight w:val="none"/>
                    </w:rPr>
                  </w:pPr>
                  <w:r>
                    <w:rPr>
                      <w:rFonts w:hint="eastAsia"/>
                      <w:color w:val="auto"/>
                      <w:highlight w:val="none"/>
                    </w:rPr>
                    <w:t>出水浓度(mg/L)</w:t>
                  </w:r>
                </w:p>
              </w:tc>
              <w:tc>
                <w:tcPr>
                  <w:tcW w:w="85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6.5-9</w:t>
                  </w:r>
                </w:p>
              </w:tc>
              <w:tc>
                <w:tcPr>
                  <w:tcW w:w="992"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955"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1028"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77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927"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31" w:type="dxa"/>
                  <w:vMerge w:val="continue"/>
                  <w:tcBorders>
                    <w:tl2br w:val="nil"/>
                    <w:tr2bl w:val="nil"/>
                  </w:tcBorders>
                  <w:vAlign w:val="center"/>
                </w:tcPr>
                <w:p>
                  <w:pPr>
                    <w:jc w:val="center"/>
                    <w:rPr>
                      <w:color w:val="auto"/>
                      <w:highlight w:val="none"/>
                    </w:rPr>
                  </w:pPr>
                </w:p>
              </w:tc>
              <w:tc>
                <w:tcPr>
                  <w:tcW w:w="1699" w:type="dxa"/>
                  <w:gridSpan w:val="2"/>
                  <w:tcBorders>
                    <w:tl2br w:val="nil"/>
                    <w:tr2bl w:val="nil"/>
                  </w:tcBorders>
                  <w:vAlign w:val="center"/>
                </w:tcPr>
                <w:p>
                  <w:pPr>
                    <w:jc w:val="center"/>
                    <w:rPr>
                      <w:color w:val="auto"/>
                      <w:highlight w:val="none"/>
                    </w:rPr>
                  </w:pPr>
                  <w:r>
                    <w:rPr>
                      <w:rFonts w:hint="eastAsia"/>
                      <w:color w:val="auto"/>
                      <w:highlight w:val="none"/>
                    </w:rPr>
                    <w:t>处理效率</w:t>
                  </w:r>
                </w:p>
              </w:tc>
              <w:tc>
                <w:tcPr>
                  <w:tcW w:w="851" w:type="dxa"/>
                  <w:tcBorders>
                    <w:tl2br w:val="nil"/>
                    <w:tr2bl w:val="nil"/>
                  </w:tcBorders>
                  <w:vAlign w:val="center"/>
                </w:tcPr>
                <w:p>
                  <w:pPr>
                    <w:jc w:val="center"/>
                    <w:rPr>
                      <w:color w:val="auto"/>
                      <w:highlight w:val="none"/>
                    </w:rPr>
                  </w:pPr>
                </w:p>
              </w:tc>
              <w:tc>
                <w:tcPr>
                  <w:tcW w:w="992"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955"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65%</w:t>
                  </w:r>
                </w:p>
              </w:tc>
              <w:tc>
                <w:tcPr>
                  <w:tcW w:w="1028"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7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927"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931" w:type="dxa"/>
                  <w:vMerge w:val="restart"/>
                  <w:tcBorders>
                    <w:tl2br w:val="nil"/>
                    <w:tr2bl w:val="nil"/>
                  </w:tcBorders>
                  <w:vAlign w:val="center"/>
                </w:tcPr>
                <w:p>
                  <w:pPr>
                    <w:jc w:val="center"/>
                    <w:rPr>
                      <w:color w:val="auto"/>
                      <w:highlight w:val="none"/>
                    </w:rPr>
                  </w:pPr>
                  <w:r>
                    <w:rPr>
                      <w:rFonts w:hint="eastAsia"/>
                      <w:color w:val="auto"/>
                      <w:highlight w:val="none"/>
                    </w:rPr>
                    <w:t>U</w:t>
                  </w:r>
                  <w:r>
                    <w:rPr>
                      <w:color w:val="auto"/>
                      <w:highlight w:val="none"/>
                    </w:rPr>
                    <w:t>F</w:t>
                  </w:r>
                  <w:r>
                    <w:rPr>
                      <w:rFonts w:hint="eastAsia"/>
                      <w:color w:val="auto"/>
                      <w:highlight w:val="none"/>
                    </w:rPr>
                    <w:t>、R</w:t>
                  </w:r>
                  <w:r>
                    <w:rPr>
                      <w:color w:val="auto"/>
                      <w:highlight w:val="none"/>
                    </w:rPr>
                    <w:t>O</w:t>
                  </w:r>
                  <w:r>
                    <w:rPr>
                      <w:rFonts w:hint="eastAsia"/>
                      <w:color w:val="auto"/>
                      <w:highlight w:val="none"/>
                    </w:rPr>
                    <w:t>系统</w:t>
                  </w:r>
                </w:p>
              </w:tc>
              <w:tc>
                <w:tcPr>
                  <w:tcW w:w="1699" w:type="dxa"/>
                  <w:gridSpan w:val="2"/>
                  <w:tcBorders>
                    <w:tl2br w:val="nil"/>
                    <w:tr2bl w:val="nil"/>
                  </w:tcBorders>
                  <w:vAlign w:val="center"/>
                </w:tcPr>
                <w:p>
                  <w:pPr>
                    <w:jc w:val="center"/>
                    <w:rPr>
                      <w:color w:val="auto"/>
                      <w:highlight w:val="none"/>
                    </w:rPr>
                  </w:pPr>
                  <w:r>
                    <w:rPr>
                      <w:rFonts w:hint="eastAsia"/>
                      <w:color w:val="auto"/>
                      <w:highlight w:val="none"/>
                    </w:rPr>
                    <w:t>进水浓度(mg/L)</w:t>
                  </w:r>
                </w:p>
              </w:tc>
              <w:tc>
                <w:tcPr>
                  <w:tcW w:w="85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6.5-9</w:t>
                  </w:r>
                </w:p>
              </w:tc>
              <w:tc>
                <w:tcPr>
                  <w:tcW w:w="992"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955"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1028"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77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927"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31" w:type="dxa"/>
                  <w:vMerge w:val="continue"/>
                  <w:tcBorders>
                    <w:tl2br w:val="nil"/>
                    <w:tr2bl w:val="nil"/>
                  </w:tcBorders>
                  <w:vAlign w:val="center"/>
                </w:tcPr>
                <w:p>
                  <w:pPr>
                    <w:jc w:val="center"/>
                    <w:rPr>
                      <w:color w:val="auto"/>
                      <w:highlight w:val="none"/>
                    </w:rPr>
                  </w:pPr>
                </w:p>
              </w:tc>
              <w:tc>
                <w:tcPr>
                  <w:tcW w:w="1699" w:type="dxa"/>
                  <w:gridSpan w:val="2"/>
                  <w:tcBorders>
                    <w:tl2br w:val="nil"/>
                    <w:tr2bl w:val="nil"/>
                  </w:tcBorders>
                  <w:vAlign w:val="center"/>
                </w:tcPr>
                <w:p>
                  <w:pPr>
                    <w:jc w:val="center"/>
                    <w:rPr>
                      <w:color w:val="auto"/>
                      <w:highlight w:val="none"/>
                    </w:rPr>
                  </w:pPr>
                  <w:r>
                    <w:rPr>
                      <w:rFonts w:hint="eastAsia"/>
                      <w:color w:val="auto"/>
                      <w:highlight w:val="none"/>
                    </w:rPr>
                    <w:t>出水浓度(mg/L)</w:t>
                  </w:r>
                </w:p>
              </w:tc>
              <w:tc>
                <w:tcPr>
                  <w:tcW w:w="85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6.5-9</w:t>
                  </w:r>
                </w:p>
              </w:tc>
              <w:tc>
                <w:tcPr>
                  <w:tcW w:w="992"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u w:val="none"/>
                      <w:lang w:val="en-US" w:eastAsia="zh-CN" w:bidi="ar"/>
                    </w:rPr>
                    <w:t>52</w:t>
                  </w:r>
                </w:p>
              </w:tc>
              <w:tc>
                <w:tcPr>
                  <w:tcW w:w="955"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u w:val="none"/>
                      <w:lang w:val="en-US" w:eastAsia="zh-CN" w:bidi="ar"/>
                    </w:rPr>
                    <w:t>29</w:t>
                  </w:r>
                </w:p>
              </w:tc>
              <w:tc>
                <w:tcPr>
                  <w:tcW w:w="1028"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u w:val="none"/>
                      <w:lang w:val="en-US" w:eastAsia="zh-CN" w:bidi="ar"/>
                    </w:rPr>
                    <w:t>0.9</w:t>
                  </w:r>
                </w:p>
              </w:tc>
              <w:tc>
                <w:tcPr>
                  <w:tcW w:w="77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0.4</w:t>
                  </w:r>
                </w:p>
              </w:tc>
              <w:tc>
                <w:tcPr>
                  <w:tcW w:w="927"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31" w:type="dxa"/>
                  <w:vMerge w:val="continue"/>
                  <w:tcBorders>
                    <w:tl2br w:val="nil"/>
                    <w:tr2bl w:val="nil"/>
                  </w:tcBorders>
                  <w:vAlign w:val="center"/>
                </w:tcPr>
                <w:p>
                  <w:pPr>
                    <w:jc w:val="center"/>
                    <w:rPr>
                      <w:color w:val="auto"/>
                      <w:highlight w:val="none"/>
                    </w:rPr>
                  </w:pPr>
                </w:p>
              </w:tc>
              <w:tc>
                <w:tcPr>
                  <w:tcW w:w="1699" w:type="dxa"/>
                  <w:gridSpan w:val="2"/>
                  <w:tcBorders>
                    <w:tl2br w:val="nil"/>
                    <w:tr2bl w:val="nil"/>
                  </w:tcBorders>
                  <w:vAlign w:val="center"/>
                </w:tcPr>
                <w:p>
                  <w:pPr>
                    <w:jc w:val="center"/>
                    <w:rPr>
                      <w:color w:val="auto"/>
                      <w:highlight w:val="none"/>
                    </w:rPr>
                  </w:pPr>
                  <w:r>
                    <w:rPr>
                      <w:rFonts w:hint="eastAsia"/>
                      <w:color w:val="auto"/>
                      <w:highlight w:val="none"/>
                    </w:rPr>
                    <w:t>处理效率</w:t>
                  </w:r>
                </w:p>
              </w:tc>
              <w:tc>
                <w:tcPr>
                  <w:tcW w:w="85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92"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65%</w:t>
                  </w:r>
                </w:p>
              </w:tc>
              <w:tc>
                <w:tcPr>
                  <w:tcW w:w="955"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59%</w:t>
                  </w:r>
                </w:p>
              </w:tc>
              <w:tc>
                <w:tcPr>
                  <w:tcW w:w="1028"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78%</w:t>
                  </w:r>
                </w:p>
              </w:tc>
              <w:tc>
                <w:tcPr>
                  <w:tcW w:w="77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87%</w:t>
                  </w:r>
                </w:p>
              </w:tc>
              <w:tc>
                <w:tcPr>
                  <w:tcW w:w="927"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30" w:type="dxa"/>
                  <w:gridSpan w:val="3"/>
                  <w:tcBorders>
                    <w:tl2br w:val="nil"/>
                    <w:tr2bl w:val="nil"/>
                  </w:tcBorders>
                  <w:shd w:val="clear" w:color="auto" w:fill="auto"/>
                  <w:vAlign w:val="center"/>
                </w:tcPr>
                <w:p>
                  <w:pPr>
                    <w:jc w:val="center"/>
                    <w:rPr>
                      <w:color w:val="auto"/>
                      <w:highlight w:val="none"/>
                    </w:rPr>
                  </w:pPr>
                  <w:r>
                    <w:rPr>
                      <w:rFonts w:hint="eastAsia"/>
                      <w:color w:val="auto"/>
                      <w:highlight w:val="none"/>
                    </w:rPr>
                    <w:t>RO出水浓度(mg/L)</w:t>
                  </w:r>
                </w:p>
              </w:tc>
              <w:tc>
                <w:tcPr>
                  <w:tcW w:w="85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6.5-9</w:t>
                  </w:r>
                </w:p>
              </w:tc>
              <w:tc>
                <w:tcPr>
                  <w:tcW w:w="992"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u w:val="none"/>
                      <w:lang w:val="en-US" w:eastAsia="zh-CN" w:bidi="ar"/>
                    </w:rPr>
                    <w:t>52</w:t>
                  </w:r>
                </w:p>
              </w:tc>
              <w:tc>
                <w:tcPr>
                  <w:tcW w:w="955"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u w:val="none"/>
                      <w:lang w:val="en-US" w:eastAsia="zh-CN" w:bidi="ar"/>
                    </w:rPr>
                    <w:t>29</w:t>
                  </w:r>
                </w:p>
              </w:tc>
              <w:tc>
                <w:tcPr>
                  <w:tcW w:w="1028"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u w:val="none"/>
                      <w:lang w:val="en-US" w:eastAsia="zh-CN" w:bidi="ar"/>
                    </w:rPr>
                    <w:t>0.9</w:t>
                  </w:r>
                </w:p>
              </w:tc>
              <w:tc>
                <w:tcPr>
                  <w:tcW w:w="77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u w:val="none"/>
                      <w:lang w:val="en-US" w:eastAsia="zh-CN" w:bidi="ar"/>
                    </w:rPr>
                    <w:t>0.4</w:t>
                  </w:r>
                </w:p>
              </w:tc>
              <w:tc>
                <w:tcPr>
                  <w:tcW w:w="927"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u w:val="none"/>
                      <w:lang w:val="en-US" w:eastAsia="zh-CN" w:bidi="ar"/>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39" w:type="dxa"/>
                  <w:gridSpan w:val="2"/>
                  <w:vMerge w:val="restart"/>
                  <w:tcBorders>
                    <w:tl2br w:val="nil"/>
                    <w:tr2bl w:val="nil"/>
                  </w:tcBorders>
                  <w:shd w:val="clear" w:color="auto" w:fill="auto"/>
                  <w:vAlign w:val="center"/>
                </w:tcPr>
                <w:p>
                  <w:pPr>
                    <w:jc w:val="center"/>
                    <w:rPr>
                      <w:color w:val="auto"/>
                      <w:highlight w:val="none"/>
                    </w:rPr>
                  </w:pPr>
                  <w:r>
                    <w:rPr>
                      <w:rFonts w:hint="eastAsia"/>
                      <w:color w:val="auto"/>
                      <w:highlight w:val="none"/>
                    </w:rPr>
                    <w:t>浓缩液蒸发装置</w:t>
                  </w:r>
                </w:p>
              </w:tc>
              <w:tc>
                <w:tcPr>
                  <w:tcW w:w="1691" w:type="dxa"/>
                  <w:tcBorders>
                    <w:tl2br w:val="nil"/>
                    <w:tr2bl w:val="nil"/>
                  </w:tcBorders>
                  <w:shd w:val="clear" w:color="auto" w:fill="auto"/>
                  <w:vAlign w:val="center"/>
                </w:tcPr>
                <w:p>
                  <w:pPr>
                    <w:jc w:val="center"/>
                    <w:rPr>
                      <w:color w:val="auto"/>
                      <w:highlight w:val="none"/>
                    </w:rPr>
                  </w:pPr>
                  <w:r>
                    <w:rPr>
                      <w:rFonts w:hint="eastAsia"/>
                      <w:color w:val="auto"/>
                      <w:highlight w:val="none"/>
                    </w:rPr>
                    <w:t>进水浓度(mg/L)</w:t>
                  </w:r>
                </w:p>
              </w:tc>
              <w:tc>
                <w:tcPr>
                  <w:tcW w:w="85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6.5-9</w:t>
                  </w:r>
                </w:p>
              </w:tc>
              <w:tc>
                <w:tcPr>
                  <w:tcW w:w="992" w:type="dxa"/>
                  <w:tcBorders>
                    <w:tl2br w:val="nil"/>
                    <w:tr2bl w:val="nil"/>
                  </w:tcBorders>
                  <w:vAlign w:val="center"/>
                </w:tcPr>
                <w:p>
                  <w:pPr>
                    <w:keepNext w:val="0"/>
                    <w:keepLines w:val="0"/>
                    <w:widowControl/>
                    <w:suppressLineNumbers w:val="0"/>
                    <w:jc w:val="center"/>
                    <w:textAlignment w:val="center"/>
                    <w:rPr>
                      <w:rFonts w:hint="default"/>
                      <w:color w:val="auto"/>
                      <w:highlight w:val="none"/>
                      <w:lang w:val="en-US"/>
                    </w:rPr>
                  </w:pPr>
                  <w:r>
                    <w:rPr>
                      <w:rFonts w:hint="eastAsia" w:cs="Times New Roman"/>
                      <w:i w:val="0"/>
                      <w:iCs w:val="0"/>
                      <w:color w:val="auto"/>
                      <w:kern w:val="0"/>
                      <w:sz w:val="21"/>
                      <w:szCs w:val="21"/>
                      <w:u w:val="none"/>
                      <w:lang w:val="en-US" w:eastAsia="zh-CN" w:bidi="ar"/>
                    </w:rPr>
                    <w:t>302</w:t>
                  </w:r>
                </w:p>
              </w:tc>
              <w:tc>
                <w:tcPr>
                  <w:tcW w:w="955" w:type="dxa"/>
                  <w:tcBorders>
                    <w:tl2br w:val="nil"/>
                    <w:tr2bl w:val="nil"/>
                  </w:tcBorders>
                  <w:vAlign w:val="center"/>
                </w:tcPr>
                <w:p>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134</w:t>
                  </w:r>
                </w:p>
              </w:tc>
              <w:tc>
                <w:tcPr>
                  <w:tcW w:w="1028" w:type="dxa"/>
                  <w:tcBorders>
                    <w:tl2br w:val="nil"/>
                    <w:tr2bl w:val="nil"/>
                  </w:tcBorders>
                  <w:vAlign w:val="center"/>
                </w:tcPr>
                <w:p>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9</w:t>
                  </w:r>
                </w:p>
              </w:tc>
              <w:tc>
                <w:tcPr>
                  <w:tcW w:w="771" w:type="dxa"/>
                  <w:tcBorders>
                    <w:tl2br w:val="nil"/>
                    <w:tr2bl w:val="nil"/>
                  </w:tcBorders>
                  <w:vAlign w:val="center"/>
                </w:tcPr>
                <w:p>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7</w:t>
                  </w:r>
                </w:p>
              </w:tc>
              <w:tc>
                <w:tcPr>
                  <w:tcW w:w="927" w:type="dxa"/>
                  <w:tcBorders>
                    <w:tl2br w:val="nil"/>
                    <w:tr2bl w:val="nil"/>
                  </w:tcBorders>
                  <w:vAlign w:val="center"/>
                </w:tcPr>
                <w:p>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133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39" w:type="dxa"/>
                  <w:gridSpan w:val="2"/>
                  <w:vMerge w:val="continue"/>
                  <w:tcBorders>
                    <w:tl2br w:val="nil"/>
                    <w:tr2bl w:val="nil"/>
                  </w:tcBorders>
                  <w:shd w:val="clear" w:color="auto" w:fill="auto"/>
                  <w:vAlign w:val="center"/>
                </w:tcPr>
                <w:p>
                  <w:pPr>
                    <w:jc w:val="center"/>
                    <w:rPr>
                      <w:color w:val="auto"/>
                      <w:highlight w:val="none"/>
                    </w:rPr>
                  </w:pPr>
                </w:p>
              </w:tc>
              <w:tc>
                <w:tcPr>
                  <w:tcW w:w="1691" w:type="dxa"/>
                  <w:tcBorders>
                    <w:tl2br w:val="nil"/>
                    <w:tr2bl w:val="nil"/>
                  </w:tcBorders>
                  <w:shd w:val="clear" w:color="auto" w:fill="auto"/>
                  <w:vAlign w:val="center"/>
                </w:tcPr>
                <w:p>
                  <w:pPr>
                    <w:jc w:val="center"/>
                    <w:rPr>
                      <w:color w:val="auto"/>
                      <w:highlight w:val="none"/>
                    </w:rPr>
                  </w:pPr>
                  <w:r>
                    <w:rPr>
                      <w:rFonts w:hint="eastAsia"/>
                      <w:color w:val="auto"/>
                      <w:highlight w:val="none"/>
                    </w:rPr>
                    <w:t>出水浓度(mg/L)</w:t>
                  </w:r>
                </w:p>
              </w:tc>
              <w:tc>
                <w:tcPr>
                  <w:tcW w:w="85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6.5-9</w:t>
                  </w:r>
                </w:p>
              </w:tc>
              <w:tc>
                <w:tcPr>
                  <w:tcW w:w="992" w:type="dxa"/>
                  <w:tcBorders>
                    <w:tl2br w:val="nil"/>
                    <w:tr2bl w:val="nil"/>
                  </w:tcBorders>
                  <w:vAlign w:val="center"/>
                </w:tcPr>
                <w:p>
                  <w:pPr>
                    <w:keepNext w:val="0"/>
                    <w:keepLines w:val="0"/>
                    <w:widowControl/>
                    <w:suppressLineNumbers w:val="0"/>
                    <w:jc w:val="center"/>
                    <w:textAlignment w:val="center"/>
                    <w:rPr>
                      <w:rFonts w:hint="default" w:eastAsia="宋体"/>
                      <w:color w:val="auto"/>
                      <w:highlight w:val="none"/>
                      <w:lang w:val="en-US" w:eastAsia="zh-CN"/>
                    </w:rPr>
                  </w:pPr>
                  <w:r>
                    <w:rPr>
                      <w:rFonts w:hint="eastAsia" w:cs="Times New Roman"/>
                      <w:i w:val="0"/>
                      <w:iCs w:val="0"/>
                      <w:color w:val="auto"/>
                      <w:kern w:val="0"/>
                      <w:sz w:val="21"/>
                      <w:szCs w:val="21"/>
                      <w:u w:val="none"/>
                      <w:lang w:val="en-US" w:eastAsia="zh-CN" w:bidi="ar"/>
                    </w:rPr>
                    <w:t>55</w:t>
                  </w:r>
                </w:p>
              </w:tc>
              <w:tc>
                <w:tcPr>
                  <w:tcW w:w="955" w:type="dxa"/>
                  <w:tcBorders>
                    <w:tl2br w:val="nil"/>
                    <w:tr2bl w:val="nil"/>
                  </w:tcBorders>
                  <w:vAlign w:val="center"/>
                </w:tcPr>
                <w:p>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29</w:t>
                  </w:r>
                </w:p>
              </w:tc>
              <w:tc>
                <w:tcPr>
                  <w:tcW w:w="1028" w:type="dxa"/>
                  <w:tcBorders>
                    <w:tl2br w:val="nil"/>
                    <w:tr2bl w:val="nil"/>
                  </w:tcBorders>
                  <w:vAlign w:val="center"/>
                </w:tcPr>
                <w:p>
                  <w:pPr>
                    <w:widowControl/>
                    <w:jc w:val="center"/>
                    <w:textAlignment w:val="center"/>
                    <w:rPr>
                      <w:rFonts w:hint="default" w:eastAsia="宋体"/>
                      <w:color w:val="auto"/>
                      <w:highlight w:val="none"/>
                      <w:lang w:val="en-US" w:eastAsia="zh-CN"/>
                    </w:rPr>
                  </w:pPr>
                  <w:r>
                    <w:rPr>
                      <w:rFonts w:hint="eastAsia"/>
                      <w:color w:val="auto"/>
                      <w:highlight w:val="none"/>
                      <w:lang w:val="en-US" w:eastAsia="zh-CN"/>
                    </w:rPr>
                    <w:t>0.9</w:t>
                  </w:r>
                </w:p>
              </w:tc>
              <w:tc>
                <w:tcPr>
                  <w:tcW w:w="771" w:type="dxa"/>
                  <w:tcBorders>
                    <w:tl2br w:val="nil"/>
                    <w:tr2bl w:val="nil"/>
                  </w:tcBorders>
                  <w:vAlign w:val="center"/>
                </w:tcPr>
                <w:p>
                  <w:pPr>
                    <w:widowControl/>
                    <w:jc w:val="center"/>
                    <w:textAlignment w:val="center"/>
                    <w:rPr>
                      <w:rFonts w:hint="eastAsia" w:eastAsia="宋体"/>
                      <w:color w:val="auto"/>
                      <w:highlight w:val="none"/>
                      <w:lang w:eastAsia="zh-CN"/>
                    </w:rPr>
                  </w:pPr>
                  <w:r>
                    <w:rPr>
                      <w:rFonts w:hint="eastAsia"/>
                      <w:color w:val="auto"/>
                      <w:highlight w:val="none"/>
                    </w:rPr>
                    <w:t>0.</w:t>
                  </w:r>
                  <w:r>
                    <w:rPr>
                      <w:rFonts w:hint="eastAsia"/>
                      <w:color w:val="auto"/>
                      <w:highlight w:val="none"/>
                      <w:lang w:val="en-US" w:eastAsia="zh-CN"/>
                    </w:rPr>
                    <w:t>4</w:t>
                  </w:r>
                </w:p>
              </w:tc>
              <w:tc>
                <w:tcPr>
                  <w:tcW w:w="927" w:type="dxa"/>
                  <w:tcBorders>
                    <w:tl2br w:val="nil"/>
                    <w:tr2bl w:val="nil"/>
                  </w:tcBorders>
                  <w:vAlign w:val="center"/>
                </w:tcPr>
                <w:p>
                  <w:pPr>
                    <w:widowControl/>
                    <w:jc w:val="center"/>
                    <w:textAlignment w:val="center"/>
                    <w:rPr>
                      <w:color w:val="auto"/>
                      <w:highlight w:val="none"/>
                    </w:rPr>
                  </w:pPr>
                  <w:r>
                    <w:rPr>
                      <w:rFonts w:hint="eastAsia"/>
                      <w:color w:val="auto"/>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939" w:type="dxa"/>
                  <w:gridSpan w:val="2"/>
                  <w:vMerge w:val="continue"/>
                  <w:tcBorders>
                    <w:tl2br w:val="nil"/>
                    <w:tr2bl w:val="nil"/>
                  </w:tcBorders>
                  <w:shd w:val="clear" w:color="auto" w:fill="auto"/>
                  <w:vAlign w:val="center"/>
                </w:tcPr>
                <w:p>
                  <w:pPr>
                    <w:jc w:val="center"/>
                    <w:rPr>
                      <w:color w:val="auto"/>
                      <w:highlight w:val="none"/>
                    </w:rPr>
                  </w:pPr>
                </w:p>
              </w:tc>
              <w:tc>
                <w:tcPr>
                  <w:tcW w:w="1691" w:type="dxa"/>
                  <w:tcBorders>
                    <w:tl2br w:val="nil"/>
                    <w:tr2bl w:val="nil"/>
                  </w:tcBorders>
                  <w:shd w:val="clear" w:color="auto" w:fill="auto"/>
                  <w:vAlign w:val="center"/>
                </w:tcPr>
                <w:p>
                  <w:pPr>
                    <w:jc w:val="center"/>
                    <w:rPr>
                      <w:color w:val="auto"/>
                      <w:highlight w:val="none"/>
                    </w:rPr>
                  </w:pPr>
                  <w:r>
                    <w:rPr>
                      <w:rFonts w:hint="eastAsia"/>
                      <w:color w:val="auto"/>
                      <w:highlight w:val="none"/>
                    </w:rPr>
                    <w:t>处理效率</w:t>
                  </w:r>
                </w:p>
              </w:tc>
              <w:tc>
                <w:tcPr>
                  <w:tcW w:w="85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92" w:type="dxa"/>
                  <w:tcBorders>
                    <w:tl2br w:val="nil"/>
                    <w:tr2bl w:val="nil"/>
                  </w:tcBorders>
                  <w:vAlign w:val="center"/>
                </w:tcPr>
                <w:p>
                  <w:pPr>
                    <w:jc w:val="center"/>
                    <w:rPr>
                      <w:color w:val="auto"/>
                      <w:highlight w:val="none"/>
                    </w:rPr>
                  </w:pPr>
                  <w:r>
                    <w:rPr>
                      <w:rFonts w:hint="eastAsia"/>
                      <w:color w:val="auto"/>
                      <w:highlight w:val="none"/>
                      <w:lang w:val="en-US" w:eastAsia="zh-CN"/>
                    </w:rPr>
                    <w:t>80</w:t>
                  </w:r>
                  <w:r>
                    <w:rPr>
                      <w:rFonts w:hint="eastAsia"/>
                      <w:color w:val="auto"/>
                      <w:highlight w:val="none"/>
                    </w:rPr>
                    <w:t>%</w:t>
                  </w:r>
                </w:p>
              </w:tc>
              <w:tc>
                <w:tcPr>
                  <w:tcW w:w="955" w:type="dxa"/>
                  <w:tcBorders>
                    <w:tl2br w:val="nil"/>
                    <w:tr2bl w:val="nil"/>
                  </w:tcBorders>
                  <w:vAlign w:val="center"/>
                </w:tcPr>
                <w:p>
                  <w:pPr>
                    <w:jc w:val="center"/>
                    <w:rPr>
                      <w:color w:val="auto"/>
                      <w:highlight w:val="none"/>
                    </w:rPr>
                  </w:pPr>
                  <w:r>
                    <w:rPr>
                      <w:rFonts w:hint="eastAsia"/>
                      <w:color w:val="auto"/>
                      <w:highlight w:val="none"/>
                      <w:lang w:val="en-US" w:eastAsia="zh-CN"/>
                    </w:rPr>
                    <w:t>80</w:t>
                  </w:r>
                  <w:r>
                    <w:rPr>
                      <w:rFonts w:hint="eastAsia"/>
                      <w:color w:val="auto"/>
                      <w:highlight w:val="none"/>
                    </w:rPr>
                    <w:t>%</w:t>
                  </w:r>
                </w:p>
              </w:tc>
              <w:tc>
                <w:tcPr>
                  <w:tcW w:w="1028" w:type="dxa"/>
                  <w:tcBorders>
                    <w:tl2br w:val="nil"/>
                    <w:tr2bl w:val="nil"/>
                  </w:tcBorders>
                  <w:vAlign w:val="center"/>
                </w:tcPr>
                <w:p>
                  <w:pPr>
                    <w:jc w:val="center"/>
                    <w:rPr>
                      <w:rFonts w:hint="default"/>
                      <w:color w:val="auto"/>
                      <w:highlight w:val="none"/>
                      <w:lang w:val="en-US"/>
                    </w:rPr>
                  </w:pPr>
                  <w:r>
                    <w:rPr>
                      <w:color w:val="auto"/>
                    </w:rPr>
                    <w:commentReference w:id="29"/>
                  </w:r>
                  <w:r>
                    <w:rPr>
                      <w:rFonts w:hint="eastAsia"/>
                      <w:color w:val="auto"/>
                      <w:lang w:val="en-US" w:eastAsia="zh-CN"/>
                    </w:rPr>
                    <w:t>90</w:t>
                  </w:r>
                  <w:r>
                    <w:rPr>
                      <w:rFonts w:hint="eastAsia"/>
                      <w:color w:val="auto"/>
                      <w:highlight w:val="none"/>
                      <w:lang w:val="en-US" w:eastAsia="zh-CN"/>
                    </w:rPr>
                    <w:t>%</w:t>
                  </w:r>
                </w:p>
              </w:tc>
              <w:tc>
                <w:tcPr>
                  <w:tcW w:w="771" w:type="dxa"/>
                  <w:tcBorders>
                    <w:tl2br w:val="nil"/>
                    <w:tr2bl w:val="nil"/>
                  </w:tcBorders>
                  <w:vAlign w:val="center"/>
                </w:tcPr>
                <w:p>
                  <w:pPr>
                    <w:jc w:val="center"/>
                    <w:rPr>
                      <w:rFonts w:hint="default" w:eastAsia="宋体"/>
                      <w:color w:val="auto"/>
                      <w:highlight w:val="none"/>
                      <w:lang w:val="en-US" w:eastAsia="zh-CN"/>
                    </w:rPr>
                  </w:pPr>
                  <w:r>
                    <w:rPr>
                      <w:rFonts w:hint="eastAsia"/>
                      <w:color w:val="auto"/>
                      <w:highlight w:val="none"/>
                      <w:lang w:val="en-US" w:eastAsia="zh-CN"/>
                    </w:rPr>
                    <w:t>94%</w:t>
                  </w:r>
                </w:p>
              </w:tc>
              <w:tc>
                <w:tcPr>
                  <w:tcW w:w="927" w:type="dxa"/>
                  <w:tcBorders>
                    <w:tl2br w:val="nil"/>
                    <w:tr2bl w:val="nil"/>
                  </w:tcBorders>
                  <w:vAlign w:val="center"/>
                </w:tcPr>
                <w:p>
                  <w:pPr>
                    <w:jc w:val="center"/>
                    <w:rPr>
                      <w:rFonts w:hint="default" w:eastAsia="宋体"/>
                      <w:color w:val="auto"/>
                      <w:highlight w:val="none"/>
                      <w:lang w:val="en-US" w:eastAsia="zh-CN"/>
                    </w:rPr>
                  </w:pPr>
                  <w:r>
                    <w:rPr>
                      <w:rFonts w:hint="eastAsia"/>
                      <w:color w:val="auto"/>
                      <w:highlight w:val="none"/>
                      <w:lang w:val="en-US" w:eastAsia="zh-CN"/>
                    </w:rPr>
                    <w:t>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630" w:type="dxa"/>
                  <w:gridSpan w:val="3"/>
                  <w:tcBorders>
                    <w:tl2br w:val="nil"/>
                    <w:tr2bl w:val="nil"/>
                  </w:tcBorders>
                  <w:vAlign w:val="center"/>
                </w:tcPr>
                <w:p>
                  <w:pPr>
                    <w:jc w:val="center"/>
                    <w:rPr>
                      <w:color w:val="auto"/>
                      <w:highlight w:val="none"/>
                    </w:rPr>
                  </w:pPr>
                  <w:r>
                    <w:rPr>
                      <w:rFonts w:hint="eastAsia"/>
                      <w:color w:val="auto"/>
                      <w:highlight w:val="none"/>
                    </w:rPr>
                    <w:t>《城市污水再生利用  工业用水水质》（</w:t>
                  </w:r>
                  <w:r>
                    <w:rPr>
                      <w:color w:val="auto"/>
                      <w:highlight w:val="none"/>
                    </w:rPr>
                    <w:t>GB/T 19923-2005</w:t>
                  </w:r>
                  <w:r>
                    <w:rPr>
                      <w:rFonts w:hint="eastAsia"/>
                      <w:color w:val="auto"/>
                      <w:highlight w:val="none"/>
                    </w:rPr>
                    <w:t>）</w:t>
                  </w:r>
                </w:p>
              </w:tc>
              <w:tc>
                <w:tcPr>
                  <w:tcW w:w="851" w:type="dxa"/>
                  <w:tcBorders>
                    <w:tl2br w:val="nil"/>
                    <w:tr2bl w:val="nil"/>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6.5-9</w:t>
                  </w:r>
                </w:p>
              </w:tc>
              <w:tc>
                <w:tcPr>
                  <w:tcW w:w="992" w:type="dxa"/>
                  <w:tcBorders>
                    <w:tl2br w:val="nil"/>
                    <w:tr2bl w:val="nil"/>
                  </w:tcBorders>
                  <w:vAlign w:val="center"/>
                </w:tcPr>
                <w:p>
                  <w:pPr>
                    <w:jc w:val="center"/>
                    <w:rPr>
                      <w:color w:val="auto"/>
                      <w:highlight w:val="none"/>
                    </w:rPr>
                  </w:pPr>
                  <w:r>
                    <w:rPr>
                      <w:rFonts w:hint="eastAsia"/>
                      <w:color w:val="auto"/>
                      <w:highlight w:val="none"/>
                    </w:rPr>
                    <w:t>≤6</w:t>
                  </w:r>
                  <w:r>
                    <w:rPr>
                      <w:color w:val="auto"/>
                      <w:highlight w:val="none"/>
                    </w:rPr>
                    <w:t>0</w:t>
                  </w:r>
                </w:p>
              </w:tc>
              <w:tc>
                <w:tcPr>
                  <w:tcW w:w="955" w:type="dxa"/>
                  <w:tcBorders>
                    <w:tl2br w:val="nil"/>
                    <w:tr2bl w:val="nil"/>
                  </w:tcBorders>
                  <w:vAlign w:val="center"/>
                </w:tcPr>
                <w:p>
                  <w:pPr>
                    <w:jc w:val="center"/>
                    <w:rPr>
                      <w:color w:val="auto"/>
                      <w:highlight w:val="none"/>
                    </w:rPr>
                  </w:pPr>
                  <w:r>
                    <w:rPr>
                      <w:rFonts w:hint="eastAsia"/>
                      <w:color w:val="auto"/>
                      <w:highlight w:val="none"/>
                    </w:rPr>
                    <w:t>≤3</w:t>
                  </w:r>
                  <w:r>
                    <w:rPr>
                      <w:color w:val="auto"/>
                      <w:highlight w:val="none"/>
                    </w:rPr>
                    <w:t>0</w:t>
                  </w:r>
                </w:p>
              </w:tc>
              <w:tc>
                <w:tcPr>
                  <w:tcW w:w="1028" w:type="dxa"/>
                  <w:tcBorders>
                    <w:tl2br w:val="nil"/>
                    <w:tr2bl w:val="nil"/>
                  </w:tcBorders>
                  <w:vAlign w:val="center"/>
                </w:tcPr>
                <w:p>
                  <w:pPr>
                    <w:jc w:val="center"/>
                    <w:rPr>
                      <w:color w:val="auto"/>
                      <w:highlight w:val="none"/>
                    </w:rPr>
                  </w:pPr>
                  <w:r>
                    <w:rPr>
                      <w:rFonts w:hint="eastAsia"/>
                      <w:color w:val="auto"/>
                      <w:highlight w:val="none"/>
                    </w:rPr>
                    <w:t>≤1</w:t>
                  </w:r>
                </w:p>
              </w:tc>
              <w:tc>
                <w:tcPr>
                  <w:tcW w:w="771" w:type="dxa"/>
                  <w:tcBorders>
                    <w:tl2br w:val="nil"/>
                    <w:tr2bl w:val="nil"/>
                  </w:tcBorders>
                  <w:vAlign w:val="center"/>
                </w:tcPr>
                <w:p>
                  <w:pPr>
                    <w:jc w:val="center"/>
                    <w:rPr>
                      <w:color w:val="auto"/>
                      <w:highlight w:val="none"/>
                    </w:rPr>
                  </w:pPr>
                  <w:r>
                    <w:rPr>
                      <w:rFonts w:hint="eastAsia"/>
                      <w:color w:val="auto"/>
                      <w:highlight w:val="none"/>
                    </w:rPr>
                    <w:t>≤0.5</w:t>
                  </w:r>
                </w:p>
              </w:tc>
              <w:tc>
                <w:tcPr>
                  <w:tcW w:w="927" w:type="dxa"/>
                  <w:tcBorders>
                    <w:tl2br w:val="nil"/>
                    <w:tr2bl w:val="nil"/>
                  </w:tcBorders>
                  <w:vAlign w:val="center"/>
                </w:tcPr>
                <w:p>
                  <w:pPr>
                    <w:jc w:val="center"/>
                    <w:rPr>
                      <w:color w:val="auto"/>
                      <w:highlight w:val="none"/>
                    </w:rPr>
                  </w:pPr>
                  <w:r>
                    <w:rPr>
                      <w:color w:val="auto"/>
                      <w:highlight w:val="none"/>
                    </w:rPr>
                    <w:t>—</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由上表可见，本项目清槽废水、水洗水经处理后回用于喷粉生产用水，回用水污染物浓度参照执行</w:t>
            </w:r>
            <w:r>
              <w:rPr>
                <w:rFonts w:hint="default" w:ascii="Times New Roman" w:hAnsi="Times New Roman" w:cs="Times New Roman"/>
                <w:color w:val="auto"/>
                <w:sz w:val="24"/>
                <w:szCs w:val="24"/>
                <w:lang w:val="zh-CN"/>
              </w:rPr>
              <w:t>《城市污水再生利用</w:t>
            </w:r>
            <w:r>
              <w:rPr>
                <w:rFonts w:hint="default" w:ascii="Times New Roman" w:hAnsi="Times New Roman" w:cs="Times New Roman"/>
                <w:color w:val="auto"/>
                <w:sz w:val="24"/>
                <w:szCs w:val="24"/>
              </w:rPr>
              <w:t xml:space="preserve"> 工业用水水质</w:t>
            </w:r>
            <w:r>
              <w:rPr>
                <w:rFonts w:hint="default" w:ascii="Times New Roman" w:hAnsi="Times New Roman" w:cs="Times New Roman"/>
                <w:color w:val="auto"/>
                <w:sz w:val="24"/>
                <w:szCs w:val="24"/>
                <w:lang w:val="zh-CN"/>
              </w:rPr>
              <w:t>》（</w:t>
            </w:r>
            <w:r>
              <w:rPr>
                <w:rFonts w:hint="default" w:ascii="Times New Roman" w:hAnsi="Times New Roman" w:cs="Times New Roman"/>
                <w:color w:val="auto"/>
                <w:sz w:val="24"/>
                <w:szCs w:val="24"/>
              </w:rPr>
              <w:t>GB/T 19923-2005</w:t>
            </w:r>
            <w:r>
              <w:rPr>
                <w:rFonts w:hint="default" w:ascii="Times New Roman" w:hAnsi="Times New Roman" w:cs="Times New Roman"/>
                <w:color w:val="auto"/>
                <w:sz w:val="24"/>
                <w:szCs w:val="24"/>
                <w:lang w:val="zh-CN"/>
              </w:rPr>
              <w:t>）表</w:t>
            </w:r>
            <w:r>
              <w:rPr>
                <w:rFonts w:hint="default" w:ascii="Times New Roman" w:hAnsi="Times New Roman" w:cs="Times New Roman"/>
                <w:color w:val="auto"/>
                <w:sz w:val="24"/>
                <w:szCs w:val="24"/>
              </w:rPr>
              <w:t>1中洗涤用水和工艺与产品用水水质标准。</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废水处理工艺“隔油调节+反应沉淀+混凝气浮+砂滤+水质调整+二级反渗透+蒸发”的成功应用案例：无锡贝士利自控设备有限公司前洲分公司生产废水回用工程采用“pH调节+混凝沉淀+气浮+石英砂过滤+活性炭过滤+RO+蒸发”处理工艺，反渗透浓水采用蒸发处理，废水处理后全部回用，不外排。根据《检测报告》（（2021）环检（SZ）字第（21030303）号回用水检测结果</w:t>
            </w:r>
            <w:r>
              <w:rPr>
                <w:rFonts w:hint="default" w:ascii="Times New Roman" w:hAnsi="Times New Roman" w:cs="Times New Roman"/>
                <w:color w:val="auto"/>
                <w:sz w:val="24"/>
                <w:szCs w:val="24"/>
                <w:lang w:eastAsia="zh-CN"/>
              </w:rPr>
              <w:t>，</w:t>
            </w:r>
            <w:r>
              <w:rPr>
                <w:rFonts w:hint="eastAsia" w:cs="Times New Roman"/>
                <w:color w:val="auto"/>
                <w:sz w:val="24"/>
                <w:szCs w:val="24"/>
                <w:lang w:eastAsia="zh-CN"/>
              </w:rPr>
              <w:t>该公司采用此工艺处理废水后</w:t>
            </w:r>
            <w:r>
              <w:rPr>
                <w:rFonts w:hint="default" w:ascii="Times New Roman" w:hAnsi="Times New Roman" w:cs="Times New Roman"/>
                <w:color w:val="auto"/>
                <w:sz w:val="24"/>
                <w:szCs w:val="24"/>
              </w:rPr>
              <w:t>出水水质能够</w:t>
            </w:r>
            <w:r>
              <w:rPr>
                <w:rFonts w:hint="default" w:ascii="Times New Roman" w:hAnsi="Times New Roman" w:cs="Times New Roman"/>
                <w:color w:val="auto"/>
                <w:sz w:val="24"/>
                <w:szCs w:val="24"/>
                <w:lang w:val="en-US" w:eastAsia="zh-CN"/>
              </w:rPr>
              <w:t>稳定达标</w:t>
            </w:r>
            <w:r>
              <w:rPr>
                <w:rFonts w:hint="default" w:ascii="Times New Roman" w:hAnsi="Times New Roman" w:cs="Times New Roman"/>
                <w:color w:val="auto"/>
                <w:sz w:val="24"/>
                <w:szCs w:val="24"/>
              </w:rPr>
              <w:t>回用</w:t>
            </w:r>
            <w:r>
              <w:rPr>
                <w:rFonts w:hint="eastAsia" w:cs="Times New Roman"/>
                <w:color w:val="auto"/>
                <w:sz w:val="24"/>
                <w:szCs w:val="24"/>
                <w:lang w:eastAsia="zh-CN"/>
              </w:rPr>
              <w:t>，因此本项目采取该工艺</w:t>
            </w:r>
            <w:r>
              <w:rPr>
                <w:rFonts w:hint="default" w:ascii="Times New Roman" w:hAnsi="Times New Roman" w:cs="Times New Roman"/>
                <w:color w:val="auto"/>
                <w:sz w:val="24"/>
                <w:szCs w:val="24"/>
              </w:rPr>
              <w:t>是可行的。</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（5）废水依托污水处理厂的可行性分析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本项目属于无锡市梅村水处理厂的服务范围内，梅村水处理厂现有一期处理规模为3.0×104m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/d，已于2004年6月建成投产，2008年6月按市政府要求完成该工程的升级提标，采用A2/O-SBR+滤布滤池工艺。二期工程设计采用MBR工艺，处理规模3.0×104m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/d，于2009年投产运行。三期一阶段工程设计采用MBR工艺，处理规模3.0×104m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/d，于2012年投产运行；三期二阶段工程设计采用MBR工艺，处理规模2.0×104m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/d，于2013年投产运行。四期扩建工程一阶段采用MSBR+滤布滤池+超滤工艺，处理规模2.5×104m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/d，于2017年投产运行；四期二阶段工程采用MSBR+滤布滤池+超滤+次氯酸消毒处理工艺，处理规模2.5×104m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/d，已于2018年9月建成投产。五期扩建工程工艺选用MSBR+接触氧化+综合处理+滤布滤池+超滤工艺，五期工程污水设计处理能力5×104m</w:t>
            </w:r>
            <w:commentRangeStart w:id="30"/>
            <w:r>
              <w:rPr>
                <w:rFonts w:hint="default" w:ascii="Times New Roman" w:hAnsi="Times New Roman" w:cs="Times New Roman"/>
                <w:color w:val="auto"/>
                <w:sz w:val="24"/>
                <w:szCs w:val="24"/>
                <w:vertAlign w:val="superscript"/>
              </w:rPr>
              <w:t>3</w:t>
            </w:r>
            <w:commentRangeEnd w:id="30"/>
            <w:r>
              <w:rPr>
                <w:color w:val="auto"/>
              </w:rPr>
              <w:commentReference w:id="30"/>
            </w:r>
            <w:r>
              <w:rPr>
                <w:rFonts w:hint="default" w:ascii="Times New Roman" w:hAnsi="Times New Roman" w:cs="Times New Roman"/>
                <w:color w:val="auto"/>
                <w:sz w:val="24"/>
                <w:szCs w:val="24"/>
              </w:rPr>
              <w:t>/d，梅村水处理厂现已建成投运的处理规模共13.5×104m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/d，主要处理梅村工业园区、街道的工业废水和生活污水。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①处理工艺可行性分析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梅村水处理厂现有工程位于新吴区梅村镇梅里路安乐桥伯渎港与梅花港交汇处，污水处理厂东临梅花港，北邻伯渎港，东南侧紧靠梅村消防站，占地面积75000 平方米。</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梅村水处理厂远期规划设计规模为21.0×104m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/d，现有一期工程规模3.0×104m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/d，二期规模3.0×104m3/d，三期再建设5.0×104m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/d，四期工程一阶段规模为2.5×104m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/d，二阶段规模为2.5×104m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/d，总处理规模16.0万m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/d。五期工程规模5.0×104m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/d，建成后梅村水处理厂达到21×104m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/d的规模。</w:t>
            </w:r>
          </w:p>
          <w:p>
            <w:pPr>
              <w:pStyle w:val="23"/>
              <w:spacing w:before="0" w:beforeAutospacing="0" w:after="0" w:afterAutospacing="0" w:line="360" w:lineRule="auto"/>
              <w:ind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一期工程于2007年年底进行升级提标，工艺流程为：A</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/O-SBR+滤布滤池工艺，并于2008 年正式运行，并于2008年6月通过环保验收。二期工程设计采用MBR工艺，处理规模3.0×104m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/d，于2008年开工建设，并于2008年11日通过环保验收；三期一阶段工程设计采用MBR工艺，处理规模3.0×104m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/d，于2011年开工建设，现已投入运营；三期二阶段工程设计采用BNR-MBR工艺，处理规模2.0×104m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/d。四期工程规模为2.5万t/d，采用MSBR+滤布滤池+超滤处理工艺，二阶段项目预计日处理污水能力为2.5万吨，新增进水泵、MSBR 池设备、滤布滤池及紫外线消毒池设备、超滤车间超滤设备、鼓风机、除臭设备加药设备等，采用MSBR工艺，总处理规模16.0万m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梅村水处理厂已于2008年10月完成现有一期3万吨/日处理设施的提标升级改造。升级改造工程是在原有工艺基础上，强化了如下工艺措施：一是将CAST池改造为A</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O-SBR池；二是在A</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O-SBR池序批区投加生物填料；三是在A</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O-SBR池后增建滤布滤池；四是在A</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O-SBR池出水进滤布滤池前增设絮凝剂投加装置。升级改造后的污水处理工艺见下图。</w:t>
            </w:r>
          </w:p>
          <w:p>
            <w:pPr>
              <w:jc w:val="center"/>
              <w:rPr>
                <w:color w:val="auto"/>
              </w:rPr>
            </w:pPr>
            <w:r>
              <w:rPr>
                <w:color w:val="auto"/>
              </w:rPr>
              <w:drawing>
                <wp:inline distT="0" distB="0" distL="114300" distR="114300">
                  <wp:extent cx="5153025" cy="1539240"/>
                  <wp:effectExtent l="0" t="0" r="9525" b="381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9"/>
                          <a:stretch>
                            <a:fillRect/>
                          </a:stretch>
                        </pic:blipFill>
                        <pic:spPr>
                          <a:xfrm>
                            <a:off x="0" y="0"/>
                            <a:ext cx="5153025" cy="1539240"/>
                          </a:xfrm>
                          <a:prstGeom prst="rect">
                            <a:avLst/>
                          </a:prstGeom>
                          <a:noFill/>
                          <a:ln>
                            <a:noFill/>
                          </a:ln>
                        </pic:spPr>
                      </pic:pic>
                    </a:graphicData>
                  </a:graphic>
                </wp:inline>
              </w:drawing>
            </w:r>
          </w:p>
          <w:p>
            <w:pPr>
              <w:numPr>
                <w:ilvl w:val="0"/>
                <w:numId w:val="20"/>
              </w:numPr>
              <w:jc w:val="center"/>
              <w:rPr>
                <w:color w:val="auto"/>
              </w:rPr>
            </w:pPr>
            <w:r>
              <w:rPr>
                <w:color w:val="auto"/>
              </w:rPr>
              <w:t>污水处理厂一期废水处理工艺流程简图</w:t>
            </w:r>
          </w:p>
          <w:p>
            <w:pPr>
              <w:spacing w:line="520" w:lineRule="exact"/>
              <w:ind w:firstLine="420" w:firstLineChars="200"/>
              <w:rPr>
                <w:color w:val="auto"/>
              </w:rPr>
            </w:pPr>
            <w:r>
              <w:rPr>
                <w:color w:val="auto"/>
              </w:rPr>
              <w:t>二期日处理3万吨废水工艺流程见</w:t>
            </w:r>
            <w:r>
              <w:rPr>
                <w:rFonts w:hint="eastAsia"/>
                <w:color w:val="auto"/>
              </w:rPr>
              <w:t>下图</w:t>
            </w:r>
            <w:r>
              <w:rPr>
                <w:color w:val="auto"/>
              </w:rPr>
              <w:t>。</w:t>
            </w:r>
          </w:p>
          <w:p>
            <w:pPr>
              <w:adjustRightInd w:val="0"/>
              <w:snapToGrid w:val="0"/>
              <w:jc w:val="center"/>
              <w:rPr>
                <w:color w:val="auto"/>
              </w:rPr>
            </w:pPr>
            <w:r>
              <w:rPr>
                <w:color w:val="auto"/>
              </w:rPr>
              <w:drawing>
                <wp:inline distT="0" distB="0" distL="114300" distR="114300">
                  <wp:extent cx="4324985" cy="1972310"/>
                  <wp:effectExtent l="0" t="0" r="18415" b="889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0"/>
                          <a:stretch>
                            <a:fillRect/>
                          </a:stretch>
                        </pic:blipFill>
                        <pic:spPr>
                          <a:xfrm>
                            <a:off x="0" y="0"/>
                            <a:ext cx="4324985" cy="1972310"/>
                          </a:xfrm>
                          <a:prstGeom prst="rect">
                            <a:avLst/>
                          </a:prstGeom>
                          <a:noFill/>
                          <a:ln>
                            <a:noFill/>
                          </a:ln>
                        </pic:spPr>
                      </pic:pic>
                    </a:graphicData>
                  </a:graphic>
                </wp:inline>
              </w:drawing>
            </w:r>
          </w:p>
          <w:p>
            <w:pPr>
              <w:numPr>
                <w:ilvl w:val="0"/>
                <w:numId w:val="20"/>
              </w:numPr>
              <w:jc w:val="center"/>
              <w:rPr>
                <w:color w:val="auto"/>
              </w:rPr>
            </w:pPr>
            <w:r>
              <w:rPr>
                <w:color w:val="auto"/>
              </w:rPr>
              <w:t>污水处理厂二期废水处理工艺流程简图</w:t>
            </w:r>
          </w:p>
          <w:p>
            <w:pPr>
              <w:pStyle w:val="17"/>
              <w:spacing w:line="360" w:lineRule="auto"/>
              <w:ind w:firstLine="240"/>
              <w:jc w:val="left"/>
              <w:rPr>
                <w:color w:val="auto"/>
              </w:rPr>
            </w:pPr>
            <w:r>
              <w:rPr>
                <w:rFonts w:hint="default" w:ascii="Times New Roman" w:hAnsi="Times New Roman" w:eastAsia="宋体" w:cs="Times New Roman"/>
                <w:color w:val="auto"/>
              </w:rPr>
              <w:t>三</w:t>
            </w:r>
            <w:r>
              <w:rPr>
                <w:rFonts w:hint="default" w:ascii="Times New Roman" w:hAnsi="Times New Roman" w:eastAsia="宋体" w:cs="Times New Roman"/>
                <w:color w:val="auto"/>
                <w:sz w:val="24"/>
                <w:szCs w:val="24"/>
              </w:rPr>
              <w:t>期一阶段日处理废水3万吨项目主要采用BNR-MBR一体化处理池、粗隔栅、进水泵房、细隔栅、沉砂池及膜隔栅等，具体工艺流程见下图。</w:t>
            </w:r>
            <w:r>
              <w:rPr>
                <w:color w:val="auto"/>
              </w:rPr>
              <w:drawing>
                <wp:inline distT="0" distB="0" distL="114300" distR="114300">
                  <wp:extent cx="4890135" cy="1988820"/>
                  <wp:effectExtent l="0" t="0" r="5715" b="1143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1"/>
                          <a:srcRect t="2341" b="2341"/>
                          <a:stretch>
                            <a:fillRect/>
                          </a:stretch>
                        </pic:blipFill>
                        <pic:spPr>
                          <a:xfrm>
                            <a:off x="0" y="0"/>
                            <a:ext cx="4890135" cy="1988820"/>
                          </a:xfrm>
                          <a:prstGeom prst="rect">
                            <a:avLst/>
                          </a:prstGeom>
                          <a:noFill/>
                          <a:ln>
                            <a:noFill/>
                          </a:ln>
                        </pic:spPr>
                      </pic:pic>
                    </a:graphicData>
                  </a:graphic>
                </wp:inline>
              </w:drawing>
            </w:r>
          </w:p>
          <w:p>
            <w:pPr>
              <w:numPr>
                <w:ilvl w:val="0"/>
                <w:numId w:val="20"/>
              </w:numPr>
              <w:jc w:val="center"/>
              <w:rPr>
                <w:rFonts w:ascii="Calibri" w:hAnsi="Calibri" w:cs="Calibri"/>
                <w:b/>
                <w:bCs/>
                <w:color w:val="auto"/>
                <w:sz w:val="24"/>
              </w:rPr>
            </w:pPr>
            <w:r>
              <w:rPr>
                <w:rFonts w:ascii="Calibri" w:hAnsi="Calibri" w:cs="Calibri"/>
                <w:b/>
                <w:bCs/>
                <w:color w:val="auto"/>
                <w:sz w:val="24"/>
              </w:rPr>
              <w:t>污水处理厂三期一阶段废水处理工艺流程简图</w:t>
            </w:r>
          </w:p>
          <w:p>
            <w:pPr>
              <w:adjustRightInd w:val="0"/>
              <w:snapToGrid w:val="0"/>
              <w:spacing w:before="159" w:beforeLines="50"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三期二阶段日处理2万吨主要采用BNR-MBR工艺，具体工艺流程见下图。</w:t>
            </w:r>
          </w:p>
          <w:p>
            <w:pPr>
              <w:rPr>
                <w:rFonts w:ascii="Times New Roman" w:hAnsi="Times New Roman" w:cs="Times New Roman"/>
                <w:color w:val="auto"/>
                <w:sz w:val="24"/>
              </w:rPr>
            </w:pPr>
            <w:r>
              <w:rPr>
                <w:rFonts w:ascii="Times New Roman" w:hAnsi="Times New Roman" w:cs="Times New Roman"/>
                <w:color w:val="auto"/>
                <w:sz w:val="24"/>
              </w:rPr>
              <w:object>
                <v:shape id="_x0000_i1026" o:spt="75" type="#_x0000_t75" style="height:161.25pt;width:348pt;" o:ole="t" filled="f" o:preferrelative="t" stroked="f" coordsize="21600,21600">
                  <v:path/>
                  <v:fill on="f" focussize="0,0"/>
                  <v:stroke on="f" joinstyle="miter"/>
                  <v:imagedata r:id="rId23" cropleft="14666f" croptop="20264f" cropright="19756f" cropbottom="14729f" gain="2147483647f" blacklevel="-9828f" grayscale="t" bilevel="t" o:title=""/>
                  <o:lock v:ext="edit" aspectratio="t"/>
                  <w10:wrap type="none"/>
                  <w10:anchorlock/>
                </v:shape>
                <o:OLEObject Type="Embed" ProgID="Equation.3" ShapeID="_x0000_i1026" DrawAspect="Content" ObjectID="_1468075726" r:id="rId22">
                  <o:LockedField>false</o:LockedField>
                </o:OLEObject>
              </w:object>
            </w:r>
          </w:p>
          <w:p>
            <w:pPr>
              <w:numPr>
                <w:ilvl w:val="0"/>
                <w:numId w:val="20"/>
              </w:numPr>
              <w:spacing w:line="360" w:lineRule="auto"/>
              <w:jc w:val="center"/>
              <w:rPr>
                <w:rFonts w:ascii="Calibri" w:hAnsi="Calibri" w:cs="Calibri"/>
                <w:color w:val="auto"/>
                <w:sz w:val="24"/>
              </w:rPr>
            </w:pPr>
            <w:r>
              <w:rPr>
                <w:rFonts w:ascii="Calibri" w:hAnsi="Calibri" w:cs="Calibri"/>
                <w:b/>
                <w:bCs/>
                <w:color w:val="auto"/>
                <w:sz w:val="24"/>
              </w:rPr>
              <w:t>梅村水处理厂三期二阶段工程工艺流程简图</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四期、五期工程采用MSBR+接触氧化+综合处理+滤布滤池+超滤处理工艺，处理规模5.0×10</w:t>
            </w:r>
            <w:r>
              <w:rPr>
                <w:rFonts w:hint="default" w:ascii="Times New Roman" w:hAnsi="Times New Roman" w:cs="Times New Roman"/>
                <w:color w:val="auto"/>
                <w:sz w:val="24"/>
                <w:vertAlign w:val="superscript"/>
              </w:rPr>
              <w:t>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/d，具体工艺流程见下图。</w:t>
            </w:r>
          </w:p>
          <w:p>
            <w:pPr>
              <w:adjustRightInd w:val="0"/>
              <w:snapToGrid w:val="0"/>
              <w:spacing w:line="360" w:lineRule="auto"/>
              <w:ind w:firstLine="480" w:firstLineChars="200"/>
              <w:jc w:val="center"/>
              <w:rPr>
                <w:rFonts w:ascii="Calibri" w:hAnsi="Calibri" w:cs="Calibri"/>
                <w:color w:val="auto"/>
                <w:sz w:val="24"/>
              </w:rPr>
            </w:pPr>
            <w:r>
              <w:rPr>
                <w:rFonts w:ascii="Calibri" w:hAnsi="Calibri" w:cs="Calibri"/>
                <w:color w:val="auto"/>
                <w:sz w:val="24"/>
              </w:rPr>
              <w:drawing>
                <wp:inline distT="0" distB="0" distL="114300" distR="114300">
                  <wp:extent cx="4123055" cy="1851660"/>
                  <wp:effectExtent l="0" t="0" r="10795" b="1524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4"/>
                          <a:stretch>
                            <a:fillRect/>
                          </a:stretch>
                        </pic:blipFill>
                        <pic:spPr>
                          <a:xfrm>
                            <a:off x="0" y="0"/>
                            <a:ext cx="4123055" cy="1851660"/>
                          </a:xfrm>
                          <a:prstGeom prst="rect">
                            <a:avLst/>
                          </a:prstGeom>
                          <a:noFill/>
                          <a:ln>
                            <a:noFill/>
                          </a:ln>
                        </pic:spPr>
                      </pic:pic>
                    </a:graphicData>
                  </a:graphic>
                </wp:inline>
              </w:drawing>
            </w:r>
          </w:p>
          <w:p>
            <w:pPr>
              <w:numPr>
                <w:ilvl w:val="0"/>
                <w:numId w:val="20"/>
              </w:numPr>
              <w:jc w:val="center"/>
              <w:rPr>
                <w:rFonts w:ascii="Calibri" w:hAnsi="Calibri" w:cs="Calibri"/>
                <w:color w:val="auto"/>
                <w:sz w:val="24"/>
              </w:rPr>
            </w:pPr>
            <w:r>
              <w:rPr>
                <w:rFonts w:ascii="Calibri" w:hAnsi="Calibri" w:cs="Calibri"/>
                <w:b/>
                <w:color w:val="auto"/>
                <w:sz w:val="24"/>
              </w:rPr>
              <w:t>梅村水处理厂四期、五期工程工艺流程简图</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根据《无锡市高新水务有限公司梅村水处理厂五期扩建工程项目环境影响评价报告书》，现有一期工程中3×10</w:t>
            </w:r>
            <w:r>
              <w:rPr>
                <w:rFonts w:hint="default" w:ascii="Times New Roman" w:hAnsi="Times New Roman" w:cs="Times New Roman"/>
                <w:color w:val="auto"/>
                <w:sz w:val="24"/>
                <w:vertAlign w:val="superscript"/>
              </w:rPr>
              <w:t>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/d的尾水执行《城镇污水处理厂污染物排放标准》（GB18918-2002）表1中的一级A标准，其余8×10</w:t>
            </w:r>
            <w:r>
              <w:rPr>
                <w:rFonts w:hint="default" w:ascii="Times New Roman" w:hAnsi="Times New Roman" w:cs="Times New Roman"/>
                <w:color w:val="auto"/>
                <w:sz w:val="24"/>
                <w:vertAlign w:val="superscript"/>
              </w:rPr>
              <w:t>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/d包括二期（3×10</w:t>
            </w:r>
            <w:r>
              <w:rPr>
                <w:rFonts w:hint="default" w:ascii="Times New Roman" w:hAnsi="Times New Roman" w:cs="Times New Roman"/>
                <w:color w:val="auto"/>
                <w:sz w:val="24"/>
                <w:vertAlign w:val="superscript"/>
              </w:rPr>
              <w:t>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/d）、三期两个阶段（5×10</w:t>
            </w:r>
            <w:r>
              <w:rPr>
                <w:rFonts w:hint="default" w:ascii="Times New Roman" w:hAnsi="Times New Roman" w:cs="Times New Roman"/>
                <w:color w:val="auto"/>
                <w:sz w:val="24"/>
                <w:vertAlign w:val="superscript"/>
              </w:rPr>
              <w:t>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工程的尾水全部处理优于一级A标准，COD执行《地表水环境质量标准》（GB3838-2002）中的Ⅳ类标准，并准备近期逐步的进一步提标改造。四期提标工程尾水部分排至梅花港，剩余部分回用，提标完成后尾水执行准Ⅲ类地表水标准；五期扩建工程尾水通过现有排放口排至梅花港，尾水执行准Ⅲ类地表水标准。</w:t>
            </w:r>
          </w:p>
          <w:p>
            <w:pPr>
              <w:spacing w:line="360" w:lineRule="auto"/>
              <w:ind w:firstLine="480" w:firstLineChars="200"/>
              <w:rPr>
                <w:rFonts w:ascii="Times New Roman" w:hAnsi="Times New Roman" w:cs="Times New Roman"/>
                <w:color w:val="auto"/>
                <w:sz w:val="24"/>
              </w:rPr>
            </w:pPr>
            <w:r>
              <w:rPr>
                <w:rFonts w:hint="default" w:ascii="Times New Roman" w:hAnsi="Times New Roman" w:cs="Times New Roman"/>
                <w:color w:val="auto"/>
                <w:sz w:val="24"/>
              </w:rPr>
              <w:t>该工艺具有处理效果稳定可靠，抗冲击负荷能力强，占地面积省等优点，主要针对城市生活污水和生产废水的处理，可有效处理本项目新增接管废水。</w:t>
            </w:r>
          </w:p>
        </w:tc>
      </w:tr>
    </w:tbl>
    <w:p>
      <w:pPr>
        <w:pStyle w:val="23"/>
        <w:jc w:val="both"/>
        <w:outlineLvl w:val="0"/>
        <w:rPr>
          <w:rFonts w:ascii="Times New Roman" w:hAnsi="Times New Roman"/>
          <w:snapToGrid w:val="0"/>
          <w:color w:val="auto"/>
          <w:sz w:val="30"/>
          <w:szCs w:val="30"/>
        </w:rPr>
        <w:sectPr>
          <w:pgSz w:w="11906" w:h="16838"/>
          <w:pgMar w:top="1440" w:right="1797" w:bottom="1440" w:left="1797" w:header="851" w:footer="992" w:gutter="0"/>
          <w:pgBorders>
            <w:top w:val="none" w:sz="0" w:space="0"/>
            <w:left w:val="none" w:sz="0" w:space="0"/>
            <w:bottom w:val="none" w:sz="0" w:space="0"/>
            <w:right w:val="none" w:sz="0" w:space="0"/>
          </w:pgBorders>
          <w:cols w:space="0" w:num="1"/>
          <w:docGrid w:type="lines" w:linePitch="319"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7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6" w:hRule="atLeast"/>
        </w:trPr>
        <w:tc>
          <w:tcPr>
            <w:tcW w:w="673" w:type="dxa"/>
          </w:tcPr>
          <w:p>
            <w:pPr>
              <w:pStyle w:val="23"/>
              <w:jc w:val="center"/>
              <w:outlineLvl w:val="0"/>
              <w:rPr>
                <w:rFonts w:ascii="Times New Roman" w:hAnsi="Times New Roman" w:cs="Calibri"/>
                <w:snapToGrid w:val="0"/>
                <w:color w:val="auto"/>
                <w:sz w:val="30"/>
                <w:szCs w:val="30"/>
              </w:rPr>
            </w:pPr>
          </w:p>
        </w:tc>
        <w:tc>
          <w:tcPr>
            <w:tcW w:w="7843" w:type="dxa"/>
          </w:tcPr>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②接管处理能力分析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本项目建成后，废水接入梅村水处理厂进行处理，污水厂现已具备16万t/d的处理能力，目前梅村水处理厂实际接管处理量为10.3万m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/d，尚有处理余量5.7万m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/d，本项目新增废水接管量</w:t>
            </w:r>
            <w:r>
              <w:rPr>
                <w:rFonts w:hint="eastAsia" w:ascii="Times New Roman" w:hAnsi="Times New Roman" w:cs="Times New Roman"/>
                <w:color w:val="auto"/>
                <w:sz w:val="24"/>
                <w:lang w:val="en-US" w:eastAsia="zh-CN"/>
              </w:rPr>
              <w:t>2436.3</w:t>
            </w:r>
            <w:r>
              <w:rPr>
                <w:rFonts w:hint="default" w:ascii="Times New Roman" w:hAnsi="Times New Roman" w:cs="Times New Roman"/>
                <w:color w:val="auto"/>
                <w:sz w:val="24"/>
              </w:rPr>
              <w:t>t/a，约</w:t>
            </w:r>
            <w:r>
              <w:rPr>
                <w:rFonts w:hint="eastAsia" w:ascii="Times New Roman" w:hAnsi="Times New Roman" w:cs="Times New Roman"/>
                <w:color w:val="auto"/>
                <w:sz w:val="24"/>
                <w:lang w:val="en-US" w:eastAsia="zh-CN"/>
              </w:rPr>
              <w:t>8.121</w:t>
            </w:r>
            <w:r>
              <w:rPr>
                <w:rFonts w:hint="default" w:ascii="Times New Roman" w:hAnsi="Times New Roman" w:cs="Times New Roman"/>
                <w:color w:val="auto"/>
                <w:sz w:val="24"/>
              </w:rPr>
              <w:t>t/d。梅村水处理厂总服务范围：东、北至新吴区区界，西、南至沪宁高速公路，包括商业配套区沪宁高速公路以东片区、高新产业B区全部范围和高新产业C区全部范围，本项目属于梅村水处理厂的服务范围内。</w:t>
            </w:r>
          </w:p>
          <w:p>
            <w:pPr>
              <w:spacing w:line="360" w:lineRule="auto"/>
              <w:ind w:firstLine="480" w:firstLineChars="200"/>
              <w:rPr>
                <w:rFonts w:ascii="Calibri" w:hAnsi="Calibri" w:cs="Calibri"/>
                <w:color w:val="auto"/>
                <w:sz w:val="24"/>
              </w:rPr>
            </w:pPr>
            <w:r>
              <w:rPr>
                <w:rFonts w:hint="default" w:ascii="Times New Roman" w:hAnsi="Times New Roman" w:cs="Times New Roman"/>
                <w:color w:val="auto"/>
                <w:sz w:val="24"/>
              </w:rPr>
              <w:t>因此，本项目新增的废水在梅村水处理厂的处理能力和范围之内，接入该污水厂集中处理的方案是可行的。</w:t>
            </w:r>
          </w:p>
          <w:p>
            <w:pPr>
              <w:spacing w:line="360" w:lineRule="auto"/>
              <w:ind w:firstLine="482" w:firstLineChars="200"/>
              <w:rPr>
                <w:rFonts w:ascii="Calibri" w:hAnsi="Calibri" w:cs="Calibri"/>
                <w:b/>
                <w:bCs/>
                <w:color w:val="auto"/>
                <w:sz w:val="24"/>
              </w:rPr>
            </w:pPr>
            <w:r>
              <w:rPr>
                <w:rFonts w:ascii="Calibri" w:hAnsi="Calibri" w:cs="Calibri"/>
                <w:b/>
                <w:bCs/>
                <w:color w:val="auto"/>
                <w:sz w:val="24"/>
              </w:rPr>
              <w:t>③接管水质可行性分析</w:t>
            </w:r>
          </w:p>
          <w:p>
            <w:pPr>
              <w:spacing w:line="360" w:lineRule="auto"/>
              <w:ind w:firstLine="480" w:firstLineChars="200"/>
              <w:rPr>
                <w:rFonts w:ascii="Calibri" w:hAnsi="Calibri" w:cs="Calibri"/>
                <w:color w:val="auto"/>
                <w:sz w:val="24"/>
              </w:rPr>
            </w:pPr>
            <w:r>
              <w:rPr>
                <w:rFonts w:ascii="Calibri" w:hAnsi="Calibri" w:cs="Calibri"/>
                <w:color w:val="auto"/>
                <w:sz w:val="24"/>
              </w:rPr>
              <w:t>梅村水处理厂的处理工艺采用MSBR+接触氧化+综合处理+滤布滤池+超滤处理工艺，主要针对城市生活污水和生产废水的处理。目前梅村水处理厂污水处理系统运行稳定，出水水质稳定。本项目新增的废水主要为反冲洗废水、纯水制备浓水，水质较单一、稳定，均在梅村水处理厂的能力范围内，因此梅村水处理厂有能力接纳本项目新增的废水，建设项目不会对梅村水处理厂正常运行造成影响。</w:t>
            </w:r>
          </w:p>
          <w:p>
            <w:pPr>
              <w:spacing w:line="360" w:lineRule="auto"/>
              <w:ind w:firstLine="482" w:firstLineChars="200"/>
              <w:rPr>
                <w:rFonts w:ascii="Calibri" w:hAnsi="Calibri" w:cs="Calibri"/>
                <w:b/>
                <w:bCs/>
                <w:color w:val="auto"/>
                <w:sz w:val="24"/>
              </w:rPr>
            </w:pPr>
            <w:r>
              <w:rPr>
                <w:rFonts w:ascii="Calibri" w:hAnsi="Calibri" w:cs="Calibri"/>
                <w:b/>
                <w:bCs/>
                <w:color w:val="auto"/>
                <w:sz w:val="24"/>
              </w:rPr>
              <w:t>④接管的时空分析</w:t>
            </w:r>
          </w:p>
          <w:p>
            <w:pPr>
              <w:spacing w:line="360" w:lineRule="auto"/>
              <w:ind w:firstLine="480" w:firstLineChars="200"/>
              <w:rPr>
                <w:rFonts w:ascii="Calibri" w:hAnsi="Calibri" w:cs="Calibri"/>
                <w:color w:val="auto"/>
                <w:sz w:val="24"/>
              </w:rPr>
            </w:pPr>
            <w:r>
              <w:rPr>
                <w:rFonts w:ascii="Calibri" w:hAnsi="Calibri" w:cs="Calibri"/>
                <w:color w:val="auto"/>
                <w:sz w:val="24"/>
              </w:rPr>
              <w:t>目前梅村水处理厂污水管网已经铺设至</w:t>
            </w:r>
            <w:r>
              <w:rPr>
                <w:rFonts w:hint="eastAsia" w:ascii="Calibri" w:hAnsi="Calibri" w:cs="Calibri"/>
                <w:color w:val="auto"/>
                <w:sz w:val="24"/>
              </w:rPr>
              <w:t>新风路</w:t>
            </w:r>
            <w:r>
              <w:rPr>
                <w:rFonts w:ascii="Calibri" w:hAnsi="Calibri" w:cs="Calibri"/>
                <w:color w:val="auto"/>
                <w:sz w:val="24"/>
              </w:rPr>
              <w:t>，本项目新增的废水可接入</w:t>
            </w:r>
            <w:r>
              <w:rPr>
                <w:rFonts w:hint="eastAsia" w:ascii="Calibri" w:hAnsi="Calibri" w:cs="Calibri"/>
                <w:color w:val="auto"/>
                <w:sz w:val="24"/>
              </w:rPr>
              <w:t>新风</w:t>
            </w:r>
            <w:r>
              <w:rPr>
                <w:rFonts w:ascii="Calibri" w:hAnsi="Calibri" w:cs="Calibri"/>
                <w:color w:val="auto"/>
                <w:sz w:val="24"/>
              </w:rPr>
              <w:t>路污水管网进入梅村水处理厂集中处理。因此，本项目建设地具备污水集中处理的环保基础设施，项目建成后新增的废水能够顺利接入污水管网，由梅村水处理厂集中处理，不会对环境造成严重污染。</w:t>
            </w:r>
          </w:p>
          <w:p>
            <w:pPr>
              <w:spacing w:line="360" w:lineRule="auto"/>
              <w:ind w:firstLine="480" w:firstLineChars="200"/>
              <w:rPr>
                <w:rFonts w:ascii="Calibri" w:hAnsi="Calibri" w:cs="Calibri"/>
                <w:color w:val="auto"/>
                <w:sz w:val="24"/>
              </w:rPr>
            </w:pPr>
            <w:r>
              <w:rPr>
                <w:rFonts w:ascii="Calibri" w:hAnsi="Calibri" w:cs="Calibri"/>
                <w:color w:val="auto"/>
                <w:sz w:val="24"/>
              </w:rPr>
              <w:t>综上所述，从水质、水量、时间、空间等方面来看，新增的废水接入梅村水处理厂集中处理是切实可行的。</w:t>
            </w:r>
          </w:p>
          <w:p>
            <w:pPr>
              <w:spacing w:line="360" w:lineRule="auto"/>
              <w:ind w:firstLine="482" w:firstLineChars="200"/>
              <w:rPr>
                <w:rFonts w:ascii="Calibri" w:hAnsi="Calibri" w:cs="Calibri"/>
                <w:b/>
                <w:bCs/>
                <w:color w:val="auto"/>
                <w:sz w:val="24"/>
              </w:rPr>
            </w:pPr>
            <w:r>
              <w:rPr>
                <w:rFonts w:ascii="Calibri" w:hAnsi="Calibri" w:cs="Calibri"/>
                <w:b/>
                <w:bCs/>
                <w:color w:val="auto"/>
                <w:sz w:val="24"/>
              </w:rPr>
              <w:t>⑤地表水环境影响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生活污水经化粪池处理后与纯水制备浓水、反冲洗水一同接管梅村水处理厂。根据《无锡市高新水务有限公司梅村水处理厂五期扩建工程项目环境影响评价报告书》及《关于无锡市高新水务有限公司梅村水处理厂五期扩建工程项目环境影响评价报告书的批复》（无锡市行政审批局，锡行审环许[2019]7086号），梅村水处理厂最终排放尾水中SS优于《城镇污水处理厂污染物排放标准》（GB18918-2002）表1中的一级A标准：SS≤3mg/L；COD、总氮、氨氮、总磷类比《地表水环境质量标准》（GB3838-2002）Ⅲ类标准：COD≤20mg/L、氨氮≤1mg/L、总氮≤5mg/L、总磷≤0.15mg/L。水污染物接管量为：废水量≤2436.3t/a、</w:t>
            </w:r>
            <w:commentRangeStart w:id="31"/>
            <w:r>
              <w:rPr>
                <w:rFonts w:hint="default" w:ascii="Times New Roman" w:hAnsi="Times New Roman" w:cs="Times New Roman"/>
                <w:color w:val="auto"/>
                <w:sz w:val="24"/>
              </w:rPr>
              <w:t>COD≤</w:t>
            </w:r>
            <w:r>
              <w:rPr>
                <w:rFonts w:hint="eastAsia" w:cs="Times New Roman"/>
                <w:color w:val="auto"/>
                <w:sz w:val="24"/>
                <w:lang w:val="en-US" w:eastAsia="zh-CN"/>
              </w:rPr>
              <w:t>0.8106</w:t>
            </w:r>
            <w:r>
              <w:rPr>
                <w:rFonts w:hint="default" w:ascii="Times New Roman" w:hAnsi="Times New Roman" w:cs="Times New Roman"/>
                <w:color w:val="auto"/>
                <w:sz w:val="24"/>
              </w:rPr>
              <w:t>t/</w:t>
            </w:r>
            <w:commentRangeEnd w:id="31"/>
            <w:r>
              <w:rPr>
                <w:color w:val="auto"/>
              </w:rPr>
              <w:commentReference w:id="31"/>
            </w:r>
            <w:r>
              <w:rPr>
                <w:rFonts w:hint="default" w:ascii="Times New Roman" w:hAnsi="Times New Roman" w:cs="Times New Roman"/>
                <w:color w:val="auto"/>
                <w:sz w:val="24"/>
              </w:rPr>
              <w:t>a、SS≤0.</w:t>
            </w:r>
            <w:r>
              <w:rPr>
                <w:rFonts w:hint="eastAsia" w:cs="Times New Roman"/>
                <w:color w:val="auto"/>
                <w:sz w:val="24"/>
                <w:lang w:val="en-US" w:eastAsia="zh-CN"/>
              </w:rPr>
              <w:t>7434</w:t>
            </w:r>
            <w:r>
              <w:rPr>
                <w:rFonts w:hint="default" w:ascii="Times New Roman" w:hAnsi="Times New Roman" w:cs="Times New Roman"/>
                <w:color w:val="auto"/>
                <w:sz w:val="24"/>
              </w:rPr>
              <w:t>t/a、氨氮≤0.0662t/a、总氮≤0.0756t/a、总磷≤0.0095t/a</w:t>
            </w:r>
            <w:r>
              <w:rPr>
                <w:rFonts w:hint="default" w:ascii="Times New Roman" w:hAnsi="Times New Roman" w:cs="Times New Roman"/>
                <w:snapToGrid w:val="0"/>
                <w:color w:val="auto"/>
                <w:kern w:val="0"/>
                <w:sz w:val="24"/>
              </w:rPr>
              <w:t>。</w:t>
            </w:r>
            <w:r>
              <w:rPr>
                <w:rFonts w:hint="default" w:ascii="Times New Roman" w:hAnsi="Times New Roman" w:cs="Times New Roman"/>
                <w:color w:val="auto"/>
                <w:sz w:val="24"/>
              </w:rPr>
              <w:t>最终排放量为：废水量≤2436.3t/a、COD≤0.0487t/a、SS≤0.0073t/a、氨氮≤0.0024t/a、总氮≤0.0122t/a、总磷≤0.0004t/a。</w:t>
            </w:r>
          </w:p>
          <w:p>
            <w:pPr>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本项目的废水拟接入梅村水处理厂进行处理，属于梅村水处理厂的收集范围，本项目排放量约2436.3t/a，约8.12t/d，在梅村水处理厂的污水接管容量内，故本项目的废水接入该污水厂集中处理的方案是可行的。综上所述，本项目新增的废水正常排放可以被污水处理厂接纳，不会对污水处理厂产生影响。</w:t>
            </w:r>
          </w:p>
          <w:p>
            <w:pPr>
              <w:snapToGrid w:val="0"/>
              <w:spacing w:line="360" w:lineRule="auto"/>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（5）地表水环境影响评价结论</w:t>
            </w:r>
          </w:p>
          <w:p>
            <w:pPr>
              <w:spacing w:line="360" w:lineRule="auto"/>
              <w:ind w:firstLine="480" w:firstLineChars="200"/>
              <w:rPr>
                <w:rFonts w:ascii="Calibri" w:hAnsi="Calibri" w:cs="Calibri"/>
                <w:b/>
                <w:bCs/>
                <w:color w:val="auto"/>
                <w:sz w:val="24"/>
              </w:rPr>
            </w:pPr>
            <w:r>
              <w:rPr>
                <w:rFonts w:ascii="Calibri" w:hAnsi="Calibri" w:cs="Calibri"/>
                <w:color w:val="auto"/>
                <w:sz w:val="24"/>
              </w:rPr>
              <w:t>本项目位于受纳水体环境质量达标区域，项目</w:t>
            </w:r>
            <w:r>
              <w:rPr>
                <w:rFonts w:hint="eastAsia" w:ascii="Calibri" w:hAnsi="Calibri" w:cs="Calibri"/>
                <w:color w:val="auto"/>
                <w:sz w:val="24"/>
              </w:rPr>
              <w:t>生活污水经化粪池处理后与纯水设备</w:t>
            </w:r>
            <w:r>
              <w:rPr>
                <w:rFonts w:ascii="Calibri" w:hAnsi="Calibri" w:cs="Calibri"/>
                <w:color w:val="auto"/>
                <w:sz w:val="24"/>
              </w:rPr>
              <w:t>反冲洗废水、纯水制备浓水一同接管梅村水处理厂集中处理，满足污水处理厂接管标准的要求，从水质水量、接管标准及建设进度等方面综合考虑，项目废水接管梅村水处理厂处理是可行的；经梅村水处理厂处理后尾水排入梅花港汇入江南运河，由于由于各类水污染物排放浓度及排放量均较小，对周围水环境影响较小。因此，项目对地表水环境的影响可以接受。</w:t>
            </w:r>
          </w:p>
          <w:p>
            <w:pPr>
              <w:adjustRightInd w:val="0"/>
              <w:snapToGrid w:val="0"/>
              <w:spacing w:line="360" w:lineRule="auto"/>
              <w:rPr>
                <w:rFonts w:ascii="Calibri" w:hAnsi="Calibri" w:cs="Calibri"/>
                <w:b/>
                <w:bCs/>
                <w:color w:val="auto"/>
                <w:sz w:val="24"/>
              </w:rPr>
            </w:pPr>
            <w:r>
              <w:rPr>
                <w:rFonts w:ascii="Calibri" w:hAnsi="Calibri" w:cs="Calibri"/>
                <w:b/>
                <w:bCs/>
                <w:color w:val="auto"/>
                <w:sz w:val="24"/>
              </w:rPr>
              <w:t>3、噪声</w:t>
            </w:r>
          </w:p>
          <w:p>
            <w:pPr>
              <w:snapToGrid w:val="0"/>
              <w:spacing w:line="360" w:lineRule="auto"/>
              <w:ind w:firstLine="482" w:firstLineChars="200"/>
              <w:rPr>
                <w:rFonts w:ascii="Calibri" w:hAnsi="Calibri" w:cs="Calibri"/>
                <w:b/>
                <w:bCs/>
                <w:color w:val="auto"/>
                <w:kern w:val="0"/>
                <w:sz w:val="24"/>
              </w:rPr>
            </w:pPr>
            <w:r>
              <w:rPr>
                <w:rFonts w:hint="eastAsia" w:ascii="Calibri" w:hAnsi="Calibri" w:cs="Calibri"/>
                <w:b/>
                <w:bCs/>
                <w:color w:val="auto"/>
                <w:kern w:val="0"/>
                <w:sz w:val="24"/>
                <w:lang w:eastAsia="zh-CN"/>
              </w:rPr>
              <w:t>（</w:t>
            </w:r>
            <w:r>
              <w:rPr>
                <w:rFonts w:hint="eastAsia" w:ascii="Calibri" w:hAnsi="Calibri" w:cs="Calibri"/>
                <w:b/>
                <w:bCs/>
                <w:color w:val="auto"/>
                <w:kern w:val="0"/>
                <w:sz w:val="24"/>
                <w:lang w:val="en-US" w:eastAsia="zh-CN"/>
              </w:rPr>
              <w:t>1</w:t>
            </w:r>
            <w:r>
              <w:rPr>
                <w:rFonts w:hint="eastAsia" w:ascii="Calibri" w:hAnsi="Calibri" w:cs="Calibri"/>
                <w:b/>
                <w:bCs/>
                <w:color w:val="auto"/>
                <w:kern w:val="0"/>
                <w:sz w:val="24"/>
                <w:lang w:eastAsia="zh-CN"/>
              </w:rPr>
              <w:t>）</w:t>
            </w:r>
            <w:r>
              <w:rPr>
                <w:rFonts w:ascii="Calibri" w:hAnsi="Calibri" w:cs="Calibri"/>
                <w:b/>
                <w:bCs/>
                <w:color w:val="auto"/>
                <w:kern w:val="0"/>
                <w:sz w:val="24"/>
              </w:rPr>
              <w:t>噪声源强及治理措施分析</w:t>
            </w:r>
          </w:p>
          <w:p>
            <w:pPr>
              <w:snapToGrid w:val="0"/>
              <w:spacing w:line="360" w:lineRule="auto"/>
              <w:ind w:firstLine="480" w:firstLineChars="200"/>
              <w:rPr>
                <w:rFonts w:ascii="Calibri" w:hAnsi="Calibri" w:cs="Calibri"/>
                <w:color w:val="auto"/>
                <w:sz w:val="24"/>
              </w:rPr>
            </w:pPr>
            <w:r>
              <w:rPr>
                <w:rFonts w:ascii="Calibri" w:hAnsi="Calibri" w:cs="Calibri"/>
                <w:color w:val="auto"/>
                <w:sz w:val="24"/>
              </w:rPr>
              <w:t>本项目产生噪声的主要设备为</w:t>
            </w:r>
            <w:r>
              <w:rPr>
                <w:rFonts w:hint="eastAsia" w:ascii="Calibri" w:hAnsi="Calibri" w:cs="Calibri"/>
                <w:color w:val="auto"/>
                <w:sz w:val="24"/>
              </w:rPr>
              <w:t>液压机、冲压机、压力机、钻床、冲压设备、压缩机、磨床、铣床、切割机、砂轮机、气点焊机等</w:t>
            </w:r>
            <w:r>
              <w:rPr>
                <w:rFonts w:ascii="Calibri" w:hAnsi="Calibri" w:cs="Calibri"/>
                <w:color w:val="auto"/>
                <w:sz w:val="24"/>
              </w:rPr>
              <w:t>，单台设备噪声分别为70dB(A)~85dB(A)</w:t>
            </w:r>
            <w:r>
              <w:rPr>
                <w:rFonts w:hint="eastAsia" w:ascii="Calibri" w:hAnsi="Calibri" w:cs="Calibri"/>
                <w:color w:val="auto"/>
                <w:sz w:val="24"/>
              </w:rPr>
              <w:t>，</w:t>
            </w:r>
            <w:r>
              <w:rPr>
                <w:rFonts w:ascii="Calibri" w:hAnsi="Calibri" w:cs="Calibri"/>
                <w:color w:val="auto"/>
                <w:sz w:val="24"/>
              </w:rPr>
              <w:t>一般性的生产性厂房隔音量为20dB（A）。</w:t>
            </w:r>
          </w:p>
          <w:p>
            <w:pPr>
              <w:snapToGrid w:val="0"/>
              <w:spacing w:line="360" w:lineRule="auto"/>
              <w:ind w:firstLine="480" w:firstLineChars="200"/>
              <w:rPr>
                <w:rFonts w:ascii="Calibri" w:hAnsi="Calibri" w:cs="Calibri"/>
                <w:color w:val="auto"/>
                <w:sz w:val="24"/>
              </w:rPr>
            </w:pPr>
            <w:r>
              <w:rPr>
                <w:rFonts w:hint="eastAsia" w:ascii="Calibri" w:hAnsi="Calibri" w:cs="Calibri"/>
                <w:color w:val="auto"/>
                <w:sz w:val="24"/>
              </w:rPr>
              <w:t>针对本项目主要噪声源，</w:t>
            </w:r>
            <w:r>
              <w:rPr>
                <w:rFonts w:ascii="Calibri" w:hAnsi="Calibri" w:cs="Calibri"/>
                <w:color w:val="auto"/>
                <w:sz w:val="24"/>
              </w:rPr>
              <w:t>建设单位拟采取以下降噪措施：</w:t>
            </w:r>
          </w:p>
          <w:p>
            <w:pPr>
              <w:snapToGrid w:val="0"/>
              <w:spacing w:line="360" w:lineRule="auto"/>
              <w:ind w:firstLine="480" w:firstLineChars="200"/>
              <w:rPr>
                <w:rFonts w:ascii="Calibri" w:hAnsi="Calibri" w:cs="Calibri"/>
                <w:color w:val="auto"/>
                <w:sz w:val="24"/>
              </w:rPr>
            </w:pPr>
            <w:r>
              <w:rPr>
                <w:rFonts w:hint="eastAsia" w:ascii="宋体" w:hAnsi="宋体" w:cs="宋体"/>
                <w:color w:val="auto"/>
                <w:sz w:val="24"/>
              </w:rPr>
              <w:t>①</w:t>
            </w:r>
            <w:r>
              <w:rPr>
                <w:rFonts w:ascii="Calibri" w:hAnsi="Calibri" w:cs="Calibri"/>
                <w:color w:val="auto"/>
                <w:sz w:val="24"/>
              </w:rPr>
              <w:t>控制设备噪声</w:t>
            </w:r>
          </w:p>
          <w:p>
            <w:pPr>
              <w:snapToGrid w:val="0"/>
              <w:spacing w:line="360" w:lineRule="auto"/>
              <w:ind w:firstLine="480" w:firstLineChars="200"/>
              <w:rPr>
                <w:rFonts w:ascii="Calibri" w:hAnsi="Calibri" w:cs="Calibri"/>
                <w:color w:val="auto"/>
                <w:sz w:val="24"/>
              </w:rPr>
            </w:pPr>
            <w:r>
              <w:rPr>
                <w:rFonts w:ascii="Calibri" w:hAnsi="Calibri" w:cs="Calibri"/>
                <w:color w:val="auto"/>
                <w:sz w:val="24"/>
              </w:rPr>
              <w:t>在设备选型时选用先进的低噪声</w:t>
            </w:r>
            <w:r>
              <w:rPr>
                <w:rFonts w:hint="eastAsia" w:ascii="Calibri" w:hAnsi="Calibri" w:cs="Calibri"/>
                <w:color w:val="auto"/>
                <w:sz w:val="24"/>
              </w:rPr>
              <w:t>风机，</w:t>
            </w:r>
            <w:r>
              <w:rPr>
                <w:rFonts w:ascii="Calibri" w:hAnsi="Calibri" w:cs="Calibri"/>
                <w:color w:val="auto"/>
                <w:sz w:val="24"/>
              </w:rPr>
              <w:t>尽量选用满足国际标准的低噪声、低振动型号的设备，降低噪声源强。</w:t>
            </w:r>
          </w:p>
          <w:p>
            <w:pPr>
              <w:snapToGrid w:val="0"/>
              <w:spacing w:line="360" w:lineRule="auto"/>
              <w:ind w:firstLine="480" w:firstLineChars="200"/>
              <w:rPr>
                <w:rFonts w:ascii="Calibri" w:hAnsi="Calibri" w:cs="Calibri"/>
                <w:color w:val="auto"/>
                <w:sz w:val="24"/>
              </w:rPr>
            </w:pPr>
            <w:r>
              <w:rPr>
                <w:rFonts w:hint="eastAsia" w:ascii="宋体" w:hAnsi="宋体" w:cs="宋体"/>
                <w:color w:val="auto"/>
                <w:sz w:val="24"/>
              </w:rPr>
              <w:t>②</w:t>
            </w:r>
            <w:r>
              <w:rPr>
                <w:rFonts w:ascii="Calibri" w:hAnsi="Calibri" w:cs="Calibri"/>
                <w:color w:val="auto"/>
                <w:sz w:val="24"/>
              </w:rPr>
              <w:t>设备减振、消声器</w:t>
            </w:r>
          </w:p>
          <w:p>
            <w:pPr>
              <w:snapToGrid w:val="0"/>
              <w:spacing w:line="360" w:lineRule="auto"/>
              <w:ind w:firstLine="480" w:firstLineChars="200"/>
              <w:rPr>
                <w:rFonts w:ascii="Calibri" w:hAnsi="Calibri" w:cs="Calibri"/>
                <w:color w:val="auto"/>
                <w:sz w:val="24"/>
              </w:rPr>
            </w:pPr>
            <w:r>
              <w:rPr>
                <w:rFonts w:hint="eastAsia" w:ascii="Calibri" w:hAnsi="Calibri" w:cs="Calibri"/>
                <w:color w:val="auto"/>
                <w:sz w:val="24"/>
              </w:rPr>
              <w:t>风机</w:t>
            </w:r>
            <w:r>
              <w:rPr>
                <w:rFonts w:ascii="Calibri" w:hAnsi="Calibri" w:cs="Calibri"/>
                <w:color w:val="auto"/>
                <w:sz w:val="24"/>
              </w:rPr>
              <w:t>安装减震底座，进出口加装消声器。</w:t>
            </w:r>
          </w:p>
          <w:p>
            <w:pPr>
              <w:snapToGrid w:val="0"/>
              <w:spacing w:line="360" w:lineRule="auto"/>
              <w:ind w:firstLine="480" w:firstLineChars="200"/>
              <w:rPr>
                <w:rFonts w:ascii="Calibri" w:hAnsi="Calibri" w:cs="Calibri"/>
                <w:color w:val="auto"/>
                <w:sz w:val="24"/>
              </w:rPr>
            </w:pPr>
            <w:r>
              <w:rPr>
                <w:rFonts w:hint="eastAsia" w:ascii="宋体" w:hAnsi="宋体" w:cs="宋体"/>
                <w:color w:val="auto"/>
                <w:sz w:val="24"/>
              </w:rPr>
              <w:t>③</w:t>
            </w:r>
            <w:r>
              <w:rPr>
                <w:rFonts w:ascii="Calibri" w:hAnsi="Calibri" w:cs="Calibri"/>
                <w:color w:val="auto"/>
                <w:sz w:val="24"/>
              </w:rPr>
              <w:t>强化生产管理</w:t>
            </w:r>
          </w:p>
          <w:p>
            <w:pPr>
              <w:snapToGrid w:val="0"/>
              <w:spacing w:line="360" w:lineRule="auto"/>
              <w:ind w:firstLine="480" w:firstLineChars="200"/>
              <w:rPr>
                <w:rFonts w:ascii="Calibri" w:hAnsi="Calibri" w:cs="Calibri"/>
                <w:color w:val="auto"/>
                <w:sz w:val="24"/>
              </w:rPr>
            </w:pPr>
            <w:r>
              <w:rPr>
                <w:rFonts w:ascii="Calibri" w:hAnsi="Calibri" w:cs="Calibri"/>
                <w:color w:val="auto"/>
                <w:sz w:val="24"/>
              </w:rPr>
              <w:t>确保各类防治措施有效运行，各设备均保持良好运行状态，防止突发噪声。</w:t>
            </w:r>
          </w:p>
          <w:p>
            <w:pPr>
              <w:spacing w:line="360" w:lineRule="auto"/>
              <w:ind w:firstLine="480" w:firstLineChars="200"/>
              <w:rPr>
                <w:rFonts w:ascii="Times New Roman" w:hAnsi="Times New Roman" w:cs="Calibri"/>
                <w:snapToGrid w:val="0"/>
                <w:color w:val="auto"/>
                <w:sz w:val="30"/>
                <w:szCs w:val="30"/>
              </w:rPr>
            </w:pPr>
            <w:r>
              <w:rPr>
                <w:rFonts w:ascii="Calibri" w:hAnsi="Calibri" w:cs="Calibri"/>
                <w:color w:val="auto"/>
                <w:sz w:val="24"/>
              </w:rPr>
              <w:t>建设项目</w:t>
            </w:r>
            <w:r>
              <w:rPr>
                <w:rFonts w:hint="eastAsia" w:ascii="Calibri" w:hAnsi="Calibri" w:cs="Calibri"/>
                <w:color w:val="auto"/>
                <w:sz w:val="24"/>
              </w:rPr>
              <w:t>主要噪声源强</w:t>
            </w:r>
            <w:r>
              <w:rPr>
                <w:rFonts w:ascii="Calibri" w:hAnsi="Calibri" w:cs="Calibri"/>
                <w:color w:val="auto"/>
                <w:sz w:val="24"/>
              </w:rPr>
              <w:t>情况见</w:t>
            </w:r>
            <w:r>
              <w:rPr>
                <w:rFonts w:hint="eastAsia" w:ascii="Calibri" w:hAnsi="Calibri" w:cs="Calibri"/>
                <w:color w:val="auto"/>
                <w:sz w:val="24"/>
              </w:rPr>
              <w:t>下</w:t>
            </w:r>
            <w:r>
              <w:rPr>
                <w:rFonts w:ascii="Calibri" w:hAnsi="Calibri" w:cs="Calibri"/>
                <w:color w:val="auto"/>
                <w:sz w:val="24"/>
              </w:rPr>
              <w:t>表</w:t>
            </w:r>
            <w:r>
              <w:rPr>
                <w:rFonts w:hint="eastAsia" w:ascii="Calibri" w:hAnsi="Calibri" w:cs="Calibri"/>
                <w:color w:val="auto"/>
                <w:sz w:val="24"/>
              </w:rPr>
              <w:t>。</w:t>
            </w:r>
          </w:p>
          <w:p>
            <w:pPr>
              <w:pStyle w:val="23"/>
              <w:jc w:val="center"/>
              <w:outlineLvl w:val="0"/>
              <w:rPr>
                <w:rFonts w:ascii="Times New Roman" w:hAnsi="Times New Roman" w:cs="Calibri"/>
                <w:snapToGrid w:val="0"/>
                <w:color w:val="auto"/>
                <w:sz w:val="30"/>
                <w:szCs w:val="30"/>
              </w:rPr>
            </w:pPr>
          </w:p>
        </w:tc>
      </w:tr>
    </w:tbl>
    <w:p>
      <w:pPr>
        <w:pStyle w:val="2"/>
        <w:rPr>
          <w:snapToGrid w:val="0"/>
          <w:color w:val="auto"/>
        </w:rPr>
      </w:pPr>
      <w:r>
        <w:rPr>
          <w:snapToGrid w:val="0"/>
          <w:color w:val="auto"/>
        </w:rPr>
        <w:br w:type="page"/>
      </w:r>
    </w:p>
    <w:p>
      <w:pPr>
        <w:pStyle w:val="23"/>
        <w:jc w:val="center"/>
        <w:outlineLvl w:val="0"/>
        <w:rPr>
          <w:rFonts w:ascii="Times New Roman" w:hAnsi="Times New Roman"/>
          <w:snapToGrid w:val="0"/>
          <w:color w:val="auto"/>
          <w:sz w:val="30"/>
          <w:szCs w:val="30"/>
        </w:rPr>
        <w:sectPr>
          <w:pgSz w:w="11906" w:h="16838"/>
          <w:pgMar w:top="1440" w:right="1797" w:bottom="1440" w:left="1797" w:header="851" w:footer="992" w:gutter="0"/>
          <w:pgBorders>
            <w:top w:val="none" w:sz="0" w:space="0"/>
            <w:left w:val="none" w:sz="0" w:space="0"/>
            <w:bottom w:val="none" w:sz="0" w:space="0"/>
            <w:right w:val="none" w:sz="0" w:space="0"/>
          </w:pgBorders>
          <w:cols w:space="0" w:num="1"/>
          <w:docGrid w:type="lines" w:linePitch="319" w:charSpace="0"/>
        </w:sectPr>
      </w:pPr>
    </w:p>
    <w:tbl>
      <w:tblPr>
        <w:tblStyle w:val="2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3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2" w:hRule="atLeast"/>
        </w:trPr>
        <w:tc>
          <w:tcPr>
            <w:tcW w:w="451" w:type="dxa"/>
          </w:tcPr>
          <w:p>
            <w:pPr>
              <w:pStyle w:val="23"/>
              <w:jc w:val="center"/>
              <w:outlineLvl w:val="0"/>
              <w:rPr>
                <w:rFonts w:ascii="Times New Roman" w:hAnsi="Times New Roman" w:cs="Calibri"/>
                <w:snapToGrid w:val="0"/>
                <w:color w:val="auto"/>
                <w:sz w:val="30"/>
                <w:szCs w:val="30"/>
              </w:rPr>
            </w:pPr>
          </w:p>
        </w:tc>
        <w:tc>
          <w:tcPr>
            <w:tcW w:w="13723" w:type="dxa"/>
          </w:tcPr>
          <w:p>
            <w:pPr>
              <w:pStyle w:val="6"/>
              <w:keepNext w:val="0"/>
              <w:keepLines w:val="0"/>
              <w:pageBreakBefore w:val="0"/>
              <w:widowControl w:val="0"/>
              <w:numPr>
                <w:ilvl w:val="0"/>
                <w:numId w:val="16"/>
              </w:numPr>
              <w:kinsoku/>
              <w:wordWrap/>
              <w:overflowPunct/>
              <w:topLinePunct w:val="0"/>
              <w:autoSpaceDE/>
              <w:autoSpaceDN/>
              <w:bidi w:val="0"/>
              <w:adjustRightInd w:val="0"/>
              <w:snapToGrid w:val="0"/>
              <w:ind w:left="0" w:firstLine="0" w:firstLineChars="0"/>
              <w:jc w:val="center"/>
              <w:textAlignment w:val="auto"/>
              <w:rPr>
                <w:rFonts w:ascii="Calibri" w:hAnsi="Calibri" w:cs="Calibri"/>
                <w:b/>
                <w:bCs/>
                <w:snapToGrid w:val="0"/>
                <w:color w:val="auto"/>
                <w:kern w:val="0"/>
                <w:sz w:val="24"/>
              </w:rPr>
            </w:pPr>
            <w:r>
              <w:rPr>
                <w:rFonts w:ascii="Calibri" w:hAnsi="Calibri" w:cs="Calibri"/>
                <w:b/>
                <w:bCs/>
                <w:snapToGrid w:val="0"/>
                <w:color w:val="auto"/>
                <w:kern w:val="0"/>
                <w:sz w:val="24"/>
              </w:rPr>
              <w:t>工业企业噪声源强调查清单</w:t>
            </w:r>
            <w:r>
              <w:rPr>
                <w:rFonts w:hint="eastAsia" w:ascii="Calibri" w:hAnsi="Calibri" w:cs="Calibri"/>
                <w:b/>
                <w:bCs/>
                <w:snapToGrid w:val="0"/>
                <w:color w:val="auto"/>
                <w:kern w:val="0"/>
                <w:sz w:val="24"/>
              </w:rPr>
              <w:t>（室内声源）</w:t>
            </w:r>
          </w:p>
          <w:tbl>
            <w:tblPr>
              <w:tblStyle w:val="26"/>
              <w:tblpPr w:leftFromText="180" w:rightFromText="180" w:vertAnchor="text" w:horzAnchor="page" w:tblpX="198" w:tblpY="283"/>
              <w:tblOverlap w:val="never"/>
              <w:tblW w:w="1337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84"/>
              <w:gridCol w:w="531"/>
              <w:gridCol w:w="886"/>
              <w:gridCol w:w="1701"/>
              <w:gridCol w:w="484"/>
              <w:gridCol w:w="804"/>
              <w:gridCol w:w="685"/>
              <w:gridCol w:w="606"/>
              <w:gridCol w:w="672"/>
              <w:gridCol w:w="554"/>
              <w:gridCol w:w="606"/>
              <w:gridCol w:w="619"/>
              <w:gridCol w:w="672"/>
              <w:gridCol w:w="830"/>
              <w:gridCol w:w="672"/>
              <w:gridCol w:w="790"/>
              <w:gridCol w:w="487"/>
              <w:gridCol w:w="790"/>
              <w:gridCol w:w="70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2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序号</w:t>
                  </w:r>
                </w:p>
              </w:tc>
              <w:tc>
                <w:tcPr>
                  <w:tcW w:w="53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建筑物名称</w:t>
                  </w:r>
                </w:p>
              </w:tc>
              <w:tc>
                <w:tcPr>
                  <w:tcW w:w="8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声源</w:t>
                  </w:r>
                </w:p>
              </w:tc>
              <w:tc>
                <w:tcPr>
                  <w:tcW w:w="170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型号</w:t>
                  </w:r>
                </w:p>
              </w:tc>
              <w:tc>
                <w:tcPr>
                  <w:tcW w:w="4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设备数量</w:t>
                  </w:r>
                </w:p>
              </w:tc>
              <w:tc>
                <w:tcPr>
                  <w:tcW w:w="80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单台声功率级/dB(A)</w:t>
                  </w:r>
                </w:p>
              </w:tc>
              <w:tc>
                <w:tcPr>
                  <w:tcW w:w="685"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声源控制措施</w:t>
                  </w:r>
                </w:p>
              </w:tc>
              <w:tc>
                <w:tcPr>
                  <w:tcW w:w="1832" w:type="dxa"/>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空间相对位置</w:t>
                  </w:r>
                </w:p>
              </w:tc>
              <w:tc>
                <w:tcPr>
                  <w:tcW w:w="1225" w:type="dxa"/>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距室内边界距离/m</w:t>
                  </w:r>
                </w:p>
              </w:tc>
              <w:tc>
                <w:tcPr>
                  <w:tcW w:w="1502" w:type="dxa"/>
                  <w:gridSpan w:val="2"/>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室内边界声级/dB(A)</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运行时段</w:t>
                  </w:r>
                </w:p>
              </w:tc>
              <w:tc>
                <w:tcPr>
                  <w:tcW w:w="79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建筑物插入损失/dB(A)</w:t>
                  </w:r>
                </w:p>
              </w:tc>
              <w:tc>
                <w:tcPr>
                  <w:tcW w:w="1977" w:type="dxa"/>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建筑物外噪声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b/>
                      <w:bCs/>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b/>
                      <w:bCs/>
                      <w:color w:val="auto"/>
                      <w:szCs w:val="21"/>
                    </w:rPr>
                  </w:pPr>
                </w:p>
              </w:tc>
              <w:tc>
                <w:tcPr>
                  <w:tcW w:w="88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名称</w:t>
                  </w: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b/>
                      <w:bCs/>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b/>
                      <w:bCs/>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b/>
                      <w:bCs/>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b/>
                      <w:bCs/>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X</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Y</w:t>
                  </w:r>
                </w:p>
              </w:tc>
              <w:tc>
                <w:tcPr>
                  <w:tcW w:w="55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Z</w:t>
                  </w: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方向</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距离</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方向</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声级</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b/>
                      <w:bCs/>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b/>
                      <w:bCs/>
                      <w:color w:val="auto"/>
                      <w:szCs w:val="21"/>
                    </w:rPr>
                  </w:pPr>
                </w:p>
              </w:tc>
              <w:tc>
                <w:tcPr>
                  <w:tcW w:w="4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方向</w:t>
                  </w:r>
                </w:p>
              </w:tc>
              <w:tc>
                <w:tcPr>
                  <w:tcW w:w="79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声压级/dB(A)</w:t>
                  </w:r>
                </w:p>
              </w:tc>
              <w:tc>
                <w:tcPr>
                  <w:tcW w:w="70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b/>
                      <w:bCs/>
                      <w:color w:val="auto"/>
                      <w:szCs w:val="21"/>
                    </w:rPr>
                  </w:pPr>
                  <w:r>
                    <w:rPr>
                      <w:b/>
                      <w:bCs/>
                      <w:color w:val="auto"/>
                      <w:kern w:val="0"/>
                      <w:szCs w:val="21"/>
                      <w:lang w:bidi="ar"/>
                    </w:rPr>
                    <w:t>建筑外距离/m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w:t>
                  </w:r>
                </w:p>
              </w:tc>
              <w:tc>
                <w:tcPr>
                  <w:tcW w:w="53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车间三</w:t>
                  </w:r>
                </w:p>
              </w:tc>
              <w:tc>
                <w:tcPr>
                  <w:tcW w:w="88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喷粉前处理</w:t>
                  </w:r>
                </w:p>
              </w:tc>
              <w:tc>
                <w:tcPr>
                  <w:tcW w:w="170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szCs w:val="21"/>
                    </w:rPr>
                    <w:t>—</w:t>
                  </w:r>
                  <w:r>
                    <w:rPr>
                      <w:color w:val="auto"/>
                    </w:rPr>
                    <w:commentReference w:id="32"/>
                  </w:r>
                </w:p>
              </w:tc>
              <w:tc>
                <w:tcPr>
                  <w:tcW w:w="4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w:t>
                  </w:r>
                </w:p>
              </w:tc>
              <w:tc>
                <w:tcPr>
                  <w:tcW w:w="80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80</w:t>
                  </w:r>
                </w:p>
              </w:tc>
              <w:tc>
                <w:tcPr>
                  <w:tcW w:w="685"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厂房隔声、距离衰减</w:t>
                  </w:r>
                </w:p>
              </w:tc>
              <w:tc>
                <w:tcPr>
                  <w:tcW w:w="60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50</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127</w:t>
                  </w:r>
                </w:p>
              </w:tc>
              <w:tc>
                <w:tcPr>
                  <w:tcW w:w="55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w:t>
                  </w: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28</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53.8 </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7200</w:t>
                  </w:r>
                </w:p>
              </w:tc>
              <w:tc>
                <w:tcPr>
                  <w:tcW w:w="79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25</w:t>
                  </w:r>
                </w:p>
              </w:tc>
              <w:tc>
                <w:tcPr>
                  <w:tcW w:w="48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79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56.9 </w:t>
                  </w:r>
                </w:p>
              </w:tc>
              <w:tc>
                <w:tcPr>
                  <w:tcW w:w="70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15</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54.2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32</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53.7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55.5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79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57.6 </w:t>
                  </w:r>
                </w:p>
              </w:tc>
              <w:tc>
                <w:tcPr>
                  <w:tcW w:w="70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联合烘干炉 </w:t>
                  </w:r>
                </w:p>
              </w:tc>
              <w:tc>
                <w:tcPr>
                  <w:tcW w:w="170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42m×3.7m×6.65m</w:t>
                  </w:r>
                </w:p>
              </w:tc>
              <w:tc>
                <w:tcPr>
                  <w:tcW w:w="4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w:t>
                  </w:r>
                </w:p>
              </w:tc>
              <w:tc>
                <w:tcPr>
                  <w:tcW w:w="80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80</w:t>
                  </w: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50</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110</w:t>
                  </w:r>
                </w:p>
              </w:tc>
              <w:tc>
                <w:tcPr>
                  <w:tcW w:w="55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w:t>
                  </w: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28</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53.8 </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4800</w:t>
                  </w: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10</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54.9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32</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53.7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79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57.0 </w:t>
                  </w:r>
                </w:p>
              </w:tc>
              <w:tc>
                <w:tcPr>
                  <w:tcW w:w="70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13</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54.4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喷粉室</w:t>
                  </w:r>
                </w:p>
              </w:tc>
              <w:tc>
                <w:tcPr>
                  <w:tcW w:w="170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12m×8.6m×4.5m</w:t>
                  </w:r>
                </w:p>
              </w:tc>
              <w:tc>
                <w:tcPr>
                  <w:tcW w:w="4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w:t>
                  </w:r>
                </w:p>
              </w:tc>
              <w:tc>
                <w:tcPr>
                  <w:tcW w:w="80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80</w:t>
                  </w: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40</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110</w:t>
                  </w:r>
                </w:p>
              </w:tc>
              <w:tc>
                <w:tcPr>
                  <w:tcW w:w="55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w:t>
                  </w: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42</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53.7 </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4800</w:t>
                  </w: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15</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54.2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79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58.3 </w:t>
                  </w:r>
                </w:p>
              </w:tc>
              <w:tc>
                <w:tcPr>
                  <w:tcW w:w="70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18</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54.0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55.5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w:t>
                  </w:r>
                </w:p>
              </w:tc>
              <w:tc>
                <w:tcPr>
                  <w:tcW w:w="53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车间二</w:t>
                  </w:r>
                </w:p>
              </w:tc>
              <w:tc>
                <w:tcPr>
                  <w:tcW w:w="88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液压机</w:t>
                  </w:r>
                </w:p>
              </w:tc>
              <w:tc>
                <w:tcPr>
                  <w:tcW w:w="170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YF32-500、YA32-315F</w:t>
                  </w:r>
                </w:p>
              </w:tc>
              <w:tc>
                <w:tcPr>
                  <w:tcW w:w="4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w:t>
                  </w:r>
                </w:p>
              </w:tc>
              <w:tc>
                <w:tcPr>
                  <w:tcW w:w="80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80</w:t>
                  </w:r>
                </w:p>
              </w:tc>
              <w:tc>
                <w:tcPr>
                  <w:tcW w:w="685"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厂房隔声、距离衰减</w:t>
                  </w:r>
                </w:p>
              </w:tc>
              <w:tc>
                <w:tcPr>
                  <w:tcW w:w="60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51</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72</w:t>
                  </w:r>
                </w:p>
              </w:tc>
              <w:tc>
                <w:tcPr>
                  <w:tcW w:w="55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w:t>
                  </w: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9</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62.3 </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7200</w:t>
                  </w:r>
                </w:p>
              </w:tc>
              <w:tc>
                <w:tcPr>
                  <w:tcW w:w="79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25</w:t>
                  </w:r>
                </w:p>
              </w:tc>
              <w:tc>
                <w:tcPr>
                  <w:tcW w:w="48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79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64.3 </w:t>
                  </w:r>
                </w:p>
              </w:tc>
              <w:tc>
                <w:tcPr>
                  <w:tcW w:w="70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27</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60.0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53</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59.8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15</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60.8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79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64.8 </w:t>
                  </w:r>
                </w:p>
              </w:tc>
              <w:tc>
                <w:tcPr>
                  <w:tcW w:w="70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63"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压力机</w:t>
                  </w:r>
                </w:p>
              </w:tc>
              <w:tc>
                <w:tcPr>
                  <w:tcW w:w="170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YF27-500、YF27-315、JD36-400、JH36-250B、J36-250C、JH21-250B、SH21-200B、JH21-200B、JH21-160B、JH21-160、JH21-110、JH21-80</w:t>
                  </w:r>
                </w:p>
              </w:tc>
              <w:tc>
                <w:tcPr>
                  <w:tcW w:w="4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44</w:t>
                  </w:r>
                </w:p>
              </w:tc>
              <w:tc>
                <w:tcPr>
                  <w:tcW w:w="80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75</w:t>
                  </w: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10</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59</w:t>
                  </w:r>
                </w:p>
              </w:tc>
              <w:tc>
                <w:tcPr>
                  <w:tcW w:w="55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w:t>
                  </w: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23</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62.6 </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7200</w:t>
                  </w: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63"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9</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64.7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63"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65.2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79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65.6 </w:t>
                  </w:r>
                </w:p>
              </w:tc>
              <w:tc>
                <w:tcPr>
                  <w:tcW w:w="70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6</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66.7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气点焊机</w:t>
                  </w:r>
                </w:p>
              </w:tc>
              <w:tc>
                <w:tcPr>
                  <w:tcW w:w="170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DN-49KVA</w:t>
                  </w:r>
                </w:p>
              </w:tc>
              <w:tc>
                <w:tcPr>
                  <w:tcW w:w="4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rFonts w:hint="eastAsia" w:eastAsia="宋体"/>
                      <w:color w:val="auto"/>
                      <w:szCs w:val="21"/>
                      <w:lang w:eastAsia="zh-CN"/>
                    </w:rPr>
                  </w:pPr>
                  <w:r>
                    <w:rPr>
                      <w:rFonts w:hint="eastAsia"/>
                      <w:color w:val="auto"/>
                      <w:kern w:val="0"/>
                      <w:szCs w:val="21"/>
                      <w:lang w:val="en-US" w:eastAsia="zh-CN" w:bidi="ar"/>
                    </w:rPr>
                    <w:t>4</w:t>
                  </w:r>
                </w:p>
              </w:tc>
              <w:tc>
                <w:tcPr>
                  <w:tcW w:w="80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80</w:t>
                  </w: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53</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64</w:t>
                  </w:r>
                </w:p>
              </w:tc>
              <w:tc>
                <w:tcPr>
                  <w:tcW w:w="55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w:t>
                  </w: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25</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55.8 </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7200</w:t>
                  </w: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17</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56.3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79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66.4 </w:t>
                  </w:r>
                </w:p>
              </w:tc>
              <w:tc>
                <w:tcPr>
                  <w:tcW w:w="70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45</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55.5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21</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56.0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3</w:t>
                  </w:r>
                </w:p>
              </w:tc>
              <w:tc>
                <w:tcPr>
                  <w:tcW w:w="53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车间一</w:t>
                  </w:r>
                </w:p>
              </w:tc>
              <w:tc>
                <w:tcPr>
                  <w:tcW w:w="88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液压摆式剪板机</w:t>
                  </w:r>
                </w:p>
              </w:tc>
              <w:tc>
                <w:tcPr>
                  <w:tcW w:w="170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QC12Y-4</w:t>
                  </w:r>
                </w:p>
              </w:tc>
              <w:tc>
                <w:tcPr>
                  <w:tcW w:w="4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rFonts w:hint="eastAsia" w:eastAsia="宋体"/>
                      <w:color w:val="auto"/>
                      <w:szCs w:val="21"/>
                      <w:lang w:eastAsia="zh-CN"/>
                    </w:rPr>
                  </w:pPr>
                  <w:r>
                    <w:rPr>
                      <w:rFonts w:hint="eastAsia"/>
                      <w:color w:val="auto"/>
                      <w:kern w:val="0"/>
                      <w:szCs w:val="21"/>
                      <w:lang w:val="en-US" w:eastAsia="zh-CN" w:bidi="ar"/>
                    </w:rPr>
                    <w:t>1</w:t>
                  </w:r>
                </w:p>
              </w:tc>
              <w:tc>
                <w:tcPr>
                  <w:tcW w:w="80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80</w:t>
                  </w: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20</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w:t>
                  </w:r>
                </w:p>
              </w:tc>
              <w:tc>
                <w:tcPr>
                  <w:tcW w:w="55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w:t>
                  </w: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24</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58.0 </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4800</w:t>
                  </w:r>
                </w:p>
              </w:tc>
              <w:tc>
                <w:tcPr>
                  <w:tcW w:w="79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25</w:t>
                  </w:r>
                </w:p>
              </w:tc>
              <w:tc>
                <w:tcPr>
                  <w:tcW w:w="48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79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63.2 </w:t>
                  </w:r>
                </w:p>
              </w:tc>
              <w:tc>
                <w:tcPr>
                  <w:tcW w:w="70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39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5</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61.9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20</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58.2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43</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57.9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型材切割机</w:t>
                  </w:r>
                </w:p>
              </w:tc>
              <w:tc>
                <w:tcPr>
                  <w:tcW w:w="170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J3GG-400</w:t>
                  </w:r>
                </w:p>
              </w:tc>
              <w:tc>
                <w:tcPr>
                  <w:tcW w:w="4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w:t>
                  </w:r>
                </w:p>
              </w:tc>
              <w:tc>
                <w:tcPr>
                  <w:tcW w:w="80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80</w:t>
                  </w: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20</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w:t>
                  </w:r>
                </w:p>
              </w:tc>
              <w:tc>
                <w:tcPr>
                  <w:tcW w:w="55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w:t>
                  </w: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24</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53.3 </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4800</w:t>
                  </w: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5</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57.1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79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64.7 </w:t>
                  </w:r>
                </w:p>
              </w:tc>
              <w:tc>
                <w:tcPr>
                  <w:tcW w:w="70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18</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53.5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43</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53.1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250mm落地式砂轮机</w:t>
                  </w:r>
                </w:p>
              </w:tc>
              <w:tc>
                <w:tcPr>
                  <w:tcW w:w="170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MS3025</w:t>
                  </w:r>
                </w:p>
              </w:tc>
              <w:tc>
                <w:tcPr>
                  <w:tcW w:w="4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w:t>
                  </w:r>
                </w:p>
              </w:tc>
              <w:tc>
                <w:tcPr>
                  <w:tcW w:w="80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80</w:t>
                  </w: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20</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5</w:t>
                  </w:r>
                </w:p>
              </w:tc>
              <w:tc>
                <w:tcPr>
                  <w:tcW w:w="55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w:t>
                  </w: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24</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53.3 </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4800</w:t>
                  </w: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5</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57.1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20</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53.4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79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62.6 </w:t>
                  </w:r>
                </w:p>
              </w:tc>
              <w:tc>
                <w:tcPr>
                  <w:tcW w:w="70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8.0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43</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53.1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抛光盘</w:t>
                  </w:r>
                </w:p>
              </w:tc>
              <w:tc>
                <w:tcPr>
                  <w:tcW w:w="170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w:t>
                  </w:r>
                </w:p>
              </w:tc>
              <w:tc>
                <w:tcPr>
                  <w:tcW w:w="4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3</w:t>
                  </w:r>
                </w:p>
              </w:tc>
              <w:tc>
                <w:tcPr>
                  <w:tcW w:w="80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80</w:t>
                  </w: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28</w:t>
                  </w:r>
                </w:p>
              </w:tc>
              <w:tc>
                <w:tcPr>
                  <w:tcW w:w="55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w:t>
                  </w: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43</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57.9 </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6000</w:t>
                  </w: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50</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57.8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6</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61.0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63.2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79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63.4 </w:t>
                  </w:r>
                </w:p>
              </w:tc>
              <w:tc>
                <w:tcPr>
                  <w:tcW w:w="70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99.0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模具生产</w:t>
                  </w:r>
                </w:p>
              </w:tc>
              <w:tc>
                <w:tcPr>
                  <w:tcW w:w="170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台钻ZJ4116、Z4120、台式攻丝机SWJ-6B、摇臂钻床Z3050×16/1、车床CY6250/1000、工具磨HZ-618、铣床X6325T、磨床M7130H</w:t>
                  </w:r>
                </w:p>
              </w:tc>
              <w:tc>
                <w:tcPr>
                  <w:tcW w:w="4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w:t>
                  </w:r>
                </w:p>
              </w:tc>
              <w:tc>
                <w:tcPr>
                  <w:tcW w:w="80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80</w:t>
                  </w: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35</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w:t>
                  </w:r>
                </w:p>
              </w:tc>
              <w:tc>
                <w:tcPr>
                  <w:tcW w:w="55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w:t>
                  </w: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7</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64.6 </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2400</w:t>
                  </w: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69"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6</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65.3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79"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32</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62.2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30</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62.2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0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w:t>
                  </w:r>
                </w:p>
              </w:tc>
              <w:tc>
                <w:tcPr>
                  <w:tcW w:w="53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空压机房</w:t>
                  </w:r>
                </w:p>
              </w:tc>
              <w:tc>
                <w:tcPr>
                  <w:tcW w:w="88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空气压缩机</w:t>
                  </w:r>
                </w:p>
              </w:tc>
              <w:tc>
                <w:tcPr>
                  <w:tcW w:w="1701"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D-1.05/10、LGD37/021M</w:t>
                  </w:r>
                </w:p>
              </w:tc>
              <w:tc>
                <w:tcPr>
                  <w:tcW w:w="48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2</w:t>
                  </w:r>
                </w:p>
              </w:tc>
              <w:tc>
                <w:tcPr>
                  <w:tcW w:w="80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80</w:t>
                  </w:r>
                </w:p>
              </w:tc>
              <w:tc>
                <w:tcPr>
                  <w:tcW w:w="685"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厂房隔声、距离衰减</w:t>
                  </w:r>
                </w:p>
              </w:tc>
              <w:tc>
                <w:tcPr>
                  <w:tcW w:w="60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7</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90</w:t>
                  </w:r>
                </w:p>
              </w:tc>
              <w:tc>
                <w:tcPr>
                  <w:tcW w:w="554"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w:t>
                  </w: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rFonts w:hint="eastAsia" w:eastAsia="宋体"/>
                      <w:color w:val="auto"/>
                      <w:szCs w:val="21"/>
                      <w:lang w:val="en-US" w:eastAsia="zh-CN"/>
                    </w:rPr>
                  </w:pPr>
                  <w:r>
                    <w:rPr>
                      <w:rFonts w:hint="eastAsia"/>
                      <w:color w:val="auto"/>
                      <w:szCs w:val="21"/>
                      <w:lang w:val="en-US" w:eastAsia="zh-CN"/>
                    </w:rPr>
                    <w:t>3</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79.9 </w:t>
                  </w:r>
                </w:p>
              </w:tc>
              <w:tc>
                <w:tcPr>
                  <w:tcW w:w="67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7200</w:t>
                  </w:r>
                </w:p>
              </w:tc>
              <w:tc>
                <w:tcPr>
                  <w:tcW w:w="79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30</w:t>
                  </w:r>
                </w:p>
              </w:tc>
              <w:tc>
                <w:tcPr>
                  <w:tcW w:w="4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东</w:t>
                  </w:r>
                </w:p>
              </w:tc>
              <w:tc>
                <w:tcPr>
                  <w:tcW w:w="79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72.</w:t>
                  </w:r>
                  <w:r>
                    <w:rPr>
                      <w:rFonts w:hint="eastAsia"/>
                      <w:color w:val="auto"/>
                      <w:kern w:val="0"/>
                      <w:szCs w:val="21"/>
                      <w:lang w:val="en-US" w:eastAsia="zh-CN" w:bidi="ar"/>
                    </w:rPr>
                    <w:t>1</w:t>
                  </w:r>
                  <w:r>
                    <w:rPr>
                      <w:color w:val="auto"/>
                      <w:kern w:val="0"/>
                      <w:szCs w:val="21"/>
                      <w:lang w:bidi="ar"/>
                    </w:rPr>
                    <w:t xml:space="preserve"> </w:t>
                  </w:r>
                </w:p>
              </w:tc>
              <w:tc>
                <w:tcPr>
                  <w:tcW w:w="70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rFonts w:hint="eastAsia" w:eastAsia="宋体"/>
                      <w:color w:val="auto"/>
                      <w:szCs w:val="21"/>
                      <w:lang w:val="en-US" w:eastAsia="zh-CN"/>
                    </w:rPr>
                  </w:pPr>
                  <w:r>
                    <w:rPr>
                      <w:rFonts w:hint="eastAsia"/>
                      <w:color w:val="auto"/>
                      <w:szCs w:val="21"/>
                      <w:lang w:val="en-US" w:eastAsia="zh-CN"/>
                    </w:rPr>
                    <w:t>3</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79.8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南</w:t>
                  </w:r>
                </w:p>
              </w:tc>
              <w:tc>
                <w:tcPr>
                  <w:tcW w:w="79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53.8 </w:t>
                  </w:r>
                </w:p>
              </w:tc>
              <w:tc>
                <w:tcPr>
                  <w:tcW w:w="70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91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rFonts w:hint="eastAsia" w:eastAsia="宋体"/>
                      <w:color w:val="auto"/>
                      <w:szCs w:val="21"/>
                      <w:lang w:val="en-US" w:eastAsia="zh-CN"/>
                    </w:rPr>
                  </w:pPr>
                  <w:r>
                    <w:rPr>
                      <w:rFonts w:hint="eastAsia"/>
                      <w:color w:val="auto"/>
                      <w:szCs w:val="21"/>
                      <w:lang w:val="en-US" w:eastAsia="zh-CN"/>
                    </w:rPr>
                    <w:t>4</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79.8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西</w:t>
                  </w:r>
                </w:p>
              </w:tc>
              <w:tc>
                <w:tcPr>
                  <w:tcW w:w="79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72.1 </w:t>
                  </w:r>
                </w:p>
              </w:tc>
              <w:tc>
                <w:tcPr>
                  <w:tcW w:w="70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2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3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8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1701"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80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8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554"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60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619"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rFonts w:hint="eastAsia" w:eastAsia="宋体"/>
                      <w:color w:val="auto"/>
                      <w:szCs w:val="21"/>
                      <w:lang w:val="en-US" w:eastAsia="zh-CN"/>
                    </w:rPr>
                  </w:pPr>
                  <w:r>
                    <w:rPr>
                      <w:rFonts w:hint="eastAsia"/>
                      <w:color w:val="auto"/>
                      <w:szCs w:val="21"/>
                      <w:lang w:val="en-US" w:eastAsia="zh-CN"/>
                    </w:rPr>
                    <w:t>4</w:t>
                  </w:r>
                </w:p>
              </w:tc>
              <w:tc>
                <w:tcPr>
                  <w:tcW w:w="672"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8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79.8 </w:t>
                  </w:r>
                </w:p>
              </w:tc>
              <w:tc>
                <w:tcPr>
                  <w:tcW w:w="672"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790"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color w:val="auto"/>
                      <w:szCs w:val="21"/>
                    </w:rPr>
                  </w:pPr>
                </w:p>
              </w:tc>
              <w:tc>
                <w:tcPr>
                  <w:tcW w:w="48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北</w:t>
                  </w:r>
                </w:p>
              </w:tc>
              <w:tc>
                <w:tcPr>
                  <w:tcW w:w="79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 xml:space="preserve">71.3 </w:t>
                  </w:r>
                </w:p>
              </w:tc>
              <w:tc>
                <w:tcPr>
                  <w:tcW w:w="70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center"/>
                    <w:rPr>
                      <w:color w:val="auto"/>
                      <w:szCs w:val="21"/>
                    </w:rPr>
                  </w:pPr>
                  <w:r>
                    <w:rPr>
                      <w:color w:val="auto"/>
                      <w:kern w:val="0"/>
                      <w:szCs w:val="21"/>
                      <w:lang w:bidi="ar"/>
                    </w:rPr>
                    <w:t>49</w:t>
                  </w:r>
                </w:p>
              </w:tc>
            </w:tr>
          </w:tbl>
          <w:p>
            <w:pPr>
              <w:pStyle w:val="13"/>
              <w:adjustRightInd w:val="0"/>
              <w:spacing w:line="360" w:lineRule="auto"/>
              <w:ind w:left="0" w:leftChars="0" w:right="0" w:rightChars="0"/>
              <w:rPr>
                <w:rFonts w:ascii="Calibri" w:hAnsi="Calibri" w:cs="Calibri"/>
                <w:color w:val="auto"/>
                <w:szCs w:val="21"/>
              </w:rPr>
            </w:pPr>
            <w:r>
              <w:rPr>
                <w:rFonts w:ascii="Calibri" w:hAnsi="Calibri" w:cs="Calibri"/>
                <w:color w:val="auto"/>
                <w:szCs w:val="21"/>
              </w:rPr>
              <w:t>注：选取车间</w:t>
            </w:r>
            <w:r>
              <w:rPr>
                <w:rFonts w:hint="eastAsia" w:ascii="Calibri" w:hAnsi="Calibri" w:cs="Calibri"/>
                <w:color w:val="auto"/>
                <w:szCs w:val="21"/>
              </w:rPr>
              <w:t>一</w:t>
            </w:r>
            <w:r>
              <w:rPr>
                <w:rFonts w:ascii="Calibri" w:hAnsi="Calibri" w:cs="Calibri"/>
                <w:color w:val="auto"/>
                <w:szCs w:val="21"/>
              </w:rPr>
              <w:t>西南角为0点，XYZ为设备相对0点位置。</w:t>
            </w:r>
          </w:p>
          <w:p>
            <w:pPr>
              <w:pStyle w:val="6"/>
              <w:numPr>
                <w:ilvl w:val="0"/>
                <w:numId w:val="16"/>
              </w:numPr>
              <w:adjustRightInd w:val="0"/>
              <w:snapToGrid w:val="0"/>
              <w:ind w:firstLineChars="0"/>
              <w:jc w:val="center"/>
              <w:rPr>
                <w:rFonts w:ascii="Calibri" w:hAnsi="Calibri" w:cs="Calibri"/>
                <w:b/>
                <w:bCs/>
                <w:color w:val="auto"/>
                <w:sz w:val="24"/>
              </w:rPr>
            </w:pPr>
            <w:r>
              <w:rPr>
                <w:rFonts w:ascii="Calibri" w:hAnsi="Calibri" w:cs="Calibri"/>
                <w:b/>
                <w:bCs/>
                <w:color w:val="auto"/>
                <w:sz w:val="24"/>
              </w:rPr>
              <w:t>工业企业噪声源强调查清单（室外声源）</w:t>
            </w:r>
          </w:p>
          <w:tbl>
            <w:tblPr>
              <w:tblStyle w:val="26"/>
              <w:tblW w:w="1284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108" w:type="dxa"/>
                <w:bottom w:w="0" w:type="dxa"/>
                <w:right w:w="108" w:type="dxa"/>
              </w:tblCellMar>
            </w:tblPr>
            <w:tblGrid>
              <w:gridCol w:w="876"/>
              <w:gridCol w:w="1284"/>
              <w:gridCol w:w="1283"/>
              <w:gridCol w:w="1132"/>
              <w:gridCol w:w="1080"/>
              <w:gridCol w:w="1080"/>
              <w:gridCol w:w="1080"/>
              <w:gridCol w:w="1080"/>
              <w:gridCol w:w="1080"/>
              <w:gridCol w:w="1611"/>
              <w:gridCol w:w="126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15" w:hRule="atLeast"/>
              </w:trPr>
              <w:tc>
                <w:tcPr>
                  <w:tcW w:w="876" w:type="dxa"/>
                  <w:vMerge w:val="restar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序号</w:t>
                  </w:r>
                </w:p>
              </w:tc>
              <w:tc>
                <w:tcPr>
                  <w:tcW w:w="1284" w:type="dxa"/>
                  <w:vMerge w:val="restar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声源名称</w:t>
                  </w:r>
                </w:p>
              </w:tc>
              <w:tc>
                <w:tcPr>
                  <w:tcW w:w="1283" w:type="dxa"/>
                  <w:vMerge w:val="restar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型号</w:t>
                  </w:r>
                </w:p>
              </w:tc>
              <w:tc>
                <w:tcPr>
                  <w:tcW w:w="3292" w:type="dxa"/>
                  <w:gridSpan w:val="3"/>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空间相对位置/m</w:t>
                  </w:r>
                </w:p>
              </w:tc>
              <w:tc>
                <w:tcPr>
                  <w:tcW w:w="3240" w:type="dxa"/>
                  <w:gridSpan w:val="3"/>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声源源强</w:t>
                  </w:r>
                </w:p>
              </w:tc>
              <w:tc>
                <w:tcPr>
                  <w:tcW w:w="1611" w:type="dxa"/>
                  <w:vMerge w:val="restar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声源控制措施</w:t>
                  </w:r>
                </w:p>
              </w:tc>
              <w:tc>
                <w:tcPr>
                  <w:tcW w:w="1260" w:type="dxa"/>
                  <w:vMerge w:val="restart"/>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运行时段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495" w:hRule="atLeast"/>
              </w:trPr>
              <w:tc>
                <w:tcPr>
                  <w:tcW w:w="876" w:type="dxa"/>
                  <w:vMerge w:val="continue"/>
                  <w:tcBorders>
                    <w:tl2br w:val="nil"/>
                    <w:tr2bl w:val="nil"/>
                  </w:tcBorders>
                  <w:shd w:val="clear" w:color="auto" w:fill="auto"/>
                  <w:vAlign w:val="center"/>
                </w:tcPr>
                <w:p>
                  <w:pPr>
                    <w:jc w:val="center"/>
                    <w:rPr>
                      <w:b/>
                      <w:bCs/>
                      <w:color w:val="auto"/>
                      <w:szCs w:val="21"/>
                    </w:rPr>
                  </w:pPr>
                </w:p>
              </w:tc>
              <w:tc>
                <w:tcPr>
                  <w:tcW w:w="1284" w:type="dxa"/>
                  <w:vMerge w:val="continue"/>
                  <w:tcBorders>
                    <w:tl2br w:val="nil"/>
                    <w:tr2bl w:val="nil"/>
                  </w:tcBorders>
                  <w:shd w:val="clear" w:color="auto" w:fill="auto"/>
                  <w:vAlign w:val="center"/>
                </w:tcPr>
                <w:p>
                  <w:pPr>
                    <w:jc w:val="center"/>
                    <w:rPr>
                      <w:b/>
                      <w:bCs/>
                      <w:color w:val="auto"/>
                      <w:szCs w:val="21"/>
                    </w:rPr>
                  </w:pPr>
                </w:p>
              </w:tc>
              <w:tc>
                <w:tcPr>
                  <w:tcW w:w="1283" w:type="dxa"/>
                  <w:vMerge w:val="continue"/>
                  <w:tcBorders>
                    <w:tl2br w:val="nil"/>
                    <w:tr2bl w:val="nil"/>
                  </w:tcBorders>
                  <w:shd w:val="clear" w:color="auto" w:fill="auto"/>
                  <w:vAlign w:val="center"/>
                </w:tcPr>
                <w:p>
                  <w:pPr>
                    <w:jc w:val="center"/>
                    <w:rPr>
                      <w:b/>
                      <w:bCs/>
                      <w:color w:val="auto"/>
                      <w:szCs w:val="21"/>
                    </w:rPr>
                  </w:pPr>
                </w:p>
              </w:tc>
              <w:tc>
                <w:tcPr>
                  <w:tcW w:w="1132" w:type="dxa"/>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X</w:t>
                  </w:r>
                </w:p>
              </w:tc>
              <w:tc>
                <w:tcPr>
                  <w:tcW w:w="1080" w:type="dxa"/>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Y</w:t>
                  </w:r>
                </w:p>
              </w:tc>
              <w:tc>
                <w:tcPr>
                  <w:tcW w:w="1080" w:type="dxa"/>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Z</w:t>
                  </w:r>
                </w:p>
              </w:tc>
              <w:tc>
                <w:tcPr>
                  <w:tcW w:w="1080" w:type="dxa"/>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声功率级dB(A)</w:t>
                  </w:r>
                </w:p>
              </w:tc>
              <w:tc>
                <w:tcPr>
                  <w:tcW w:w="2160" w:type="dxa"/>
                  <w:gridSpan w:val="2"/>
                  <w:tcBorders>
                    <w:tl2br w:val="nil"/>
                    <w:tr2bl w:val="nil"/>
                  </w:tcBorders>
                  <w:shd w:val="clear" w:color="auto" w:fill="auto"/>
                  <w:vAlign w:val="center"/>
                </w:tcPr>
                <w:p>
                  <w:pPr>
                    <w:widowControl/>
                    <w:jc w:val="center"/>
                    <w:textAlignment w:val="center"/>
                    <w:rPr>
                      <w:b/>
                      <w:bCs/>
                      <w:color w:val="auto"/>
                      <w:szCs w:val="21"/>
                    </w:rPr>
                  </w:pPr>
                  <w:r>
                    <w:rPr>
                      <w:b/>
                      <w:bCs/>
                      <w:color w:val="auto"/>
                      <w:kern w:val="0"/>
                      <w:szCs w:val="21"/>
                      <w:lang w:bidi="ar"/>
                    </w:rPr>
                    <w:t>距厂界距离/m</w:t>
                  </w:r>
                </w:p>
              </w:tc>
              <w:tc>
                <w:tcPr>
                  <w:tcW w:w="1611" w:type="dxa"/>
                  <w:vMerge w:val="continue"/>
                  <w:tcBorders>
                    <w:tl2br w:val="nil"/>
                    <w:tr2bl w:val="nil"/>
                  </w:tcBorders>
                  <w:shd w:val="clear" w:color="auto" w:fill="auto"/>
                  <w:vAlign w:val="center"/>
                </w:tcPr>
                <w:p>
                  <w:pPr>
                    <w:jc w:val="center"/>
                    <w:rPr>
                      <w:b/>
                      <w:bCs/>
                      <w:color w:val="auto"/>
                      <w:szCs w:val="21"/>
                    </w:rPr>
                  </w:pPr>
                </w:p>
              </w:tc>
              <w:tc>
                <w:tcPr>
                  <w:tcW w:w="1260" w:type="dxa"/>
                  <w:vMerge w:val="continue"/>
                  <w:tcBorders>
                    <w:tl2br w:val="nil"/>
                    <w:tr2bl w:val="nil"/>
                  </w:tcBorders>
                  <w:shd w:val="clear" w:color="auto" w:fill="auto"/>
                  <w:vAlign w:val="center"/>
                </w:tcPr>
                <w:p>
                  <w:pPr>
                    <w:jc w:val="center"/>
                    <w:rPr>
                      <w:b/>
                      <w:bCs/>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trPr>
              <w:tc>
                <w:tcPr>
                  <w:tcW w:w="876" w:type="dxa"/>
                  <w:vMerge w:val="restar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1</w:t>
                  </w:r>
                </w:p>
              </w:tc>
              <w:tc>
                <w:tcPr>
                  <w:tcW w:w="1284" w:type="dxa"/>
                  <w:vMerge w:val="restar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DA001排气筒配套风机</w:t>
                  </w:r>
                </w:p>
              </w:tc>
              <w:tc>
                <w:tcPr>
                  <w:tcW w:w="1283" w:type="dxa"/>
                  <w:vMerge w:val="restar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3000m</w:t>
                  </w:r>
                  <w:r>
                    <w:rPr>
                      <w:color w:val="auto"/>
                      <w:kern w:val="0"/>
                      <w:szCs w:val="21"/>
                      <w:vertAlign w:val="superscript"/>
                      <w:lang w:bidi="ar"/>
                    </w:rPr>
                    <w:t>3</w:t>
                  </w:r>
                  <w:r>
                    <w:rPr>
                      <w:color w:val="auto"/>
                      <w:kern w:val="0"/>
                      <w:szCs w:val="21"/>
                      <w:lang w:bidi="ar"/>
                    </w:rPr>
                    <w:t>/h</w:t>
                  </w:r>
                </w:p>
              </w:tc>
              <w:tc>
                <w:tcPr>
                  <w:tcW w:w="1132" w:type="dxa"/>
                  <w:vMerge w:val="restar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60</w:t>
                  </w:r>
                </w:p>
              </w:tc>
              <w:tc>
                <w:tcPr>
                  <w:tcW w:w="1080" w:type="dxa"/>
                  <w:vMerge w:val="restar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113</w:t>
                  </w:r>
                </w:p>
              </w:tc>
              <w:tc>
                <w:tcPr>
                  <w:tcW w:w="1080" w:type="dxa"/>
                  <w:vMerge w:val="restar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1</w:t>
                  </w:r>
                </w:p>
              </w:tc>
              <w:tc>
                <w:tcPr>
                  <w:tcW w:w="1080" w:type="dxa"/>
                  <w:vMerge w:val="restar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85</w:t>
                  </w:r>
                </w:p>
              </w:tc>
              <w:tc>
                <w:tcPr>
                  <w:tcW w:w="1080"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东</w:t>
                  </w:r>
                </w:p>
              </w:tc>
              <w:tc>
                <w:tcPr>
                  <w:tcW w:w="1080"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50</w:t>
                  </w:r>
                </w:p>
              </w:tc>
              <w:tc>
                <w:tcPr>
                  <w:tcW w:w="1611" w:type="dxa"/>
                  <w:vMerge w:val="restar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加装隔声罩、消声器</w:t>
                  </w:r>
                </w:p>
              </w:tc>
              <w:tc>
                <w:tcPr>
                  <w:tcW w:w="1260" w:type="dxa"/>
                  <w:vMerge w:val="restar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4800h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00" w:hRule="atLeast"/>
              </w:trPr>
              <w:tc>
                <w:tcPr>
                  <w:tcW w:w="876" w:type="dxa"/>
                  <w:vMerge w:val="continue"/>
                  <w:tcBorders>
                    <w:tl2br w:val="nil"/>
                    <w:tr2bl w:val="nil"/>
                  </w:tcBorders>
                  <w:shd w:val="clear" w:color="auto" w:fill="auto"/>
                  <w:vAlign w:val="center"/>
                </w:tcPr>
                <w:p>
                  <w:pPr>
                    <w:jc w:val="center"/>
                    <w:rPr>
                      <w:color w:val="auto"/>
                      <w:szCs w:val="21"/>
                    </w:rPr>
                  </w:pPr>
                </w:p>
              </w:tc>
              <w:tc>
                <w:tcPr>
                  <w:tcW w:w="1284" w:type="dxa"/>
                  <w:vMerge w:val="continue"/>
                  <w:tcBorders>
                    <w:tl2br w:val="nil"/>
                    <w:tr2bl w:val="nil"/>
                  </w:tcBorders>
                  <w:shd w:val="clear" w:color="auto" w:fill="auto"/>
                  <w:vAlign w:val="center"/>
                </w:tcPr>
                <w:p>
                  <w:pPr>
                    <w:jc w:val="center"/>
                    <w:rPr>
                      <w:color w:val="auto"/>
                      <w:szCs w:val="21"/>
                    </w:rPr>
                  </w:pPr>
                </w:p>
              </w:tc>
              <w:tc>
                <w:tcPr>
                  <w:tcW w:w="1283" w:type="dxa"/>
                  <w:vMerge w:val="continue"/>
                  <w:tcBorders>
                    <w:tl2br w:val="nil"/>
                    <w:tr2bl w:val="nil"/>
                  </w:tcBorders>
                  <w:shd w:val="clear" w:color="auto" w:fill="auto"/>
                  <w:vAlign w:val="center"/>
                </w:tcPr>
                <w:p>
                  <w:pPr>
                    <w:jc w:val="center"/>
                    <w:rPr>
                      <w:color w:val="auto"/>
                      <w:szCs w:val="21"/>
                    </w:rPr>
                  </w:pPr>
                </w:p>
              </w:tc>
              <w:tc>
                <w:tcPr>
                  <w:tcW w:w="1132"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南</w:t>
                  </w:r>
                </w:p>
              </w:tc>
              <w:tc>
                <w:tcPr>
                  <w:tcW w:w="1080"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122</w:t>
                  </w:r>
                </w:p>
              </w:tc>
              <w:tc>
                <w:tcPr>
                  <w:tcW w:w="1611" w:type="dxa"/>
                  <w:vMerge w:val="continue"/>
                  <w:tcBorders>
                    <w:tl2br w:val="nil"/>
                    <w:tr2bl w:val="nil"/>
                  </w:tcBorders>
                  <w:shd w:val="clear" w:color="auto" w:fill="auto"/>
                  <w:vAlign w:val="center"/>
                </w:tcPr>
                <w:p>
                  <w:pPr>
                    <w:jc w:val="center"/>
                    <w:rPr>
                      <w:color w:val="auto"/>
                      <w:szCs w:val="21"/>
                    </w:rPr>
                  </w:pPr>
                </w:p>
              </w:tc>
              <w:tc>
                <w:tcPr>
                  <w:tcW w:w="1260" w:type="dxa"/>
                  <w:vMerge w:val="continue"/>
                  <w:tcBorders>
                    <w:tl2br w:val="nil"/>
                    <w:tr2bl w:val="nil"/>
                  </w:tcBorders>
                  <w:shd w:val="clear" w:color="auto" w:fill="auto"/>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00" w:hRule="atLeast"/>
              </w:trPr>
              <w:tc>
                <w:tcPr>
                  <w:tcW w:w="876" w:type="dxa"/>
                  <w:vMerge w:val="continue"/>
                  <w:tcBorders>
                    <w:tl2br w:val="nil"/>
                    <w:tr2bl w:val="nil"/>
                  </w:tcBorders>
                  <w:shd w:val="clear" w:color="auto" w:fill="auto"/>
                  <w:vAlign w:val="center"/>
                </w:tcPr>
                <w:p>
                  <w:pPr>
                    <w:jc w:val="center"/>
                    <w:rPr>
                      <w:color w:val="auto"/>
                      <w:szCs w:val="21"/>
                    </w:rPr>
                  </w:pPr>
                </w:p>
              </w:tc>
              <w:tc>
                <w:tcPr>
                  <w:tcW w:w="1284" w:type="dxa"/>
                  <w:vMerge w:val="continue"/>
                  <w:tcBorders>
                    <w:tl2br w:val="nil"/>
                    <w:tr2bl w:val="nil"/>
                  </w:tcBorders>
                  <w:shd w:val="clear" w:color="auto" w:fill="auto"/>
                  <w:vAlign w:val="center"/>
                </w:tcPr>
                <w:p>
                  <w:pPr>
                    <w:jc w:val="center"/>
                    <w:rPr>
                      <w:color w:val="auto"/>
                      <w:szCs w:val="21"/>
                    </w:rPr>
                  </w:pPr>
                </w:p>
              </w:tc>
              <w:tc>
                <w:tcPr>
                  <w:tcW w:w="1283" w:type="dxa"/>
                  <w:vMerge w:val="continue"/>
                  <w:tcBorders>
                    <w:tl2br w:val="nil"/>
                    <w:tr2bl w:val="nil"/>
                  </w:tcBorders>
                  <w:shd w:val="clear" w:color="auto" w:fill="auto"/>
                  <w:vAlign w:val="center"/>
                </w:tcPr>
                <w:p>
                  <w:pPr>
                    <w:jc w:val="center"/>
                    <w:rPr>
                      <w:color w:val="auto"/>
                      <w:szCs w:val="21"/>
                    </w:rPr>
                  </w:pPr>
                </w:p>
              </w:tc>
              <w:tc>
                <w:tcPr>
                  <w:tcW w:w="1132"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西</w:t>
                  </w:r>
                </w:p>
              </w:tc>
              <w:tc>
                <w:tcPr>
                  <w:tcW w:w="1080"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45</w:t>
                  </w:r>
                </w:p>
              </w:tc>
              <w:tc>
                <w:tcPr>
                  <w:tcW w:w="1611" w:type="dxa"/>
                  <w:vMerge w:val="continue"/>
                  <w:tcBorders>
                    <w:tl2br w:val="nil"/>
                    <w:tr2bl w:val="nil"/>
                  </w:tcBorders>
                  <w:shd w:val="clear" w:color="auto" w:fill="auto"/>
                  <w:vAlign w:val="center"/>
                </w:tcPr>
                <w:p>
                  <w:pPr>
                    <w:jc w:val="center"/>
                    <w:rPr>
                      <w:color w:val="auto"/>
                      <w:szCs w:val="21"/>
                    </w:rPr>
                  </w:pPr>
                </w:p>
              </w:tc>
              <w:tc>
                <w:tcPr>
                  <w:tcW w:w="1260" w:type="dxa"/>
                  <w:vMerge w:val="continue"/>
                  <w:tcBorders>
                    <w:tl2br w:val="nil"/>
                    <w:tr2bl w:val="nil"/>
                  </w:tcBorders>
                  <w:shd w:val="clear" w:color="auto" w:fill="auto"/>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00" w:hRule="atLeast"/>
              </w:trPr>
              <w:tc>
                <w:tcPr>
                  <w:tcW w:w="876" w:type="dxa"/>
                  <w:vMerge w:val="continue"/>
                  <w:tcBorders>
                    <w:tl2br w:val="nil"/>
                    <w:tr2bl w:val="nil"/>
                  </w:tcBorders>
                  <w:shd w:val="clear" w:color="auto" w:fill="auto"/>
                  <w:vAlign w:val="center"/>
                </w:tcPr>
                <w:p>
                  <w:pPr>
                    <w:jc w:val="center"/>
                    <w:rPr>
                      <w:color w:val="auto"/>
                      <w:szCs w:val="21"/>
                    </w:rPr>
                  </w:pPr>
                </w:p>
              </w:tc>
              <w:tc>
                <w:tcPr>
                  <w:tcW w:w="1284" w:type="dxa"/>
                  <w:vMerge w:val="continue"/>
                  <w:tcBorders>
                    <w:tl2br w:val="nil"/>
                    <w:tr2bl w:val="nil"/>
                  </w:tcBorders>
                  <w:shd w:val="clear" w:color="auto" w:fill="auto"/>
                  <w:vAlign w:val="center"/>
                </w:tcPr>
                <w:p>
                  <w:pPr>
                    <w:jc w:val="center"/>
                    <w:rPr>
                      <w:color w:val="auto"/>
                      <w:szCs w:val="21"/>
                    </w:rPr>
                  </w:pPr>
                </w:p>
              </w:tc>
              <w:tc>
                <w:tcPr>
                  <w:tcW w:w="1283" w:type="dxa"/>
                  <w:vMerge w:val="continue"/>
                  <w:tcBorders>
                    <w:tl2br w:val="nil"/>
                    <w:tr2bl w:val="nil"/>
                  </w:tcBorders>
                  <w:shd w:val="clear" w:color="auto" w:fill="auto"/>
                  <w:vAlign w:val="center"/>
                </w:tcPr>
                <w:p>
                  <w:pPr>
                    <w:jc w:val="center"/>
                    <w:rPr>
                      <w:color w:val="auto"/>
                      <w:szCs w:val="21"/>
                    </w:rPr>
                  </w:pPr>
                </w:p>
              </w:tc>
              <w:tc>
                <w:tcPr>
                  <w:tcW w:w="1132"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北</w:t>
                  </w:r>
                </w:p>
              </w:tc>
              <w:tc>
                <w:tcPr>
                  <w:tcW w:w="1080"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27</w:t>
                  </w:r>
                </w:p>
              </w:tc>
              <w:tc>
                <w:tcPr>
                  <w:tcW w:w="1611" w:type="dxa"/>
                  <w:vMerge w:val="continue"/>
                  <w:tcBorders>
                    <w:tl2br w:val="nil"/>
                    <w:tr2bl w:val="nil"/>
                  </w:tcBorders>
                  <w:shd w:val="clear" w:color="auto" w:fill="auto"/>
                  <w:vAlign w:val="center"/>
                </w:tcPr>
                <w:p>
                  <w:pPr>
                    <w:jc w:val="center"/>
                    <w:rPr>
                      <w:color w:val="auto"/>
                      <w:szCs w:val="21"/>
                    </w:rPr>
                  </w:pPr>
                </w:p>
              </w:tc>
              <w:tc>
                <w:tcPr>
                  <w:tcW w:w="1260" w:type="dxa"/>
                  <w:vMerge w:val="continue"/>
                  <w:tcBorders>
                    <w:tl2br w:val="nil"/>
                    <w:tr2bl w:val="nil"/>
                  </w:tcBorders>
                  <w:shd w:val="clear" w:color="auto" w:fill="auto"/>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trPr>
              <w:tc>
                <w:tcPr>
                  <w:tcW w:w="876" w:type="dxa"/>
                  <w:vMerge w:val="restart"/>
                  <w:tcBorders>
                    <w:tl2br w:val="nil"/>
                    <w:tr2bl w:val="nil"/>
                  </w:tcBorders>
                  <w:shd w:val="clear" w:color="auto" w:fill="auto"/>
                  <w:vAlign w:val="center"/>
                </w:tcPr>
                <w:p>
                  <w:pPr>
                    <w:widowControl/>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2</w:t>
                  </w:r>
                </w:p>
              </w:tc>
              <w:tc>
                <w:tcPr>
                  <w:tcW w:w="1284" w:type="dxa"/>
                  <w:vMerge w:val="restart"/>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DA002</w:t>
                  </w:r>
                  <w:r>
                    <w:rPr>
                      <w:rFonts w:hint="eastAsia" w:ascii="宋体" w:hAnsi="宋体" w:eastAsia="宋体" w:cs="宋体"/>
                      <w:i w:val="0"/>
                      <w:iCs w:val="0"/>
                      <w:color w:val="auto"/>
                      <w:kern w:val="0"/>
                      <w:sz w:val="21"/>
                      <w:szCs w:val="21"/>
                      <w:u w:val="none"/>
                      <w:lang w:val="en-US" w:eastAsia="zh-CN" w:bidi="ar"/>
                    </w:rPr>
                    <w:t>配套风机</w:t>
                  </w:r>
                </w:p>
              </w:tc>
              <w:tc>
                <w:tcPr>
                  <w:tcW w:w="1283" w:type="dxa"/>
                  <w:vMerge w:val="restart"/>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18000m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1132" w:type="dxa"/>
                  <w:vMerge w:val="restart"/>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080" w:type="dxa"/>
                  <w:vMerge w:val="restart"/>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113</w:t>
                  </w:r>
                </w:p>
              </w:tc>
              <w:tc>
                <w:tcPr>
                  <w:tcW w:w="1080" w:type="dxa"/>
                  <w:vMerge w:val="restart"/>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80" w:type="dxa"/>
                  <w:vMerge w:val="restart"/>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080" w:type="dxa"/>
                  <w:tcBorders>
                    <w:tl2br w:val="nil"/>
                    <w:tr2bl w:val="nil"/>
                  </w:tcBorders>
                  <w:shd w:val="clear" w:color="auto" w:fill="auto"/>
                  <w:vAlign w:val="center"/>
                </w:tcPr>
                <w:p>
                  <w:pPr>
                    <w:widowControl/>
                    <w:jc w:val="center"/>
                    <w:textAlignment w:val="center"/>
                    <w:rPr>
                      <w:color w:val="auto"/>
                      <w:kern w:val="0"/>
                      <w:sz w:val="21"/>
                      <w:szCs w:val="21"/>
                      <w:lang w:bidi="ar"/>
                    </w:rPr>
                  </w:pPr>
                  <w:r>
                    <w:rPr>
                      <w:color w:val="auto"/>
                      <w:kern w:val="0"/>
                      <w:sz w:val="21"/>
                      <w:szCs w:val="21"/>
                      <w:lang w:bidi="ar"/>
                    </w:rPr>
                    <w:t>东</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61</w:t>
                  </w:r>
                </w:p>
              </w:tc>
              <w:tc>
                <w:tcPr>
                  <w:tcW w:w="1611" w:type="dxa"/>
                  <w:vMerge w:val="continue"/>
                  <w:tcBorders>
                    <w:tl2br w:val="nil"/>
                    <w:tr2bl w:val="nil"/>
                  </w:tcBorders>
                  <w:shd w:val="clear" w:color="auto" w:fill="auto"/>
                  <w:vAlign w:val="center"/>
                </w:tcPr>
                <w:p>
                  <w:pPr>
                    <w:jc w:val="center"/>
                    <w:rPr>
                      <w:color w:val="auto"/>
                      <w:szCs w:val="21"/>
                    </w:rPr>
                  </w:pPr>
                </w:p>
              </w:tc>
              <w:tc>
                <w:tcPr>
                  <w:tcW w:w="1260" w:type="dxa"/>
                  <w:vMerge w:val="restart"/>
                  <w:tcBorders>
                    <w:tl2br w:val="nil"/>
                    <w:tr2bl w:val="nil"/>
                  </w:tcBorders>
                  <w:shd w:val="clear" w:color="auto" w:fill="auto"/>
                  <w:vAlign w:val="center"/>
                </w:tcPr>
                <w:p>
                  <w:pPr>
                    <w:widowControl/>
                    <w:jc w:val="center"/>
                    <w:textAlignment w:val="center"/>
                    <w:rPr>
                      <w:rFonts w:hint="eastAsia"/>
                      <w:color w:val="auto"/>
                    </w:rPr>
                  </w:pPr>
                  <w:r>
                    <w:rPr>
                      <w:color w:val="auto"/>
                      <w:kern w:val="0"/>
                      <w:szCs w:val="21"/>
                      <w:lang w:bidi="ar"/>
                    </w:rPr>
                    <w:t>4800h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trPr>
              <w:tc>
                <w:tcPr>
                  <w:tcW w:w="876" w:type="dxa"/>
                  <w:vMerge w:val="continue"/>
                  <w:tcBorders>
                    <w:tl2br w:val="nil"/>
                    <w:tr2bl w:val="nil"/>
                  </w:tcBorders>
                  <w:shd w:val="clear" w:color="auto" w:fill="auto"/>
                  <w:vAlign w:val="center"/>
                </w:tcPr>
                <w:p>
                  <w:pPr>
                    <w:widowControl/>
                    <w:jc w:val="center"/>
                    <w:textAlignment w:val="center"/>
                    <w:rPr>
                      <w:color w:val="auto"/>
                      <w:kern w:val="0"/>
                      <w:szCs w:val="21"/>
                      <w:lang w:bidi="ar"/>
                    </w:rPr>
                  </w:pPr>
                </w:p>
              </w:tc>
              <w:tc>
                <w:tcPr>
                  <w:tcW w:w="1284"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283"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132"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tcBorders>
                    <w:tl2br w:val="nil"/>
                    <w:tr2bl w:val="nil"/>
                  </w:tcBorders>
                  <w:shd w:val="clear" w:color="auto" w:fill="auto"/>
                  <w:vAlign w:val="center"/>
                </w:tcPr>
                <w:p>
                  <w:pPr>
                    <w:widowControl/>
                    <w:jc w:val="center"/>
                    <w:textAlignment w:val="center"/>
                    <w:rPr>
                      <w:color w:val="auto"/>
                      <w:kern w:val="0"/>
                      <w:sz w:val="21"/>
                      <w:szCs w:val="21"/>
                      <w:lang w:bidi="ar"/>
                    </w:rPr>
                  </w:pPr>
                  <w:r>
                    <w:rPr>
                      <w:color w:val="auto"/>
                      <w:kern w:val="0"/>
                      <w:sz w:val="21"/>
                      <w:szCs w:val="21"/>
                      <w:lang w:bidi="ar"/>
                    </w:rPr>
                    <w:t>南</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118</w:t>
                  </w:r>
                </w:p>
              </w:tc>
              <w:tc>
                <w:tcPr>
                  <w:tcW w:w="1611" w:type="dxa"/>
                  <w:vMerge w:val="continue"/>
                  <w:tcBorders>
                    <w:tl2br w:val="nil"/>
                    <w:tr2bl w:val="nil"/>
                  </w:tcBorders>
                  <w:shd w:val="clear" w:color="auto" w:fill="auto"/>
                  <w:vAlign w:val="center"/>
                </w:tcPr>
                <w:p>
                  <w:pPr>
                    <w:jc w:val="center"/>
                    <w:rPr>
                      <w:color w:val="auto"/>
                      <w:szCs w:val="21"/>
                    </w:rPr>
                  </w:pPr>
                </w:p>
              </w:tc>
              <w:tc>
                <w:tcPr>
                  <w:tcW w:w="1260" w:type="dxa"/>
                  <w:vMerge w:val="continue"/>
                  <w:tcBorders>
                    <w:tl2br w:val="nil"/>
                    <w:tr2bl w:val="nil"/>
                  </w:tcBorders>
                  <w:shd w:val="clear" w:color="auto" w:fill="auto"/>
                  <w:vAlign w:val="center"/>
                </w:tcPr>
                <w:p>
                  <w:pPr>
                    <w:widowControl/>
                    <w:jc w:val="center"/>
                    <w:textAlignment w:val="center"/>
                    <w:rPr>
                      <w:rFonts w:hint="eastAsia"/>
                      <w:color w:val="auto"/>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trPr>
              <w:tc>
                <w:tcPr>
                  <w:tcW w:w="876" w:type="dxa"/>
                  <w:vMerge w:val="continue"/>
                  <w:tcBorders>
                    <w:tl2br w:val="nil"/>
                    <w:tr2bl w:val="nil"/>
                  </w:tcBorders>
                  <w:shd w:val="clear" w:color="auto" w:fill="auto"/>
                  <w:vAlign w:val="center"/>
                </w:tcPr>
                <w:p>
                  <w:pPr>
                    <w:widowControl/>
                    <w:jc w:val="center"/>
                    <w:textAlignment w:val="center"/>
                    <w:rPr>
                      <w:color w:val="auto"/>
                      <w:kern w:val="0"/>
                      <w:szCs w:val="21"/>
                      <w:lang w:bidi="ar"/>
                    </w:rPr>
                  </w:pPr>
                </w:p>
              </w:tc>
              <w:tc>
                <w:tcPr>
                  <w:tcW w:w="1284"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283"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132"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tcBorders>
                    <w:tl2br w:val="nil"/>
                    <w:tr2bl w:val="nil"/>
                  </w:tcBorders>
                  <w:shd w:val="clear" w:color="auto" w:fill="auto"/>
                  <w:vAlign w:val="center"/>
                </w:tcPr>
                <w:p>
                  <w:pPr>
                    <w:widowControl/>
                    <w:jc w:val="center"/>
                    <w:textAlignment w:val="center"/>
                    <w:rPr>
                      <w:color w:val="auto"/>
                      <w:kern w:val="0"/>
                      <w:sz w:val="21"/>
                      <w:szCs w:val="21"/>
                      <w:lang w:bidi="ar"/>
                    </w:rPr>
                  </w:pPr>
                  <w:r>
                    <w:rPr>
                      <w:color w:val="auto"/>
                      <w:kern w:val="0"/>
                      <w:sz w:val="21"/>
                      <w:szCs w:val="21"/>
                      <w:lang w:bidi="ar"/>
                    </w:rPr>
                    <w:t>西</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611" w:type="dxa"/>
                  <w:vMerge w:val="continue"/>
                  <w:tcBorders>
                    <w:tl2br w:val="nil"/>
                    <w:tr2bl w:val="nil"/>
                  </w:tcBorders>
                  <w:shd w:val="clear" w:color="auto" w:fill="auto"/>
                  <w:vAlign w:val="center"/>
                </w:tcPr>
                <w:p>
                  <w:pPr>
                    <w:jc w:val="center"/>
                    <w:rPr>
                      <w:color w:val="auto"/>
                      <w:szCs w:val="21"/>
                    </w:rPr>
                  </w:pPr>
                </w:p>
              </w:tc>
              <w:tc>
                <w:tcPr>
                  <w:tcW w:w="1260" w:type="dxa"/>
                  <w:vMerge w:val="continue"/>
                  <w:tcBorders>
                    <w:tl2br w:val="nil"/>
                    <w:tr2bl w:val="nil"/>
                  </w:tcBorders>
                  <w:shd w:val="clear" w:color="auto" w:fill="auto"/>
                  <w:vAlign w:val="center"/>
                </w:tcPr>
                <w:p>
                  <w:pPr>
                    <w:widowControl/>
                    <w:jc w:val="center"/>
                    <w:textAlignment w:val="center"/>
                    <w:rPr>
                      <w:rFonts w:hint="eastAsia"/>
                      <w:color w:val="auto"/>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trPr>
              <w:tc>
                <w:tcPr>
                  <w:tcW w:w="876" w:type="dxa"/>
                  <w:vMerge w:val="continue"/>
                  <w:tcBorders>
                    <w:tl2br w:val="nil"/>
                    <w:tr2bl w:val="nil"/>
                  </w:tcBorders>
                  <w:shd w:val="clear" w:color="auto" w:fill="auto"/>
                  <w:vAlign w:val="center"/>
                </w:tcPr>
                <w:p>
                  <w:pPr>
                    <w:widowControl/>
                    <w:jc w:val="center"/>
                    <w:textAlignment w:val="center"/>
                    <w:rPr>
                      <w:color w:val="auto"/>
                      <w:kern w:val="0"/>
                      <w:szCs w:val="21"/>
                      <w:lang w:bidi="ar"/>
                    </w:rPr>
                  </w:pPr>
                </w:p>
              </w:tc>
              <w:tc>
                <w:tcPr>
                  <w:tcW w:w="1284"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283"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132"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tcBorders>
                    <w:tl2br w:val="nil"/>
                    <w:tr2bl w:val="nil"/>
                  </w:tcBorders>
                  <w:shd w:val="clear" w:color="auto" w:fill="auto"/>
                  <w:vAlign w:val="center"/>
                </w:tcPr>
                <w:p>
                  <w:pPr>
                    <w:widowControl/>
                    <w:jc w:val="center"/>
                    <w:textAlignment w:val="center"/>
                    <w:rPr>
                      <w:color w:val="auto"/>
                      <w:kern w:val="0"/>
                      <w:sz w:val="21"/>
                      <w:szCs w:val="21"/>
                      <w:lang w:bidi="ar"/>
                    </w:rPr>
                  </w:pPr>
                  <w:r>
                    <w:rPr>
                      <w:color w:val="auto"/>
                      <w:kern w:val="0"/>
                      <w:sz w:val="21"/>
                      <w:szCs w:val="21"/>
                      <w:lang w:bidi="ar"/>
                    </w:rPr>
                    <w:t>北</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611" w:type="dxa"/>
                  <w:vMerge w:val="continue"/>
                  <w:tcBorders>
                    <w:tl2br w:val="nil"/>
                    <w:tr2bl w:val="nil"/>
                  </w:tcBorders>
                  <w:shd w:val="clear" w:color="auto" w:fill="auto"/>
                  <w:vAlign w:val="center"/>
                </w:tcPr>
                <w:p>
                  <w:pPr>
                    <w:jc w:val="center"/>
                    <w:rPr>
                      <w:color w:val="auto"/>
                      <w:szCs w:val="21"/>
                    </w:rPr>
                  </w:pPr>
                </w:p>
              </w:tc>
              <w:tc>
                <w:tcPr>
                  <w:tcW w:w="1260" w:type="dxa"/>
                  <w:vMerge w:val="continue"/>
                  <w:tcBorders>
                    <w:tl2br w:val="nil"/>
                    <w:tr2bl w:val="nil"/>
                  </w:tcBorders>
                  <w:shd w:val="clear" w:color="auto" w:fill="auto"/>
                  <w:vAlign w:val="center"/>
                </w:tcPr>
                <w:p>
                  <w:pPr>
                    <w:widowControl/>
                    <w:jc w:val="center"/>
                    <w:textAlignment w:val="center"/>
                    <w:rPr>
                      <w:rFonts w:hint="eastAsia"/>
                      <w:color w:val="auto"/>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trPr>
              <w:tc>
                <w:tcPr>
                  <w:tcW w:w="876" w:type="dxa"/>
                  <w:vMerge w:val="restart"/>
                  <w:tcBorders>
                    <w:tl2br w:val="nil"/>
                    <w:tr2bl w:val="nil"/>
                  </w:tcBorders>
                  <w:shd w:val="clear" w:color="auto" w:fill="auto"/>
                  <w:vAlign w:val="center"/>
                </w:tcPr>
                <w:p>
                  <w:pPr>
                    <w:widowControl/>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3</w:t>
                  </w:r>
                </w:p>
              </w:tc>
              <w:tc>
                <w:tcPr>
                  <w:tcW w:w="1284" w:type="dxa"/>
                  <w:vMerge w:val="restart"/>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DA003</w:t>
                  </w:r>
                  <w:r>
                    <w:rPr>
                      <w:rFonts w:hint="eastAsia" w:ascii="宋体" w:hAnsi="宋体" w:eastAsia="宋体" w:cs="宋体"/>
                      <w:i w:val="0"/>
                      <w:iCs w:val="0"/>
                      <w:color w:val="auto"/>
                      <w:kern w:val="0"/>
                      <w:sz w:val="21"/>
                      <w:szCs w:val="21"/>
                      <w:u w:val="none"/>
                      <w:lang w:val="en-US" w:eastAsia="zh-CN" w:bidi="ar"/>
                    </w:rPr>
                    <w:t>配套风机</w:t>
                  </w:r>
                </w:p>
              </w:tc>
              <w:tc>
                <w:tcPr>
                  <w:tcW w:w="1283" w:type="dxa"/>
                  <w:vMerge w:val="restart"/>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5000m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1132" w:type="dxa"/>
                  <w:vMerge w:val="restart"/>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64</w:t>
                  </w:r>
                </w:p>
              </w:tc>
              <w:tc>
                <w:tcPr>
                  <w:tcW w:w="1080" w:type="dxa"/>
                  <w:vMerge w:val="restart"/>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101</w:t>
                  </w:r>
                </w:p>
              </w:tc>
              <w:tc>
                <w:tcPr>
                  <w:tcW w:w="1080" w:type="dxa"/>
                  <w:vMerge w:val="restart"/>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80" w:type="dxa"/>
                  <w:vMerge w:val="restart"/>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080" w:type="dxa"/>
                  <w:tcBorders>
                    <w:tl2br w:val="nil"/>
                    <w:tr2bl w:val="nil"/>
                  </w:tcBorders>
                  <w:shd w:val="clear" w:color="auto" w:fill="auto"/>
                  <w:vAlign w:val="center"/>
                </w:tcPr>
                <w:p>
                  <w:pPr>
                    <w:widowControl/>
                    <w:jc w:val="center"/>
                    <w:textAlignment w:val="center"/>
                    <w:rPr>
                      <w:color w:val="auto"/>
                      <w:kern w:val="0"/>
                      <w:sz w:val="21"/>
                      <w:szCs w:val="21"/>
                      <w:lang w:bidi="ar"/>
                    </w:rPr>
                  </w:pPr>
                  <w:r>
                    <w:rPr>
                      <w:color w:val="auto"/>
                      <w:kern w:val="0"/>
                      <w:sz w:val="21"/>
                      <w:szCs w:val="21"/>
                      <w:lang w:bidi="ar"/>
                    </w:rPr>
                    <w:t>东</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31</w:t>
                  </w:r>
                </w:p>
              </w:tc>
              <w:tc>
                <w:tcPr>
                  <w:tcW w:w="1611" w:type="dxa"/>
                  <w:vMerge w:val="continue"/>
                  <w:tcBorders>
                    <w:tl2br w:val="nil"/>
                    <w:tr2bl w:val="nil"/>
                  </w:tcBorders>
                  <w:shd w:val="clear" w:color="auto" w:fill="auto"/>
                  <w:vAlign w:val="center"/>
                </w:tcPr>
                <w:p>
                  <w:pPr>
                    <w:jc w:val="center"/>
                    <w:rPr>
                      <w:color w:val="auto"/>
                      <w:szCs w:val="21"/>
                    </w:rPr>
                  </w:pPr>
                </w:p>
              </w:tc>
              <w:tc>
                <w:tcPr>
                  <w:tcW w:w="1260" w:type="dxa"/>
                  <w:vMerge w:val="restart"/>
                  <w:tcBorders>
                    <w:tl2br w:val="nil"/>
                    <w:tr2bl w:val="nil"/>
                  </w:tcBorders>
                  <w:shd w:val="clear" w:color="auto" w:fill="auto"/>
                  <w:vAlign w:val="center"/>
                </w:tcPr>
                <w:p>
                  <w:pPr>
                    <w:widowControl/>
                    <w:jc w:val="center"/>
                    <w:textAlignment w:val="center"/>
                    <w:rPr>
                      <w:rFonts w:hint="eastAsia"/>
                      <w:color w:val="auto"/>
                      <w:kern w:val="0"/>
                      <w:szCs w:val="21"/>
                      <w:lang w:bidi="ar"/>
                    </w:rPr>
                  </w:pPr>
                  <w:r>
                    <w:rPr>
                      <w:color w:val="auto"/>
                      <w:kern w:val="0"/>
                      <w:szCs w:val="21"/>
                      <w:lang w:bidi="ar"/>
                    </w:rPr>
                    <w:t>4800h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trPr>
              <w:tc>
                <w:tcPr>
                  <w:tcW w:w="876" w:type="dxa"/>
                  <w:vMerge w:val="continue"/>
                  <w:tcBorders>
                    <w:tl2br w:val="nil"/>
                    <w:tr2bl w:val="nil"/>
                  </w:tcBorders>
                  <w:shd w:val="clear" w:color="auto" w:fill="auto"/>
                  <w:vAlign w:val="center"/>
                </w:tcPr>
                <w:p>
                  <w:pPr>
                    <w:widowControl/>
                    <w:jc w:val="center"/>
                    <w:textAlignment w:val="center"/>
                    <w:rPr>
                      <w:color w:val="auto"/>
                      <w:kern w:val="0"/>
                      <w:szCs w:val="21"/>
                      <w:lang w:bidi="ar"/>
                    </w:rPr>
                  </w:pPr>
                </w:p>
              </w:tc>
              <w:tc>
                <w:tcPr>
                  <w:tcW w:w="1284"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283"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132"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tcBorders>
                    <w:tl2br w:val="nil"/>
                    <w:tr2bl w:val="nil"/>
                  </w:tcBorders>
                  <w:shd w:val="clear" w:color="auto" w:fill="auto"/>
                  <w:vAlign w:val="center"/>
                </w:tcPr>
                <w:p>
                  <w:pPr>
                    <w:widowControl/>
                    <w:jc w:val="center"/>
                    <w:textAlignment w:val="center"/>
                    <w:rPr>
                      <w:color w:val="auto"/>
                      <w:kern w:val="0"/>
                      <w:sz w:val="21"/>
                      <w:szCs w:val="21"/>
                      <w:lang w:bidi="ar"/>
                    </w:rPr>
                  </w:pPr>
                  <w:r>
                    <w:rPr>
                      <w:color w:val="auto"/>
                      <w:kern w:val="0"/>
                      <w:sz w:val="21"/>
                      <w:szCs w:val="21"/>
                      <w:lang w:bidi="ar"/>
                    </w:rPr>
                    <w:t>南</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118</w:t>
                  </w:r>
                </w:p>
              </w:tc>
              <w:tc>
                <w:tcPr>
                  <w:tcW w:w="1611" w:type="dxa"/>
                  <w:vMerge w:val="continue"/>
                  <w:tcBorders>
                    <w:tl2br w:val="nil"/>
                    <w:tr2bl w:val="nil"/>
                  </w:tcBorders>
                  <w:shd w:val="clear" w:color="auto" w:fill="auto"/>
                  <w:vAlign w:val="center"/>
                </w:tcPr>
                <w:p>
                  <w:pPr>
                    <w:jc w:val="center"/>
                    <w:rPr>
                      <w:color w:val="auto"/>
                      <w:szCs w:val="21"/>
                    </w:rPr>
                  </w:pPr>
                </w:p>
              </w:tc>
              <w:tc>
                <w:tcPr>
                  <w:tcW w:w="1260" w:type="dxa"/>
                  <w:vMerge w:val="continue"/>
                  <w:tcBorders>
                    <w:tl2br w:val="nil"/>
                    <w:tr2bl w:val="nil"/>
                  </w:tcBorders>
                  <w:shd w:val="clear" w:color="auto" w:fill="auto"/>
                  <w:vAlign w:val="center"/>
                </w:tcPr>
                <w:p>
                  <w:pPr>
                    <w:widowControl/>
                    <w:jc w:val="center"/>
                    <w:textAlignment w:val="center"/>
                    <w:rPr>
                      <w:rFonts w:hint="eastAsia"/>
                      <w:color w:val="auto"/>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trPr>
              <w:tc>
                <w:tcPr>
                  <w:tcW w:w="876" w:type="dxa"/>
                  <w:vMerge w:val="continue"/>
                  <w:tcBorders>
                    <w:tl2br w:val="nil"/>
                    <w:tr2bl w:val="nil"/>
                  </w:tcBorders>
                  <w:shd w:val="clear" w:color="auto" w:fill="auto"/>
                  <w:vAlign w:val="center"/>
                </w:tcPr>
                <w:p>
                  <w:pPr>
                    <w:widowControl/>
                    <w:jc w:val="center"/>
                    <w:textAlignment w:val="center"/>
                    <w:rPr>
                      <w:color w:val="auto"/>
                      <w:kern w:val="0"/>
                      <w:szCs w:val="21"/>
                      <w:lang w:bidi="ar"/>
                    </w:rPr>
                  </w:pPr>
                </w:p>
              </w:tc>
              <w:tc>
                <w:tcPr>
                  <w:tcW w:w="1284"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283"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132"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tcBorders>
                    <w:tl2br w:val="nil"/>
                    <w:tr2bl w:val="nil"/>
                  </w:tcBorders>
                  <w:shd w:val="clear" w:color="auto" w:fill="auto"/>
                  <w:vAlign w:val="center"/>
                </w:tcPr>
                <w:p>
                  <w:pPr>
                    <w:widowControl/>
                    <w:jc w:val="center"/>
                    <w:textAlignment w:val="center"/>
                    <w:rPr>
                      <w:color w:val="auto"/>
                      <w:kern w:val="0"/>
                      <w:sz w:val="21"/>
                      <w:szCs w:val="21"/>
                      <w:lang w:bidi="ar"/>
                    </w:rPr>
                  </w:pPr>
                  <w:r>
                    <w:rPr>
                      <w:color w:val="auto"/>
                      <w:kern w:val="0"/>
                      <w:sz w:val="21"/>
                      <w:szCs w:val="21"/>
                      <w:lang w:bidi="ar"/>
                    </w:rPr>
                    <w:t>西</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61</w:t>
                  </w:r>
                </w:p>
              </w:tc>
              <w:tc>
                <w:tcPr>
                  <w:tcW w:w="1611" w:type="dxa"/>
                  <w:vMerge w:val="continue"/>
                  <w:tcBorders>
                    <w:tl2br w:val="nil"/>
                    <w:tr2bl w:val="nil"/>
                  </w:tcBorders>
                  <w:shd w:val="clear" w:color="auto" w:fill="auto"/>
                  <w:vAlign w:val="center"/>
                </w:tcPr>
                <w:p>
                  <w:pPr>
                    <w:jc w:val="center"/>
                    <w:rPr>
                      <w:color w:val="auto"/>
                      <w:szCs w:val="21"/>
                    </w:rPr>
                  </w:pPr>
                </w:p>
              </w:tc>
              <w:tc>
                <w:tcPr>
                  <w:tcW w:w="1260" w:type="dxa"/>
                  <w:vMerge w:val="continue"/>
                  <w:tcBorders>
                    <w:tl2br w:val="nil"/>
                    <w:tr2bl w:val="nil"/>
                  </w:tcBorders>
                  <w:shd w:val="clear" w:color="auto" w:fill="auto"/>
                  <w:vAlign w:val="center"/>
                </w:tcPr>
                <w:p>
                  <w:pPr>
                    <w:widowControl/>
                    <w:jc w:val="center"/>
                    <w:textAlignment w:val="center"/>
                    <w:rPr>
                      <w:rFonts w:hint="eastAsia"/>
                      <w:color w:val="auto"/>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trPr>
              <w:tc>
                <w:tcPr>
                  <w:tcW w:w="876" w:type="dxa"/>
                  <w:vMerge w:val="continue"/>
                  <w:tcBorders>
                    <w:tl2br w:val="nil"/>
                    <w:tr2bl w:val="nil"/>
                  </w:tcBorders>
                  <w:shd w:val="clear" w:color="auto" w:fill="auto"/>
                  <w:vAlign w:val="center"/>
                </w:tcPr>
                <w:p>
                  <w:pPr>
                    <w:widowControl/>
                    <w:jc w:val="center"/>
                    <w:textAlignment w:val="center"/>
                    <w:rPr>
                      <w:color w:val="auto"/>
                      <w:kern w:val="0"/>
                      <w:szCs w:val="21"/>
                      <w:lang w:bidi="ar"/>
                    </w:rPr>
                  </w:pPr>
                </w:p>
              </w:tc>
              <w:tc>
                <w:tcPr>
                  <w:tcW w:w="1284"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283"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132"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vMerge w:val="continue"/>
                  <w:tcBorders>
                    <w:tl2br w:val="nil"/>
                    <w:tr2bl w:val="nil"/>
                  </w:tcBorders>
                  <w:shd w:val="clear" w:color="auto" w:fill="auto"/>
                  <w:vAlign w:val="center"/>
                </w:tcPr>
                <w:p>
                  <w:pPr>
                    <w:widowControl/>
                    <w:jc w:val="center"/>
                    <w:textAlignment w:val="center"/>
                    <w:rPr>
                      <w:color w:val="auto"/>
                      <w:kern w:val="0"/>
                      <w:sz w:val="21"/>
                      <w:szCs w:val="21"/>
                      <w:lang w:bidi="ar"/>
                    </w:rPr>
                  </w:pPr>
                </w:p>
              </w:tc>
              <w:tc>
                <w:tcPr>
                  <w:tcW w:w="1080" w:type="dxa"/>
                  <w:tcBorders>
                    <w:tl2br w:val="nil"/>
                    <w:tr2bl w:val="nil"/>
                  </w:tcBorders>
                  <w:shd w:val="clear" w:color="auto" w:fill="auto"/>
                  <w:vAlign w:val="center"/>
                </w:tcPr>
                <w:p>
                  <w:pPr>
                    <w:widowControl/>
                    <w:jc w:val="center"/>
                    <w:textAlignment w:val="center"/>
                    <w:rPr>
                      <w:color w:val="auto"/>
                      <w:kern w:val="0"/>
                      <w:sz w:val="21"/>
                      <w:szCs w:val="21"/>
                      <w:lang w:bidi="ar"/>
                    </w:rPr>
                  </w:pPr>
                  <w:r>
                    <w:rPr>
                      <w:color w:val="auto"/>
                      <w:kern w:val="0"/>
                      <w:sz w:val="21"/>
                      <w:szCs w:val="21"/>
                      <w:lang w:bidi="ar"/>
                    </w:rPr>
                    <w:t>北</w:t>
                  </w:r>
                </w:p>
              </w:tc>
              <w:tc>
                <w:tcPr>
                  <w:tcW w:w="1080" w:type="dxa"/>
                  <w:tcBorders>
                    <w:tl2br w:val="nil"/>
                    <w:tr2bl w:val="nil"/>
                  </w:tcBorders>
                  <w:shd w:val="clear" w:color="auto" w:fill="auto"/>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611" w:type="dxa"/>
                  <w:vMerge w:val="continue"/>
                  <w:tcBorders>
                    <w:tl2br w:val="nil"/>
                    <w:tr2bl w:val="nil"/>
                  </w:tcBorders>
                  <w:shd w:val="clear" w:color="auto" w:fill="auto"/>
                  <w:vAlign w:val="center"/>
                </w:tcPr>
                <w:p>
                  <w:pPr>
                    <w:jc w:val="center"/>
                    <w:rPr>
                      <w:color w:val="auto"/>
                      <w:szCs w:val="21"/>
                    </w:rPr>
                  </w:pPr>
                </w:p>
              </w:tc>
              <w:tc>
                <w:tcPr>
                  <w:tcW w:w="1260" w:type="dxa"/>
                  <w:vMerge w:val="continue"/>
                  <w:tcBorders>
                    <w:tl2br w:val="nil"/>
                    <w:tr2bl w:val="nil"/>
                  </w:tcBorders>
                  <w:shd w:val="clear" w:color="auto" w:fill="auto"/>
                  <w:vAlign w:val="center"/>
                </w:tcPr>
                <w:p>
                  <w:pPr>
                    <w:widowControl/>
                    <w:jc w:val="center"/>
                    <w:textAlignment w:val="center"/>
                    <w:rPr>
                      <w:rFonts w:hint="eastAsia"/>
                      <w:color w:val="auto"/>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85" w:hRule="atLeast"/>
              </w:trPr>
              <w:tc>
                <w:tcPr>
                  <w:tcW w:w="876" w:type="dxa"/>
                  <w:vMerge w:val="restart"/>
                  <w:tcBorders>
                    <w:tl2br w:val="nil"/>
                    <w:tr2bl w:val="nil"/>
                  </w:tcBorders>
                  <w:shd w:val="clear" w:color="auto" w:fill="auto"/>
                  <w:vAlign w:val="center"/>
                </w:tcPr>
                <w:p>
                  <w:pPr>
                    <w:widowControl/>
                    <w:jc w:val="center"/>
                    <w:textAlignment w:val="center"/>
                    <w:rPr>
                      <w:rFonts w:hint="eastAsia" w:eastAsia="宋体"/>
                      <w:color w:val="auto"/>
                      <w:szCs w:val="21"/>
                      <w:lang w:eastAsia="zh-CN"/>
                    </w:rPr>
                  </w:pPr>
                  <w:r>
                    <w:rPr>
                      <w:rFonts w:hint="eastAsia"/>
                      <w:color w:val="auto"/>
                      <w:kern w:val="0"/>
                      <w:szCs w:val="21"/>
                      <w:lang w:val="en-US" w:eastAsia="zh-CN" w:bidi="ar"/>
                    </w:rPr>
                    <w:t>4</w:t>
                  </w:r>
                </w:p>
              </w:tc>
              <w:tc>
                <w:tcPr>
                  <w:tcW w:w="1284" w:type="dxa"/>
                  <w:vMerge w:val="restar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危废仓库配套风机</w:t>
                  </w:r>
                </w:p>
              </w:tc>
              <w:tc>
                <w:tcPr>
                  <w:tcW w:w="1283" w:type="dxa"/>
                  <w:vMerge w:val="restar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2000m</w:t>
                  </w:r>
                  <w:r>
                    <w:rPr>
                      <w:color w:val="auto"/>
                      <w:kern w:val="0"/>
                      <w:szCs w:val="21"/>
                      <w:vertAlign w:val="superscript"/>
                      <w:lang w:bidi="ar"/>
                    </w:rPr>
                    <w:t>3</w:t>
                  </w:r>
                  <w:r>
                    <w:rPr>
                      <w:color w:val="auto"/>
                      <w:kern w:val="0"/>
                      <w:szCs w:val="21"/>
                      <w:lang w:bidi="ar"/>
                    </w:rPr>
                    <w:t>/h</w:t>
                  </w:r>
                </w:p>
              </w:tc>
              <w:tc>
                <w:tcPr>
                  <w:tcW w:w="1132" w:type="dxa"/>
                  <w:vMerge w:val="restar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40</w:t>
                  </w:r>
                </w:p>
              </w:tc>
              <w:tc>
                <w:tcPr>
                  <w:tcW w:w="1080" w:type="dxa"/>
                  <w:vMerge w:val="restar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113</w:t>
                  </w:r>
                </w:p>
              </w:tc>
              <w:tc>
                <w:tcPr>
                  <w:tcW w:w="1080" w:type="dxa"/>
                  <w:vMerge w:val="restar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1</w:t>
                  </w:r>
                </w:p>
              </w:tc>
              <w:tc>
                <w:tcPr>
                  <w:tcW w:w="1080" w:type="dxa"/>
                  <w:vMerge w:val="restart"/>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85</w:t>
                  </w:r>
                </w:p>
              </w:tc>
              <w:tc>
                <w:tcPr>
                  <w:tcW w:w="1080"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东</w:t>
                  </w:r>
                </w:p>
              </w:tc>
              <w:tc>
                <w:tcPr>
                  <w:tcW w:w="1080"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58</w:t>
                  </w:r>
                </w:p>
              </w:tc>
              <w:tc>
                <w:tcPr>
                  <w:tcW w:w="1611" w:type="dxa"/>
                  <w:vMerge w:val="continue"/>
                  <w:tcBorders>
                    <w:tl2br w:val="nil"/>
                    <w:tr2bl w:val="nil"/>
                  </w:tcBorders>
                  <w:shd w:val="clear" w:color="auto" w:fill="auto"/>
                  <w:vAlign w:val="center"/>
                </w:tcPr>
                <w:p>
                  <w:pPr>
                    <w:jc w:val="center"/>
                    <w:rPr>
                      <w:color w:val="auto"/>
                      <w:szCs w:val="21"/>
                    </w:rPr>
                  </w:pPr>
                </w:p>
              </w:tc>
              <w:tc>
                <w:tcPr>
                  <w:tcW w:w="1260" w:type="dxa"/>
                  <w:vMerge w:val="restart"/>
                  <w:tcBorders>
                    <w:tl2br w:val="nil"/>
                    <w:tr2bl w:val="nil"/>
                  </w:tcBorders>
                  <w:shd w:val="clear" w:color="auto" w:fill="auto"/>
                  <w:vAlign w:val="center"/>
                </w:tcPr>
                <w:p>
                  <w:pPr>
                    <w:widowControl/>
                    <w:jc w:val="center"/>
                    <w:textAlignment w:val="center"/>
                    <w:rPr>
                      <w:color w:val="auto"/>
                      <w:szCs w:val="21"/>
                    </w:rPr>
                  </w:pPr>
                  <w:r>
                    <w:rPr>
                      <w:rFonts w:hint="eastAsia"/>
                      <w:color w:val="auto"/>
                      <w:kern w:val="0"/>
                      <w:szCs w:val="21"/>
                      <w:lang w:bidi="ar"/>
                    </w:rPr>
                    <w:t>72</w:t>
                  </w:r>
                  <w:r>
                    <w:rPr>
                      <w:color w:val="auto"/>
                      <w:kern w:val="0"/>
                      <w:szCs w:val="21"/>
                      <w:lang w:bidi="ar"/>
                    </w:rPr>
                    <w:t>00h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00" w:hRule="atLeast"/>
              </w:trPr>
              <w:tc>
                <w:tcPr>
                  <w:tcW w:w="876" w:type="dxa"/>
                  <w:vMerge w:val="continue"/>
                  <w:tcBorders>
                    <w:tl2br w:val="nil"/>
                    <w:tr2bl w:val="nil"/>
                  </w:tcBorders>
                  <w:shd w:val="clear" w:color="auto" w:fill="auto"/>
                  <w:vAlign w:val="center"/>
                </w:tcPr>
                <w:p>
                  <w:pPr>
                    <w:jc w:val="center"/>
                    <w:rPr>
                      <w:color w:val="auto"/>
                      <w:szCs w:val="21"/>
                    </w:rPr>
                  </w:pPr>
                </w:p>
              </w:tc>
              <w:tc>
                <w:tcPr>
                  <w:tcW w:w="1284" w:type="dxa"/>
                  <w:vMerge w:val="continue"/>
                  <w:tcBorders>
                    <w:tl2br w:val="nil"/>
                    <w:tr2bl w:val="nil"/>
                  </w:tcBorders>
                  <w:shd w:val="clear" w:color="auto" w:fill="auto"/>
                  <w:vAlign w:val="center"/>
                </w:tcPr>
                <w:p>
                  <w:pPr>
                    <w:jc w:val="center"/>
                    <w:rPr>
                      <w:color w:val="auto"/>
                      <w:szCs w:val="21"/>
                    </w:rPr>
                  </w:pPr>
                </w:p>
              </w:tc>
              <w:tc>
                <w:tcPr>
                  <w:tcW w:w="1283" w:type="dxa"/>
                  <w:vMerge w:val="continue"/>
                  <w:tcBorders>
                    <w:tl2br w:val="nil"/>
                    <w:tr2bl w:val="nil"/>
                  </w:tcBorders>
                  <w:shd w:val="clear" w:color="auto" w:fill="auto"/>
                  <w:vAlign w:val="center"/>
                </w:tcPr>
                <w:p>
                  <w:pPr>
                    <w:jc w:val="center"/>
                    <w:rPr>
                      <w:color w:val="auto"/>
                      <w:szCs w:val="21"/>
                    </w:rPr>
                  </w:pPr>
                </w:p>
              </w:tc>
              <w:tc>
                <w:tcPr>
                  <w:tcW w:w="1132"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南</w:t>
                  </w:r>
                </w:p>
              </w:tc>
              <w:tc>
                <w:tcPr>
                  <w:tcW w:w="1080"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108</w:t>
                  </w:r>
                </w:p>
              </w:tc>
              <w:tc>
                <w:tcPr>
                  <w:tcW w:w="1611" w:type="dxa"/>
                  <w:vMerge w:val="continue"/>
                  <w:tcBorders>
                    <w:tl2br w:val="nil"/>
                    <w:tr2bl w:val="nil"/>
                  </w:tcBorders>
                  <w:shd w:val="clear" w:color="auto" w:fill="auto"/>
                  <w:vAlign w:val="center"/>
                </w:tcPr>
                <w:p>
                  <w:pPr>
                    <w:jc w:val="center"/>
                    <w:rPr>
                      <w:color w:val="auto"/>
                      <w:szCs w:val="21"/>
                    </w:rPr>
                  </w:pPr>
                </w:p>
              </w:tc>
              <w:tc>
                <w:tcPr>
                  <w:tcW w:w="1260" w:type="dxa"/>
                  <w:vMerge w:val="continue"/>
                  <w:tcBorders>
                    <w:tl2br w:val="nil"/>
                    <w:tr2bl w:val="nil"/>
                  </w:tcBorders>
                  <w:shd w:val="clear" w:color="auto" w:fill="auto"/>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00" w:hRule="atLeast"/>
              </w:trPr>
              <w:tc>
                <w:tcPr>
                  <w:tcW w:w="876" w:type="dxa"/>
                  <w:vMerge w:val="continue"/>
                  <w:tcBorders>
                    <w:tl2br w:val="nil"/>
                    <w:tr2bl w:val="nil"/>
                  </w:tcBorders>
                  <w:shd w:val="clear" w:color="auto" w:fill="auto"/>
                  <w:vAlign w:val="center"/>
                </w:tcPr>
                <w:p>
                  <w:pPr>
                    <w:jc w:val="center"/>
                    <w:rPr>
                      <w:color w:val="auto"/>
                      <w:szCs w:val="21"/>
                    </w:rPr>
                  </w:pPr>
                </w:p>
              </w:tc>
              <w:tc>
                <w:tcPr>
                  <w:tcW w:w="1284" w:type="dxa"/>
                  <w:vMerge w:val="continue"/>
                  <w:tcBorders>
                    <w:tl2br w:val="nil"/>
                    <w:tr2bl w:val="nil"/>
                  </w:tcBorders>
                  <w:shd w:val="clear" w:color="auto" w:fill="auto"/>
                  <w:vAlign w:val="center"/>
                </w:tcPr>
                <w:p>
                  <w:pPr>
                    <w:jc w:val="center"/>
                    <w:rPr>
                      <w:color w:val="auto"/>
                      <w:szCs w:val="21"/>
                    </w:rPr>
                  </w:pPr>
                </w:p>
              </w:tc>
              <w:tc>
                <w:tcPr>
                  <w:tcW w:w="1283" w:type="dxa"/>
                  <w:vMerge w:val="continue"/>
                  <w:tcBorders>
                    <w:tl2br w:val="nil"/>
                    <w:tr2bl w:val="nil"/>
                  </w:tcBorders>
                  <w:shd w:val="clear" w:color="auto" w:fill="auto"/>
                  <w:vAlign w:val="center"/>
                </w:tcPr>
                <w:p>
                  <w:pPr>
                    <w:jc w:val="center"/>
                    <w:rPr>
                      <w:color w:val="auto"/>
                      <w:szCs w:val="21"/>
                    </w:rPr>
                  </w:pPr>
                </w:p>
              </w:tc>
              <w:tc>
                <w:tcPr>
                  <w:tcW w:w="1132"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西</w:t>
                  </w:r>
                </w:p>
              </w:tc>
              <w:tc>
                <w:tcPr>
                  <w:tcW w:w="1080"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30</w:t>
                  </w:r>
                </w:p>
              </w:tc>
              <w:tc>
                <w:tcPr>
                  <w:tcW w:w="1611" w:type="dxa"/>
                  <w:vMerge w:val="continue"/>
                  <w:tcBorders>
                    <w:tl2br w:val="nil"/>
                    <w:tr2bl w:val="nil"/>
                  </w:tcBorders>
                  <w:shd w:val="clear" w:color="auto" w:fill="auto"/>
                  <w:vAlign w:val="center"/>
                </w:tcPr>
                <w:p>
                  <w:pPr>
                    <w:jc w:val="center"/>
                    <w:rPr>
                      <w:color w:val="auto"/>
                      <w:szCs w:val="21"/>
                    </w:rPr>
                  </w:pPr>
                </w:p>
              </w:tc>
              <w:tc>
                <w:tcPr>
                  <w:tcW w:w="1260" w:type="dxa"/>
                  <w:vMerge w:val="continue"/>
                  <w:tcBorders>
                    <w:tl2br w:val="nil"/>
                    <w:tr2bl w:val="nil"/>
                  </w:tcBorders>
                  <w:shd w:val="clear" w:color="auto" w:fill="auto"/>
                  <w:vAlign w:val="center"/>
                </w:tcPr>
                <w:p>
                  <w:pPr>
                    <w:jc w:val="center"/>
                    <w:rPr>
                      <w:color w:val="auto"/>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00" w:hRule="atLeast"/>
              </w:trPr>
              <w:tc>
                <w:tcPr>
                  <w:tcW w:w="876" w:type="dxa"/>
                  <w:vMerge w:val="continue"/>
                  <w:tcBorders>
                    <w:tl2br w:val="nil"/>
                    <w:tr2bl w:val="nil"/>
                  </w:tcBorders>
                  <w:shd w:val="clear" w:color="auto" w:fill="auto"/>
                  <w:vAlign w:val="center"/>
                </w:tcPr>
                <w:p>
                  <w:pPr>
                    <w:jc w:val="center"/>
                    <w:rPr>
                      <w:color w:val="auto"/>
                      <w:szCs w:val="21"/>
                    </w:rPr>
                  </w:pPr>
                </w:p>
              </w:tc>
              <w:tc>
                <w:tcPr>
                  <w:tcW w:w="1284" w:type="dxa"/>
                  <w:vMerge w:val="continue"/>
                  <w:tcBorders>
                    <w:tl2br w:val="nil"/>
                    <w:tr2bl w:val="nil"/>
                  </w:tcBorders>
                  <w:shd w:val="clear" w:color="auto" w:fill="auto"/>
                  <w:vAlign w:val="center"/>
                </w:tcPr>
                <w:p>
                  <w:pPr>
                    <w:jc w:val="center"/>
                    <w:rPr>
                      <w:color w:val="auto"/>
                      <w:szCs w:val="21"/>
                    </w:rPr>
                  </w:pPr>
                </w:p>
              </w:tc>
              <w:tc>
                <w:tcPr>
                  <w:tcW w:w="1283" w:type="dxa"/>
                  <w:vMerge w:val="continue"/>
                  <w:tcBorders>
                    <w:tl2br w:val="nil"/>
                    <w:tr2bl w:val="nil"/>
                  </w:tcBorders>
                  <w:shd w:val="clear" w:color="auto" w:fill="auto"/>
                  <w:vAlign w:val="center"/>
                </w:tcPr>
                <w:p>
                  <w:pPr>
                    <w:jc w:val="center"/>
                    <w:rPr>
                      <w:color w:val="auto"/>
                      <w:szCs w:val="21"/>
                    </w:rPr>
                  </w:pPr>
                </w:p>
              </w:tc>
              <w:tc>
                <w:tcPr>
                  <w:tcW w:w="1132"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vMerge w:val="continue"/>
                  <w:tcBorders>
                    <w:tl2br w:val="nil"/>
                    <w:tr2bl w:val="nil"/>
                  </w:tcBorders>
                  <w:shd w:val="clear" w:color="auto" w:fill="auto"/>
                  <w:vAlign w:val="center"/>
                </w:tcPr>
                <w:p>
                  <w:pPr>
                    <w:jc w:val="center"/>
                    <w:rPr>
                      <w:color w:val="auto"/>
                      <w:szCs w:val="21"/>
                    </w:rPr>
                  </w:pPr>
                </w:p>
              </w:tc>
              <w:tc>
                <w:tcPr>
                  <w:tcW w:w="1080"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北</w:t>
                  </w:r>
                </w:p>
              </w:tc>
              <w:tc>
                <w:tcPr>
                  <w:tcW w:w="1080"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30</w:t>
                  </w:r>
                </w:p>
              </w:tc>
              <w:tc>
                <w:tcPr>
                  <w:tcW w:w="1611" w:type="dxa"/>
                  <w:vMerge w:val="continue"/>
                  <w:tcBorders>
                    <w:tl2br w:val="nil"/>
                    <w:tr2bl w:val="nil"/>
                  </w:tcBorders>
                  <w:shd w:val="clear" w:color="auto" w:fill="auto"/>
                  <w:vAlign w:val="center"/>
                </w:tcPr>
                <w:p>
                  <w:pPr>
                    <w:jc w:val="center"/>
                    <w:rPr>
                      <w:color w:val="auto"/>
                      <w:szCs w:val="21"/>
                    </w:rPr>
                  </w:pPr>
                </w:p>
              </w:tc>
              <w:tc>
                <w:tcPr>
                  <w:tcW w:w="1260" w:type="dxa"/>
                  <w:vMerge w:val="continue"/>
                  <w:tcBorders>
                    <w:tl2br w:val="nil"/>
                    <w:tr2bl w:val="nil"/>
                  </w:tcBorders>
                  <w:shd w:val="clear" w:color="auto" w:fill="auto"/>
                  <w:vAlign w:val="center"/>
                </w:tcPr>
                <w:p>
                  <w:pPr>
                    <w:jc w:val="center"/>
                    <w:rPr>
                      <w:color w:val="auto"/>
                      <w:szCs w:val="21"/>
                    </w:rPr>
                  </w:pPr>
                </w:p>
              </w:tc>
            </w:tr>
          </w:tbl>
          <w:p>
            <w:pPr>
              <w:pStyle w:val="13"/>
              <w:adjustRightInd w:val="0"/>
              <w:spacing w:line="360" w:lineRule="auto"/>
              <w:ind w:left="0" w:leftChars="0" w:right="0" w:rightChars="0"/>
              <w:rPr>
                <w:rFonts w:ascii="Calibri" w:hAnsi="Calibri" w:cs="Calibri"/>
                <w:color w:val="auto"/>
                <w:szCs w:val="21"/>
              </w:rPr>
            </w:pPr>
            <w:r>
              <w:rPr>
                <w:rFonts w:ascii="Calibri" w:hAnsi="Calibri" w:cs="Calibri"/>
                <w:color w:val="auto"/>
                <w:szCs w:val="21"/>
              </w:rPr>
              <w:t>注：选取车间</w:t>
            </w:r>
            <w:r>
              <w:rPr>
                <w:rFonts w:hint="eastAsia" w:ascii="Calibri" w:hAnsi="Calibri" w:cs="Calibri"/>
                <w:color w:val="auto"/>
                <w:szCs w:val="21"/>
              </w:rPr>
              <w:t>一</w:t>
            </w:r>
            <w:r>
              <w:rPr>
                <w:rFonts w:ascii="Calibri" w:hAnsi="Calibri" w:cs="Calibri"/>
                <w:color w:val="auto"/>
                <w:szCs w:val="21"/>
              </w:rPr>
              <w:t>西南角为0点，XYZ为设备相对0点位置。</w:t>
            </w:r>
          </w:p>
          <w:p>
            <w:pPr>
              <w:pStyle w:val="6"/>
              <w:numPr>
                <w:ilvl w:val="0"/>
                <w:numId w:val="16"/>
              </w:numPr>
              <w:adjustRightInd w:val="0"/>
              <w:snapToGrid w:val="0"/>
              <w:ind w:firstLineChars="0"/>
              <w:jc w:val="center"/>
              <w:rPr>
                <w:rFonts w:ascii="Calibri" w:hAnsi="Calibri" w:cs="Calibri"/>
                <w:b/>
                <w:bCs/>
                <w:color w:val="auto"/>
                <w:sz w:val="24"/>
              </w:rPr>
            </w:pPr>
            <w:r>
              <w:rPr>
                <w:rFonts w:ascii="Calibri" w:hAnsi="Calibri" w:cs="Calibri"/>
                <w:b/>
                <w:bCs/>
                <w:color w:val="auto"/>
                <w:sz w:val="24"/>
              </w:rPr>
              <w:t>工业企业</w:t>
            </w:r>
            <w:r>
              <w:rPr>
                <w:rFonts w:hint="eastAsia" w:ascii="Calibri" w:hAnsi="Calibri" w:cs="Calibri"/>
                <w:b/>
                <w:bCs/>
                <w:color w:val="auto"/>
                <w:sz w:val="24"/>
              </w:rPr>
              <w:t>声环境</w:t>
            </w:r>
            <w:r>
              <w:rPr>
                <w:color w:val="auto"/>
              </w:rPr>
              <w:commentReference w:id="33"/>
            </w:r>
            <w:r>
              <w:rPr>
                <w:rFonts w:hint="eastAsia" w:ascii="Calibri" w:hAnsi="Calibri" w:cs="Calibri"/>
                <w:b/>
                <w:bCs/>
                <w:color w:val="auto"/>
                <w:sz w:val="24"/>
              </w:rPr>
              <w:t>保护目标调查表</w:t>
            </w:r>
          </w:p>
          <w:tbl>
            <w:tblPr>
              <w:tblStyle w:val="27"/>
              <w:tblW w:w="135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7"/>
              <w:gridCol w:w="1500"/>
              <w:gridCol w:w="1053"/>
              <w:gridCol w:w="1065"/>
              <w:gridCol w:w="990"/>
              <w:gridCol w:w="1485"/>
              <w:gridCol w:w="1170"/>
              <w:gridCol w:w="2370"/>
              <w:gridCol w:w="34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67" w:type="dxa"/>
                  <w:vMerge w:val="restart"/>
                  <w:tcBorders>
                    <w:tl2br w:val="nil"/>
                    <w:tr2bl w:val="nil"/>
                  </w:tcBorders>
                  <w:vAlign w:val="center"/>
                </w:tcPr>
                <w:p>
                  <w:pPr>
                    <w:jc w:val="center"/>
                    <w:rPr>
                      <w:rFonts w:ascii="Calibri" w:hAnsi="Calibri" w:cs="Calibri"/>
                      <w:b/>
                      <w:bCs/>
                      <w:color w:val="auto"/>
                      <w:szCs w:val="21"/>
                    </w:rPr>
                  </w:pPr>
                  <w:r>
                    <w:rPr>
                      <w:rFonts w:ascii="Calibri" w:hAnsi="Calibri" w:cs="Calibri"/>
                      <w:b/>
                      <w:bCs/>
                      <w:color w:val="auto"/>
                      <w:szCs w:val="21"/>
                    </w:rPr>
                    <w:t>序号</w:t>
                  </w:r>
                </w:p>
              </w:tc>
              <w:tc>
                <w:tcPr>
                  <w:tcW w:w="1500" w:type="dxa"/>
                  <w:vMerge w:val="restart"/>
                  <w:tcBorders>
                    <w:tl2br w:val="nil"/>
                    <w:tr2bl w:val="nil"/>
                  </w:tcBorders>
                  <w:vAlign w:val="center"/>
                </w:tcPr>
                <w:p>
                  <w:pPr>
                    <w:jc w:val="center"/>
                    <w:rPr>
                      <w:rFonts w:ascii="Calibri" w:hAnsi="Calibri" w:cs="Calibri"/>
                      <w:b/>
                      <w:bCs/>
                      <w:color w:val="auto"/>
                      <w:szCs w:val="21"/>
                    </w:rPr>
                  </w:pPr>
                  <w:r>
                    <w:rPr>
                      <w:rFonts w:ascii="Calibri" w:hAnsi="Calibri" w:cs="Calibri"/>
                      <w:b/>
                      <w:bCs/>
                      <w:color w:val="auto"/>
                      <w:szCs w:val="21"/>
                    </w:rPr>
                    <w:t>声环境保护目标名称</w:t>
                  </w:r>
                </w:p>
              </w:tc>
              <w:tc>
                <w:tcPr>
                  <w:tcW w:w="3108" w:type="dxa"/>
                  <w:gridSpan w:val="3"/>
                  <w:tcBorders>
                    <w:tl2br w:val="nil"/>
                    <w:tr2bl w:val="nil"/>
                  </w:tcBorders>
                  <w:vAlign w:val="center"/>
                </w:tcPr>
                <w:p>
                  <w:pPr>
                    <w:jc w:val="center"/>
                    <w:rPr>
                      <w:rFonts w:ascii="Calibri" w:hAnsi="Calibri" w:cs="Calibri"/>
                      <w:b/>
                      <w:bCs/>
                      <w:color w:val="auto"/>
                      <w:szCs w:val="21"/>
                    </w:rPr>
                  </w:pPr>
                  <w:r>
                    <w:rPr>
                      <w:rFonts w:ascii="Calibri" w:hAnsi="Calibri" w:cs="Calibri"/>
                      <w:b/>
                      <w:bCs/>
                      <w:color w:val="auto"/>
                      <w:szCs w:val="21"/>
                    </w:rPr>
                    <w:t>空间相对位置/m</w:t>
                  </w:r>
                </w:p>
              </w:tc>
              <w:tc>
                <w:tcPr>
                  <w:tcW w:w="1485" w:type="dxa"/>
                  <w:vMerge w:val="restart"/>
                  <w:tcBorders>
                    <w:tl2br w:val="nil"/>
                    <w:tr2bl w:val="nil"/>
                  </w:tcBorders>
                  <w:vAlign w:val="center"/>
                </w:tcPr>
                <w:p>
                  <w:pPr>
                    <w:jc w:val="center"/>
                    <w:rPr>
                      <w:rFonts w:ascii="Calibri" w:hAnsi="Calibri" w:cs="Calibri"/>
                      <w:b/>
                      <w:bCs/>
                      <w:color w:val="auto"/>
                      <w:szCs w:val="21"/>
                    </w:rPr>
                  </w:pPr>
                  <w:r>
                    <w:rPr>
                      <w:rFonts w:ascii="Calibri" w:hAnsi="Calibri" w:cs="Calibri"/>
                      <w:b/>
                      <w:bCs/>
                      <w:color w:val="auto"/>
                      <w:szCs w:val="21"/>
                    </w:rPr>
                    <w:t>距厂界最近距离/m</w:t>
                  </w:r>
                </w:p>
              </w:tc>
              <w:tc>
                <w:tcPr>
                  <w:tcW w:w="1170" w:type="dxa"/>
                  <w:vMerge w:val="restart"/>
                  <w:tcBorders>
                    <w:tl2br w:val="nil"/>
                    <w:tr2bl w:val="nil"/>
                  </w:tcBorders>
                  <w:vAlign w:val="center"/>
                </w:tcPr>
                <w:p>
                  <w:pPr>
                    <w:jc w:val="center"/>
                    <w:rPr>
                      <w:rFonts w:ascii="Calibri" w:hAnsi="Calibri" w:cs="Calibri"/>
                      <w:b/>
                      <w:bCs/>
                      <w:color w:val="auto"/>
                      <w:szCs w:val="21"/>
                    </w:rPr>
                  </w:pPr>
                  <w:r>
                    <w:rPr>
                      <w:rFonts w:ascii="Calibri" w:hAnsi="Calibri" w:cs="Calibri"/>
                      <w:b/>
                      <w:bCs/>
                      <w:color w:val="auto"/>
                      <w:szCs w:val="21"/>
                    </w:rPr>
                    <w:t>方位</w:t>
                  </w:r>
                </w:p>
              </w:tc>
              <w:tc>
                <w:tcPr>
                  <w:tcW w:w="2370" w:type="dxa"/>
                  <w:vMerge w:val="restart"/>
                  <w:tcBorders>
                    <w:tl2br w:val="nil"/>
                    <w:tr2bl w:val="nil"/>
                  </w:tcBorders>
                  <w:vAlign w:val="center"/>
                </w:tcPr>
                <w:p>
                  <w:pPr>
                    <w:jc w:val="center"/>
                    <w:rPr>
                      <w:rFonts w:ascii="Calibri" w:hAnsi="Calibri" w:cs="Calibri"/>
                      <w:b/>
                      <w:bCs/>
                      <w:color w:val="auto"/>
                      <w:szCs w:val="21"/>
                    </w:rPr>
                  </w:pPr>
                  <w:r>
                    <w:rPr>
                      <w:rFonts w:ascii="Calibri" w:hAnsi="Calibri" w:cs="Calibri"/>
                      <w:b/>
                      <w:bCs/>
                      <w:color w:val="auto"/>
                      <w:szCs w:val="21"/>
                    </w:rPr>
                    <w:t>执行标准/功能区类别</w:t>
                  </w:r>
                </w:p>
              </w:tc>
              <w:tc>
                <w:tcPr>
                  <w:tcW w:w="3428" w:type="dxa"/>
                  <w:vMerge w:val="restart"/>
                  <w:tcBorders>
                    <w:tl2br w:val="nil"/>
                    <w:tr2bl w:val="nil"/>
                  </w:tcBorders>
                  <w:vAlign w:val="center"/>
                </w:tcPr>
                <w:p>
                  <w:pPr>
                    <w:jc w:val="center"/>
                    <w:rPr>
                      <w:rFonts w:ascii="Calibri" w:hAnsi="Calibri" w:cs="Calibri"/>
                      <w:b/>
                      <w:bCs/>
                      <w:color w:val="auto"/>
                      <w:szCs w:val="21"/>
                    </w:rPr>
                  </w:pPr>
                  <w:r>
                    <w:rPr>
                      <w:rFonts w:ascii="Calibri" w:hAnsi="Calibri" w:cs="Calibri"/>
                      <w:b/>
                      <w:bCs/>
                      <w:color w:val="auto"/>
                      <w:szCs w:val="21"/>
                    </w:rPr>
                    <w:t>声环境保护目标情况说明（介绍声环境保护目标建筑结构、朝向、楼层、周围环境情况）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vMerge w:val="continue"/>
                  <w:tcBorders>
                    <w:tl2br w:val="nil"/>
                    <w:tr2bl w:val="nil"/>
                  </w:tcBorders>
                  <w:vAlign w:val="center"/>
                </w:tcPr>
                <w:p>
                  <w:pPr>
                    <w:jc w:val="center"/>
                    <w:rPr>
                      <w:rFonts w:ascii="Calibri" w:hAnsi="Calibri" w:cs="Calibri"/>
                      <w:color w:val="auto"/>
                      <w:szCs w:val="21"/>
                    </w:rPr>
                  </w:pPr>
                </w:p>
              </w:tc>
              <w:tc>
                <w:tcPr>
                  <w:tcW w:w="1500" w:type="dxa"/>
                  <w:vMerge w:val="continue"/>
                  <w:tcBorders>
                    <w:tl2br w:val="nil"/>
                    <w:tr2bl w:val="nil"/>
                  </w:tcBorders>
                  <w:vAlign w:val="center"/>
                </w:tcPr>
                <w:p>
                  <w:pPr>
                    <w:jc w:val="center"/>
                    <w:rPr>
                      <w:rFonts w:ascii="Calibri" w:hAnsi="Calibri" w:cs="Calibri"/>
                      <w:color w:val="auto"/>
                      <w:szCs w:val="21"/>
                    </w:rPr>
                  </w:pPr>
                </w:p>
              </w:tc>
              <w:tc>
                <w:tcPr>
                  <w:tcW w:w="1053" w:type="dxa"/>
                  <w:tcBorders>
                    <w:tl2br w:val="nil"/>
                    <w:tr2bl w:val="nil"/>
                  </w:tcBorders>
                  <w:vAlign w:val="center"/>
                </w:tcPr>
                <w:p>
                  <w:pPr>
                    <w:widowControl/>
                    <w:jc w:val="center"/>
                    <w:textAlignment w:val="center"/>
                    <w:rPr>
                      <w:rFonts w:ascii="Calibri" w:hAnsi="Calibri" w:cs="Calibri"/>
                      <w:color w:val="auto"/>
                      <w:szCs w:val="21"/>
                    </w:rPr>
                  </w:pPr>
                  <w:r>
                    <w:rPr>
                      <w:rFonts w:ascii="Calibri" w:hAnsi="Calibri" w:cs="Calibri"/>
                      <w:b/>
                      <w:bCs/>
                      <w:color w:val="auto"/>
                      <w:kern w:val="0"/>
                      <w:szCs w:val="21"/>
                      <w:lang w:bidi="ar"/>
                    </w:rPr>
                    <w:t>X</w:t>
                  </w:r>
                </w:p>
              </w:tc>
              <w:tc>
                <w:tcPr>
                  <w:tcW w:w="1065" w:type="dxa"/>
                  <w:tcBorders>
                    <w:tl2br w:val="nil"/>
                    <w:tr2bl w:val="nil"/>
                  </w:tcBorders>
                  <w:vAlign w:val="center"/>
                </w:tcPr>
                <w:p>
                  <w:pPr>
                    <w:widowControl/>
                    <w:jc w:val="center"/>
                    <w:textAlignment w:val="center"/>
                    <w:rPr>
                      <w:rFonts w:ascii="Calibri" w:hAnsi="Calibri" w:cs="Calibri"/>
                      <w:color w:val="auto"/>
                      <w:szCs w:val="21"/>
                    </w:rPr>
                  </w:pPr>
                  <w:r>
                    <w:rPr>
                      <w:rFonts w:ascii="Calibri" w:hAnsi="Calibri" w:cs="Calibri"/>
                      <w:b/>
                      <w:bCs/>
                      <w:color w:val="auto"/>
                      <w:kern w:val="0"/>
                      <w:szCs w:val="21"/>
                      <w:lang w:bidi="ar"/>
                    </w:rPr>
                    <w:t>Y</w:t>
                  </w:r>
                </w:p>
              </w:tc>
              <w:tc>
                <w:tcPr>
                  <w:tcW w:w="990" w:type="dxa"/>
                  <w:tcBorders>
                    <w:tl2br w:val="nil"/>
                    <w:tr2bl w:val="nil"/>
                  </w:tcBorders>
                  <w:vAlign w:val="center"/>
                </w:tcPr>
                <w:p>
                  <w:pPr>
                    <w:widowControl/>
                    <w:jc w:val="center"/>
                    <w:textAlignment w:val="center"/>
                    <w:rPr>
                      <w:rFonts w:ascii="Calibri" w:hAnsi="Calibri" w:cs="Calibri"/>
                      <w:color w:val="auto"/>
                      <w:szCs w:val="21"/>
                    </w:rPr>
                  </w:pPr>
                  <w:r>
                    <w:rPr>
                      <w:rFonts w:ascii="Calibri" w:hAnsi="Calibri" w:cs="Calibri"/>
                      <w:b/>
                      <w:bCs/>
                      <w:color w:val="auto"/>
                      <w:kern w:val="0"/>
                      <w:szCs w:val="21"/>
                      <w:lang w:bidi="ar"/>
                    </w:rPr>
                    <w:t>Z</w:t>
                  </w:r>
                </w:p>
              </w:tc>
              <w:tc>
                <w:tcPr>
                  <w:tcW w:w="1485" w:type="dxa"/>
                  <w:vMerge w:val="continue"/>
                  <w:tcBorders>
                    <w:tl2br w:val="nil"/>
                    <w:tr2bl w:val="nil"/>
                  </w:tcBorders>
                  <w:vAlign w:val="center"/>
                </w:tcPr>
                <w:p>
                  <w:pPr>
                    <w:jc w:val="center"/>
                    <w:rPr>
                      <w:rFonts w:ascii="Calibri" w:hAnsi="Calibri" w:cs="Calibri"/>
                      <w:color w:val="auto"/>
                      <w:szCs w:val="21"/>
                    </w:rPr>
                  </w:pPr>
                </w:p>
              </w:tc>
              <w:tc>
                <w:tcPr>
                  <w:tcW w:w="1170" w:type="dxa"/>
                  <w:vMerge w:val="continue"/>
                  <w:tcBorders>
                    <w:tl2br w:val="nil"/>
                    <w:tr2bl w:val="nil"/>
                  </w:tcBorders>
                  <w:vAlign w:val="center"/>
                </w:tcPr>
                <w:p>
                  <w:pPr>
                    <w:jc w:val="center"/>
                    <w:rPr>
                      <w:rFonts w:ascii="Calibri" w:hAnsi="Calibri" w:cs="Calibri"/>
                      <w:color w:val="auto"/>
                      <w:szCs w:val="21"/>
                    </w:rPr>
                  </w:pPr>
                </w:p>
              </w:tc>
              <w:tc>
                <w:tcPr>
                  <w:tcW w:w="2370" w:type="dxa"/>
                  <w:vMerge w:val="continue"/>
                  <w:tcBorders>
                    <w:tl2br w:val="nil"/>
                    <w:tr2bl w:val="nil"/>
                  </w:tcBorders>
                  <w:vAlign w:val="center"/>
                </w:tcPr>
                <w:p>
                  <w:pPr>
                    <w:jc w:val="center"/>
                    <w:rPr>
                      <w:rFonts w:ascii="Calibri" w:hAnsi="Calibri" w:cs="Calibri"/>
                      <w:color w:val="auto"/>
                      <w:szCs w:val="21"/>
                    </w:rPr>
                  </w:pPr>
                </w:p>
              </w:tc>
              <w:tc>
                <w:tcPr>
                  <w:tcW w:w="3428" w:type="dxa"/>
                  <w:vMerge w:val="continue"/>
                  <w:tcBorders>
                    <w:tl2br w:val="nil"/>
                    <w:tr2bl w:val="nil"/>
                  </w:tcBorders>
                  <w:vAlign w:val="center"/>
                </w:tcPr>
                <w:p>
                  <w:pPr>
                    <w:jc w:val="center"/>
                    <w:rPr>
                      <w:rFonts w:ascii="Calibri" w:hAnsi="Calibri" w:cs="Calibri"/>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l2br w:val="nil"/>
                    <w:tr2bl w:val="nil"/>
                  </w:tcBorders>
                  <w:vAlign w:val="center"/>
                </w:tcPr>
                <w:p>
                  <w:pPr>
                    <w:jc w:val="center"/>
                    <w:rPr>
                      <w:rFonts w:ascii="Calibri" w:hAnsi="Calibri" w:cs="Calibri"/>
                      <w:color w:val="auto"/>
                      <w:szCs w:val="21"/>
                    </w:rPr>
                  </w:pPr>
                  <w:r>
                    <w:rPr>
                      <w:rFonts w:ascii="Calibri" w:hAnsi="Calibri" w:cs="Calibri"/>
                      <w:color w:val="auto"/>
                      <w:szCs w:val="21"/>
                    </w:rPr>
                    <w:t>1</w:t>
                  </w:r>
                </w:p>
              </w:tc>
              <w:tc>
                <w:tcPr>
                  <w:tcW w:w="1500" w:type="dxa"/>
                  <w:tcBorders>
                    <w:tl2br w:val="nil"/>
                    <w:tr2bl w:val="nil"/>
                  </w:tcBorders>
                  <w:vAlign w:val="center"/>
                </w:tcPr>
                <w:p>
                  <w:pPr>
                    <w:jc w:val="center"/>
                    <w:rPr>
                      <w:rFonts w:ascii="Calibri" w:hAnsi="Calibri" w:cs="Calibri"/>
                      <w:color w:val="auto"/>
                      <w:szCs w:val="21"/>
                    </w:rPr>
                  </w:pPr>
                  <w:r>
                    <w:rPr>
                      <w:rFonts w:ascii="Calibri" w:hAnsi="Calibri" w:cs="Calibri"/>
                      <w:color w:val="auto"/>
                      <w:szCs w:val="21"/>
                    </w:rPr>
                    <w:t>新风公寓</w:t>
                  </w:r>
                </w:p>
              </w:tc>
              <w:tc>
                <w:tcPr>
                  <w:tcW w:w="1053" w:type="dxa"/>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136</w:t>
                  </w:r>
                </w:p>
              </w:tc>
              <w:tc>
                <w:tcPr>
                  <w:tcW w:w="1065" w:type="dxa"/>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-26</w:t>
                  </w:r>
                </w:p>
              </w:tc>
              <w:tc>
                <w:tcPr>
                  <w:tcW w:w="990" w:type="dxa"/>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1</w:t>
                  </w:r>
                </w:p>
              </w:tc>
              <w:tc>
                <w:tcPr>
                  <w:tcW w:w="1485" w:type="dxa"/>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43</w:t>
                  </w:r>
                </w:p>
              </w:tc>
              <w:tc>
                <w:tcPr>
                  <w:tcW w:w="1170" w:type="dxa"/>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东南</w:t>
                  </w:r>
                </w:p>
              </w:tc>
              <w:tc>
                <w:tcPr>
                  <w:tcW w:w="2370" w:type="dxa"/>
                  <w:tcBorders>
                    <w:tl2br w:val="nil"/>
                    <w:tr2bl w:val="nil"/>
                  </w:tcBorders>
                  <w:vAlign w:val="center"/>
                </w:tcPr>
                <w:p>
                  <w:pPr>
                    <w:jc w:val="center"/>
                    <w:rPr>
                      <w:rFonts w:ascii="Calibri" w:hAnsi="Calibri" w:cs="Calibri"/>
                      <w:color w:val="auto"/>
                      <w:szCs w:val="21"/>
                    </w:rPr>
                  </w:pPr>
                  <w:r>
                    <w:rPr>
                      <w:rFonts w:ascii="Calibri" w:hAnsi="Calibri" w:cs="Calibri"/>
                      <w:color w:val="auto"/>
                      <w:szCs w:val="21"/>
                    </w:rPr>
                    <w:t>《声环境质量标准》（GB3096-2008）中的2类区域标准</w:t>
                  </w:r>
                  <w:r>
                    <w:rPr>
                      <w:rFonts w:hint="eastAsia" w:ascii="Calibri" w:hAnsi="Calibri" w:cs="Calibri"/>
                      <w:color w:val="auto"/>
                      <w:szCs w:val="21"/>
                    </w:rPr>
                    <w:t>/</w:t>
                  </w:r>
                  <w:r>
                    <w:rPr>
                      <w:rFonts w:hint="eastAsia" w:ascii="Calibri" w:hAnsi="Calibri" w:cs="Calibri"/>
                      <w:color w:val="auto"/>
                      <w:lang w:val="en-US" w:eastAsia="zh-CN"/>
                    </w:rPr>
                    <w:t>2</w:t>
                  </w:r>
                  <w:r>
                    <w:rPr>
                      <w:rFonts w:hint="eastAsia" w:ascii="Calibri" w:hAnsi="Calibri" w:cs="Calibri"/>
                      <w:color w:val="auto"/>
                    </w:rPr>
                    <w:t>类区域</w:t>
                  </w:r>
                </w:p>
              </w:tc>
              <w:tc>
                <w:tcPr>
                  <w:tcW w:w="3428" w:type="dxa"/>
                  <w:tcBorders>
                    <w:tl2br w:val="nil"/>
                    <w:tr2bl w:val="nil"/>
                  </w:tcBorders>
                  <w:vAlign w:val="center"/>
                </w:tcPr>
                <w:p>
                  <w:pPr>
                    <w:jc w:val="center"/>
                    <w:rPr>
                      <w:rFonts w:ascii="Calibri" w:hAnsi="Calibri" w:cs="Calibri"/>
                      <w:color w:val="auto"/>
                      <w:szCs w:val="21"/>
                    </w:rPr>
                  </w:pPr>
                  <w:r>
                    <w:rPr>
                      <w:rFonts w:hint="eastAsia" w:ascii="Calibri" w:hAnsi="Calibri" w:cs="Calibri"/>
                      <w:color w:val="auto"/>
                      <w:szCs w:val="21"/>
                    </w:rPr>
                    <w:t>新风公寓5层钢混结构建筑，建筑坐北朝南，北以及东北方向为无锡展博环保科技有限公司，南侧隔周泾河为无锡亿能电力设备有限公司，西侧隔新风路为本项目</w:t>
                  </w:r>
                </w:p>
              </w:tc>
            </w:tr>
          </w:tbl>
          <w:p>
            <w:pPr>
              <w:pStyle w:val="13"/>
              <w:adjustRightInd w:val="0"/>
              <w:spacing w:line="360" w:lineRule="auto"/>
              <w:ind w:left="0" w:leftChars="0" w:right="0" w:rightChars="0"/>
              <w:rPr>
                <w:rFonts w:ascii="Calibri" w:hAnsi="Calibri" w:cs="Calibri"/>
                <w:color w:val="auto"/>
                <w:szCs w:val="21"/>
              </w:rPr>
            </w:pPr>
            <w:r>
              <w:rPr>
                <w:rFonts w:ascii="Calibri" w:hAnsi="Calibri" w:cs="Calibri"/>
                <w:color w:val="auto"/>
                <w:szCs w:val="21"/>
              </w:rPr>
              <w:t>注：选取车间</w:t>
            </w:r>
            <w:r>
              <w:rPr>
                <w:rFonts w:hint="eastAsia" w:ascii="Calibri" w:hAnsi="Calibri" w:cs="Calibri"/>
                <w:color w:val="auto"/>
                <w:szCs w:val="21"/>
              </w:rPr>
              <w:t>一</w:t>
            </w:r>
            <w:r>
              <w:rPr>
                <w:rFonts w:ascii="Calibri" w:hAnsi="Calibri" w:cs="Calibri"/>
                <w:color w:val="auto"/>
                <w:szCs w:val="21"/>
              </w:rPr>
              <w:t>西南角为0点，XYZ为设备相对0点位置。</w:t>
            </w:r>
          </w:p>
          <w:p>
            <w:pPr>
              <w:pStyle w:val="13"/>
              <w:adjustRightInd w:val="0"/>
              <w:spacing w:line="360" w:lineRule="auto"/>
              <w:ind w:left="0" w:leftChars="0" w:right="0" w:rightChars="0"/>
              <w:rPr>
                <w:rFonts w:ascii="Calibri" w:hAnsi="Calibri" w:cs="Calibri"/>
                <w:color w:val="auto"/>
                <w:szCs w:val="21"/>
              </w:rPr>
            </w:pPr>
          </w:p>
        </w:tc>
      </w:tr>
    </w:tbl>
    <w:p>
      <w:pPr>
        <w:pStyle w:val="2"/>
        <w:rPr>
          <w:snapToGrid w:val="0"/>
          <w:color w:val="auto"/>
        </w:rPr>
      </w:pPr>
      <w:r>
        <w:rPr>
          <w:snapToGrid w:val="0"/>
          <w:color w:val="auto"/>
        </w:rPr>
        <w:br w:type="page"/>
      </w:r>
    </w:p>
    <w:p>
      <w:pPr>
        <w:pStyle w:val="23"/>
        <w:jc w:val="center"/>
        <w:outlineLvl w:val="0"/>
        <w:rPr>
          <w:rFonts w:ascii="Times New Roman" w:hAnsi="Times New Roman"/>
          <w:snapToGrid w:val="0"/>
          <w:color w:val="auto"/>
          <w:sz w:val="30"/>
          <w:szCs w:val="30"/>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0" w:num="1"/>
          <w:docGrid w:type="linesAndChars" w:linePitch="319"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7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8" w:type="dxa"/>
            <w:vAlign w:val="center"/>
          </w:tcPr>
          <w:p>
            <w:pPr>
              <w:adjustRightInd w:val="0"/>
              <w:snapToGrid w:val="0"/>
              <w:jc w:val="center"/>
              <w:rPr>
                <w:rFonts w:ascii="Calibri" w:hAnsi="Calibri" w:cs="Calibri"/>
                <w:bCs/>
                <w:color w:val="auto"/>
                <w:sz w:val="24"/>
              </w:rPr>
            </w:pPr>
            <w:r>
              <w:rPr>
                <w:rFonts w:ascii="Calibri" w:hAnsi="Calibri" w:cs="Calibri"/>
                <w:bCs/>
                <w:color w:val="auto"/>
                <w:sz w:val="24"/>
              </w:rPr>
              <w:t>运营</w:t>
            </w:r>
          </w:p>
          <w:p>
            <w:pPr>
              <w:adjustRightInd w:val="0"/>
              <w:snapToGrid w:val="0"/>
              <w:jc w:val="center"/>
              <w:rPr>
                <w:rFonts w:ascii="Calibri" w:hAnsi="Calibri" w:cs="Calibri"/>
                <w:bCs/>
                <w:color w:val="auto"/>
                <w:sz w:val="24"/>
              </w:rPr>
            </w:pPr>
            <w:r>
              <w:rPr>
                <w:rFonts w:ascii="Calibri" w:hAnsi="Calibri" w:cs="Calibri"/>
                <w:bCs/>
                <w:color w:val="auto"/>
                <w:sz w:val="24"/>
              </w:rPr>
              <w:t>期环</w:t>
            </w:r>
          </w:p>
          <w:p>
            <w:pPr>
              <w:adjustRightInd w:val="0"/>
              <w:snapToGrid w:val="0"/>
              <w:jc w:val="center"/>
              <w:rPr>
                <w:rFonts w:ascii="Calibri" w:hAnsi="Calibri" w:cs="Calibri"/>
                <w:bCs/>
                <w:color w:val="auto"/>
                <w:sz w:val="24"/>
              </w:rPr>
            </w:pPr>
            <w:r>
              <w:rPr>
                <w:rFonts w:ascii="Calibri" w:hAnsi="Calibri" w:cs="Calibri"/>
                <w:bCs/>
                <w:color w:val="auto"/>
                <w:sz w:val="24"/>
              </w:rPr>
              <w:t>境影</w:t>
            </w:r>
          </w:p>
          <w:p>
            <w:pPr>
              <w:adjustRightInd w:val="0"/>
              <w:snapToGrid w:val="0"/>
              <w:jc w:val="center"/>
              <w:rPr>
                <w:rFonts w:ascii="Calibri" w:hAnsi="Calibri" w:cs="Calibri"/>
                <w:bCs/>
                <w:color w:val="auto"/>
                <w:sz w:val="24"/>
              </w:rPr>
            </w:pPr>
            <w:r>
              <w:rPr>
                <w:rFonts w:ascii="Calibri" w:hAnsi="Calibri" w:cs="Calibri"/>
                <w:bCs/>
                <w:color w:val="auto"/>
                <w:sz w:val="24"/>
              </w:rPr>
              <w:t>响和</w:t>
            </w:r>
          </w:p>
          <w:p>
            <w:pPr>
              <w:adjustRightInd w:val="0"/>
              <w:snapToGrid w:val="0"/>
              <w:jc w:val="center"/>
              <w:rPr>
                <w:rFonts w:ascii="Calibri" w:hAnsi="Calibri" w:cs="Calibri"/>
                <w:snapToGrid w:val="0"/>
                <w:color w:val="auto"/>
                <w:sz w:val="30"/>
                <w:szCs w:val="30"/>
              </w:rPr>
            </w:pPr>
            <w:r>
              <w:rPr>
                <w:rFonts w:ascii="Calibri" w:hAnsi="Calibri" w:cs="Calibri"/>
                <w:bCs/>
                <w:color w:val="auto"/>
                <w:sz w:val="24"/>
              </w:rPr>
              <w:t>保护措施</w:t>
            </w:r>
          </w:p>
        </w:tc>
        <w:tc>
          <w:tcPr>
            <w:tcW w:w="7754" w:type="dxa"/>
          </w:tcPr>
          <w:p>
            <w:pPr>
              <w:adjustRightInd w:val="0"/>
              <w:snapToGrid w:val="0"/>
              <w:spacing w:before="159" w:beforeLines="50" w:line="360" w:lineRule="auto"/>
              <w:ind w:firstLine="482" w:firstLineChars="200"/>
              <w:rPr>
                <w:rFonts w:ascii="Calibri" w:hAnsi="Calibri" w:cs="Calibri"/>
                <w:b/>
                <w:bCs/>
                <w:color w:val="auto"/>
                <w:sz w:val="24"/>
              </w:rPr>
            </w:pPr>
            <w:r>
              <w:rPr>
                <w:rFonts w:ascii="Calibri" w:hAnsi="Calibri" w:cs="Calibri"/>
                <w:b/>
                <w:bCs/>
                <w:color w:val="auto"/>
                <w:sz w:val="24"/>
              </w:rPr>
              <w:t>（2）厂界</w:t>
            </w:r>
            <w:r>
              <w:rPr>
                <w:rFonts w:hint="eastAsia" w:ascii="Calibri" w:hAnsi="Calibri" w:cs="Calibri"/>
                <w:b/>
                <w:bCs/>
                <w:color w:val="auto"/>
                <w:sz w:val="24"/>
              </w:rPr>
              <w:t>噪声</w:t>
            </w:r>
            <w:r>
              <w:rPr>
                <w:rFonts w:ascii="Calibri" w:hAnsi="Calibri" w:cs="Calibri"/>
                <w:b/>
                <w:bCs/>
                <w:color w:val="auto"/>
                <w:sz w:val="24"/>
              </w:rPr>
              <w:t>达标情况分析</w:t>
            </w:r>
          </w:p>
          <w:p>
            <w:pPr>
              <w:adjustRightInd w:val="0"/>
              <w:snapToGrid w:val="0"/>
              <w:spacing w:line="360" w:lineRule="auto"/>
              <w:ind w:firstLine="480"/>
              <w:rPr>
                <w:rFonts w:ascii="宋体" w:hAnsi="宋体" w:cs="宋体"/>
                <w:color w:val="auto"/>
                <w:sz w:val="24"/>
              </w:rPr>
            </w:pPr>
            <w:r>
              <w:rPr>
                <w:rFonts w:ascii="Calibri" w:hAnsi="Calibri" w:cs="Calibri"/>
                <w:color w:val="auto"/>
                <w:sz w:val="24"/>
              </w:rPr>
              <w:t>根据HJ2.4-20</w:t>
            </w:r>
            <w:r>
              <w:rPr>
                <w:rFonts w:hint="eastAsia" w:ascii="Calibri" w:hAnsi="Calibri" w:cs="Calibri"/>
                <w:color w:val="auto"/>
                <w:sz w:val="24"/>
              </w:rPr>
              <w:t>21要求，室内声源和室外声源分别按照导则附录B和附录A分别计算：</w:t>
            </w:r>
          </w:p>
          <w:p>
            <w:pPr>
              <w:adjustRightInd w:val="0"/>
              <w:snapToGrid w:val="0"/>
              <w:spacing w:line="360" w:lineRule="auto"/>
              <w:ind w:firstLine="480"/>
              <w:rPr>
                <w:rFonts w:ascii="宋体" w:hAnsi="宋体" w:cs="宋体"/>
                <w:color w:val="auto"/>
                <w:sz w:val="24"/>
              </w:rPr>
            </w:pPr>
            <w:r>
              <w:rPr>
                <w:rFonts w:hint="eastAsia" w:ascii="宋体" w:hAnsi="宋体" w:cs="宋体"/>
                <w:color w:val="auto"/>
                <w:sz w:val="24"/>
              </w:rPr>
              <w:t>①室内声源</w:t>
            </w:r>
          </w:p>
          <w:p>
            <w:pPr>
              <w:adjustRightInd w:val="0"/>
              <w:snapToGrid w:val="0"/>
              <w:spacing w:line="360" w:lineRule="auto"/>
              <w:ind w:firstLine="420" w:firstLineChars="200"/>
              <w:rPr>
                <w:rFonts w:ascii="宋体" w:hAnsi="宋体" w:cs="宋体"/>
                <w:color w:val="auto"/>
                <w:sz w:val="24"/>
              </w:rPr>
            </w:pPr>
            <w:r>
              <w:rPr>
                <w:rFonts w:hint="eastAsia" w:ascii="Calibri" w:hAnsi="Calibri" w:cs="Calibri"/>
                <w:color w:val="auto"/>
              </w:rPr>
              <w:t>A.</w:t>
            </w:r>
            <w:r>
              <w:rPr>
                <w:rFonts w:hint="eastAsia" w:ascii="宋体" w:hAnsi="宋体" w:cs="宋体"/>
                <w:color w:val="auto"/>
                <w:sz w:val="24"/>
              </w:rPr>
              <w:t>计算某一室内声源靠近围护结构处产生的倍频带声压级</w:t>
            </w:r>
            <w:r>
              <w:rPr>
                <w:rFonts w:hint="eastAsia" w:ascii="Calibri" w:hAnsi="Calibri" w:cs="Calibri"/>
                <w:color w:val="auto"/>
                <w:kern w:val="0"/>
                <w:sz w:val="24"/>
                <w:lang w:bidi="ar"/>
              </w:rPr>
              <w:t>。计算公式如下</w:t>
            </w:r>
            <w:r>
              <w:rPr>
                <w:rFonts w:ascii="Calibri" w:hAnsi="Calibri" w:cs="Calibri"/>
                <w:color w:val="auto"/>
                <w:kern w:val="0"/>
                <w:sz w:val="24"/>
                <w:lang w:bidi="ar"/>
              </w:rPr>
              <w:t>：</w:t>
            </w:r>
          </w:p>
          <w:p>
            <w:pPr>
              <w:pStyle w:val="16"/>
              <w:ind w:firstLine="480"/>
              <w:jc w:val="center"/>
              <w:rPr>
                <w:rFonts w:ascii="宋体" w:hAnsi="宋体" w:cs="宋体"/>
                <w:color w:val="auto"/>
                <w:sz w:val="24"/>
                <w:szCs w:val="24"/>
              </w:rPr>
            </w:pPr>
            <w:r>
              <w:rPr>
                <w:rFonts w:ascii="宋体" w:hAnsi="宋体" w:cs="宋体"/>
                <w:color w:val="auto"/>
                <w:sz w:val="24"/>
                <w:szCs w:val="24"/>
              </w:rPr>
              <w:drawing>
                <wp:inline distT="0" distB="0" distL="114300" distR="114300">
                  <wp:extent cx="1955800" cy="544830"/>
                  <wp:effectExtent l="0" t="0" r="6350" b="7620"/>
                  <wp:docPr id="34" name="图片 9" descr="165544541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1655445419517"/>
                          <pic:cNvPicPr>
                            <a:picLocks noChangeAspect="1"/>
                          </pic:cNvPicPr>
                        </pic:nvPicPr>
                        <pic:blipFill>
                          <a:blip r:embed="rId25"/>
                          <a:stretch>
                            <a:fillRect/>
                          </a:stretch>
                        </pic:blipFill>
                        <pic:spPr>
                          <a:xfrm>
                            <a:off x="0" y="0"/>
                            <a:ext cx="1955800" cy="544830"/>
                          </a:xfrm>
                          <a:prstGeom prst="rect">
                            <a:avLst/>
                          </a:prstGeom>
                          <a:noFill/>
                          <a:ln>
                            <a:noFill/>
                          </a:ln>
                        </pic:spPr>
                      </pic:pic>
                    </a:graphicData>
                  </a:graphic>
                </wp:inline>
              </w:drawing>
            </w:r>
          </w:p>
          <w:p>
            <w:pPr>
              <w:widowControl/>
              <w:snapToGrid w:val="0"/>
              <w:spacing w:line="360" w:lineRule="auto"/>
              <w:jc w:val="left"/>
              <w:rPr>
                <w:rFonts w:ascii="Calibri" w:hAnsi="Calibri" w:cs="Calibri"/>
                <w:color w:val="auto"/>
                <w:sz w:val="24"/>
              </w:rPr>
            </w:pPr>
            <w:r>
              <w:rPr>
                <w:rFonts w:hint="eastAsia" w:ascii="Calibri" w:hAnsi="Calibri" w:cs="Calibri"/>
                <w:color w:val="auto"/>
                <w:sz w:val="24"/>
              </w:rPr>
              <w:t>式中：</w:t>
            </w:r>
            <w:r>
              <w:rPr>
                <w:rFonts w:hint="eastAsia" w:ascii="Calibri" w:hAnsi="Calibri" w:cs="Calibri"/>
                <w:i/>
                <w:iCs/>
                <w:color w:val="auto"/>
                <w:sz w:val="24"/>
              </w:rPr>
              <w:t>L</w:t>
            </w:r>
            <w:r>
              <w:rPr>
                <w:rFonts w:hint="eastAsia" w:ascii="Calibri" w:hAnsi="Calibri" w:cs="Calibri"/>
                <w:i/>
                <w:iCs/>
                <w:color w:val="auto"/>
                <w:sz w:val="24"/>
                <w:vertAlign w:val="subscript"/>
              </w:rPr>
              <w:t>p1</w:t>
            </w:r>
            <w:r>
              <w:rPr>
                <w:rFonts w:hint="eastAsia" w:ascii="Calibri" w:hAnsi="Calibri" w:cs="Calibri"/>
                <w:color w:val="auto"/>
                <w:sz w:val="24"/>
              </w:rPr>
              <w:t>—靠近开口处（或窗户）室内某倍频带的声压级或 A 声级，dB；</w:t>
            </w:r>
          </w:p>
          <w:p>
            <w:pPr>
              <w:pStyle w:val="16"/>
              <w:snapToGrid w:val="0"/>
              <w:spacing w:after="0" w:line="360" w:lineRule="auto"/>
              <w:ind w:left="0" w:leftChars="0" w:firstLine="720" w:firstLineChars="300"/>
              <w:rPr>
                <w:rFonts w:ascii="Calibri" w:hAnsi="Calibri" w:cs="Calibri"/>
                <w:color w:val="auto"/>
                <w:sz w:val="24"/>
                <w:szCs w:val="24"/>
              </w:rPr>
            </w:pPr>
            <w:r>
              <w:rPr>
                <w:rFonts w:hint="eastAsia" w:ascii="Calibri" w:hAnsi="Calibri" w:cs="Calibri"/>
                <w:color w:val="auto"/>
                <w:sz w:val="24"/>
                <w:szCs w:val="24"/>
              </w:rPr>
              <w:t>L</w:t>
            </w:r>
            <w:r>
              <w:rPr>
                <w:rFonts w:hint="eastAsia" w:ascii="Calibri" w:hAnsi="Calibri" w:cs="Calibri"/>
                <w:color w:val="auto"/>
                <w:sz w:val="24"/>
                <w:szCs w:val="24"/>
                <w:vertAlign w:val="subscript"/>
              </w:rPr>
              <w:t>w</w:t>
            </w:r>
            <w:r>
              <w:rPr>
                <w:rFonts w:hint="eastAsia" w:ascii="Calibri" w:hAnsi="Calibri" w:cs="Calibri"/>
                <w:color w:val="auto"/>
                <w:sz w:val="24"/>
                <w:szCs w:val="24"/>
              </w:rPr>
              <w:t>—点声源声功率级（A计权或倍频带）；</w:t>
            </w:r>
          </w:p>
          <w:p>
            <w:pPr>
              <w:pStyle w:val="16"/>
              <w:snapToGrid w:val="0"/>
              <w:spacing w:after="0" w:line="360" w:lineRule="auto"/>
              <w:ind w:left="0" w:leftChars="0" w:firstLine="720" w:firstLineChars="300"/>
              <w:rPr>
                <w:rFonts w:ascii="Calibri" w:hAnsi="Calibri" w:cs="Calibri"/>
                <w:color w:val="auto"/>
                <w:kern w:val="2"/>
                <w:sz w:val="24"/>
                <w:szCs w:val="24"/>
              </w:rPr>
            </w:pPr>
            <w:r>
              <w:rPr>
                <w:rFonts w:hint="eastAsia" w:ascii="Calibri" w:hAnsi="Calibri" w:cs="Calibri"/>
                <w:color w:val="auto"/>
                <w:kern w:val="2"/>
                <w:sz w:val="24"/>
                <w:szCs w:val="24"/>
              </w:rPr>
              <w:t>Q—指向性因数，通常对无指向性声源，当声源放在房间中心时，</w:t>
            </w:r>
            <w:r>
              <w:rPr>
                <w:rFonts w:ascii="Calibri" w:hAnsi="Calibri" w:cs="Calibri"/>
                <w:color w:val="auto"/>
                <w:kern w:val="2"/>
                <w:sz w:val="24"/>
                <w:szCs w:val="24"/>
              </w:rPr>
              <w:t>Q=1</w:t>
            </w:r>
            <w:r>
              <w:rPr>
                <w:rFonts w:hint="eastAsia" w:ascii="Calibri" w:hAnsi="Calibri" w:cs="Calibri"/>
                <w:color w:val="auto"/>
                <w:kern w:val="2"/>
                <w:sz w:val="24"/>
                <w:szCs w:val="24"/>
              </w:rPr>
              <w:t>，当放在一面墙的中心时，</w:t>
            </w:r>
            <w:r>
              <w:rPr>
                <w:rFonts w:ascii="Calibri" w:hAnsi="Calibri" w:cs="Calibri"/>
                <w:color w:val="auto"/>
                <w:kern w:val="2"/>
                <w:sz w:val="24"/>
                <w:szCs w:val="24"/>
              </w:rPr>
              <w:t>Q=2</w:t>
            </w:r>
            <w:r>
              <w:rPr>
                <w:rFonts w:hint="eastAsia" w:ascii="Calibri" w:hAnsi="Calibri" w:cs="Calibri"/>
                <w:color w:val="auto"/>
                <w:kern w:val="2"/>
                <w:sz w:val="24"/>
                <w:szCs w:val="24"/>
              </w:rPr>
              <w:t>；当放在两面墙夹角处时，</w:t>
            </w:r>
            <w:r>
              <w:rPr>
                <w:rFonts w:ascii="Calibri" w:hAnsi="Calibri" w:cs="Calibri"/>
                <w:color w:val="auto"/>
                <w:kern w:val="2"/>
                <w:sz w:val="24"/>
                <w:szCs w:val="24"/>
              </w:rPr>
              <w:t>Q=4</w:t>
            </w:r>
            <w:r>
              <w:rPr>
                <w:rFonts w:hint="eastAsia" w:ascii="Calibri" w:hAnsi="Calibri" w:cs="Calibri"/>
                <w:color w:val="auto"/>
                <w:kern w:val="2"/>
                <w:sz w:val="24"/>
                <w:szCs w:val="24"/>
              </w:rPr>
              <w:t>， 当放在三面墙夹角处时，</w:t>
            </w:r>
            <w:r>
              <w:rPr>
                <w:rFonts w:ascii="Calibri" w:hAnsi="Calibri" w:cs="Calibri"/>
                <w:color w:val="auto"/>
                <w:kern w:val="2"/>
                <w:sz w:val="24"/>
                <w:szCs w:val="24"/>
              </w:rPr>
              <w:t>Q=8</w:t>
            </w:r>
            <w:r>
              <w:rPr>
                <w:rFonts w:hint="eastAsia" w:ascii="Calibri" w:hAnsi="Calibri" w:cs="Calibri"/>
                <w:color w:val="auto"/>
                <w:kern w:val="2"/>
                <w:sz w:val="24"/>
                <w:szCs w:val="24"/>
              </w:rPr>
              <w:t xml:space="preserve">； </w:t>
            </w:r>
          </w:p>
          <w:p>
            <w:pPr>
              <w:widowControl/>
              <w:snapToGrid w:val="0"/>
              <w:spacing w:line="360" w:lineRule="auto"/>
              <w:ind w:firstLine="720" w:firstLineChars="300"/>
              <w:jc w:val="left"/>
              <w:rPr>
                <w:rFonts w:ascii="Calibri" w:hAnsi="Calibri" w:cs="Calibri"/>
                <w:color w:val="auto"/>
                <w:sz w:val="24"/>
              </w:rPr>
            </w:pPr>
            <w:r>
              <w:rPr>
                <w:rFonts w:ascii="Calibri" w:hAnsi="Calibri" w:cs="Calibri"/>
                <w:color w:val="auto"/>
                <w:sz w:val="24"/>
              </w:rPr>
              <w:t>R</w:t>
            </w:r>
            <w:r>
              <w:rPr>
                <w:rFonts w:hint="eastAsia" w:ascii="Calibri" w:hAnsi="Calibri" w:cs="Calibri"/>
                <w:color w:val="auto"/>
                <w:sz w:val="24"/>
              </w:rPr>
              <w:t>—房间常数，</w:t>
            </w:r>
            <w:r>
              <w:rPr>
                <w:rFonts w:ascii="Calibri" w:hAnsi="Calibri" w:cs="Calibri"/>
                <w:color w:val="auto"/>
                <w:sz w:val="24"/>
              </w:rPr>
              <w:t xml:space="preserve">R=Sα/(1 −α) </w:t>
            </w:r>
            <w:r>
              <w:rPr>
                <w:rFonts w:hint="eastAsia" w:ascii="Calibri" w:hAnsi="Calibri" w:cs="Calibri"/>
                <w:color w:val="auto"/>
                <w:sz w:val="24"/>
              </w:rPr>
              <w:t>，</w:t>
            </w:r>
            <w:r>
              <w:rPr>
                <w:rFonts w:ascii="Calibri" w:hAnsi="Calibri" w:cs="Calibri"/>
                <w:color w:val="auto"/>
                <w:sz w:val="24"/>
              </w:rPr>
              <w:t>S</w:t>
            </w:r>
            <w:r>
              <w:rPr>
                <w:rFonts w:hint="eastAsia" w:ascii="Calibri" w:hAnsi="Calibri" w:cs="Calibri"/>
                <w:color w:val="auto"/>
                <w:sz w:val="24"/>
              </w:rPr>
              <w:t>为房间内表面面积，</w:t>
            </w:r>
            <w:r>
              <w:rPr>
                <w:rFonts w:ascii="Calibri" w:hAnsi="Calibri" w:cs="Calibri"/>
                <w:color w:val="auto"/>
                <w:sz w:val="24"/>
              </w:rPr>
              <w:t>m</w:t>
            </w:r>
            <w:r>
              <w:rPr>
                <w:rFonts w:ascii="Calibri" w:hAnsi="Calibri" w:cs="Calibri"/>
                <w:color w:val="auto"/>
                <w:sz w:val="24"/>
                <w:vertAlign w:val="superscript"/>
              </w:rPr>
              <w:t>2</w:t>
            </w:r>
            <w:r>
              <w:rPr>
                <w:rFonts w:hint="eastAsia" w:ascii="Calibri" w:hAnsi="Calibri" w:cs="Calibri"/>
                <w:color w:val="auto"/>
                <w:sz w:val="24"/>
              </w:rPr>
              <w:t>，</w:t>
            </w:r>
            <w:r>
              <w:rPr>
                <w:rFonts w:ascii="Calibri" w:hAnsi="Calibri" w:cs="Calibri"/>
                <w:color w:val="auto"/>
                <w:sz w:val="24"/>
              </w:rPr>
              <w:t>α</w:t>
            </w:r>
            <w:r>
              <w:rPr>
                <w:rFonts w:hint="eastAsia" w:ascii="Calibri" w:hAnsi="Calibri" w:cs="Calibri"/>
                <w:color w:val="auto"/>
                <w:sz w:val="24"/>
              </w:rPr>
              <w:t xml:space="preserve">为平均吸声系数； </w:t>
            </w:r>
          </w:p>
          <w:p>
            <w:pPr>
              <w:widowControl/>
              <w:snapToGrid w:val="0"/>
              <w:spacing w:line="360" w:lineRule="auto"/>
              <w:ind w:firstLine="720" w:firstLineChars="300"/>
              <w:jc w:val="left"/>
              <w:rPr>
                <w:rFonts w:ascii="Calibri" w:hAnsi="Calibri" w:cs="Calibri"/>
                <w:color w:val="auto"/>
                <w:sz w:val="24"/>
              </w:rPr>
            </w:pPr>
            <w:r>
              <w:rPr>
                <w:rFonts w:ascii="Calibri" w:hAnsi="Calibri" w:cs="Calibri"/>
                <w:color w:val="auto"/>
                <w:sz w:val="24"/>
              </w:rPr>
              <w:t>r</w:t>
            </w:r>
            <w:r>
              <w:rPr>
                <w:rFonts w:hint="eastAsia" w:ascii="Calibri" w:hAnsi="Calibri" w:cs="Calibri"/>
                <w:color w:val="auto"/>
                <w:sz w:val="24"/>
              </w:rPr>
              <w:t>—声源到靠近围护结构某点处的距离，</w:t>
            </w:r>
            <w:r>
              <w:rPr>
                <w:rFonts w:ascii="Calibri" w:hAnsi="Calibri" w:cs="Calibri"/>
                <w:color w:val="auto"/>
                <w:sz w:val="24"/>
              </w:rPr>
              <w:t>m</w:t>
            </w:r>
            <w:r>
              <w:rPr>
                <w:rFonts w:hint="eastAsia" w:ascii="Calibri" w:hAnsi="Calibri" w:cs="Calibri"/>
                <w:color w:val="auto"/>
                <w:sz w:val="24"/>
              </w:rPr>
              <w:t>。</w:t>
            </w:r>
          </w:p>
          <w:p>
            <w:pPr>
              <w:widowControl/>
              <w:jc w:val="left"/>
              <w:rPr>
                <w:rFonts w:ascii="Calibri" w:hAnsi="Calibri" w:cs="Calibri"/>
                <w:color w:val="auto"/>
              </w:rPr>
            </w:pPr>
            <w:r>
              <w:rPr>
                <w:rFonts w:hint="eastAsia" w:ascii="Calibri" w:hAnsi="Calibri" w:cs="Calibri"/>
                <w:color w:val="auto"/>
                <w:sz w:val="24"/>
              </w:rPr>
              <w:t xml:space="preserve">  B.计算出所有室内声源在围护结构处产生的</w:t>
            </w:r>
            <w:r>
              <w:rPr>
                <w:rFonts w:hint="eastAsia" w:ascii="Calibri" w:hAnsi="Calibri" w:cs="Calibri"/>
                <w:i/>
                <w:iCs/>
                <w:color w:val="auto"/>
                <w:kern w:val="0"/>
                <w:sz w:val="24"/>
                <w:lang w:bidi="ar"/>
              </w:rPr>
              <w:t>i</w:t>
            </w:r>
            <w:r>
              <w:rPr>
                <w:rFonts w:hint="eastAsia" w:ascii="Calibri" w:hAnsi="Calibri" w:cs="Calibri"/>
                <w:color w:val="auto"/>
                <w:sz w:val="24"/>
              </w:rPr>
              <w:t>倍频带叠加声压级</w:t>
            </w:r>
            <w:r>
              <w:rPr>
                <w:rFonts w:hint="eastAsia" w:ascii="Calibri" w:hAnsi="Calibri" w:cs="Calibri"/>
                <w:color w:val="auto"/>
                <w:kern w:val="0"/>
                <w:sz w:val="24"/>
                <w:lang w:bidi="ar"/>
              </w:rPr>
              <w:t>。计算公式如下</w:t>
            </w:r>
            <w:r>
              <w:rPr>
                <w:rFonts w:ascii="Calibri" w:hAnsi="Calibri" w:cs="Calibri"/>
                <w:color w:val="auto"/>
                <w:kern w:val="0"/>
                <w:sz w:val="24"/>
                <w:lang w:bidi="ar"/>
              </w:rPr>
              <w:t>：</w:t>
            </w:r>
            <w:r>
              <w:rPr>
                <w:rFonts w:ascii="TimesNewRomanPS-ItalicMT" w:hAnsi="TimesNewRomanPS-ItalicMT" w:eastAsia="TimesNewRomanPS-ItalicMT" w:cs="TimesNewRomanPS-ItalicMT"/>
                <w:i/>
                <w:iCs/>
                <w:color w:val="auto"/>
                <w:kern w:val="0"/>
                <w:sz w:val="190"/>
                <w:szCs w:val="190"/>
                <w:lang w:bidi="ar"/>
              </w:rPr>
              <w:t xml:space="preserve"> </w:t>
            </w:r>
          </w:p>
          <w:p>
            <w:pPr>
              <w:jc w:val="center"/>
              <w:rPr>
                <w:rFonts w:ascii="Calibri" w:hAnsi="Calibri" w:cs="Calibri"/>
                <w:color w:val="auto"/>
              </w:rPr>
            </w:pPr>
            <w:r>
              <w:rPr>
                <w:rFonts w:ascii="Calibri" w:hAnsi="Calibri" w:cs="Calibri"/>
                <w:color w:val="auto"/>
              </w:rPr>
              <w:drawing>
                <wp:inline distT="0" distB="0" distL="114300" distR="114300">
                  <wp:extent cx="1771650" cy="523875"/>
                  <wp:effectExtent l="0" t="0" r="0" b="9525"/>
                  <wp:docPr id="35" name="图片 10" descr="165569019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descr="1655690198440"/>
                          <pic:cNvPicPr>
                            <a:picLocks noChangeAspect="1"/>
                          </pic:cNvPicPr>
                        </pic:nvPicPr>
                        <pic:blipFill>
                          <a:blip r:embed="rId26"/>
                          <a:stretch>
                            <a:fillRect/>
                          </a:stretch>
                        </pic:blipFill>
                        <pic:spPr>
                          <a:xfrm>
                            <a:off x="0" y="0"/>
                            <a:ext cx="1771650" cy="523875"/>
                          </a:xfrm>
                          <a:prstGeom prst="rect">
                            <a:avLst/>
                          </a:prstGeom>
                          <a:noFill/>
                          <a:ln>
                            <a:noFill/>
                          </a:ln>
                        </pic:spPr>
                      </pic:pic>
                    </a:graphicData>
                  </a:graphic>
                </wp:inline>
              </w:drawing>
            </w:r>
          </w:p>
          <w:p>
            <w:pPr>
              <w:widowControl/>
              <w:spacing w:line="360" w:lineRule="auto"/>
              <w:jc w:val="left"/>
              <w:rPr>
                <w:rFonts w:ascii="宋体" w:hAnsi="宋体" w:cs="宋体"/>
                <w:color w:val="auto"/>
                <w:kern w:val="0"/>
                <w:sz w:val="24"/>
                <w:lang w:bidi="ar"/>
              </w:rPr>
            </w:pPr>
            <w:r>
              <w:rPr>
                <w:rFonts w:hint="eastAsia" w:ascii="宋体" w:hAnsi="宋体" w:cs="宋体"/>
                <w:color w:val="auto"/>
                <w:kern w:val="0"/>
                <w:sz w:val="24"/>
                <w:lang w:bidi="ar"/>
              </w:rPr>
              <w:t xml:space="preserve">式中：  </w:t>
            </w:r>
            <w:r>
              <w:rPr>
                <w:rFonts w:hint="eastAsia" w:ascii="Calibri" w:hAnsi="Calibri" w:cs="Calibri"/>
                <w:i/>
                <w:iCs/>
                <w:color w:val="auto"/>
                <w:kern w:val="0"/>
                <w:sz w:val="24"/>
                <w:lang w:bidi="ar"/>
              </w:rPr>
              <w:t>L</w:t>
            </w:r>
            <w:r>
              <w:rPr>
                <w:rFonts w:hint="eastAsia" w:ascii="Calibri" w:hAnsi="Calibri" w:cs="Calibri"/>
                <w:i/>
                <w:iCs/>
                <w:color w:val="auto"/>
                <w:kern w:val="0"/>
                <w:sz w:val="24"/>
                <w:vertAlign w:val="subscript"/>
                <w:lang w:bidi="ar"/>
              </w:rPr>
              <w:t>pli</w:t>
            </w:r>
            <w:r>
              <w:rPr>
                <w:rFonts w:hint="eastAsia" w:ascii="Calibri" w:hAnsi="Calibri" w:cs="Calibri"/>
                <w:i/>
                <w:iCs/>
                <w:color w:val="auto"/>
                <w:kern w:val="0"/>
                <w:sz w:val="24"/>
                <w:lang w:bidi="ar"/>
              </w:rPr>
              <w:t>(T)</w:t>
            </w:r>
            <w:r>
              <w:rPr>
                <w:rFonts w:ascii="Calibri" w:hAnsi="Calibri" w:cs="Calibri"/>
                <w:color w:val="auto"/>
                <w:kern w:val="0"/>
                <w:sz w:val="24"/>
                <w:lang w:bidi="ar"/>
              </w:rPr>
              <w:t>—</w:t>
            </w:r>
            <w:r>
              <w:rPr>
                <w:rFonts w:hint="eastAsia" w:ascii="宋体" w:hAnsi="宋体" w:cs="宋体"/>
                <w:color w:val="auto"/>
                <w:kern w:val="0"/>
                <w:sz w:val="24"/>
                <w:lang w:bidi="ar"/>
              </w:rPr>
              <w:t xml:space="preserve">靠近围护结构处室内 </w:t>
            </w:r>
            <w:r>
              <w:rPr>
                <w:rFonts w:ascii="Calibri" w:hAnsi="Calibri" w:cs="Calibri"/>
                <w:color w:val="auto"/>
                <w:kern w:val="0"/>
                <w:sz w:val="24"/>
                <w:lang w:bidi="ar"/>
              </w:rPr>
              <w:t>N</w:t>
            </w:r>
            <w:r>
              <w:rPr>
                <w:rFonts w:hint="eastAsia" w:ascii="宋体" w:hAnsi="宋体" w:cs="宋体"/>
                <w:color w:val="auto"/>
                <w:kern w:val="0"/>
                <w:sz w:val="24"/>
                <w:lang w:bidi="ar"/>
              </w:rPr>
              <w:t>个声源</w:t>
            </w:r>
            <w:r>
              <w:rPr>
                <w:rFonts w:hint="eastAsia" w:ascii="Calibri" w:hAnsi="Calibri" w:cs="Calibri"/>
                <w:i/>
                <w:iCs/>
                <w:color w:val="auto"/>
                <w:kern w:val="0"/>
                <w:sz w:val="24"/>
                <w:lang w:bidi="ar"/>
              </w:rPr>
              <w:t>i</w:t>
            </w:r>
            <w:r>
              <w:rPr>
                <w:rFonts w:hint="eastAsia" w:ascii="宋体" w:hAnsi="宋体" w:cs="宋体"/>
                <w:color w:val="auto"/>
                <w:kern w:val="0"/>
                <w:sz w:val="24"/>
                <w:lang w:bidi="ar"/>
              </w:rPr>
              <w:t>倍频带的叠加声压级，</w:t>
            </w:r>
            <w:r>
              <w:rPr>
                <w:rFonts w:ascii="Calibri" w:hAnsi="Calibri" w:cs="Calibri"/>
                <w:color w:val="auto"/>
                <w:kern w:val="0"/>
                <w:sz w:val="24"/>
                <w:lang w:bidi="ar"/>
              </w:rPr>
              <w:t>dB</w:t>
            </w:r>
            <w:r>
              <w:rPr>
                <w:rFonts w:hint="eastAsia" w:ascii="宋体" w:hAnsi="宋体" w:cs="宋体"/>
                <w:color w:val="auto"/>
                <w:kern w:val="0"/>
                <w:sz w:val="24"/>
                <w:lang w:bidi="ar"/>
              </w:rPr>
              <w:t>；</w:t>
            </w:r>
          </w:p>
          <w:p>
            <w:pPr>
              <w:widowControl/>
              <w:spacing w:line="360" w:lineRule="auto"/>
              <w:ind w:firstLine="960" w:firstLineChars="400"/>
              <w:jc w:val="left"/>
              <w:rPr>
                <w:rFonts w:ascii="Calibri" w:hAnsi="Calibri" w:cs="Calibri"/>
                <w:color w:val="auto"/>
                <w:kern w:val="0"/>
                <w:sz w:val="24"/>
                <w:lang w:bidi="ar"/>
              </w:rPr>
            </w:pPr>
            <w:r>
              <w:rPr>
                <w:rFonts w:hint="eastAsia" w:ascii="Calibri" w:hAnsi="Calibri" w:cs="Calibri"/>
                <w:i/>
                <w:iCs/>
                <w:color w:val="auto"/>
                <w:kern w:val="0"/>
                <w:sz w:val="24"/>
                <w:lang w:bidi="ar"/>
              </w:rPr>
              <w:t>L</w:t>
            </w:r>
            <w:r>
              <w:rPr>
                <w:rFonts w:hint="eastAsia" w:ascii="Calibri" w:hAnsi="Calibri" w:cs="Calibri"/>
                <w:i/>
                <w:iCs/>
                <w:color w:val="auto"/>
                <w:kern w:val="0"/>
                <w:sz w:val="24"/>
                <w:vertAlign w:val="subscript"/>
                <w:lang w:bidi="ar"/>
              </w:rPr>
              <w:t>plij</w:t>
            </w:r>
            <w:r>
              <w:rPr>
                <w:rFonts w:hint="eastAsia" w:ascii="Calibri" w:hAnsi="Calibri" w:cs="Calibri"/>
                <w:i/>
                <w:iCs/>
                <w:color w:val="auto"/>
                <w:kern w:val="0"/>
                <w:sz w:val="24"/>
                <w:lang w:bidi="ar"/>
              </w:rPr>
              <w:t xml:space="preserve"> </w:t>
            </w:r>
            <w:r>
              <w:rPr>
                <w:rFonts w:ascii="Calibri" w:hAnsi="Calibri" w:cs="Calibri"/>
                <w:color w:val="auto"/>
                <w:kern w:val="0"/>
                <w:sz w:val="24"/>
                <w:lang w:bidi="ar"/>
              </w:rPr>
              <w:t>—</w:t>
            </w:r>
            <w:r>
              <w:rPr>
                <w:rFonts w:hint="eastAsia" w:ascii="Calibri" w:hAnsi="Calibri" w:cs="Calibri"/>
                <w:color w:val="auto"/>
                <w:kern w:val="0"/>
                <w:sz w:val="24"/>
                <w:lang w:bidi="ar"/>
              </w:rPr>
              <w:t>室内</w:t>
            </w:r>
            <w:r>
              <w:rPr>
                <w:rFonts w:hint="eastAsia" w:ascii="Calibri" w:hAnsi="Calibri" w:cs="Calibri"/>
                <w:i/>
                <w:iCs/>
                <w:color w:val="auto"/>
                <w:kern w:val="0"/>
                <w:sz w:val="24"/>
                <w:lang w:bidi="ar"/>
              </w:rPr>
              <w:t>j</w:t>
            </w:r>
            <w:r>
              <w:rPr>
                <w:rFonts w:hint="eastAsia" w:ascii="Calibri" w:hAnsi="Calibri" w:cs="Calibri"/>
                <w:color w:val="auto"/>
                <w:kern w:val="0"/>
                <w:sz w:val="24"/>
                <w:lang w:bidi="ar"/>
              </w:rPr>
              <w:t xml:space="preserve"> 声源</w:t>
            </w:r>
            <w:r>
              <w:rPr>
                <w:rFonts w:hint="eastAsia" w:ascii="Calibri" w:hAnsi="Calibri" w:cs="Calibri"/>
                <w:i/>
                <w:iCs/>
                <w:color w:val="auto"/>
                <w:kern w:val="0"/>
                <w:sz w:val="24"/>
                <w:lang w:bidi="ar"/>
              </w:rPr>
              <w:t>i</w:t>
            </w:r>
            <w:r>
              <w:rPr>
                <w:rFonts w:hint="eastAsia" w:ascii="Calibri" w:hAnsi="Calibri" w:cs="Calibri"/>
                <w:color w:val="auto"/>
                <w:kern w:val="0"/>
                <w:sz w:val="24"/>
                <w:lang w:bidi="ar"/>
              </w:rPr>
              <w:t>倍频带的声压级，dB；</w:t>
            </w:r>
          </w:p>
          <w:p>
            <w:pPr>
              <w:pStyle w:val="16"/>
              <w:spacing w:line="360" w:lineRule="auto"/>
              <w:ind w:left="0" w:leftChars="0" w:firstLine="960" w:firstLineChars="400"/>
              <w:rPr>
                <w:rFonts w:ascii="Calibri" w:hAnsi="Calibri" w:cs="Calibri"/>
                <w:color w:val="auto"/>
              </w:rPr>
            </w:pPr>
            <w:r>
              <w:rPr>
                <w:rFonts w:hint="eastAsia" w:ascii="Calibri" w:hAnsi="Calibri" w:cs="Calibri"/>
                <w:color w:val="auto"/>
                <w:sz w:val="24"/>
                <w:szCs w:val="24"/>
                <w:lang w:bidi="ar"/>
              </w:rPr>
              <w:t>N—室内声源总数。</w:t>
            </w:r>
          </w:p>
          <w:p>
            <w:pPr>
              <w:pStyle w:val="16"/>
              <w:ind w:left="0" w:leftChars="0" w:firstLine="240" w:firstLineChars="100"/>
              <w:jc w:val="left"/>
              <w:rPr>
                <w:rFonts w:ascii="Calibri" w:hAnsi="Calibri" w:cs="Calibri"/>
                <w:color w:val="auto"/>
                <w:sz w:val="24"/>
                <w:szCs w:val="24"/>
                <w:lang w:bidi="ar"/>
              </w:rPr>
            </w:pPr>
            <w:r>
              <w:rPr>
                <w:rFonts w:ascii="Calibri" w:hAnsi="Calibri" w:cs="Calibri"/>
                <w:color w:val="auto"/>
                <w:sz w:val="24"/>
                <w:szCs w:val="24"/>
                <w:lang w:bidi="ar"/>
              </w:rPr>
              <w:t>C.计算出靠近室外维护结构处的声压级</w:t>
            </w:r>
            <w:r>
              <w:rPr>
                <w:rFonts w:hint="eastAsia" w:ascii="Calibri" w:hAnsi="Calibri" w:cs="Calibri"/>
                <w:color w:val="auto"/>
                <w:sz w:val="24"/>
                <w:szCs w:val="24"/>
                <w:lang w:bidi="ar"/>
              </w:rPr>
              <w:t>。计算公式如下</w:t>
            </w:r>
            <w:r>
              <w:rPr>
                <w:rFonts w:ascii="Calibri" w:hAnsi="Calibri" w:cs="Calibri"/>
                <w:color w:val="auto"/>
                <w:sz w:val="24"/>
                <w:szCs w:val="24"/>
                <w:lang w:bidi="ar"/>
              </w:rPr>
              <w:t>：</w:t>
            </w:r>
          </w:p>
          <w:p>
            <w:pPr>
              <w:pStyle w:val="16"/>
              <w:ind w:firstLine="640"/>
              <w:jc w:val="center"/>
              <w:rPr>
                <w:rFonts w:ascii="Calibri" w:hAnsi="Calibri" w:cs="Calibri"/>
                <w:i/>
                <w:iCs/>
                <w:color w:val="auto"/>
                <w:sz w:val="32"/>
                <w:szCs w:val="32"/>
              </w:rPr>
            </w:pPr>
            <w:r>
              <w:rPr>
                <w:rFonts w:ascii="Calibri" w:hAnsi="Calibri" w:cs="Calibri"/>
                <w:i/>
                <w:color w:val="auto"/>
                <w:sz w:val="32"/>
                <w:szCs w:val="32"/>
              </w:rPr>
              <w:drawing>
                <wp:inline distT="0" distB="0" distL="114300" distR="114300">
                  <wp:extent cx="2146935" cy="354330"/>
                  <wp:effectExtent l="0" t="0" r="5715" b="7620"/>
                  <wp:docPr id="36" name="图片 11" descr="165569054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descr="1655690543102"/>
                          <pic:cNvPicPr>
                            <a:picLocks noChangeAspect="1"/>
                          </pic:cNvPicPr>
                        </pic:nvPicPr>
                        <pic:blipFill>
                          <a:blip r:embed="rId27"/>
                          <a:stretch>
                            <a:fillRect/>
                          </a:stretch>
                        </pic:blipFill>
                        <pic:spPr>
                          <a:xfrm>
                            <a:off x="0" y="0"/>
                            <a:ext cx="2146935" cy="354330"/>
                          </a:xfrm>
                          <a:prstGeom prst="rect">
                            <a:avLst/>
                          </a:prstGeom>
                          <a:noFill/>
                          <a:ln>
                            <a:noFill/>
                          </a:ln>
                        </pic:spPr>
                      </pic:pic>
                    </a:graphicData>
                  </a:graphic>
                </wp:inline>
              </w:drawing>
            </w:r>
          </w:p>
          <w:p>
            <w:pPr>
              <w:pStyle w:val="16"/>
              <w:ind w:left="0" w:leftChars="0" w:firstLine="0" w:firstLineChars="0"/>
              <w:rPr>
                <w:rFonts w:ascii="Calibri" w:hAnsi="Calibri" w:cs="Calibri"/>
                <w:color w:val="auto"/>
                <w:sz w:val="24"/>
                <w:szCs w:val="24"/>
              </w:rPr>
            </w:pPr>
            <w:r>
              <w:rPr>
                <w:rFonts w:hint="eastAsia" w:ascii="宋体" w:hAnsi="宋体" w:cs="宋体"/>
                <w:color w:val="auto"/>
                <w:sz w:val="24"/>
                <w:szCs w:val="24"/>
              </w:rPr>
              <w:t>式中：</w:t>
            </w:r>
            <w:r>
              <w:rPr>
                <w:rFonts w:hint="eastAsia" w:ascii="Calibri" w:hAnsi="Calibri" w:cs="Calibri"/>
                <w:i/>
                <w:iCs/>
                <w:color w:val="auto"/>
                <w:sz w:val="24"/>
                <w:szCs w:val="24"/>
              </w:rPr>
              <w:t>L</w:t>
            </w:r>
            <w:r>
              <w:rPr>
                <w:rFonts w:hint="eastAsia" w:ascii="Calibri" w:hAnsi="Calibri" w:cs="Calibri"/>
                <w:i/>
                <w:iCs/>
                <w:color w:val="auto"/>
                <w:sz w:val="24"/>
                <w:szCs w:val="24"/>
                <w:vertAlign w:val="subscript"/>
              </w:rPr>
              <w:t>p2i</w:t>
            </w:r>
            <w:r>
              <w:rPr>
                <w:rFonts w:hint="eastAsia" w:ascii="Calibri" w:hAnsi="Calibri" w:cs="Calibri"/>
                <w:i/>
                <w:iCs/>
                <w:color w:val="auto"/>
                <w:sz w:val="24"/>
                <w:szCs w:val="24"/>
              </w:rPr>
              <w:t>(</w:t>
            </w:r>
            <w:r>
              <w:rPr>
                <w:rFonts w:ascii="Calibri" w:hAnsi="Calibri" w:cs="Calibri"/>
                <w:i/>
                <w:iCs/>
                <w:color w:val="auto"/>
                <w:sz w:val="24"/>
                <w:szCs w:val="24"/>
              </w:rPr>
              <w:t>T</w:t>
            </w:r>
            <w:r>
              <w:rPr>
                <w:rFonts w:hint="eastAsia" w:ascii="Calibri" w:hAnsi="Calibri" w:cs="Calibri"/>
                <w:i/>
                <w:iCs/>
                <w:color w:val="auto"/>
                <w:sz w:val="24"/>
                <w:szCs w:val="24"/>
              </w:rPr>
              <w:t>)</w:t>
            </w:r>
            <w:r>
              <w:rPr>
                <w:rFonts w:hint="eastAsia" w:ascii="Calibri" w:hAnsi="Calibri" w:cs="Calibri"/>
                <w:color w:val="auto"/>
                <w:sz w:val="24"/>
                <w:szCs w:val="24"/>
              </w:rPr>
              <w:t>—靠近围护结构处室外N个声源</w:t>
            </w:r>
            <w:r>
              <w:rPr>
                <w:rFonts w:hint="eastAsia" w:ascii="Calibri" w:hAnsi="Calibri" w:cs="Calibri"/>
                <w:i/>
                <w:iCs/>
                <w:color w:val="auto"/>
                <w:sz w:val="24"/>
                <w:szCs w:val="24"/>
                <w:lang w:bidi="ar"/>
              </w:rPr>
              <w:t>i</w:t>
            </w:r>
            <w:r>
              <w:rPr>
                <w:rFonts w:hint="eastAsia" w:ascii="Calibri" w:hAnsi="Calibri" w:cs="Calibri"/>
                <w:color w:val="auto"/>
                <w:sz w:val="24"/>
                <w:szCs w:val="24"/>
                <w:lang w:bidi="ar"/>
              </w:rPr>
              <w:t>倍频带的叠加声压级</w:t>
            </w:r>
            <w:r>
              <w:rPr>
                <w:rFonts w:hint="eastAsia" w:ascii="Calibri" w:hAnsi="Calibri" w:cs="Calibri"/>
                <w:color w:val="auto"/>
                <w:sz w:val="24"/>
                <w:szCs w:val="24"/>
              </w:rPr>
              <w:t>，dB；</w:t>
            </w:r>
          </w:p>
          <w:p>
            <w:pPr>
              <w:adjustRightInd w:val="0"/>
              <w:snapToGrid w:val="0"/>
              <w:spacing w:line="360" w:lineRule="auto"/>
              <w:ind w:firstLine="787" w:firstLineChars="328"/>
              <w:rPr>
                <w:rFonts w:ascii="Calibri" w:hAnsi="Calibri" w:cs="Calibri"/>
                <w:color w:val="auto"/>
                <w:sz w:val="24"/>
              </w:rPr>
            </w:pPr>
            <w:r>
              <w:rPr>
                <w:rFonts w:hint="eastAsia" w:ascii="Calibri" w:hAnsi="Calibri" w:cs="Calibri"/>
                <w:i/>
                <w:iCs/>
                <w:color w:val="auto"/>
                <w:sz w:val="24"/>
              </w:rPr>
              <w:t>L</w:t>
            </w:r>
            <w:r>
              <w:rPr>
                <w:rFonts w:hint="eastAsia" w:ascii="Calibri" w:hAnsi="Calibri" w:cs="Calibri"/>
                <w:i/>
                <w:iCs/>
                <w:color w:val="auto"/>
                <w:sz w:val="24"/>
                <w:vertAlign w:val="subscript"/>
              </w:rPr>
              <w:t>p1i</w:t>
            </w:r>
            <w:r>
              <w:rPr>
                <w:rFonts w:hint="eastAsia" w:ascii="Calibri" w:hAnsi="Calibri" w:cs="Calibri"/>
                <w:i/>
                <w:iCs/>
                <w:color w:val="auto"/>
                <w:sz w:val="24"/>
              </w:rPr>
              <w:t>(</w:t>
            </w:r>
            <w:r>
              <w:rPr>
                <w:rFonts w:ascii="Calibri" w:hAnsi="Calibri" w:cs="Calibri"/>
                <w:i/>
                <w:iCs/>
                <w:color w:val="auto"/>
                <w:sz w:val="24"/>
              </w:rPr>
              <w:t>T</w:t>
            </w:r>
            <w:r>
              <w:rPr>
                <w:rFonts w:hint="eastAsia" w:ascii="Calibri" w:hAnsi="Calibri" w:cs="Calibri"/>
                <w:i/>
                <w:iCs/>
                <w:color w:val="auto"/>
                <w:sz w:val="24"/>
              </w:rPr>
              <w:t>)</w:t>
            </w:r>
            <w:r>
              <w:rPr>
                <w:rFonts w:hint="eastAsia" w:ascii="Calibri" w:hAnsi="Calibri" w:cs="Calibri"/>
                <w:color w:val="auto"/>
                <w:sz w:val="24"/>
              </w:rPr>
              <w:t>—靠近围护结构处室内N个声源</w:t>
            </w:r>
            <w:r>
              <w:rPr>
                <w:rFonts w:hint="eastAsia" w:ascii="Calibri" w:hAnsi="Calibri" w:cs="Calibri"/>
                <w:i/>
                <w:iCs/>
                <w:color w:val="auto"/>
                <w:kern w:val="0"/>
                <w:sz w:val="24"/>
                <w:lang w:bidi="ar"/>
              </w:rPr>
              <w:t>i</w:t>
            </w:r>
            <w:r>
              <w:rPr>
                <w:rFonts w:hint="eastAsia" w:ascii="Calibri" w:hAnsi="Calibri" w:cs="Calibri"/>
                <w:color w:val="auto"/>
                <w:kern w:val="0"/>
                <w:sz w:val="24"/>
                <w:lang w:bidi="ar"/>
              </w:rPr>
              <w:t>倍频带的叠加声压级</w:t>
            </w:r>
            <w:r>
              <w:rPr>
                <w:rFonts w:hint="eastAsia" w:ascii="Calibri" w:hAnsi="Calibri" w:cs="Calibri"/>
                <w:color w:val="auto"/>
                <w:sz w:val="24"/>
              </w:rPr>
              <w:t>，dB；</w:t>
            </w:r>
          </w:p>
          <w:p>
            <w:pPr>
              <w:pStyle w:val="17"/>
              <w:ind w:firstLine="720" w:firstLineChars="300"/>
              <w:rPr>
                <w:rFonts w:ascii="Calibri" w:hAnsi="Calibri" w:cs="Calibri"/>
                <w:color w:val="auto"/>
              </w:rPr>
            </w:pPr>
            <w:r>
              <w:rPr>
                <w:rFonts w:hint="eastAsia" w:ascii="Calibri" w:hAnsi="Calibri" w:cs="Calibri"/>
                <w:i/>
                <w:iCs/>
                <w:color w:val="auto"/>
                <w:sz w:val="24"/>
                <w:szCs w:val="24"/>
              </w:rPr>
              <w:t>TL</w:t>
            </w:r>
            <w:r>
              <w:rPr>
                <w:rFonts w:hint="eastAsia" w:ascii="Calibri" w:hAnsi="Calibri" w:cs="Calibri"/>
                <w:i/>
                <w:iCs/>
                <w:color w:val="auto"/>
                <w:sz w:val="24"/>
                <w:szCs w:val="24"/>
                <w:vertAlign w:val="subscript"/>
              </w:rPr>
              <w:t>i</w:t>
            </w:r>
            <w:r>
              <w:rPr>
                <w:rFonts w:hint="eastAsia" w:ascii="Calibri" w:hAnsi="Calibri" w:cs="Calibri"/>
                <w:color w:val="auto"/>
                <w:sz w:val="24"/>
                <w:szCs w:val="24"/>
              </w:rPr>
              <w:t>—围护结构</w:t>
            </w:r>
            <w:r>
              <w:rPr>
                <w:rFonts w:hint="eastAsia" w:ascii="Calibri" w:hAnsi="Calibri" w:cs="Calibri"/>
                <w:i/>
                <w:iCs/>
                <w:color w:val="auto"/>
                <w:sz w:val="24"/>
                <w:szCs w:val="24"/>
                <w:lang w:bidi="ar"/>
              </w:rPr>
              <w:t>i</w:t>
            </w:r>
            <w:r>
              <w:rPr>
                <w:rFonts w:hint="eastAsia" w:ascii="Calibri" w:hAnsi="Calibri" w:cs="Calibri"/>
                <w:color w:val="auto"/>
                <w:sz w:val="24"/>
                <w:szCs w:val="24"/>
                <w:lang w:bidi="ar"/>
              </w:rPr>
              <w:t>倍频带的</w:t>
            </w:r>
            <w:r>
              <w:rPr>
                <w:rFonts w:hint="eastAsia" w:ascii="Calibri" w:hAnsi="Calibri" w:cs="Calibri"/>
                <w:color w:val="auto"/>
                <w:sz w:val="24"/>
                <w:szCs w:val="24"/>
              </w:rPr>
              <w:t>的隔声量，dB；</w:t>
            </w:r>
          </w:p>
          <w:p>
            <w:pPr>
              <w:pStyle w:val="17"/>
              <w:spacing w:line="360" w:lineRule="auto"/>
              <w:ind w:firstLine="240"/>
              <w:rPr>
                <w:rFonts w:ascii="Calibri" w:hAnsi="Calibri" w:cs="Calibri"/>
                <w:color w:val="auto"/>
                <w:kern w:val="2"/>
                <w:sz w:val="24"/>
                <w:szCs w:val="24"/>
              </w:rPr>
            </w:pPr>
            <w:r>
              <w:rPr>
                <w:rFonts w:hint="eastAsia" w:ascii="Calibri" w:hAnsi="Calibri" w:cs="Calibri"/>
                <w:color w:val="auto"/>
                <w:kern w:val="2"/>
                <w:sz w:val="24"/>
                <w:szCs w:val="24"/>
              </w:rPr>
              <w:t>D. 将室外声源的声压级和透过面积换算成等效的室外声源，计算出中心位置位于透声面积（S）处的等效生源的倍频带声功率级。计算公式如下：</w:t>
            </w:r>
          </w:p>
          <w:p>
            <w:pPr>
              <w:jc w:val="center"/>
              <w:rPr>
                <w:rFonts w:ascii="Calibri" w:hAnsi="Calibri" w:cs="Calibri"/>
                <w:color w:val="auto"/>
              </w:rPr>
            </w:pPr>
            <w:r>
              <w:rPr>
                <w:rFonts w:ascii="Calibri" w:hAnsi="Calibri" w:cs="Calibri"/>
                <w:color w:val="auto"/>
              </w:rPr>
              <w:drawing>
                <wp:inline distT="0" distB="0" distL="114300" distR="114300">
                  <wp:extent cx="1626235" cy="272415"/>
                  <wp:effectExtent l="0" t="0" r="12065" b="13335"/>
                  <wp:docPr id="29" name="图片 12" descr="165544604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1655446049476"/>
                          <pic:cNvPicPr>
                            <a:picLocks noChangeAspect="1"/>
                          </pic:cNvPicPr>
                        </pic:nvPicPr>
                        <pic:blipFill>
                          <a:blip r:embed="rId28"/>
                          <a:stretch>
                            <a:fillRect/>
                          </a:stretch>
                        </pic:blipFill>
                        <pic:spPr>
                          <a:xfrm>
                            <a:off x="0" y="0"/>
                            <a:ext cx="1626235" cy="272415"/>
                          </a:xfrm>
                          <a:prstGeom prst="rect">
                            <a:avLst/>
                          </a:prstGeom>
                          <a:noFill/>
                          <a:ln>
                            <a:noFill/>
                          </a:ln>
                        </pic:spPr>
                      </pic:pic>
                    </a:graphicData>
                  </a:graphic>
                </wp:inline>
              </w:drawing>
            </w:r>
          </w:p>
          <w:p>
            <w:pPr>
              <w:pStyle w:val="17"/>
              <w:ind w:firstLine="0" w:firstLineChars="0"/>
              <w:rPr>
                <w:rFonts w:ascii="Calibri" w:hAnsi="Calibri" w:cs="Calibri"/>
                <w:color w:val="auto"/>
                <w:sz w:val="24"/>
                <w:szCs w:val="24"/>
              </w:rPr>
            </w:pPr>
            <w:r>
              <w:rPr>
                <w:rFonts w:hint="eastAsia" w:ascii="Calibri" w:hAnsi="Calibri" w:cs="Calibri"/>
                <w:color w:val="auto"/>
                <w:sz w:val="24"/>
                <w:szCs w:val="24"/>
              </w:rPr>
              <w:t>式中：</w:t>
            </w:r>
            <w:r>
              <w:rPr>
                <w:rFonts w:hint="eastAsia" w:ascii="Calibri" w:hAnsi="Calibri" w:cs="Calibri"/>
                <w:i/>
                <w:iCs/>
                <w:color w:val="auto"/>
                <w:sz w:val="24"/>
                <w:szCs w:val="24"/>
              </w:rPr>
              <w:t xml:space="preserve"> L</w:t>
            </w:r>
            <w:r>
              <w:rPr>
                <w:rFonts w:hint="eastAsia" w:ascii="Calibri" w:hAnsi="Calibri" w:cs="Calibri"/>
                <w:i/>
                <w:iCs/>
                <w:color w:val="auto"/>
                <w:sz w:val="24"/>
                <w:szCs w:val="24"/>
                <w:vertAlign w:val="subscript"/>
              </w:rPr>
              <w:t>w</w:t>
            </w:r>
            <w:r>
              <w:rPr>
                <w:rFonts w:hint="eastAsia" w:ascii="Calibri" w:hAnsi="Calibri" w:cs="Calibri"/>
                <w:color w:val="auto"/>
                <w:sz w:val="24"/>
                <w:szCs w:val="24"/>
              </w:rPr>
              <w:t>—中心位置位于透声面积（S）处的等效声源的倍频带声功率级，dB；</w:t>
            </w:r>
          </w:p>
          <w:p>
            <w:pPr>
              <w:pStyle w:val="17"/>
              <w:ind w:firstLine="720" w:firstLineChars="300"/>
              <w:rPr>
                <w:rFonts w:ascii="Calibri" w:hAnsi="Calibri" w:cs="Calibri"/>
                <w:color w:val="auto"/>
                <w:kern w:val="2"/>
                <w:sz w:val="24"/>
                <w:szCs w:val="24"/>
              </w:rPr>
            </w:pPr>
            <w:r>
              <w:rPr>
                <w:rFonts w:hint="eastAsia" w:ascii="Calibri" w:hAnsi="Calibri" w:cs="Calibri"/>
                <w:i/>
                <w:iCs/>
                <w:color w:val="auto"/>
                <w:sz w:val="24"/>
                <w:szCs w:val="24"/>
              </w:rPr>
              <w:t>L</w:t>
            </w:r>
            <w:r>
              <w:rPr>
                <w:rFonts w:hint="eastAsia" w:ascii="Calibri" w:hAnsi="Calibri" w:cs="Calibri"/>
                <w:i/>
                <w:iCs/>
                <w:color w:val="auto"/>
                <w:sz w:val="24"/>
                <w:szCs w:val="24"/>
                <w:vertAlign w:val="subscript"/>
              </w:rPr>
              <w:t>p2</w:t>
            </w:r>
            <w:r>
              <w:rPr>
                <w:rFonts w:hint="eastAsia" w:ascii="Calibri" w:hAnsi="Calibri" w:cs="Calibri"/>
                <w:color w:val="auto"/>
                <w:sz w:val="24"/>
                <w:szCs w:val="24"/>
              </w:rPr>
              <w:t>（</w:t>
            </w:r>
            <w:r>
              <w:rPr>
                <w:rFonts w:hint="eastAsia" w:ascii="Calibri" w:hAnsi="Calibri" w:cs="Calibri"/>
                <w:i/>
                <w:iCs/>
                <w:color w:val="auto"/>
                <w:sz w:val="24"/>
                <w:szCs w:val="24"/>
                <w:vertAlign w:val="subscript"/>
              </w:rPr>
              <w:t>T</w:t>
            </w:r>
            <w:r>
              <w:rPr>
                <w:rFonts w:hint="eastAsia" w:ascii="Calibri" w:hAnsi="Calibri" w:cs="Calibri"/>
                <w:color w:val="auto"/>
                <w:sz w:val="24"/>
                <w:szCs w:val="24"/>
              </w:rPr>
              <w:t>）—</w:t>
            </w:r>
            <w:r>
              <w:rPr>
                <w:rFonts w:hint="eastAsia" w:ascii="Calibri" w:hAnsi="Calibri" w:cs="Calibri"/>
                <w:i/>
                <w:iCs/>
                <w:color w:val="auto"/>
                <w:sz w:val="24"/>
                <w:szCs w:val="24"/>
                <w:vertAlign w:val="subscript"/>
              </w:rPr>
              <w:t>）</w:t>
            </w:r>
            <w:r>
              <w:rPr>
                <w:rFonts w:hint="eastAsia" w:ascii="Calibri" w:hAnsi="Calibri" w:cs="Calibri"/>
                <w:color w:val="auto"/>
                <w:sz w:val="24"/>
                <w:szCs w:val="24"/>
              </w:rPr>
              <w:t>靠近围护结构处室外声源的声压级，dB；</w:t>
            </w:r>
          </w:p>
          <w:p>
            <w:pPr>
              <w:pStyle w:val="17"/>
              <w:ind w:firstLine="240"/>
              <w:rPr>
                <w:rFonts w:ascii="Calibri" w:hAnsi="Calibri" w:cs="Calibri"/>
                <w:color w:val="auto"/>
                <w:kern w:val="2"/>
                <w:sz w:val="24"/>
                <w:szCs w:val="24"/>
              </w:rPr>
            </w:pPr>
            <w:r>
              <w:rPr>
                <w:rFonts w:hint="eastAsia" w:ascii="Calibri" w:hAnsi="Calibri" w:cs="Calibri"/>
                <w:color w:val="auto"/>
                <w:kern w:val="2"/>
                <w:sz w:val="24"/>
                <w:szCs w:val="24"/>
              </w:rPr>
              <w:t xml:space="preserve">     S</w:t>
            </w:r>
            <w:r>
              <w:rPr>
                <w:rFonts w:hint="eastAsia" w:ascii="Calibri" w:hAnsi="Calibri" w:cs="Calibri"/>
                <w:color w:val="auto"/>
                <w:sz w:val="24"/>
                <w:szCs w:val="24"/>
              </w:rPr>
              <w:t>—透声面积，m</w:t>
            </w:r>
            <w:r>
              <w:rPr>
                <w:rFonts w:hint="eastAsia" w:ascii="Calibri" w:hAnsi="Calibri" w:cs="Calibri"/>
                <w:color w:val="auto"/>
                <w:sz w:val="24"/>
                <w:szCs w:val="24"/>
                <w:vertAlign w:val="superscript"/>
              </w:rPr>
              <w:t>2</w:t>
            </w:r>
            <w:r>
              <w:rPr>
                <w:rFonts w:hint="eastAsia" w:ascii="Calibri" w:hAnsi="Calibri" w:cs="Calibri"/>
                <w:color w:val="auto"/>
                <w:sz w:val="24"/>
                <w:szCs w:val="24"/>
              </w:rPr>
              <w:t>；</w:t>
            </w:r>
          </w:p>
          <w:p>
            <w:pPr>
              <w:pStyle w:val="17"/>
              <w:ind w:firstLine="240"/>
              <w:rPr>
                <w:rFonts w:ascii="Calibri" w:hAnsi="Calibri" w:cs="Calibri"/>
                <w:color w:val="auto"/>
              </w:rPr>
            </w:pPr>
            <w:r>
              <w:rPr>
                <w:rFonts w:hint="eastAsia" w:ascii="Calibri" w:hAnsi="Calibri" w:cs="Calibri"/>
                <w:color w:val="auto"/>
                <w:kern w:val="2"/>
                <w:sz w:val="24"/>
                <w:szCs w:val="24"/>
              </w:rPr>
              <w:t>然后按室外声源预测方法计算预测点处的A声级。</w:t>
            </w:r>
          </w:p>
          <w:p>
            <w:pPr>
              <w:adjustRightInd w:val="0"/>
              <w:snapToGrid w:val="0"/>
              <w:spacing w:line="360" w:lineRule="auto"/>
              <w:ind w:firstLine="480"/>
              <w:rPr>
                <w:rFonts w:ascii="Calibri" w:hAnsi="Calibri" w:cs="Calibri"/>
                <w:color w:val="auto"/>
                <w:sz w:val="24"/>
              </w:rPr>
            </w:pPr>
            <w:r>
              <w:rPr>
                <w:rFonts w:hint="eastAsia" w:ascii="Calibri" w:hAnsi="Calibri" w:cs="Calibri"/>
                <w:color w:val="auto"/>
                <w:sz w:val="24"/>
              </w:rPr>
              <w:t>②室外声源</w:t>
            </w:r>
          </w:p>
          <w:p>
            <w:pPr>
              <w:adjustRightInd w:val="0"/>
              <w:snapToGrid w:val="0"/>
              <w:spacing w:line="360" w:lineRule="auto"/>
              <w:ind w:firstLine="480"/>
              <w:rPr>
                <w:rFonts w:ascii="Calibri" w:hAnsi="Calibri" w:cs="Calibri"/>
                <w:color w:val="auto"/>
                <w:sz w:val="24"/>
              </w:rPr>
            </w:pPr>
            <w:r>
              <w:rPr>
                <w:rFonts w:hint="eastAsia" w:ascii="Calibri" w:hAnsi="Calibri" w:cs="Calibri"/>
                <w:color w:val="auto"/>
                <w:sz w:val="24"/>
              </w:rPr>
              <w:t>室外声源在预测点产生的声级计算模型见附录A。</w:t>
            </w:r>
            <w:r>
              <w:rPr>
                <w:rFonts w:ascii="Calibri" w:hAnsi="Calibri" w:cs="Calibri"/>
                <w:color w:val="auto"/>
                <w:sz w:val="24"/>
              </w:rPr>
              <w:t xml:space="preserve">项目各噪声源都按点声源处理，根据声长特点，其预测模式为： </w:t>
            </w:r>
          </w:p>
          <w:p>
            <w:pPr>
              <w:adjustRightInd w:val="0"/>
              <w:snapToGrid w:val="0"/>
              <w:spacing w:line="360" w:lineRule="auto"/>
              <w:ind w:firstLine="480"/>
              <w:jc w:val="center"/>
              <w:rPr>
                <w:rFonts w:ascii="Calibri" w:hAnsi="Calibri" w:cs="Calibri"/>
                <w:color w:val="auto"/>
                <w:sz w:val="24"/>
              </w:rPr>
            </w:pPr>
            <w:r>
              <w:rPr>
                <w:rFonts w:ascii="Times New Roman" w:hAnsi="Times New Roman" w:cs="Times New Roman"/>
                <w:color w:val="auto"/>
                <w:position w:val="-14"/>
                <w:sz w:val="24"/>
              </w:rPr>
              <w:object>
                <v:shape id="_x0000_i1027" o:spt="75" type="#_x0000_t75" style="height:16.5pt;width:206.25pt;" o:ole="t" filled="f" o:preferrelative="t" stroked="f" coordsize="21600,21600">
                  <v:path/>
                  <v:fill on="f" focussize="0,0"/>
                  <v:stroke on="f" joinstyle="miter"/>
                  <v:imagedata r:id="rId30" o:title=""/>
                  <o:lock v:ext="edit" aspectratio="t"/>
                  <w10:wrap type="none"/>
                  <w10:anchorlock/>
                </v:shape>
                <o:OLEObject Type="Embed" ProgID="Equation.3" ShapeID="_x0000_i1027" DrawAspect="Content" ObjectID="_1468075727" r:id="rId29">
                  <o:LockedField>false</o:LockedField>
                </o:OLEObject>
              </w:object>
            </w:r>
          </w:p>
          <w:p>
            <w:pPr>
              <w:spacing w:line="360" w:lineRule="auto"/>
              <w:jc w:val="left"/>
              <w:rPr>
                <w:rFonts w:ascii="Calibri" w:hAnsi="Calibri" w:cs="Calibri"/>
                <w:color w:val="auto"/>
                <w:sz w:val="24"/>
              </w:rPr>
            </w:pPr>
            <w:r>
              <w:rPr>
                <w:rFonts w:ascii="Calibri" w:hAnsi="Calibri" w:cs="Calibri"/>
                <w:color w:val="auto"/>
                <w:sz w:val="24"/>
              </w:rPr>
              <w:t>式中：</w:t>
            </w:r>
            <w:r>
              <w:rPr>
                <w:rFonts w:ascii="Calibri" w:hAnsi="Calibri" w:eastAsia="Times New Roman" w:cs="Calibri"/>
                <w:i/>
                <w:color w:val="auto"/>
                <w:sz w:val="24"/>
              </w:rPr>
              <w:t>Lp</w:t>
            </w:r>
            <w:r>
              <w:rPr>
                <w:rFonts w:ascii="Calibri" w:hAnsi="Calibri" w:eastAsia="Times New Roman" w:cs="Calibri"/>
                <w:color w:val="auto"/>
                <w:sz w:val="24"/>
              </w:rPr>
              <w:t>(</w:t>
            </w:r>
            <w:r>
              <w:rPr>
                <w:rFonts w:ascii="Calibri" w:hAnsi="Calibri" w:eastAsia="Times New Roman" w:cs="Calibri"/>
                <w:i/>
                <w:color w:val="auto"/>
                <w:sz w:val="24"/>
              </w:rPr>
              <w:t>r</w:t>
            </w:r>
            <w:r>
              <w:rPr>
                <w:rFonts w:ascii="Calibri" w:hAnsi="Calibri" w:eastAsia="Times New Roman" w:cs="Calibri"/>
                <w:color w:val="auto"/>
                <w:sz w:val="24"/>
              </w:rPr>
              <w:t>) ——</w:t>
            </w:r>
            <w:r>
              <w:rPr>
                <w:rFonts w:ascii="Calibri" w:hAnsi="Calibri" w:cs="Calibri"/>
                <w:color w:val="auto"/>
                <w:sz w:val="24"/>
              </w:rPr>
              <w:t>预测点处声压级，</w:t>
            </w:r>
            <w:r>
              <w:rPr>
                <w:rFonts w:ascii="Calibri" w:hAnsi="Calibri" w:eastAsia="Times New Roman" w:cs="Calibri"/>
                <w:color w:val="auto"/>
                <w:sz w:val="24"/>
              </w:rPr>
              <w:t>dB</w:t>
            </w:r>
            <w:r>
              <w:rPr>
                <w:rFonts w:ascii="Calibri" w:hAnsi="Calibri" w:cs="Calibri"/>
                <w:color w:val="auto"/>
                <w:sz w:val="24"/>
              </w:rPr>
              <w:t xml:space="preserve">； </w:t>
            </w:r>
          </w:p>
          <w:p>
            <w:pPr>
              <w:spacing w:line="360" w:lineRule="auto"/>
              <w:ind w:firstLine="720" w:firstLineChars="300"/>
              <w:jc w:val="left"/>
              <w:rPr>
                <w:rFonts w:ascii="Calibri" w:hAnsi="Calibri" w:cs="Calibri"/>
                <w:color w:val="auto"/>
                <w:sz w:val="24"/>
              </w:rPr>
            </w:pPr>
            <w:r>
              <w:rPr>
                <w:rFonts w:ascii="Calibri" w:hAnsi="Calibri" w:eastAsia="Times New Roman" w:cs="Calibri"/>
                <w:i/>
                <w:color w:val="auto"/>
                <w:sz w:val="24"/>
              </w:rPr>
              <w:t>Lp</w:t>
            </w:r>
            <w:r>
              <w:rPr>
                <w:rFonts w:ascii="Calibri" w:hAnsi="Calibri" w:eastAsia="Times New Roman" w:cs="Calibri"/>
                <w:color w:val="auto"/>
                <w:sz w:val="24"/>
              </w:rPr>
              <w:t>(</w:t>
            </w:r>
            <w:r>
              <w:rPr>
                <w:rFonts w:ascii="Calibri" w:hAnsi="Calibri" w:eastAsia="Times New Roman" w:cs="Calibri"/>
                <w:i/>
                <w:color w:val="auto"/>
                <w:sz w:val="24"/>
              </w:rPr>
              <w:t>r</w:t>
            </w:r>
            <w:r>
              <w:rPr>
                <w:rFonts w:ascii="Calibri" w:hAnsi="Calibri" w:eastAsia="Times New Roman" w:cs="Calibri"/>
                <w:color w:val="auto"/>
                <w:sz w:val="24"/>
                <w:vertAlign w:val="subscript"/>
              </w:rPr>
              <w:t>0</w:t>
            </w:r>
            <w:r>
              <w:rPr>
                <w:rFonts w:ascii="Calibri" w:hAnsi="Calibri" w:eastAsia="Times New Roman" w:cs="Calibri"/>
                <w:color w:val="auto"/>
                <w:sz w:val="24"/>
              </w:rPr>
              <w:t>) ——</w:t>
            </w:r>
            <w:r>
              <w:rPr>
                <w:rFonts w:ascii="Calibri" w:hAnsi="Calibri" w:cs="Calibri"/>
                <w:color w:val="auto"/>
                <w:sz w:val="24"/>
              </w:rPr>
              <w:t>参考位置</w:t>
            </w:r>
            <w:r>
              <w:rPr>
                <w:rFonts w:ascii="Calibri" w:hAnsi="Calibri" w:eastAsia="Times New Roman" w:cs="Calibri"/>
                <w:i/>
                <w:color w:val="auto"/>
                <w:sz w:val="24"/>
              </w:rPr>
              <w:t>r</w:t>
            </w:r>
            <w:r>
              <w:rPr>
                <w:rFonts w:ascii="Calibri" w:hAnsi="Calibri" w:eastAsia="Times New Roman" w:cs="Calibri"/>
                <w:color w:val="auto"/>
                <w:sz w:val="24"/>
              </w:rPr>
              <w:t>0</w:t>
            </w:r>
            <w:r>
              <w:rPr>
                <w:rFonts w:ascii="Calibri" w:hAnsi="Calibri" w:cs="Calibri"/>
                <w:color w:val="auto"/>
                <w:sz w:val="24"/>
              </w:rPr>
              <w:t>处的声压级，</w:t>
            </w:r>
            <w:r>
              <w:rPr>
                <w:rFonts w:ascii="Calibri" w:hAnsi="Calibri" w:eastAsia="Times New Roman" w:cs="Calibri"/>
                <w:color w:val="auto"/>
                <w:sz w:val="24"/>
              </w:rPr>
              <w:t>dB</w:t>
            </w:r>
            <w:r>
              <w:rPr>
                <w:rFonts w:ascii="Calibri" w:hAnsi="Calibri" w:cs="Calibri"/>
                <w:color w:val="auto"/>
                <w:sz w:val="24"/>
              </w:rPr>
              <w:t>；</w:t>
            </w:r>
          </w:p>
          <w:p>
            <w:pPr>
              <w:spacing w:line="360" w:lineRule="auto"/>
              <w:ind w:firstLine="720" w:firstLineChars="300"/>
              <w:jc w:val="left"/>
              <w:rPr>
                <w:rFonts w:ascii="Calibri" w:hAnsi="Calibri" w:cs="Calibri"/>
                <w:color w:val="auto"/>
                <w:sz w:val="24"/>
              </w:rPr>
            </w:pPr>
            <w:r>
              <w:rPr>
                <w:rFonts w:ascii="Calibri" w:hAnsi="Calibri" w:eastAsia="Times New Roman" w:cs="Calibri"/>
                <w:i/>
                <w:color w:val="auto"/>
                <w:sz w:val="24"/>
              </w:rPr>
              <w:t>D</w:t>
            </w:r>
            <w:r>
              <w:rPr>
                <w:rFonts w:ascii="Calibri" w:hAnsi="Calibri" w:eastAsia="Times New Roman" w:cs="Calibri"/>
                <w:color w:val="auto"/>
                <w:sz w:val="24"/>
              </w:rPr>
              <w:t>C ——</w:t>
            </w:r>
            <w:r>
              <w:rPr>
                <w:rFonts w:ascii="Calibri" w:hAnsi="Calibri" w:cs="Calibri"/>
                <w:color w:val="auto"/>
                <w:sz w:val="24"/>
              </w:rPr>
              <w:t>指向性校正，它描述点声源的等效连续声压级与产生声功率级</w:t>
            </w:r>
            <w:r>
              <w:rPr>
                <w:rFonts w:ascii="Calibri" w:hAnsi="Calibri" w:eastAsia="Times New Roman" w:cs="Calibri"/>
                <w:i/>
                <w:color w:val="auto"/>
                <w:sz w:val="24"/>
              </w:rPr>
              <w:t>Lw</w:t>
            </w:r>
            <w:r>
              <w:rPr>
                <w:rFonts w:ascii="Calibri" w:hAnsi="Calibri" w:cs="Calibri"/>
                <w:color w:val="auto"/>
                <w:sz w:val="24"/>
              </w:rPr>
              <w:t>的全向点声源在规定方向的声级的偏差程度，</w:t>
            </w:r>
            <w:r>
              <w:rPr>
                <w:rFonts w:ascii="Calibri" w:hAnsi="Calibri" w:eastAsia="Times New Roman" w:cs="Calibri"/>
                <w:color w:val="auto"/>
                <w:sz w:val="24"/>
              </w:rPr>
              <w:t>dB</w:t>
            </w:r>
            <w:r>
              <w:rPr>
                <w:rFonts w:ascii="Calibri" w:hAnsi="Calibri" w:cs="Calibri"/>
                <w:color w:val="auto"/>
                <w:sz w:val="24"/>
              </w:rPr>
              <w:t xml:space="preserve">； </w:t>
            </w:r>
          </w:p>
          <w:p>
            <w:pPr>
              <w:spacing w:line="360" w:lineRule="auto"/>
              <w:ind w:firstLine="720" w:firstLineChars="300"/>
              <w:jc w:val="left"/>
              <w:rPr>
                <w:rFonts w:ascii="Calibri" w:hAnsi="Calibri" w:cs="Calibri"/>
                <w:color w:val="auto"/>
                <w:sz w:val="24"/>
              </w:rPr>
            </w:pPr>
            <w:r>
              <w:rPr>
                <w:rFonts w:ascii="Calibri" w:hAnsi="Calibri" w:eastAsia="Times New Roman" w:cs="Calibri"/>
                <w:i/>
                <w:color w:val="auto"/>
                <w:sz w:val="24"/>
              </w:rPr>
              <w:t>A</w:t>
            </w:r>
            <w:r>
              <w:rPr>
                <w:rFonts w:ascii="Calibri" w:hAnsi="Calibri" w:eastAsia="Times New Roman" w:cs="Calibri"/>
                <w:color w:val="auto"/>
                <w:sz w:val="24"/>
                <w:vertAlign w:val="subscript"/>
              </w:rPr>
              <w:t xml:space="preserve">div </w:t>
            </w:r>
            <w:r>
              <w:rPr>
                <w:rFonts w:ascii="Calibri" w:hAnsi="Calibri" w:eastAsia="Times New Roman" w:cs="Calibri"/>
                <w:color w:val="auto"/>
                <w:sz w:val="24"/>
              </w:rPr>
              <w:t>——</w:t>
            </w:r>
            <w:r>
              <w:rPr>
                <w:rFonts w:ascii="Calibri" w:hAnsi="Calibri" w:cs="Calibri"/>
                <w:color w:val="auto"/>
                <w:sz w:val="24"/>
              </w:rPr>
              <w:t>几何发散引起的衰减，</w:t>
            </w:r>
            <w:r>
              <w:rPr>
                <w:rFonts w:ascii="Calibri" w:hAnsi="Calibri" w:eastAsia="Times New Roman" w:cs="Calibri"/>
                <w:color w:val="auto"/>
                <w:sz w:val="24"/>
              </w:rPr>
              <w:t>dB</w:t>
            </w:r>
            <w:r>
              <w:rPr>
                <w:rFonts w:ascii="Calibri" w:hAnsi="Calibri" w:cs="Calibri"/>
                <w:color w:val="auto"/>
                <w:sz w:val="24"/>
              </w:rPr>
              <w:t xml:space="preserve">； </w:t>
            </w:r>
          </w:p>
          <w:p>
            <w:pPr>
              <w:spacing w:line="360" w:lineRule="auto"/>
              <w:ind w:firstLine="720" w:firstLineChars="300"/>
              <w:jc w:val="left"/>
              <w:rPr>
                <w:rFonts w:ascii="Calibri" w:hAnsi="Calibri" w:cs="Calibri"/>
                <w:color w:val="auto"/>
                <w:sz w:val="24"/>
              </w:rPr>
            </w:pPr>
            <w:r>
              <w:rPr>
                <w:rFonts w:ascii="Calibri" w:hAnsi="Calibri" w:eastAsia="Times New Roman" w:cs="Calibri"/>
                <w:i/>
                <w:color w:val="auto"/>
                <w:sz w:val="24"/>
              </w:rPr>
              <w:t>A</w:t>
            </w:r>
            <w:r>
              <w:rPr>
                <w:rFonts w:ascii="Calibri" w:hAnsi="Calibri" w:eastAsia="Times New Roman" w:cs="Calibri"/>
                <w:color w:val="auto"/>
                <w:sz w:val="24"/>
                <w:vertAlign w:val="subscript"/>
              </w:rPr>
              <w:t>atm</w:t>
            </w:r>
            <w:r>
              <w:rPr>
                <w:rFonts w:ascii="Calibri" w:hAnsi="Calibri" w:eastAsia="Times New Roman" w:cs="Calibri"/>
                <w:color w:val="auto"/>
                <w:sz w:val="24"/>
              </w:rPr>
              <w:t>——</w:t>
            </w:r>
            <w:r>
              <w:rPr>
                <w:rFonts w:ascii="Calibri" w:hAnsi="Calibri" w:cs="Calibri"/>
                <w:color w:val="auto"/>
                <w:sz w:val="24"/>
              </w:rPr>
              <w:t>大气吸收引起的衰减，</w:t>
            </w:r>
            <w:r>
              <w:rPr>
                <w:rFonts w:ascii="Calibri" w:hAnsi="Calibri" w:eastAsia="Times New Roman" w:cs="Calibri"/>
                <w:color w:val="auto"/>
                <w:sz w:val="24"/>
              </w:rPr>
              <w:t>dB</w:t>
            </w:r>
            <w:r>
              <w:rPr>
                <w:rFonts w:ascii="Calibri" w:hAnsi="Calibri" w:cs="Calibri"/>
                <w:color w:val="auto"/>
                <w:sz w:val="24"/>
              </w:rPr>
              <w:t>；</w:t>
            </w:r>
          </w:p>
          <w:p>
            <w:pPr>
              <w:spacing w:line="360" w:lineRule="auto"/>
              <w:ind w:firstLine="720" w:firstLineChars="300"/>
              <w:jc w:val="left"/>
              <w:rPr>
                <w:rFonts w:ascii="Calibri" w:hAnsi="Calibri" w:cs="Calibri"/>
                <w:color w:val="auto"/>
                <w:sz w:val="24"/>
              </w:rPr>
            </w:pPr>
            <w:r>
              <w:rPr>
                <w:rFonts w:ascii="Calibri" w:hAnsi="Calibri" w:eastAsia="Times New Roman" w:cs="Calibri"/>
                <w:i/>
                <w:color w:val="auto"/>
                <w:sz w:val="24"/>
              </w:rPr>
              <w:t>A</w:t>
            </w:r>
            <w:r>
              <w:rPr>
                <w:rFonts w:ascii="Calibri" w:hAnsi="Calibri" w:eastAsia="Times New Roman" w:cs="Calibri"/>
                <w:color w:val="auto"/>
                <w:sz w:val="24"/>
                <w:vertAlign w:val="subscript"/>
              </w:rPr>
              <w:t>gr</w:t>
            </w:r>
            <w:r>
              <w:rPr>
                <w:rFonts w:ascii="Calibri" w:hAnsi="Calibri" w:eastAsia="Times New Roman" w:cs="Calibri"/>
                <w:color w:val="auto"/>
                <w:sz w:val="24"/>
              </w:rPr>
              <w:t>——</w:t>
            </w:r>
            <w:r>
              <w:rPr>
                <w:rFonts w:ascii="Calibri" w:hAnsi="Calibri" w:cs="Calibri"/>
                <w:color w:val="auto"/>
                <w:sz w:val="24"/>
              </w:rPr>
              <w:t>地面效应引起的衰减，</w:t>
            </w:r>
            <w:r>
              <w:rPr>
                <w:rFonts w:ascii="Calibri" w:hAnsi="Calibri" w:eastAsia="Times New Roman" w:cs="Calibri"/>
                <w:color w:val="auto"/>
                <w:sz w:val="24"/>
              </w:rPr>
              <w:t>dB</w:t>
            </w:r>
            <w:r>
              <w:rPr>
                <w:rFonts w:ascii="Calibri" w:hAnsi="Calibri" w:cs="Calibri"/>
                <w:color w:val="auto"/>
                <w:sz w:val="24"/>
              </w:rPr>
              <w:t>；</w:t>
            </w:r>
          </w:p>
          <w:p>
            <w:pPr>
              <w:spacing w:line="360" w:lineRule="auto"/>
              <w:ind w:firstLine="720" w:firstLineChars="300"/>
              <w:jc w:val="left"/>
              <w:rPr>
                <w:rFonts w:ascii="Calibri" w:hAnsi="Calibri" w:cs="Calibri"/>
                <w:color w:val="auto"/>
                <w:sz w:val="24"/>
              </w:rPr>
            </w:pPr>
            <w:r>
              <w:rPr>
                <w:rFonts w:ascii="Calibri" w:hAnsi="Calibri" w:eastAsia="Times New Roman" w:cs="Calibri"/>
                <w:i/>
                <w:color w:val="auto"/>
                <w:sz w:val="24"/>
              </w:rPr>
              <w:t>A</w:t>
            </w:r>
            <w:r>
              <w:rPr>
                <w:rFonts w:ascii="Calibri" w:hAnsi="Calibri" w:eastAsia="Times New Roman" w:cs="Calibri"/>
                <w:color w:val="auto"/>
                <w:sz w:val="24"/>
                <w:vertAlign w:val="subscript"/>
              </w:rPr>
              <w:t xml:space="preserve">bar </w:t>
            </w:r>
            <w:r>
              <w:rPr>
                <w:rFonts w:ascii="Calibri" w:hAnsi="Calibri" w:eastAsia="Times New Roman" w:cs="Calibri"/>
                <w:color w:val="auto"/>
                <w:sz w:val="24"/>
              </w:rPr>
              <w:t>——</w:t>
            </w:r>
            <w:r>
              <w:rPr>
                <w:rFonts w:ascii="Calibri" w:hAnsi="Calibri" w:cs="Calibri"/>
                <w:color w:val="auto"/>
                <w:sz w:val="24"/>
              </w:rPr>
              <w:t>障碍物屏蔽引起的衰减，</w:t>
            </w:r>
            <w:r>
              <w:rPr>
                <w:rFonts w:ascii="Calibri" w:hAnsi="Calibri" w:eastAsia="Times New Roman" w:cs="Calibri"/>
                <w:color w:val="auto"/>
                <w:sz w:val="24"/>
              </w:rPr>
              <w:t>dB</w:t>
            </w:r>
            <w:r>
              <w:rPr>
                <w:rFonts w:ascii="Calibri" w:hAnsi="Calibri" w:cs="Calibri"/>
                <w:color w:val="auto"/>
                <w:sz w:val="24"/>
              </w:rPr>
              <w:t>；</w:t>
            </w:r>
          </w:p>
          <w:p>
            <w:pPr>
              <w:adjustRightInd w:val="0"/>
              <w:snapToGrid w:val="0"/>
              <w:spacing w:line="360" w:lineRule="auto"/>
              <w:ind w:firstLine="787" w:firstLineChars="328"/>
              <w:rPr>
                <w:rFonts w:ascii="Calibri" w:hAnsi="Calibri" w:cs="Calibri"/>
                <w:color w:val="auto"/>
                <w:sz w:val="24"/>
              </w:rPr>
            </w:pPr>
            <w:r>
              <w:rPr>
                <w:rFonts w:ascii="Calibri" w:hAnsi="Calibri" w:eastAsia="Times New Roman" w:cs="Calibri"/>
                <w:i/>
                <w:color w:val="auto"/>
                <w:sz w:val="24"/>
              </w:rPr>
              <w:t>A</w:t>
            </w:r>
            <w:r>
              <w:rPr>
                <w:rFonts w:ascii="Calibri" w:hAnsi="Calibri" w:eastAsia="Times New Roman" w:cs="Calibri"/>
                <w:color w:val="auto"/>
                <w:sz w:val="24"/>
                <w:vertAlign w:val="subscript"/>
              </w:rPr>
              <w:t>misc</w:t>
            </w:r>
            <w:r>
              <w:rPr>
                <w:rFonts w:ascii="Calibri" w:hAnsi="Calibri" w:eastAsia="Times New Roman" w:cs="Calibri"/>
                <w:color w:val="auto"/>
                <w:sz w:val="24"/>
              </w:rPr>
              <w:t>——</w:t>
            </w:r>
            <w:r>
              <w:rPr>
                <w:rFonts w:ascii="Calibri" w:hAnsi="Calibri" w:cs="Calibri"/>
                <w:color w:val="auto"/>
                <w:sz w:val="24"/>
              </w:rPr>
              <w:t>其他多方面效应引起的衰减，</w:t>
            </w:r>
            <w:r>
              <w:rPr>
                <w:rFonts w:ascii="Calibri" w:hAnsi="Calibri" w:eastAsia="Times New Roman" w:cs="Calibri"/>
                <w:color w:val="auto"/>
                <w:sz w:val="24"/>
              </w:rPr>
              <w:t>dB</w:t>
            </w:r>
            <w:r>
              <w:rPr>
                <w:rFonts w:ascii="Calibri" w:hAnsi="Calibri" w:cs="Calibri"/>
                <w:color w:val="auto"/>
                <w:sz w:val="24"/>
              </w:rPr>
              <w:t>。</w:t>
            </w:r>
          </w:p>
          <w:p>
            <w:pPr>
              <w:adjustRightInd w:val="0"/>
              <w:snapToGrid w:val="0"/>
              <w:spacing w:line="360" w:lineRule="auto"/>
              <w:ind w:firstLine="480"/>
              <w:rPr>
                <w:rFonts w:ascii="Calibri" w:hAnsi="Calibri" w:cs="Calibri"/>
                <w:color w:val="auto"/>
                <w:sz w:val="24"/>
              </w:rPr>
            </w:pPr>
            <w:r>
              <w:rPr>
                <w:rFonts w:ascii="Calibri" w:hAnsi="Calibri" w:cs="Calibri"/>
                <w:color w:val="auto"/>
                <w:sz w:val="24"/>
              </w:rPr>
              <w:t>项目中噪声源都按点声源处理，无指向性点声源几何发散衰减的基本公式是：</w:t>
            </w:r>
          </w:p>
          <w:p>
            <w:pPr>
              <w:snapToGrid w:val="0"/>
              <w:spacing w:line="360" w:lineRule="auto"/>
              <w:ind w:firstLine="480"/>
              <w:jc w:val="center"/>
              <w:rPr>
                <w:rFonts w:ascii="Calibri" w:hAnsi="Calibri" w:cs="Calibri"/>
                <w:color w:val="auto"/>
                <w:sz w:val="24"/>
              </w:rPr>
            </w:pPr>
            <w:r>
              <w:rPr>
                <w:rFonts w:ascii="Times New Roman" w:hAnsi="Times New Roman" w:cs="Times New Roman"/>
                <w:color w:val="auto"/>
                <w:sz w:val="24"/>
              </w:rPr>
              <w:object>
                <v:shape id="_x0000_i1028" o:spt="75" type="#_x0000_t75" style="height:18pt;width:123.75pt;" o:ole="t" filled="f" o:preferrelative="t" stroked="f" coordsize="21600,21600">
                  <v:path/>
                  <v:fill on="f" focussize="0,0"/>
                  <v:stroke on="f" joinstyle="miter"/>
                  <v:imagedata r:id="rId32" o:title=""/>
                  <o:lock v:ext="edit" aspectratio="t"/>
                  <w10:wrap type="none"/>
                  <w10:anchorlock/>
                </v:shape>
                <o:OLEObject Type="Embed" ProgID="Equation.3" ShapeID="_x0000_i1028" DrawAspect="Content" ObjectID="_1468075728" r:id="rId31">
                  <o:LockedField>false</o:LockedField>
                </o:OLEObject>
              </w:object>
            </w:r>
          </w:p>
          <w:p>
            <w:pPr>
              <w:spacing w:line="360" w:lineRule="auto"/>
              <w:jc w:val="left"/>
              <w:rPr>
                <w:rFonts w:ascii="Calibri" w:hAnsi="Calibri" w:cs="Calibri"/>
                <w:color w:val="auto"/>
                <w:sz w:val="24"/>
              </w:rPr>
            </w:pPr>
            <w:r>
              <w:rPr>
                <w:rFonts w:ascii="Calibri" w:hAnsi="Calibri" w:cs="Calibri"/>
                <w:color w:val="auto"/>
                <w:sz w:val="24"/>
              </w:rPr>
              <w:t>式中：</w:t>
            </w:r>
            <w:r>
              <w:rPr>
                <w:rFonts w:ascii="Calibri" w:hAnsi="Calibri" w:cs="Calibri"/>
                <w:i/>
                <w:color w:val="auto"/>
                <w:sz w:val="24"/>
              </w:rPr>
              <w:t>Lp</w:t>
            </w:r>
            <w:r>
              <w:rPr>
                <w:rFonts w:ascii="Calibri" w:hAnsi="Calibri" w:cs="Calibri"/>
                <w:color w:val="auto"/>
                <w:sz w:val="24"/>
              </w:rPr>
              <w:t>(</w:t>
            </w:r>
            <w:r>
              <w:rPr>
                <w:rFonts w:ascii="Calibri" w:hAnsi="Calibri" w:cs="Calibri"/>
                <w:i/>
                <w:color w:val="auto"/>
                <w:sz w:val="24"/>
              </w:rPr>
              <w:t>r</w:t>
            </w:r>
            <w:r>
              <w:rPr>
                <w:rFonts w:ascii="Calibri" w:hAnsi="Calibri" w:cs="Calibri"/>
                <w:color w:val="auto"/>
                <w:sz w:val="24"/>
              </w:rPr>
              <w:t xml:space="preserve">) ——预测点处声压级，dB； </w:t>
            </w:r>
          </w:p>
          <w:p>
            <w:pPr>
              <w:spacing w:line="360" w:lineRule="auto"/>
              <w:ind w:firstLine="720" w:firstLineChars="300"/>
              <w:jc w:val="left"/>
              <w:rPr>
                <w:rFonts w:ascii="Calibri" w:hAnsi="Calibri" w:cs="Calibri"/>
                <w:color w:val="auto"/>
                <w:sz w:val="24"/>
              </w:rPr>
            </w:pPr>
            <w:r>
              <w:rPr>
                <w:rFonts w:ascii="Calibri" w:hAnsi="Calibri" w:cs="Calibri"/>
                <w:i/>
                <w:color w:val="auto"/>
                <w:sz w:val="24"/>
              </w:rPr>
              <w:t>Lp</w:t>
            </w:r>
            <w:r>
              <w:rPr>
                <w:rFonts w:ascii="Calibri" w:hAnsi="Calibri" w:cs="Calibri"/>
                <w:color w:val="auto"/>
                <w:sz w:val="24"/>
              </w:rPr>
              <w:t>(</w:t>
            </w:r>
            <w:r>
              <w:rPr>
                <w:rFonts w:ascii="Calibri" w:hAnsi="Calibri" w:cs="Calibri"/>
                <w:i/>
                <w:color w:val="auto"/>
                <w:sz w:val="24"/>
              </w:rPr>
              <w:t>r</w:t>
            </w:r>
            <w:r>
              <w:rPr>
                <w:rFonts w:ascii="Calibri" w:hAnsi="Calibri" w:cs="Calibri"/>
                <w:color w:val="auto"/>
                <w:sz w:val="24"/>
                <w:vertAlign w:val="subscript"/>
              </w:rPr>
              <w:t>0</w:t>
            </w:r>
            <w:r>
              <w:rPr>
                <w:rFonts w:ascii="Calibri" w:hAnsi="Calibri" w:cs="Calibri"/>
                <w:color w:val="auto"/>
                <w:sz w:val="24"/>
              </w:rPr>
              <w:t>) ——参考位置</w:t>
            </w:r>
            <w:r>
              <w:rPr>
                <w:rFonts w:ascii="Calibri" w:hAnsi="Calibri" w:cs="Calibri"/>
                <w:i/>
                <w:color w:val="auto"/>
                <w:sz w:val="24"/>
              </w:rPr>
              <w:t>r</w:t>
            </w:r>
            <w:r>
              <w:rPr>
                <w:rFonts w:ascii="Calibri" w:hAnsi="Calibri" w:cs="Calibri"/>
                <w:color w:val="auto"/>
                <w:sz w:val="24"/>
              </w:rPr>
              <w:t>0处的声压级，dB；</w:t>
            </w:r>
          </w:p>
          <w:p>
            <w:pPr>
              <w:spacing w:line="360" w:lineRule="auto"/>
              <w:ind w:firstLine="720" w:firstLineChars="300"/>
              <w:jc w:val="left"/>
              <w:rPr>
                <w:rFonts w:ascii="Calibri" w:hAnsi="Calibri" w:cs="Calibri"/>
                <w:color w:val="auto"/>
                <w:sz w:val="24"/>
              </w:rPr>
            </w:pPr>
            <w:r>
              <w:rPr>
                <w:rFonts w:ascii="Calibri" w:hAnsi="Calibri" w:cs="Calibri"/>
                <w:i/>
                <w:color w:val="auto"/>
                <w:sz w:val="24"/>
              </w:rPr>
              <w:t>r</w:t>
            </w:r>
            <w:r>
              <w:rPr>
                <w:rFonts w:ascii="Calibri" w:hAnsi="Calibri" w:cs="Calibri"/>
                <w:color w:val="auto"/>
                <w:sz w:val="24"/>
              </w:rPr>
              <w:t>——预测点距声源的距离；</w:t>
            </w:r>
          </w:p>
          <w:p>
            <w:pPr>
              <w:adjustRightInd w:val="0"/>
              <w:snapToGrid w:val="0"/>
              <w:spacing w:line="360" w:lineRule="auto"/>
              <w:ind w:firstLine="787" w:firstLineChars="328"/>
              <w:rPr>
                <w:rFonts w:ascii="Calibri" w:hAnsi="Calibri" w:cs="Calibri"/>
                <w:color w:val="auto"/>
                <w:sz w:val="24"/>
              </w:rPr>
            </w:pPr>
            <w:r>
              <w:rPr>
                <w:rFonts w:ascii="Calibri" w:hAnsi="Calibri" w:cs="Calibri"/>
                <w:i/>
                <w:color w:val="auto"/>
                <w:sz w:val="24"/>
              </w:rPr>
              <w:t>r</w:t>
            </w:r>
            <w:r>
              <w:rPr>
                <w:rFonts w:ascii="Calibri" w:hAnsi="Calibri" w:cs="Calibri"/>
                <w:color w:val="auto"/>
                <w:sz w:val="24"/>
                <w:vertAlign w:val="subscript"/>
              </w:rPr>
              <w:t>0</w:t>
            </w:r>
            <w:r>
              <w:rPr>
                <w:rFonts w:ascii="Calibri" w:hAnsi="Calibri" w:cs="Calibri"/>
                <w:color w:val="auto"/>
                <w:sz w:val="24"/>
              </w:rPr>
              <w:t>——参考位置距声源的距离。</w:t>
            </w:r>
          </w:p>
          <w:p>
            <w:pPr>
              <w:adjustRightInd w:val="0"/>
              <w:snapToGrid w:val="0"/>
              <w:spacing w:line="360" w:lineRule="auto"/>
              <w:ind w:firstLine="480"/>
              <w:rPr>
                <w:rFonts w:ascii="Calibri" w:hAnsi="Calibri" w:cs="Calibri"/>
                <w:color w:val="auto"/>
                <w:sz w:val="24"/>
              </w:rPr>
            </w:pPr>
            <w:r>
              <w:rPr>
                <w:rFonts w:hint="eastAsia" w:ascii="宋体" w:hAnsi="宋体" w:cs="宋体"/>
                <w:color w:val="auto"/>
                <w:sz w:val="24"/>
              </w:rPr>
              <w:t>③噪声贡献值计算</w:t>
            </w:r>
            <w:r>
              <w:rPr>
                <w:rFonts w:ascii="Calibri" w:hAnsi="Calibri" w:cs="Calibri"/>
                <w:color w:val="auto"/>
                <w:sz w:val="24"/>
              </w:rPr>
              <w:t>公式</w:t>
            </w:r>
          </w:p>
          <w:p>
            <w:pPr>
              <w:adjustRightInd w:val="0"/>
              <w:snapToGrid w:val="0"/>
              <w:spacing w:line="360" w:lineRule="auto"/>
              <w:ind w:firstLine="480"/>
              <w:jc w:val="center"/>
              <w:rPr>
                <w:rFonts w:ascii="Calibri" w:hAnsi="Calibri" w:cs="Calibri"/>
                <w:color w:val="auto"/>
                <w:sz w:val="24"/>
              </w:rPr>
            </w:pPr>
            <w:r>
              <w:rPr>
                <w:rFonts w:ascii="Times New Roman" w:hAnsi="Times New Roman" w:cs="Times New Roman"/>
                <w:color w:val="auto"/>
                <w:position w:val="-34"/>
                <w:sz w:val="24"/>
              </w:rPr>
              <w:object>
                <v:shape id="_x0000_i1029" o:spt="75" type="#_x0000_t75" style="height:36.75pt;width:186.75pt;" o:ole="t" filled="f" o:preferrelative="t" stroked="f" coordsize="21600,21600">
                  <v:path/>
                  <v:fill on="f" focussize="0,0"/>
                  <v:stroke on="f" joinstyle="miter"/>
                  <v:imagedata r:id="rId34" o:title=""/>
                  <o:lock v:ext="edit" aspectratio="t"/>
                  <w10:wrap type="none"/>
                  <w10:anchorlock/>
                </v:shape>
                <o:OLEObject Type="Embed" ProgID="Equation.3" ShapeID="_x0000_i1029" DrawAspect="Content" ObjectID="_1468075729" r:id="rId33">
                  <o:LockedField>false</o:LockedField>
                </o:OLEObject>
              </w:object>
            </w:r>
          </w:p>
          <w:p>
            <w:pPr>
              <w:spacing w:line="360" w:lineRule="auto"/>
              <w:jc w:val="left"/>
              <w:rPr>
                <w:rFonts w:ascii="宋体" w:hAnsi="宋体" w:cs="Calibri"/>
                <w:color w:val="auto"/>
                <w:sz w:val="24"/>
              </w:rPr>
            </w:pPr>
            <w:r>
              <w:rPr>
                <w:rFonts w:ascii="Calibri" w:hAnsi="Calibri" w:cs="Calibri"/>
                <w:color w:val="auto"/>
                <w:sz w:val="24"/>
              </w:rPr>
              <w:t xml:space="preserve">    式中：</w:t>
            </w:r>
            <w:r>
              <w:rPr>
                <w:rFonts w:hint="eastAsia" w:ascii="Calibri" w:hAnsi="Calibri" w:eastAsia="Times New Roman" w:cs="Calibri"/>
                <w:i/>
                <w:color w:val="auto"/>
                <w:sz w:val="24"/>
              </w:rPr>
              <w:t>L</w:t>
            </w:r>
            <w:r>
              <w:rPr>
                <w:rFonts w:hint="eastAsia" w:ascii="Calibri" w:hAnsi="Calibri" w:eastAsia="Times New Roman" w:cs="Calibri"/>
                <w:color w:val="auto"/>
                <w:sz w:val="24"/>
              </w:rPr>
              <w:t>eqg——</w:t>
            </w:r>
            <w:r>
              <w:rPr>
                <w:rFonts w:hint="eastAsia" w:ascii="宋体" w:hAnsi="宋体" w:cs="Calibri"/>
                <w:color w:val="auto"/>
                <w:sz w:val="24"/>
              </w:rPr>
              <w:t>建设项目声源在预测点产生的噪声贡献值，</w:t>
            </w:r>
            <w:r>
              <w:rPr>
                <w:rFonts w:hint="eastAsia" w:ascii="Calibri" w:hAnsi="Calibri" w:eastAsia="Times New Roman" w:cs="Calibri"/>
                <w:color w:val="auto"/>
                <w:sz w:val="24"/>
              </w:rPr>
              <w:t>dB</w:t>
            </w:r>
            <w:r>
              <w:rPr>
                <w:rFonts w:hint="eastAsia" w:ascii="宋体" w:hAnsi="宋体" w:cs="Calibri"/>
                <w:color w:val="auto"/>
                <w:sz w:val="24"/>
              </w:rPr>
              <w:t>；</w:t>
            </w:r>
          </w:p>
          <w:p>
            <w:pPr>
              <w:spacing w:line="360" w:lineRule="auto"/>
              <w:ind w:firstLine="1200" w:firstLineChars="500"/>
              <w:jc w:val="left"/>
              <w:rPr>
                <w:rFonts w:ascii="宋体" w:hAnsi="宋体" w:cs="Calibri"/>
                <w:color w:val="auto"/>
                <w:sz w:val="24"/>
              </w:rPr>
            </w:pPr>
            <w:r>
              <w:rPr>
                <w:rFonts w:hint="eastAsia" w:ascii="Calibri" w:hAnsi="Calibri" w:eastAsia="Times New Roman" w:cs="Calibri"/>
                <w:i/>
                <w:color w:val="auto"/>
                <w:sz w:val="24"/>
              </w:rPr>
              <w:t xml:space="preserve">T </w:t>
            </w:r>
            <w:r>
              <w:rPr>
                <w:rFonts w:hint="eastAsia" w:ascii="Calibri" w:hAnsi="Calibri" w:eastAsia="Times New Roman" w:cs="Calibri"/>
                <w:color w:val="auto"/>
                <w:sz w:val="24"/>
              </w:rPr>
              <w:t>——</w:t>
            </w:r>
            <w:r>
              <w:rPr>
                <w:rFonts w:hint="eastAsia" w:ascii="宋体" w:hAnsi="宋体" w:cs="Calibri"/>
                <w:color w:val="auto"/>
                <w:sz w:val="24"/>
              </w:rPr>
              <w:t>用于计算等效声级的时间，</w:t>
            </w:r>
            <w:r>
              <w:rPr>
                <w:rFonts w:hint="eastAsia" w:ascii="Calibri" w:hAnsi="Calibri" w:eastAsia="Times New Roman" w:cs="Calibri"/>
                <w:color w:val="auto"/>
                <w:sz w:val="24"/>
              </w:rPr>
              <w:t>s</w:t>
            </w:r>
            <w:r>
              <w:rPr>
                <w:rFonts w:hint="eastAsia" w:ascii="宋体" w:hAnsi="宋体" w:cs="Calibri"/>
                <w:color w:val="auto"/>
                <w:sz w:val="24"/>
              </w:rPr>
              <w:t>；</w:t>
            </w:r>
          </w:p>
          <w:p>
            <w:pPr>
              <w:spacing w:line="360" w:lineRule="auto"/>
              <w:ind w:firstLine="1200" w:firstLineChars="500"/>
              <w:jc w:val="left"/>
              <w:rPr>
                <w:rFonts w:ascii="宋体" w:hAnsi="宋体" w:cs="Calibri"/>
                <w:color w:val="auto"/>
                <w:sz w:val="24"/>
              </w:rPr>
            </w:pPr>
            <w:r>
              <w:rPr>
                <w:rFonts w:hint="eastAsia" w:ascii="Calibri" w:hAnsi="Calibri" w:eastAsia="Times New Roman" w:cs="Calibri"/>
                <w:i/>
                <w:color w:val="auto"/>
                <w:sz w:val="24"/>
              </w:rPr>
              <w:t xml:space="preserve">N </w:t>
            </w:r>
            <w:r>
              <w:rPr>
                <w:rFonts w:hint="eastAsia" w:ascii="Calibri" w:hAnsi="Calibri" w:eastAsia="Times New Roman" w:cs="Calibri"/>
                <w:color w:val="auto"/>
                <w:sz w:val="24"/>
              </w:rPr>
              <w:t>——</w:t>
            </w:r>
            <w:r>
              <w:rPr>
                <w:rFonts w:hint="eastAsia" w:ascii="宋体" w:hAnsi="宋体" w:cs="Calibri"/>
                <w:color w:val="auto"/>
                <w:sz w:val="24"/>
              </w:rPr>
              <w:t>室外声源个数；</w:t>
            </w:r>
          </w:p>
          <w:p>
            <w:pPr>
              <w:spacing w:line="360" w:lineRule="auto"/>
              <w:jc w:val="left"/>
              <w:rPr>
                <w:rFonts w:ascii="宋体" w:hAnsi="宋体" w:cs="Calibri"/>
                <w:color w:val="auto"/>
                <w:sz w:val="24"/>
              </w:rPr>
            </w:pPr>
            <w:r>
              <w:rPr>
                <w:rFonts w:hint="eastAsia" w:ascii="Calibri" w:hAnsi="Calibri" w:eastAsia="Times New Roman" w:cs="Calibri"/>
                <w:i/>
                <w:color w:val="auto"/>
                <w:sz w:val="24"/>
              </w:rPr>
              <w:t xml:space="preserve"> </w:t>
            </w:r>
            <w:r>
              <w:rPr>
                <w:rFonts w:hint="eastAsia" w:ascii="Calibri" w:hAnsi="Calibri" w:cs="Calibri"/>
                <w:i/>
                <w:color w:val="auto"/>
                <w:sz w:val="24"/>
              </w:rPr>
              <w:t xml:space="preserve">          </w:t>
            </w:r>
            <w:r>
              <w:rPr>
                <w:rFonts w:hint="eastAsia" w:ascii="Calibri" w:hAnsi="Calibri" w:eastAsia="Times New Roman" w:cs="Calibri"/>
                <w:i/>
                <w:color w:val="auto"/>
                <w:sz w:val="24"/>
              </w:rPr>
              <w:t xml:space="preserve">ti </w:t>
            </w:r>
            <w:r>
              <w:rPr>
                <w:rFonts w:hint="eastAsia" w:ascii="Calibri" w:hAnsi="Calibri" w:eastAsia="Times New Roman" w:cs="Calibri"/>
                <w:color w:val="auto"/>
                <w:sz w:val="24"/>
              </w:rPr>
              <w:t>——</w:t>
            </w:r>
            <w:r>
              <w:rPr>
                <w:rFonts w:hint="eastAsia" w:ascii="宋体" w:hAnsi="宋体" w:cs="Calibri"/>
                <w:color w:val="auto"/>
                <w:sz w:val="24"/>
              </w:rPr>
              <w:t>在</w:t>
            </w:r>
            <w:r>
              <w:rPr>
                <w:rFonts w:hint="eastAsia" w:ascii="Calibri" w:hAnsi="Calibri" w:eastAsia="Times New Roman" w:cs="Calibri"/>
                <w:i/>
                <w:color w:val="auto"/>
                <w:sz w:val="24"/>
              </w:rPr>
              <w:t xml:space="preserve">T </w:t>
            </w:r>
            <w:r>
              <w:rPr>
                <w:rFonts w:hint="eastAsia" w:ascii="宋体" w:hAnsi="宋体" w:cs="Calibri"/>
                <w:color w:val="auto"/>
                <w:sz w:val="24"/>
              </w:rPr>
              <w:t>时间内</w:t>
            </w:r>
            <w:r>
              <w:rPr>
                <w:rFonts w:hint="eastAsia" w:ascii="Calibri" w:hAnsi="Calibri" w:eastAsia="Times New Roman" w:cs="Calibri"/>
                <w:i/>
                <w:color w:val="auto"/>
                <w:sz w:val="24"/>
              </w:rPr>
              <w:t xml:space="preserve">i </w:t>
            </w:r>
            <w:r>
              <w:rPr>
                <w:rFonts w:hint="eastAsia" w:ascii="宋体" w:hAnsi="宋体" w:cs="Calibri"/>
                <w:color w:val="auto"/>
                <w:sz w:val="24"/>
              </w:rPr>
              <w:t>声源工作时间，</w:t>
            </w:r>
            <w:r>
              <w:rPr>
                <w:rFonts w:hint="eastAsia" w:ascii="Calibri" w:hAnsi="Calibri" w:eastAsia="Times New Roman" w:cs="Calibri"/>
                <w:color w:val="auto"/>
                <w:sz w:val="24"/>
              </w:rPr>
              <w:t>s</w:t>
            </w:r>
            <w:r>
              <w:rPr>
                <w:rFonts w:hint="eastAsia" w:ascii="宋体" w:hAnsi="宋体" w:cs="Calibri"/>
                <w:color w:val="auto"/>
                <w:sz w:val="24"/>
              </w:rPr>
              <w:t>；</w:t>
            </w:r>
          </w:p>
          <w:p>
            <w:pPr>
              <w:spacing w:line="360" w:lineRule="auto"/>
              <w:ind w:firstLine="1200" w:firstLineChars="500"/>
              <w:jc w:val="left"/>
              <w:rPr>
                <w:rFonts w:ascii="宋体" w:hAnsi="宋体" w:cs="Calibri"/>
                <w:color w:val="auto"/>
                <w:sz w:val="24"/>
              </w:rPr>
            </w:pPr>
            <w:r>
              <w:rPr>
                <w:rFonts w:hint="eastAsia" w:ascii="Calibri" w:hAnsi="Calibri" w:eastAsia="Times New Roman" w:cs="Calibri"/>
                <w:i/>
                <w:color w:val="auto"/>
                <w:sz w:val="24"/>
              </w:rPr>
              <w:t>M</w:t>
            </w:r>
            <w:r>
              <w:rPr>
                <w:rFonts w:hint="eastAsia" w:ascii="Calibri" w:hAnsi="Calibri" w:cs="Calibri"/>
                <w:i/>
                <w:color w:val="auto"/>
                <w:sz w:val="24"/>
              </w:rPr>
              <w:t xml:space="preserve"> </w:t>
            </w:r>
            <w:r>
              <w:rPr>
                <w:rFonts w:hint="eastAsia" w:ascii="Calibri" w:hAnsi="Calibri" w:eastAsia="Times New Roman" w:cs="Calibri"/>
                <w:i/>
                <w:color w:val="auto"/>
                <w:sz w:val="24"/>
              </w:rPr>
              <w:t xml:space="preserve"> </w:t>
            </w:r>
            <w:r>
              <w:rPr>
                <w:rFonts w:hint="eastAsia" w:ascii="Calibri" w:hAnsi="Calibri" w:eastAsia="Times New Roman" w:cs="Calibri"/>
                <w:color w:val="auto"/>
                <w:sz w:val="24"/>
              </w:rPr>
              <w:t>——</w:t>
            </w:r>
            <w:r>
              <w:rPr>
                <w:rFonts w:hint="eastAsia" w:ascii="宋体" w:hAnsi="宋体" w:cs="Calibri"/>
                <w:color w:val="auto"/>
                <w:sz w:val="24"/>
              </w:rPr>
              <w:t>等效室外声源个</w:t>
            </w:r>
          </w:p>
          <w:p>
            <w:pPr>
              <w:spacing w:line="360" w:lineRule="auto"/>
              <w:ind w:firstLine="480" w:firstLineChars="200"/>
              <w:rPr>
                <w:rFonts w:ascii="宋体" w:hAnsi="宋体" w:cs="Calibri"/>
                <w:color w:val="auto"/>
                <w:sz w:val="24"/>
              </w:rPr>
            </w:pPr>
            <w:r>
              <w:rPr>
                <w:rFonts w:hint="eastAsia" w:ascii="Calibri" w:hAnsi="Calibri" w:eastAsia="Times New Roman" w:cs="Calibri"/>
                <w:i/>
                <w:color w:val="auto"/>
                <w:sz w:val="24"/>
              </w:rPr>
              <w:t xml:space="preserve">tj </w:t>
            </w:r>
            <w:r>
              <w:rPr>
                <w:rFonts w:hint="eastAsia" w:ascii="Calibri" w:hAnsi="Calibri" w:eastAsia="Times New Roman" w:cs="Calibri"/>
                <w:color w:val="auto"/>
                <w:sz w:val="24"/>
              </w:rPr>
              <w:t>——</w:t>
            </w:r>
            <w:r>
              <w:rPr>
                <w:rFonts w:hint="eastAsia" w:ascii="宋体" w:hAnsi="宋体" w:cs="Calibri"/>
                <w:color w:val="auto"/>
                <w:sz w:val="24"/>
              </w:rPr>
              <w:t>在</w:t>
            </w:r>
            <w:r>
              <w:rPr>
                <w:rFonts w:hint="eastAsia" w:ascii="Calibri" w:hAnsi="Calibri" w:eastAsia="Times New Roman" w:cs="Calibri"/>
                <w:i/>
                <w:color w:val="auto"/>
                <w:sz w:val="24"/>
              </w:rPr>
              <w:t xml:space="preserve">T </w:t>
            </w:r>
            <w:r>
              <w:rPr>
                <w:rFonts w:hint="eastAsia" w:ascii="宋体" w:hAnsi="宋体" w:cs="Calibri"/>
                <w:color w:val="auto"/>
                <w:sz w:val="24"/>
              </w:rPr>
              <w:t>时间内</w:t>
            </w:r>
            <w:r>
              <w:rPr>
                <w:rFonts w:hint="eastAsia" w:ascii="Calibri" w:hAnsi="Calibri" w:eastAsia="Times New Roman" w:cs="Calibri"/>
                <w:i/>
                <w:color w:val="auto"/>
                <w:sz w:val="24"/>
              </w:rPr>
              <w:t xml:space="preserve">j </w:t>
            </w:r>
            <w:r>
              <w:rPr>
                <w:rFonts w:hint="eastAsia" w:ascii="宋体" w:hAnsi="宋体" w:cs="Calibri"/>
                <w:color w:val="auto"/>
                <w:sz w:val="24"/>
              </w:rPr>
              <w:t>声源工作时间，</w:t>
            </w:r>
            <w:r>
              <w:rPr>
                <w:rFonts w:hint="eastAsia" w:ascii="Calibri" w:hAnsi="Calibri" w:eastAsia="Times New Roman" w:cs="Calibri"/>
                <w:color w:val="auto"/>
                <w:sz w:val="24"/>
              </w:rPr>
              <w:t>s</w:t>
            </w:r>
            <w:r>
              <w:rPr>
                <w:rFonts w:hint="eastAsia" w:ascii="宋体" w:hAnsi="宋体" w:cs="Calibri"/>
                <w:color w:val="auto"/>
                <w:sz w:val="24"/>
              </w:rPr>
              <w:t>。</w:t>
            </w:r>
          </w:p>
          <w:p>
            <w:pPr>
              <w:spacing w:line="360" w:lineRule="auto"/>
              <w:ind w:firstLine="482" w:firstLineChars="200"/>
              <w:rPr>
                <w:rFonts w:ascii="Calibri" w:hAnsi="Calibri" w:cs="Calibri"/>
                <w:b/>
                <w:bCs/>
                <w:color w:val="auto"/>
                <w:sz w:val="24"/>
              </w:rPr>
            </w:pPr>
            <w:r>
              <w:rPr>
                <w:rFonts w:hint="eastAsia" w:ascii="Calibri" w:hAnsi="Calibri" w:cs="Calibri"/>
                <w:b/>
                <w:bCs/>
                <w:color w:val="auto"/>
                <w:sz w:val="24"/>
              </w:rPr>
              <w:t>（3）</w:t>
            </w:r>
            <w:r>
              <w:rPr>
                <w:rFonts w:ascii="Calibri" w:hAnsi="Calibri" w:cs="Calibri"/>
                <w:b/>
                <w:bCs/>
                <w:color w:val="auto"/>
                <w:sz w:val="24"/>
              </w:rPr>
              <w:t>预测结果</w:t>
            </w:r>
          </w:p>
          <w:p>
            <w:pPr>
              <w:spacing w:line="360" w:lineRule="auto"/>
              <w:ind w:firstLine="480" w:firstLineChars="200"/>
              <w:rPr>
                <w:rFonts w:ascii="Calibri" w:hAnsi="Calibri" w:cs="Calibri"/>
                <w:color w:val="auto"/>
                <w:sz w:val="24"/>
              </w:rPr>
            </w:pPr>
            <w:r>
              <w:rPr>
                <w:rFonts w:ascii="Calibri" w:hAnsi="Calibri" w:cs="Calibri"/>
                <w:color w:val="auto"/>
                <w:sz w:val="24"/>
              </w:rPr>
              <w:t>本项目主要噪声源见表</w:t>
            </w:r>
            <w:r>
              <w:rPr>
                <w:rFonts w:hint="eastAsia" w:ascii="Calibri" w:hAnsi="Calibri" w:cs="Calibri"/>
                <w:color w:val="auto"/>
                <w:sz w:val="24"/>
              </w:rPr>
              <w:t>4-29，表4-30</w:t>
            </w:r>
            <w:r>
              <w:rPr>
                <w:rFonts w:ascii="Calibri" w:hAnsi="Calibri" w:cs="Calibri"/>
                <w:color w:val="auto"/>
                <w:sz w:val="24"/>
              </w:rPr>
              <w:t>，建成后对厂界噪声影响值见表</w:t>
            </w:r>
            <w:r>
              <w:rPr>
                <w:rFonts w:hint="eastAsia" w:ascii="Calibri" w:hAnsi="Calibri" w:cs="Calibri"/>
                <w:color w:val="auto"/>
                <w:sz w:val="24"/>
              </w:rPr>
              <w:t>4-32</w:t>
            </w:r>
            <w:r>
              <w:rPr>
                <w:rFonts w:ascii="Calibri" w:hAnsi="Calibri" w:cs="Calibri"/>
                <w:color w:val="auto"/>
                <w:sz w:val="24"/>
              </w:rPr>
              <w:t>。</w:t>
            </w:r>
          </w:p>
          <w:p>
            <w:pPr>
              <w:pStyle w:val="23"/>
              <w:jc w:val="center"/>
              <w:outlineLvl w:val="0"/>
              <w:rPr>
                <w:rFonts w:ascii="Times New Roman" w:hAnsi="Times New Roman" w:cs="Calibri"/>
                <w:snapToGrid w:val="0"/>
                <w:color w:val="auto"/>
                <w:sz w:val="30"/>
                <w:szCs w:val="30"/>
              </w:rPr>
            </w:pPr>
          </w:p>
          <w:p>
            <w:pPr>
              <w:pStyle w:val="23"/>
              <w:jc w:val="center"/>
              <w:outlineLvl w:val="0"/>
              <w:rPr>
                <w:rFonts w:ascii="Times New Roman" w:hAnsi="Times New Roman" w:cs="Calibri"/>
                <w:snapToGrid w:val="0"/>
                <w:color w:val="auto"/>
                <w:sz w:val="30"/>
                <w:szCs w:val="30"/>
              </w:rPr>
            </w:pPr>
          </w:p>
          <w:p>
            <w:pPr>
              <w:pStyle w:val="23"/>
              <w:jc w:val="center"/>
              <w:outlineLvl w:val="0"/>
              <w:rPr>
                <w:rFonts w:ascii="Times New Roman" w:hAnsi="Times New Roman" w:cs="Calibri"/>
                <w:snapToGrid w:val="0"/>
                <w:color w:val="auto"/>
                <w:sz w:val="30"/>
                <w:szCs w:val="30"/>
              </w:rPr>
            </w:pPr>
          </w:p>
          <w:p>
            <w:pPr>
              <w:pStyle w:val="23"/>
              <w:jc w:val="center"/>
              <w:outlineLvl w:val="0"/>
              <w:rPr>
                <w:rFonts w:ascii="Times New Roman" w:hAnsi="Times New Roman" w:cs="Calibri"/>
                <w:snapToGrid w:val="0"/>
                <w:color w:val="auto"/>
                <w:sz w:val="30"/>
                <w:szCs w:val="30"/>
              </w:rPr>
            </w:pPr>
          </w:p>
          <w:p>
            <w:pPr>
              <w:pStyle w:val="23"/>
              <w:jc w:val="center"/>
              <w:outlineLvl w:val="0"/>
              <w:rPr>
                <w:rFonts w:ascii="Times New Roman" w:hAnsi="Times New Roman" w:cs="Calibri"/>
                <w:snapToGrid w:val="0"/>
                <w:color w:val="auto"/>
                <w:sz w:val="30"/>
                <w:szCs w:val="30"/>
              </w:rPr>
            </w:pPr>
          </w:p>
          <w:p>
            <w:pPr>
              <w:pStyle w:val="23"/>
              <w:jc w:val="center"/>
              <w:outlineLvl w:val="0"/>
              <w:rPr>
                <w:rFonts w:ascii="Times New Roman" w:hAnsi="Times New Roman" w:cs="Calibri"/>
                <w:snapToGrid w:val="0"/>
                <w:color w:val="auto"/>
                <w:sz w:val="30"/>
                <w:szCs w:val="30"/>
              </w:rPr>
            </w:pPr>
          </w:p>
          <w:p>
            <w:pPr>
              <w:pStyle w:val="23"/>
              <w:jc w:val="both"/>
              <w:outlineLvl w:val="0"/>
              <w:rPr>
                <w:rFonts w:ascii="Times New Roman" w:hAnsi="Times New Roman" w:cs="Calibri"/>
                <w:snapToGrid w:val="0"/>
                <w:color w:val="auto"/>
                <w:sz w:val="30"/>
                <w:szCs w:val="30"/>
              </w:rPr>
            </w:pPr>
          </w:p>
        </w:tc>
      </w:tr>
    </w:tbl>
    <w:p>
      <w:pPr>
        <w:pStyle w:val="23"/>
        <w:jc w:val="center"/>
        <w:outlineLvl w:val="0"/>
        <w:rPr>
          <w:rFonts w:ascii="Times New Roman" w:hAnsi="Times New Roman"/>
          <w:snapToGrid w:val="0"/>
          <w:color w:val="auto"/>
          <w:sz w:val="30"/>
          <w:szCs w:val="30"/>
        </w:rPr>
        <w:sectPr>
          <w:pgSz w:w="11906" w:h="16838"/>
          <w:pgMar w:top="1440" w:right="1797" w:bottom="1440" w:left="1797" w:header="851" w:footer="992" w:gutter="0"/>
          <w:pgBorders>
            <w:top w:val="none" w:sz="0" w:space="0"/>
            <w:left w:val="none" w:sz="0" w:space="0"/>
            <w:bottom w:val="none" w:sz="0" w:space="0"/>
            <w:right w:val="none" w:sz="0" w:space="0"/>
          </w:pgBorders>
          <w:cols w:space="0" w:num="1"/>
          <w:docGrid w:type="lines" w:linePitch="319"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3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8" w:hRule="atLeast"/>
        </w:trPr>
        <w:tc>
          <w:tcPr>
            <w:tcW w:w="677" w:type="dxa"/>
          </w:tcPr>
          <w:p>
            <w:pPr>
              <w:adjustRightInd w:val="0"/>
              <w:snapToGrid w:val="0"/>
              <w:jc w:val="center"/>
              <w:rPr>
                <w:rFonts w:ascii="Calibri" w:hAnsi="Calibri" w:cs="Calibri"/>
                <w:bCs/>
                <w:color w:val="auto"/>
                <w:sz w:val="24"/>
              </w:rPr>
            </w:pPr>
            <w:r>
              <w:rPr>
                <w:rFonts w:ascii="Calibri" w:hAnsi="Calibri" w:cs="Calibri"/>
                <w:bCs/>
                <w:color w:val="auto"/>
                <w:sz w:val="24"/>
              </w:rPr>
              <w:t>运营</w:t>
            </w:r>
          </w:p>
          <w:p>
            <w:pPr>
              <w:adjustRightInd w:val="0"/>
              <w:snapToGrid w:val="0"/>
              <w:jc w:val="center"/>
              <w:rPr>
                <w:rFonts w:ascii="Calibri" w:hAnsi="Calibri" w:cs="Calibri"/>
                <w:bCs/>
                <w:color w:val="auto"/>
                <w:sz w:val="24"/>
              </w:rPr>
            </w:pPr>
            <w:r>
              <w:rPr>
                <w:rFonts w:ascii="Calibri" w:hAnsi="Calibri" w:cs="Calibri"/>
                <w:bCs/>
                <w:color w:val="auto"/>
                <w:sz w:val="24"/>
              </w:rPr>
              <w:t>期环</w:t>
            </w:r>
          </w:p>
          <w:p>
            <w:pPr>
              <w:adjustRightInd w:val="0"/>
              <w:snapToGrid w:val="0"/>
              <w:jc w:val="center"/>
              <w:rPr>
                <w:rFonts w:ascii="Calibri" w:hAnsi="Calibri" w:cs="Calibri"/>
                <w:bCs/>
                <w:color w:val="auto"/>
                <w:sz w:val="24"/>
              </w:rPr>
            </w:pPr>
            <w:r>
              <w:rPr>
                <w:rFonts w:ascii="Calibri" w:hAnsi="Calibri" w:cs="Calibri"/>
                <w:bCs/>
                <w:color w:val="auto"/>
                <w:sz w:val="24"/>
              </w:rPr>
              <w:t>境影</w:t>
            </w:r>
          </w:p>
          <w:p>
            <w:pPr>
              <w:adjustRightInd w:val="0"/>
              <w:snapToGrid w:val="0"/>
              <w:jc w:val="center"/>
              <w:rPr>
                <w:rFonts w:ascii="Calibri" w:hAnsi="Calibri" w:cs="Calibri"/>
                <w:snapToGrid w:val="0"/>
                <w:color w:val="auto"/>
                <w:sz w:val="30"/>
                <w:szCs w:val="30"/>
              </w:rPr>
            </w:pPr>
            <w:r>
              <w:rPr>
                <w:rFonts w:ascii="Calibri" w:hAnsi="Calibri" w:cs="Calibri"/>
                <w:bCs/>
                <w:color w:val="auto"/>
                <w:sz w:val="24"/>
              </w:rPr>
              <w:t>响和保护措施</w:t>
            </w:r>
          </w:p>
        </w:tc>
        <w:tc>
          <w:tcPr>
            <w:tcW w:w="13271" w:type="dxa"/>
          </w:tcPr>
          <w:p>
            <w:pPr>
              <w:pStyle w:val="6"/>
              <w:numPr>
                <w:ilvl w:val="0"/>
                <w:numId w:val="16"/>
              </w:numPr>
              <w:adjustRightInd w:val="0"/>
              <w:snapToGrid w:val="0"/>
              <w:ind w:firstLineChars="0"/>
              <w:jc w:val="center"/>
              <w:rPr>
                <w:rFonts w:ascii="Calibri" w:hAnsi="Calibri" w:cs="Calibri"/>
                <w:b/>
                <w:bCs/>
                <w:color w:val="auto"/>
                <w:sz w:val="24"/>
              </w:rPr>
            </w:pPr>
            <w:r>
              <w:rPr>
                <w:rFonts w:ascii="Calibri" w:hAnsi="Calibri" w:cs="Calibri"/>
                <w:b/>
                <w:bCs/>
                <w:color w:val="auto"/>
                <w:sz w:val="24"/>
              </w:rPr>
              <w:t>厂界噪声影响值预测     单位：dB（A）</w:t>
            </w:r>
          </w:p>
          <w:tbl>
            <w:tblPr>
              <w:tblStyle w:val="26"/>
              <w:tblW w:w="1299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23"/>
              <w:gridCol w:w="1368"/>
              <w:gridCol w:w="1263"/>
              <w:gridCol w:w="1563"/>
              <w:gridCol w:w="1561"/>
              <w:gridCol w:w="1263"/>
              <w:gridCol w:w="1265"/>
              <w:gridCol w:w="1263"/>
              <w:gridCol w:w="1265"/>
              <w:gridCol w:w="126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84" w:hRule="atLeast"/>
                <w:jc w:val="center"/>
              </w:trPr>
              <w:tc>
                <w:tcPr>
                  <w:tcW w:w="923" w:type="dxa"/>
                  <w:vMerge w:val="restart"/>
                  <w:tcBorders>
                    <w:tl2br w:val="nil"/>
                    <w:tr2bl w:val="nil"/>
                  </w:tcBorders>
                  <w:shd w:val="clear" w:color="auto" w:fill="auto"/>
                  <w:vAlign w:val="center"/>
                </w:tcPr>
                <w:p>
                  <w:pPr>
                    <w:widowControl/>
                    <w:jc w:val="center"/>
                    <w:textAlignment w:val="center"/>
                    <w:rPr>
                      <w:rFonts w:ascii="宋体" w:hAnsi="宋体" w:cs="宋体"/>
                      <w:b/>
                      <w:bCs/>
                      <w:color w:val="auto"/>
                      <w:szCs w:val="21"/>
                    </w:rPr>
                  </w:pPr>
                  <w:r>
                    <w:rPr>
                      <w:rFonts w:hint="eastAsia" w:ascii="宋体" w:hAnsi="宋体" w:cs="宋体"/>
                      <w:b/>
                      <w:bCs/>
                      <w:color w:val="auto"/>
                      <w:kern w:val="0"/>
                      <w:szCs w:val="21"/>
                      <w:lang w:bidi="ar"/>
                    </w:rPr>
                    <w:t>序号</w:t>
                  </w:r>
                </w:p>
              </w:tc>
              <w:tc>
                <w:tcPr>
                  <w:tcW w:w="1368" w:type="dxa"/>
                  <w:vMerge w:val="restart"/>
                  <w:tcBorders>
                    <w:tl2br w:val="nil"/>
                    <w:tr2bl w:val="nil"/>
                  </w:tcBorders>
                  <w:shd w:val="clear" w:color="auto" w:fill="auto"/>
                  <w:vAlign w:val="center"/>
                </w:tcPr>
                <w:p>
                  <w:pPr>
                    <w:widowControl/>
                    <w:jc w:val="center"/>
                    <w:textAlignment w:val="center"/>
                    <w:rPr>
                      <w:rFonts w:ascii="宋体" w:hAnsi="宋体" w:cs="宋体"/>
                      <w:b/>
                      <w:bCs/>
                      <w:color w:val="auto"/>
                      <w:szCs w:val="21"/>
                    </w:rPr>
                  </w:pPr>
                  <w:r>
                    <w:rPr>
                      <w:rFonts w:hint="eastAsia" w:ascii="宋体" w:hAnsi="宋体" w:cs="宋体"/>
                      <w:b/>
                      <w:bCs/>
                      <w:color w:val="auto"/>
                      <w:kern w:val="0"/>
                      <w:szCs w:val="21"/>
                      <w:lang w:bidi="ar"/>
                    </w:rPr>
                    <w:t>预测点位置</w:t>
                  </w:r>
                </w:p>
              </w:tc>
              <w:tc>
                <w:tcPr>
                  <w:tcW w:w="2826" w:type="dxa"/>
                  <w:gridSpan w:val="2"/>
                  <w:tcBorders>
                    <w:tl2br w:val="nil"/>
                    <w:tr2bl w:val="nil"/>
                  </w:tcBorders>
                  <w:shd w:val="clear" w:color="auto" w:fill="auto"/>
                  <w:vAlign w:val="center"/>
                </w:tcPr>
                <w:p>
                  <w:pPr>
                    <w:widowControl/>
                    <w:jc w:val="center"/>
                    <w:textAlignment w:val="center"/>
                    <w:rPr>
                      <w:rFonts w:ascii="宋体" w:hAnsi="宋体" w:cs="宋体"/>
                      <w:b/>
                      <w:bCs/>
                      <w:color w:val="auto"/>
                      <w:kern w:val="0"/>
                      <w:szCs w:val="21"/>
                      <w:lang w:bidi="ar"/>
                    </w:rPr>
                  </w:pPr>
                  <w:r>
                    <w:rPr>
                      <w:rFonts w:hint="eastAsia" w:ascii="宋体" w:hAnsi="宋体" w:cs="宋体"/>
                      <w:b/>
                      <w:bCs/>
                      <w:color w:val="auto"/>
                      <w:kern w:val="0"/>
                      <w:szCs w:val="21"/>
                      <w:lang w:bidi="ar"/>
                    </w:rPr>
                    <w:t>噪声背景值</w:t>
                  </w:r>
                  <w:r>
                    <w:rPr>
                      <w:b/>
                      <w:bCs/>
                      <w:color w:val="auto"/>
                      <w:kern w:val="0"/>
                      <w:szCs w:val="21"/>
                      <w:lang w:bidi="ar"/>
                    </w:rPr>
                    <w:t>dB(A)*</w:t>
                  </w:r>
                </w:p>
              </w:tc>
              <w:tc>
                <w:tcPr>
                  <w:tcW w:w="1561" w:type="dxa"/>
                  <w:vMerge w:val="restart"/>
                  <w:tcBorders>
                    <w:tl2br w:val="nil"/>
                    <w:tr2bl w:val="nil"/>
                  </w:tcBorders>
                  <w:shd w:val="clear" w:color="auto" w:fill="auto"/>
                  <w:vAlign w:val="center"/>
                </w:tcPr>
                <w:p>
                  <w:pPr>
                    <w:widowControl/>
                    <w:jc w:val="center"/>
                    <w:textAlignment w:val="center"/>
                    <w:rPr>
                      <w:rFonts w:ascii="宋体" w:hAnsi="宋体" w:cs="宋体"/>
                      <w:b/>
                      <w:bCs/>
                      <w:color w:val="auto"/>
                      <w:szCs w:val="21"/>
                    </w:rPr>
                  </w:pPr>
                  <w:r>
                    <w:rPr>
                      <w:rFonts w:hint="eastAsia" w:ascii="宋体" w:hAnsi="宋体" w:cs="宋体"/>
                      <w:b/>
                      <w:bCs/>
                      <w:color w:val="auto"/>
                      <w:kern w:val="0"/>
                      <w:szCs w:val="21"/>
                      <w:lang w:bidi="ar"/>
                    </w:rPr>
                    <w:t>噪声贡献值</w:t>
                  </w:r>
                  <w:r>
                    <w:rPr>
                      <w:b/>
                      <w:bCs/>
                      <w:color w:val="auto"/>
                      <w:kern w:val="0"/>
                      <w:szCs w:val="21"/>
                      <w:lang w:bidi="ar"/>
                    </w:rPr>
                    <w:t>dB(A)</w:t>
                  </w:r>
                </w:p>
              </w:tc>
              <w:tc>
                <w:tcPr>
                  <w:tcW w:w="2528" w:type="dxa"/>
                  <w:gridSpan w:val="2"/>
                  <w:tcBorders>
                    <w:tl2br w:val="nil"/>
                    <w:tr2bl w:val="nil"/>
                  </w:tcBorders>
                  <w:shd w:val="clear" w:color="auto" w:fill="auto"/>
                  <w:vAlign w:val="center"/>
                </w:tcPr>
                <w:p>
                  <w:pPr>
                    <w:widowControl/>
                    <w:jc w:val="center"/>
                    <w:textAlignment w:val="center"/>
                    <w:rPr>
                      <w:rFonts w:ascii="宋体" w:hAnsi="宋体" w:cs="宋体"/>
                      <w:b/>
                      <w:bCs/>
                      <w:color w:val="auto"/>
                      <w:kern w:val="0"/>
                      <w:szCs w:val="21"/>
                      <w:lang w:bidi="ar"/>
                    </w:rPr>
                  </w:pPr>
                  <w:r>
                    <w:rPr>
                      <w:rFonts w:hint="eastAsia" w:ascii="宋体" w:hAnsi="宋体" w:cs="宋体"/>
                      <w:b/>
                      <w:bCs/>
                      <w:color w:val="auto"/>
                      <w:kern w:val="0"/>
                      <w:szCs w:val="21"/>
                      <w:lang w:bidi="ar"/>
                    </w:rPr>
                    <w:t>噪声预测值</w:t>
                  </w:r>
                  <w:r>
                    <w:rPr>
                      <w:b/>
                      <w:bCs/>
                      <w:color w:val="auto"/>
                      <w:kern w:val="0"/>
                      <w:szCs w:val="21"/>
                      <w:lang w:bidi="ar"/>
                    </w:rPr>
                    <w:t>dB(A)</w:t>
                  </w:r>
                </w:p>
              </w:tc>
              <w:tc>
                <w:tcPr>
                  <w:tcW w:w="2528" w:type="dxa"/>
                  <w:gridSpan w:val="2"/>
                  <w:tcBorders>
                    <w:tl2br w:val="nil"/>
                    <w:tr2bl w:val="nil"/>
                  </w:tcBorders>
                  <w:shd w:val="clear" w:color="auto" w:fill="auto"/>
                  <w:vAlign w:val="center"/>
                </w:tcPr>
                <w:p>
                  <w:pPr>
                    <w:widowControl/>
                    <w:jc w:val="center"/>
                    <w:textAlignment w:val="center"/>
                    <w:rPr>
                      <w:rFonts w:ascii="宋体" w:hAnsi="宋体" w:cs="宋体"/>
                      <w:b/>
                      <w:bCs/>
                      <w:color w:val="auto"/>
                      <w:kern w:val="0"/>
                      <w:szCs w:val="21"/>
                      <w:lang w:bidi="ar"/>
                    </w:rPr>
                  </w:pPr>
                  <w:r>
                    <w:rPr>
                      <w:rFonts w:hint="eastAsia" w:ascii="宋体" w:hAnsi="宋体" w:cs="宋体"/>
                      <w:b/>
                      <w:bCs/>
                      <w:color w:val="auto"/>
                      <w:kern w:val="0"/>
                      <w:szCs w:val="21"/>
                      <w:lang w:bidi="ar"/>
                    </w:rPr>
                    <w:t>噪声标准值</w:t>
                  </w:r>
                  <w:r>
                    <w:rPr>
                      <w:b/>
                      <w:bCs/>
                      <w:color w:val="auto"/>
                      <w:kern w:val="0"/>
                      <w:szCs w:val="21"/>
                      <w:lang w:bidi="ar"/>
                    </w:rPr>
                    <w:t>dB(A)</w:t>
                  </w:r>
                </w:p>
              </w:tc>
              <w:tc>
                <w:tcPr>
                  <w:tcW w:w="1263" w:type="dxa"/>
                  <w:vMerge w:val="restart"/>
                  <w:tcBorders>
                    <w:tl2br w:val="nil"/>
                    <w:tr2bl w:val="nil"/>
                  </w:tcBorders>
                  <w:shd w:val="clear" w:color="auto" w:fill="auto"/>
                  <w:vAlign w:val="center"/>
                </w:tcPr>
                <w:p>
                  <w:pPr>
                    <w:widowControl/>
                    <w:jc w:val="center"/>
                    <w:textAlignment w:val="center"/>
                    <w:rPr>
                      <w:rFonts w:ascii="宋体" w:hAnsi="宋体" w:cs="宋体"/>
                      <w:b/>
                      <w:bCs/>
                      <w:color w:val="auto"/>
                      <w:szCs w:val="21"/>
                    </w:rPr>
                  </w:pPr>
                  <w:r>
                    <w:rPr>
                      <w:rFonts w:hint="eastAsia" w:ascii="宋体" w:hAnsi="宋体" w:cs="宋体"/>
                      <w:b/>
                      <w:bCs/>
                      <w:color w:val="auto"/>
                      <w:kern w:val="0"/>
                      <w:szCs w:val="21"/>
                      <w:lang w:bidi="ar"/>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923" w:type="dxa"/>
                  <w:vMerge w:val="continue"/>
                  <w:tcBorders>
                    <w:tl2br w:val="nil"/>
                    <w:tr2bl w:val="nil"/>
                  </w:tcBorders>
                  <w:shd w:val="clear" w:color="auto" w:fill="auto"/>
                  <w:vAlign w:val="center"/>
                </w:tcPr>
                <w:p>
                  <w:pPr>
                    <w:widowControl/>
                    <w:jc w:val="center"/>
                    <w:textAlignment w:val="center"/>
                    <w:rPr>
                      <w:color w:val="auto"/>
                      <w:kern w:val="0"/>
                      <w:szCs w:val="21"/>
                      <w:lang w:bidi="ar"/>
                    </w:rPr>
                  </w:pPr>
                </w:p>
              </w:tc>
              <w:tc>
                <w:tcPr>
                  <w:tcW w:w="1368" w:type="dxa"/>
                  <w:vMerge w:val="continue"/>
                  <w:tcBorders>
                    <w:tl2br w:val="nil"/>
                    <w:tr2bl w:val="nil"/>
                  </w:tcBorders>
                  <w:shd w:val="clear" w:color="auto" w:fill="auto"/>
                  <w:vAlign w:val="center"/>
                </w:tcPr>
                <w:p>
                  <w:pPr>
                    <w:widowControl/>
                    <w:jc w:val="center"/>
                    <w:textAlignment w:val="center"/>
                    <w:rPr>
                      <w:rFonts w:ascii="宋体" w:hAnsi="宋体" w:cs="宋体"/>
                      <w:color w:val="auto"/>
                      <w:kern w:val="0"/>
                      <w:szCs w:val="21"/>
                      <w:lang w:bidi="ar"/>
                    </w:rPr>
                  </w:pPr>
                </w:p>
              </w:tc>
              <w:tc>
                <w:tcPr>
                  <w:tcW w:w="1263" w:type="dxa"/>
                  <w:tcBorders>
                    <w:tl2br w:val="nil"/>
                    <w:tr2bl w:val="nil"/>
                  </w:tcBorders>
                  <w:shd w:val="clear" w:color="auto" w:fill="auto"/>
                  <w:vAlign w:val="center"/>
                </w:tcPr>
                <w:p>
                  <w:pPr>
                    <w:widowControl/>
                    <w:jc w:val="center"/>
                    <w:textAlignment w:val="center"/>
                    <w:rPr>
                      <w:color w:val="auto"/>
                      <w:kern w:val="0"/>
                      <w:szCs w:val="21"/>
                      <w:lang w:bidi="ar"/>
                    </w:rPr>
                  </w:pPr>
                  <w:r>
                    <w:rPr>
                      <w:rFonts w:hint="eastAsia"/>
                      <w:color w:val="auto"/>
                      <w:kern w:val="0"/>
                      <w:szCs w:val="21"/>
                      <w:lang w:bidi="ar"/>
                    </w:rPr>
                    <w:t>昼间</w:t>
                  </w:r>
                </w:p>
              </w:tc>
              <w:tc>
                <w:tcPr>
                  <w:tcW w:w="1563" w:type="dxa"/>
                  <w:tcBorders>
                    <w:tl2br w:val="nil"/>
                    <w:tr2bl w:val="nil"/>
                  </w:tcBorders>
                  <w:shd w:val="clear" w:color="auto" w:fill="auto"/>
                  <w:vAlign w:val="center"/>
                </w:tcPr>
                <w:p>
                  <w:pPr>
                    <w:widowControl/>
                    <w:jc w:val="center"/>
                    <w:textAlignment w:val="center"/>
                    <w:rPr>
                      <w:color w:val="auto"/>
                      <w:kern w:val="0"/>
                      <w:szCs w:val="21"/>
                      <w:lang w:bidi="ar"/>
                    </w:rPr>
                  </w:pPr>
                  <w:r>
                    <w:rPr>
                      <w:rFonts w:hint="eastAsia"/>
                      <w:color w:val="auto"/>
                      <w:kern w:val="0"/>
                      <w:szCs w:val="21"/>
                      <w:lang w:bidi="ar"/>
                    </w:rPr>
                    <w:t>夜间</w:t>
                  </w:r>
                </w:p>
              </w:tc>
              <w:tc>
                <w:tcPr>
                  <w:tcW w:w="1561" w:type="dxa"/>
                  <w:vMerge w:val="continue"/>
                  <w:tcBorders>
                    <w:tl2br w:val="nil"/>
                    <w:tr2bl w:val="nil"/>
                  </w:tcBorders>
                  <w:shd w:val="clear" w:color="auto" w:fill="auto"/>
                  <w:vAlign w:val="center"/>
                </w:tcPr>
                <w:p>
                  <w:pPr>
                    <w:widowControl/>
                    <w:jc w:val="center"/>
                    <w:textAlignment w:val="center"/>
                    <w:rPr>
                      <w:color w:val="auto"/>
                      <w:kern w:val="0"/>
                      <w:szCs w:val="21"/>
                      <w:lang w:bidi="ar"/>
                    </w:rPr>
                  </w:pPr>
                </w:p>
              </w:tc>
              <w:tc>
                <w:tcPr>
                  <w:tcW w:w="1263" w:type="dxa"/>
                  <w:tcBorders>
                    <w:tl2br w:val="nil"/>
                    <w:tr2bl w:val="nil"/>
                  </w:tcBorders>
                  <w:shd w:val="clear" w:color="auto" w:fill="auto"/>
                  <w:vAlign w:val="center"/>
                </w:tcPr>
                <w:p>
                  <w:pPr>
                    <w:widowControl/>
                    <w:jc w:val="center"/>
                    <w:textAlignment w:val="center"/>
                    <w:rPr>
                      <w:color w:val="auto"/>
                      <w:kern w:val="0"/>
                      <w:szCs w:val="21"/>
                      <w:lang w:bidi="ar"/>
                    </w:rPr>
                  </w:pPr>
                  <w:r>
                    <w:rPr>
                      <w:rFonts w:hint="eastAsia"/>
                      <w:color w:val="auto"/>
                      <w:kern w:val="0"/>
                      <w:szCs w:val="21"/>
                      <w:lang w:bidi="ar"/>
                    </w:rPr>
                    <w:t>昼间</w:t>
                  </w:r>
                </w:p>
              </w:tc>
              <w:tc>
                <w:tcPr>
                  <w:tcW w:w="1265" w:type="dxa"/>
                  <w:tcBorders>
                    <w:tl2br w:val="nil"/>
                    <w:tr2bl w:val="nil"/>
                  </w:tcBorders>
                  <w:shd w:val="clear" w:color="auto" w:fill="auto"/>
                  <w:vAlign w:val="center"/>
                </w:tcPr>
                <w:p>
                  <w:pPr>
                    <w:widowControl/>
                    <w:jc w:val="center"/>
                    <w:textAlignment w:val="center"/>
                    <w:rPr>
                      <w:color w:val="auto"/>
                      <w:kern w:val="0"/>
                      <w:szCs w:val="21"/>
                      <w:lang w:bidi="ar"/>
                    </w:rPr>
                  </w:pPr>
                  <w:r>
                    <w:rPr>
                      <w:rFonts w:hint="eastAsia"/>
                      <w:color w:val="auto"/>
                      <w:kern w:val="0"/>
                      <w:szCs w:val="21"/>
                      <w:lang w:bidi="ar"/>
                    </w:rPr>
                    <w:t>夜间</w:t>
                  </w:r>
                </w:p>
              </w:tc>
              <w:tc>
                <w:tcPr>
                  <w:tcW w:w="1263" w:type="dxa"/>
                  <w:tcBorders>
                    <w:tl2br w:val="nil"/>
                    <w:tr2bl w:val="nil"/>
                  </w:tcBorders>
                  <w:shd w:val="clear" w:color="auto" w:fill="auto"/>
                  <w:vAlign w:val="center"/>
                </w:tcPr>
                <w:p>
                  <w:pPr>
                    <w:widowControl/>
                    <w:jc w:val="center"/>
                    <w:textAlignment w:val="center"/>
                    <w:rPr>
                      <w:color w:val="auto"/>
                      <w:kern w:val="0"/>
                      <w:szCs w:val="21"/>
                      <w:lang w:bidi="ar"/>
                    </w:rPr>
                  </w:pPr>
                  <w:r>
                    <w:rPr>
                      <w:rFonts w:hint="eastAsia"/>
                      <w:color w:val="auto"/>
                      <w:kern w:val="0"/>
                      <w:szCs w:val="21"/>
                      <w:lang w:bidi="ar"/>
                    </w:rPr>
                    <w:t>昼间</w:t>
                  </w:r>
                </w:p>
              </w:tc>
              <w:tc>
                <w:tcPr>
                  <w:tcW w:w="1265" w:type="dxa"/>
                  <w:tcBorders>
                    <w:tl2br w:val="nil"/>
                    <w:tr2bl w:val="nil"/>
                  </w:tcBorders>
                  <w:shd w:val="clear" w:color="auto" w:fill="auto"/>
                  <w:vAlign w:val="center"/>
                </w:tcPr>
                <w:p>
                  <w:pPr>
                    <w:widowControl/>
                    <w:jc w:val="center"/>
                    <w:textAlignment w:val="center"/>
                    <w:rPr>
                      <w:color w:val="auto"/>
                      <w:kern w:val="0"/>
                      <w:szCs w:val="21"/>
                      <w:lang w:bidi="ar"/>
                    </w:rPr>
                  </w:pPr>
                  <w:r>
                    <w:rPr>
                      <w:rFonts w:hint="eastAsia"/>
                      <w:color w:val="auto"/>
                      <w:kern w:val="0"/>
                      <w:szCs w:val="21"/>
                      <w:lang w:bidi="ar"/>
                    </w:rPr>
                    <w:t>夜间</w:t>
                  </w:r>
                </w:p>
              </w:tc>
              <w:tc>
                <w:tcPr>
                  <w:tcW w:w="1263" w:type="dxa"/>
                  <w:vMerge w:val="continue"/>
                  <w:tcBorders>
                    <w:tl2br w:val="nil"/>
                    <w:tr2bl w:val="nil"/>
                  </w:tcBorders>
                  <w:shd w:val="clear" w:color="auto" w:fill="auto"/>
                  <w:vAlign w:val="center"/>
                </w:tcPr>
                <w:p>
                  <w:pPr>
                    <w:widowControl/>
                    <w:jc w:val="center"/>
                    <w:textAlignment w:val="center"/>
                    <w:rPr>
                      <w:rFonts w:ascii="宋体" w:hAnsi="宋体" w:cs="宋体"/>
                      <w:color w:val="auto"/>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923"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1</w:t>
                  </w:r>
                </w:p>
              </w:tc>
              <w:tc>
                <w:tcPr>
                  <w:tcW w:w="1368" w:type="dxa"/>
                  <w:tcBorders>
                    <w:tl2br w:val="nil"/>
                    <w:tr2bl w:val="nil"/>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东厂界</w:t>
                  </w:r>
                </w:p>
              </w:tc>
              <w:tc>
                <w:tcPr>
                  <w:tcW w:w="1263"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52.4</w:t>
                  </w:r>
                </w:p>
              </w:tc>
              <w:tc>
                <w:tcPr>
                  <w:tcW w:w="1563" w:type="dxa"/>
                  <w:tcBorders>
                    <w:tl2br w:val="nil"/>
                    <w:tr2bl w:val="nil"/>
                  </w:tcBorders>
                  <w:shd w:val="clear" w:color="auto" w:fill="auto"/>
                  <w:vAlign w:val="center"/>
                </w:tcPr>
                <w:p>
                  <w:pPr>
                    <w:widowControl/>
                    <w:jc w:val="center"/>
                    <w:textAlignment w:val="center"/>
                    <w:rPr>
                      <w:color w:val="auto"/>
                      <w:kern w:val="0"/>
                      <w:szCs w:val="21"/>
                      <w:lang w:bidi="ar"/>
                    </w:rPr>
                  </w:pPr>
                  <w:r>
                    <w:rPr>
                      <w:color w:val="auto"/>
                      <w:kern w:val="0"/>
                      <w:szCs w:val="21"/>
                      <w:lang w:bidi="ar"/>
                    </w:rPr>
                    <w:t>48.1</w:t>
                  </w:r>
                </w:p>
              </w:tc>
              <w:tc>
                <w:tcPr>
                  <w:tcW w:w="1561" w:type="dxa"/>
                  <w:tcBorders>
                    <w:tl2br w:val="nil"/>
                    <w:tr2bl w:val="nil"/>
                  </w:tcBorders>
                  <w:shd w:val="clear" w:color="auto" w:fill="auto"/>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45.1 </w:t>
                  </w:r>
                </w:p>
              </w:tc>
              <w:tc>
                <w:tcPr>
                  <w:tcW w:w="1263" w:type="dxa"/>
                  <w:tcBorders>
                    <w:tl2br w:val="nil"/>
                    <w:tr2bl w:val="nil"/>
                  </w:tcBorders>
                  <w:shd w:val="clear" w:color="auto" w:fill="auto"/>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53.1 </w:t>
                  </w:r>
                </w:p>
              </w:tc>
              <w:tc>
                <w:tcPr>
                  <w:tcW w:w="1265" w:type="dxa"/>
                  <w:tcBorders>
                    <w:tl2br w:val="nil"/>
                    <w:tr2bl w:val="nil"/>
                  </w:tcBorders>
                  <w:shd w:val="clear" w:color="auto" w:fill="auto"/>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49.</w:t>
                  </w:r>
                  <w:r>
                    <w:rPr>
                      <w:rFonts w:hint="eastAsia" w:cs="Times New Roman"/>
                      <w:i w:val="0"/>
                      <w:iCs w:val="0"/>
                      <w:color w:val="auto"/>
                      <w:kern w:val="0"/>
                      <w:sz w:val="21"/>
                      <w:szCs w:val="21"/>
                      <w:u w:val="none"/>
                      <w:lang w:val="en-US" w:eastAsia="zh-CN" w:bidi="ar"/>
                    </w:rPr>
                    <w:t>9</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263"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65</w:t>
                  </w:r>
                </w:p>
              </w:tc>
              <w:tc>
                <w:tcPr>
                  <w:tcW w:w="1265" w:type="dxa"/>
                  <w:tcBorders>
                    <w:tl2br w:val="nil"/>
                    <w:tr2bl w:val="nil"/>
                  </w:tcBorders>
                  <w:shd w:val="clear" w:color="auto" w:fill="auto"/>
                  <w:vAlign w:val="center"/>
                </w:tcPr>
                <w:p>
                  <w:pPr>
                    <w:widowControl/>
                    <w:jc w:val="center"/>
                    <w:textAlignment w:val="center"/>
                    <w:rPr>
                      <w:rFonts w:ascii="宋体" w:hAnsi="宋体" w:cs="宋体"/>
                      <w:color w:val="auto"/>
                      <w:kern w:val="0"/>
                      <w:szCs w:val="21"/>
                      <w:lang w:bidi="ar"/>
                    </w:rPr>
                  </w:pPr>
                  <w:r>
                    <w:rPr>
                      <w:rFonts w:hint="eastAsia" w:ascii="宋体" w:hAnsi="宋体" w:cs="宋体"/>
                      <w:color w:val="auto"/>
                      <w:kern w:val="0"/>
                      <w:szCs w:val="21"/>
                      <w:lang w:bidi="ar"/>
                    </w:rPr>
                    <w:t>55</w:t>
                  </w:r>
                </w:p>
              </w:tc>
              <w:tc>
                <w:tcPr>
                  <w:tcW w:w="1263" w:type="dxa"/>
                  <w:tcBorders>
                    <w:tl2br w:val="nil"/>
                    <w:tr2bl w:val="nil"/>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923"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2</w:t>
                  </w:r>
                </w:p>
              </w:tc>
              <w:tc>
                <w:tcPr>
                  <w:tcW w:w="1368" w:type="dxa"/>
                  <w:tcBorders>
                    <w:tl2br w:val="nil"/>
                    <w:tr2bl w:val="nil"/>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南厂界</w:t>
                  </w:r>
                </w:p>
              </w:tc>
              <w:tc>
                <w:tcPr>
                  <w:tcW w:w="1263"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52.9</w:t>
                  </w:r>
                </w:p>
              </w:tc>
              <w:tc>
                <w:tcPr>
                  <w:tcW w:w="1563" w:type="dxa"/>
                  <w:tcBorders>
                    <w:tl2br w:val="nil"/>
                    <w:tr2bl w:val="nil"/>
                  </w:tcBorders>
                  <w:shd w:val="clear" w:color="auto" w:fill="auto"/>
                  <w:vAlign w:val="center"/>
                </w:tcPr>
                <w:p>
                  <w:pPr>
                    <w:widowControl/>
                    <w:jc w:val="center"/>
                    <w:textAlignment w:val="center"/>
                    <w:rPr>
                      <w:color w:val="auto"/>
                      <w:kern w:val="0"/>
                      <w:szCs w:val="21"/>
                      <w:lang w:bidi="ar"/>
                    </w:rPr>
                  </w:pPr>
                  <w:r>
                    <w:rPr>
                      <w:color w:val="auto"/>
                      <w:kern w:val="0"/>
                      <w:szCs w:val="21"/>
                      <w:lang w:bidi="ar"/>
                    </w:rPr>
                    <w:t>48.2</w:t>
                  </w:r>
                </w:p>
              </w:tc>
              <w:tc>
                <w:tcPr>
                  <w:tcW w:w="1561" w:type="dxa"/>
                  <w:tcBorders>
                    <w:tl2br w:val="nil"/>
                    <w:tr2bl w:val="nil"/>
                  </w:tcBorders>
                  <w:shd w:val="clear" w:color="auto" w:fill="auto"/>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46.</w:t>
                  </w: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263" w:type="dxa"/>
                  <w:tcBorders>
                    <w:tl2br w:val="nil"/>
                    <w:tr2bl w:val="nil"/>
                  </w:tcBorders>
                  <w:shd w:val="clear" w:color="auto" w:fill="auto"/>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53.</w:t>
                  </w:r>
                  <w:r>
                    <w:rPr>
                      <w:rFonts w:hint="eastAsia" w:cs="Times New Roman"/>
                      <w:i w:val="0"/>
                      <w:iCs w:val="0"/>
                      <w:color w:val="auto"/>
                      <w:kern w:val="0"/>
                      <w:sz w:val="21"/>
                      <w:szCs w:val="21"/>
                      <w:u w:val="none"/>
                      <w:lang w:val="en-US" w:eastAsia="zh-CN" w:bidi="ar"/>
                    </w:rPr>
                    <w:t>7</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265" w:type="dxa"/>
                  <w:tcBorders>
                    <w:tl2br w:val="nil"/>
                    <w:tr2bl w:val="nil"/>
                  </w:tcBorders>
                  <w:shd w:val="clear" w:color="auto" w:fill="auto"/>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50.</w:t>
                  </w:r>
                  <w:r>
                    <w:rPr>
                      <w:rFonts w:hint="eastAsia"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263"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65</w:t>
                  </w:r>
                </w:p>
              </w:tc>
              <w:tc>
                <w:tcPr>
                  <w:tcW w:w="1265" w:type="dxa"/>
                  <w:tcBorders>
                    <w:tl2br w:val="nil"/>
                    <w:tr2bl w:val="nil"/>
                  </w:tcBorders>
                  <w:shd w:val="clear" w:color="auto" w:fill="auto"/>
                  <w:vAlign w:val="center"/>
                </w:tcPr>
                <w:p>
                  <w:pPr>
                    <w:widowControl/>
                    <w:jc w:val="center"/>
                    <w:textAlignment w:val="center"/>
                    <w:rPr>
                      <w:rFonts w:ascii="宋体" w:hAnsi="宋体" w:cs="宋体"/>
                      <w:color w:val="auto"/>
                      <w:kern w:val="0"/>
                      <w:szCs w:val="21"/>
                      <w:lang w:bidi="ar"/>
                    </w:rPr>
                  </w:pPr>
                  <w:r>
                    <w:rPr>
                      <w:rFonts w:hint="eastAsia" w:ascii="宋体" w:hAnsi="宋体" w:cs="宋体"/>
                      <w:color w:val="auto"/>
                      <w:kern w:val="0"/>
                      <w:szCs w:val="21"/>
                      <w:lang w:bidi="ar"/>
                    </w:rPr>
                    <w:t>55</w:t>
                  </w:r>
                </w:p>
              </w:tc>
              <w:tc>
                <w:tcPr>
                  <w:tcW w:w="1263" w:type="dxa"/>
                  <w:tcBorders>
                    <w:tl2br w:val="nil"/>
                    <w:tr2bl w:val="nil"/>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8" w:hRule="atLeast"/>
                <w:jc w:val="center"/>
              </w:trPr>
              <w:tc>
                <w:tcPr>
                  <w:tcW w:w="923"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3</w:t>
                  </w:r>
                </w:p>
              </w:tc>
              <w:tc>
                <w:tcPr>
                  <w:tcW w:w="1368" w:type="dxa"/>
                  <w:tcBorders>
                    <w:tl2br w:val="nil"/>
                    <w:tr2bl w:val="nil"/>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西厂界</w:t>
                  </w:r>
                </w:p>
              </w:tc>
              <w:tc>
                <w:tcPr>
                  <w:tcW w:w="1263"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52.6</w:t>
                  </w:r>
                </w:p>
              </w:tc>
              <w:tc>
                <w:tcPr>
                  <w:tcW w:w="1563" w:type="dxa"/>
                  <w:tcBorders>
                    <w:tl2br w:val="nil"/>
                    <w:tr2bl w:val="nil"/>
                  </w:tcBorders>
                  <w:shd w:val="clear" w:color="auto" w:fill="auto"/>
                  <w:vAlign w:val="center"/>
                </w:tcPr>
                <w:p>
                  <w:pPr>
                    <w:widowControl/>
                    <w:jc w:val="center"/>
                    <w:textAlignment w:val="center"/>
                    <w:rPr>
                      <w:color w:val="auto"/>
                      <w:kern w:val="0"/>
                      <w:szCs w:val="21"/>
                      <w:lang w:bidi="ar"/>
                    </w:rPr>
                  </w:pPr>
                  <w:r>
                    <w:rPr>
                      <w:color w:val="auto"/>
                      <w:kern w:val="0"/>
                      <w:szCs w:val="21"/>
                      <w:lang w:bidi="ar"/>
                    </w:rPr>
                    <w:t>46.5</w:t>
                  </w:r>
                </w:p>
              </w:tc>
              <w:tc>
                <w:tcPr>
                  <w:tcW w:w="1561" w:type="dxa"/>
                  <w:tcBorders>
                    <w:tl2br w:val="nil"/>
                    <w:tr2bl w:val="nil"/>
                  </w:tcBorders>
                  <w:shd w:val="clear" w:color="auto" w:fill="auto"/>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54.</w:t>
                  </w:r>
                  <w:r>
                    <w:rPr>
                      <w:rFonts w:hint="eastAsia"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263" w:type="dxa"/>
                  <w:tcBorders>
                    <w:tl2br w:val="nil"/>
                    <w:tr2bl w:val="nil"/>
                  </w:tcBorders>
                  <w:shd w:val="clear" w:color="auto" w:fill="auto"/>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56.</w:t>
                  </w:r>
                  <w:r>
                    <w:rPr>
                      <w:rFonts w:hint="eastAsia" w:cs="Times New Roman"/>
                      <w:i w:val="0"/>
                      <w:iCs w:val="0"/>
                      <w:color w:val="auto"/>
                      <w:kern w:val="0"/>
                      <w:sz w:val="21"/>
                      <w:szCs w:val="21"/>
                      <w:u w:val="none"/>
                      <w:lang w:val="en-US" w:eastAsia="zh-CN" w:bidi="ar"/>
                    </w:rPr>
                    <w:t>4</w:t>
                  </w:r>
                </w:p>
              </w:tc>
              <w:tc>
                <w:tcPr>
                  <w:tcW w:w="1265" w:type="dxa"/>
                  <w:tcBorders>
                    <w:tl2br w:val="nil"/>
                    <w:tr2bl w:val="nil"/>
                  </w:tcBorders>
                  <w:shd w:val="clear" w:color="auto" w:fill="auto"/>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54.</w:t>
                  </w:r>
                  <w:r>
                    <w:rPr>
                      <w:rFonts w:hint="eastAsia" w:cs="Times New Roman"/>
                      <w:i w:val="0"/>
                      <w:iCs w:val="0"/>
                      <w:color w:val="auto"/>
                      <w:kern w:val="0"/>
                      <w:sz w:val="21"/>
                      <w:szCs w:val="21"/>
                      <w:u w:val="none"/>
                      <w:lang w:val="en-US" w:eastAsia="zh-CN" w:bidi="ar"/>
                    </w:rPr>
                    <w:t>8</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263"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65</w:t>
                  </w:r>
                </w:p>
              </w:tc>
              <w:tc>
                <w:tcPr>
                  <w:tcW w:w="1265" w:type="dxa"/>
                  <w:tcBorders>
                    <w:tl2br w:val="nil"/>
                    <w:tr2bl w:val="nil"/>
                  </w:tcBorders>
                  <w:shd w:val="clear" w:color="auto" w:fill="auto"/>
                  <w:vAlign w:val="center"/>
                </w:tcPr>
                <w:p>
                  <w:pPr>
                    <w:widowControl/>
                    <w:jc w:val="center"/>
                    <w:textAlignment w:val="center"/>
                    <w:rPr>
                      <w:rFonts w:ascii="宋体" w:hAnsi="宋体" w:cs="宋体"/>
                      <w:color w:val="auto"/>
                      <w:kern w:val="0"/>
                      <w:szCs w:val="21"/>
                      <w:lang w:bidi="ar"/>
                    </w:rPr>
                  </w:pPr>
                  <w:r>
                    <w:rPr>
                      <w:rFonts w:hint="eastAsia" w:ascii="宋体" w:hAnsi="宋体" w:cs="宋体"/>
                      <w:color w:val="auto"/>
                      <w:kern w:val="0"/>
                      <w:szCs w:val="21"/>
                      <w:lang w:bidi="ar"/>
                    </w:rPr>
                    <w:t>55</w:t>
                  </w:r>
                </w:p>
              </w:tc>
              <w:tc>
                <w:tcPr>
                  <w:tcW w:w="1263" w:type="dxa"/>
                  <w:tcBorders>
                    <w:tl2br w:val="nil"/>
                    <w:tr2bl w:val="nil"/>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923"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4</w:t>
                  </w:r>
                </w:p>
              </w:tc>
              <w:tc>
                <w:tcPr>
                  <w:tcW w:w="1368" w:type="dxa"/>
                  <w:tcBorders>
                    <w:tl2br w:val="nil"/>
                    <w:tr2bl w:val="nil"/>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北厂界</w:t>
                  </w:r>
                </w:p>
              </w:tc>
              <w:tc>
                <w:tcPr>
                  <w:tcW w:w="1263"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52.5</w:t>
                  </w:r>
                </w:p>
              </w:tc>
              <w:tc>
                <w:tcPr>
                  <w:tcW w:w="1563" w:type="dxa"/>
                  <w:tcBorders>
                    <w:tl2br w:val="nil"/>
                    <w:tr2bl w:val="nil"/>
                  </w:tcBorders>
                  <w:shd w:val="clear" w:color="auto" w:fill="auto"/>
                  <w:vAlign w:val="center"/>
                </w:tcPr>
                <w:p>
                  <w:pPr>
                    <w:widowControl/>
                    <w:jc w:val="center"/>
                    <w:textAlignment w:val="center"/>
                    <w:rPr>
                      <w:color w:val="auto"/>
                      <w:kern w:val="0"/>
                      <w:szCs w:val="21"/>
                      <w:lang w:bidi="ar"/>
                    </w:rPr>
                  </w:pPr>
                  <w:r>
                    <w:rPr>
                      <w:color w:val="auto"/>
                      <w:kern w:val="0"/>
                      <w:szCs w:val="21"/>
                      <w:lang w:bidi="ar"/>
                    </w:rPr>
                    <w:t>48</w:t>
                  </w:r>
                </w:p>
              </w:tc>
              <w:tc>
                <w:tcPr>
                  <w:tcW w:w="1561" w:type="dxa"/>
                  <w:tcBorders>
                    <w:tl2br w:val="nil"/>
                    <w:tr2bl w:val="nil"/>
                  </w:tcBorders>
                  <w:shd w:val="clear" w:color="auto" w:fill="auto"/>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45.3 </w:t>
                  </w:r>
                </w:p>
              </w:tc>
              <w:tc>
                <w:tcPr>
                  <w:tcW w:w="1263" w:type="dxa"/>
                  <w:tcBorders>
                    <w:tl2br w:val="nil"/>
                    <w:tr2bl w:val="nil"/>
                  </w:tcBorders>
                  <w:shd w:val="clear" w:color="auto" w:fill="auto"/>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53.3 </w:t>
                  </w:r>
                </w:p>
              </w:tc>
              <w:tc>
                <w:tcPr>
                  <w:tcW w:w="1265" w:type="dxa"/>
                  <w:tcBorders>
                    <w:tl2br w:val="nil"/>
                    <w:tr2bl w:val="nil"/>
                  </w:tcBorders>
                  <w:shd w:val="clear" w:color="auto" w:fill="auto"/>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49.9 </w:t>
                  </w:r>
                </w:p>
              </w:tc>
              <w:tc>
                <w:tcPr>
                  <w:tcW w:w="1263" w:type="dxa"/>
                  <w:tcBorders>
                    <w:tl2br w:val="nil"/>
                    <w:tr2bl w:val="nil"/>
                  </w:tcBorders>
                  <w:shd w:val="clear" w:color="auto" w:fill="auto"/>
                  <w:vAlign w:val="center"/>
                </w:tcPr>
                <w:p>
                  <w:pPr>
                    <w:widowControl/>
                    <w:jc w:val="center"/>
                    <w:textAlignment w:val="center"/>
                    <w:rPr>
                      <w:color w:val="auto"/>
                      <w:szCs w:val="21"/>
                    </w:rPr>
                  </w:pPr>
                  <w:r>
                    <w:rPr>
                      <w:color w:val="auto"/>
                      <w:kern w:val="0"/>
                      <w:szCs w:val="21"/>
                      <w:lang w:bidi="ar"/>
                    </w:rPr>
                    <w:t>65</w:t>
                  </w:r>
                </w:p>
              </w:tc>
              <w:tc>
                <w:tcPr>
                  <w:tcW w:w="1265" w:type="dxa"/>
                  <w:tcBorders>
                    <w:tl2br w:val="nil"/>
                    <w:tr2bl w:val="nil"/>
                  </w:tcBorders>
                  <w:shd w:val="clear" w:color="auto" w:fill="auto"/>
                  <w:vAlign w:val="center"/>
                </w:tcPr>
                <w:p>
                  <w:pPr>
                    <w:widowControl/>
                    <w:jc w:val="center"/>
                    <w:textAlignment w:val="center"/>
                    <w:rPr>
                      <w:rFonts w:ascii="宋体" w:hAnsi="宋体" w:cs="宋体"/>
                      <w:color w:val="auto"/>
                      <w:kern w:val="0"/>
                      <w:szCs w:val="21"/>
                      <w:lang w:bidi="ar"/>
                    </w:rPr>
                  </w:pPr>
                  <w:r>
                    <w:rPr>
                      <w:rFonts w:hint="eastAsia" w:ascii="宋体" w:hAnsi="宋体" w:cs="宋体"/>
                      <w:color w:val="auto"/>
                      <w:kern w:val="0"/>
                      <w:szCs w:val="21"/>
                      <w:lang w:bidi="ar"/>
                    </w:rPr>
                    <w:t>55</w:t>
                  </w:r>
                </w:p>
              </w:tc>
              <w:tc>
                <w:tcPr>
                  <w:tcW w:w="1263" w:type="dxa"/>
                  <w:tcBorders>
                    <w:tl2br w:val="nil"/>
                    <w:tr2bl w:val="nil"/>
                  </w:tcBorders>
                  <w:shd w:val="clear" w:color="auto" w:fill="auto"/>
                  <w:vAlign w:val="center"/>
                </w:tcPr>
                <w:p>
                  <w:pPr>
                    <w:widowControl/>
                    <w:jc w:val="center"/>
                    <w:textAlignment w:val="center"/>
                    <w:rPr>
                      <w:rFonts w:ascii="宋体" w:hAnsi="宋体" w:cs="宋体"/>
                      <w:color w:val="auto"/>
                      <w:szCs w:val="21"/>
                    </w:rPr>
                  </w:pPr>
                  <w:r>
                    <w:rPr>
                      <w:rFonts w:hint="eastAsia" w:ascii="宋体" w:hAnsi="宋体" w:cs="宋体"/>
                      <w:color w:val="auto"/>
                      <w:kern w:val="0"/>
                      <w:szCs w:val="21"/>
                      <w:lang w:bidi="ar"/>
                    </w:rPr>
                    <w:t>达标</w:t>
                  </w:r>
                </w:p>
              </w:tc>
            </w:tr>
          </w:tbl>
          <w:p>
            <w:pPr>
              <w:pStyle w:val="10"/>
              <w:rPr>
                <w:rFonts w:hint="eastAsia" w:eastAsia="宋体"/>
                <w:color w:val="auto"/>
                <w:sz w:val="21"/>
                <w:szCs w:val="21"/>
                <w:lang w:eastAsia="zh-CN"/>
              </w:rPr>
            </w:pPr>
            <w:r>
              <w:rPr>
                <w:rFonts w:hint="eastAsia" w:ascii="Calibri" w:hAnsi="Calibri" w:cs="Calibri"/>
                <w:b/>
                <w:bCs/>
                <w:color w:val="auto"/>
                <w:sz w:val="21"/>
                <w:szCs w:val="21"/>
                <w:lang w:val="en-US" w:eastAsia="zh-CN"/>
              </w:rPr>
              <w:t>注：*</w:t>
            </w:r>
            <w:r>
              <w:rPr>
                <w:color w:val="auto"/>
                <w:sz w:val="21"/>
                <w:szCs w:val="21"/>
              </w:rPr>
              <w:commentReference w:id="34"/>
            </w:r>
            <w:r>
              <w:rPr>
                <w:rFonts w:hint="eastAsia"/>
                <w:color w:val="auto"/>
                <w:sz w:val="21"/>
                <w:szCs w:val="21"/>
                <w:lang w:eastAsia="zh-CN"/>
              </w:rPr>
              <w:t>数据来源为</w:t>
            </w:r>
            <w:r>
              <w:rPr>
                <w:color w:val="auto"/>
                <w:sz w:val="21"/>
                <w:szCs w:val="21"/>
              </w:rPr>
              <w:t>江苏迈斯特环境检测有限公司提供的监测报告（MST20221213030）</w:t>
            </w:r>
            <w:r>
              <w:rPr>
                <w:rFonts w:hint="eastAsia"/>
                <w:color w:val="auto"/>
                <w:sz w:val="21"/>
                <w:szCs w:val="21"/>
                <w:lang w:eastAsia="zh-CN"/>
              </w:rPr>
              <w:t>。</w:t>
            </w:r>
          </w:p>
          <w:p>
            <w:pPr>
              <w:pStyle w:val="6"/>
              <w:numPr>
                <w:ilvl w:val="0"/>
                <w:numId w:val="16"/>
              </w:numPr>
              <w:adjustRightInd w:val="0"/>
              <w:snapToGrid w:val="0"/>
              <w:ind w:firstLineChars="0"/>
              <w:jc w:val="center"/>
              <w:rPr>
                <w:rFonts w:ascii="Calibri" w:hAnsi="Calibri" w:cs="Calibri"/>
                <w:b/>
                <w:bCs/>
                <w:color w:val="auto"/>
                <w:sz w:val="24"/>
              </w:rPr>
            </w:pPr>
            <w:r>
              <w:rPr>
                <w:rFonts w:hint="eastAsia" w:ascii="Calibri" w:hAnsi="Calibri" w:cs="Calibri"/>
                <w:b/>
                <w:bCs/>
                <w:color w:val="auto"/>
                <w:sz w:val="24"/>
              </w:rPr>
              <w:t>工业企业声环境保护目标</w:t>
            </w:r>
            <w:r>
              <w:rPr>
                <w:rFonts w:ascii="Calibri" w:hAnsi="Calibri" w:cs="Calibri"/>
                <w:b/>
                <w:bCs/>
                <w:color w:val="auto"/>
                <w:sz w:val="24"/>
              </w:rPr>
              <w:t>噪声</w:t>
            </w:r>
            <w:r>
              <w:rPr>
                <w:rFonts w:hint="eastAsia" w:ascii="Calibri" w:hAnsi="Calibri" w:cs="Calibri"/>
                <w:b/>
                <w:bCs/>
                <w:color w:val="auto"/>
                <w:sz w:val="24"/>
              </w:rPr>
              <w:t>预测结果与达标分析表</w:t>
            </w:r>
            <w:r>
              <w:rPr>
                <w:rFonts w:ascii="Calibri" w:hAnsi="Calibri" w:cs="Calibri"/>
                <w:b/>
                <w:bCs/>
                <w:color w:val="auto"/>
                <w:sz w:val="24"/>
              </w:rPr>
              <w:t xml:space="preserve">     单位：dB（A）</w:t>
            </w:r>
          </w:p>
          <w:tbl>
            <w:tblPr>
              <w:tblStyle w:val="27"/>
              <w:tblW w:w="130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195"/>
              <w:gridCol w:w="818"/>
              <w:gridCol w:w="816"/>
              <w:gridCol w:w="818"/>
              <w:gridCol w:w="816"/>
              <w:gridCol w:w="818"/>
              <w:gridCol w:w="817"/>
              <w:gridCol w:w="818"/>
              <w:gridCol w:w="817"/>
              <w:gridCol w:w="818"/>
              <w:gridCol w:w="818"/>
              <w:gridCol w:w="818"/>
              <w:gridCol w:w="818"/>
              <w:gridCol w:w="818"/>
              <w:gridCol w:w="8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392" w:type="dxa"/>
                  <w:vMerge w:val="restart"/>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序号</w:t>
                  </w:r>
                </w:p>
              </w:tc>
              <w:tc>
                <w:tcPr>
                  <w:tcW w:w="1195" w:type="dxa"/>
                  <w:vMerge w:val="restart"/>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声环境保护目标名称</w:t>
                  </w:r>
                </w:p>
              </w:tc>
              <w:tc>
                <w:tcPr>
                  <w:tcW w:w="1634" w:type="dxa"/>
                  <w:gridSpan w:val="2"/>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噪声背景值/</w:t>
                  </w:r>
                  <w:r>
                    <w:rPr>
                      <w:rFonts w:ascii="Times New Roman" w:hAnsi="Times New Roman" w:cs="Calibri"/>
                      <w:b/>
                      <w:bCs/>
                      <w:color w:val="auto"/>
                      <w:sz w:val="21"/>
                      <w:szCs w:val="21"/>
                    </w:rPr>
                    <w:t>dB（A）</w:t>
                  </w:r>
                </w:p>
              </w:tc>
              <w:tc>
                <w:tcPr>
                  <w:tcW w:w="1634" w:type="dxa"/>
                  <w:gridSpan w:val="2"/>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噪声现状值/</w:t>
                  </w:r>
                  <w:r>
                    <w:rPr>
                      <w:rFonts w:ascii="Times New Roman" w:hAnsi="Times New Roman" w:cs="Calibri"/>
                      <w:b/>
                      <w:bCs/>
                      <w:color w:val="auto"/>
                      <w:sz w:val="21"/>
                      <w:szCs w:val="21"/>
                    </w:rPr>
                    <w:t>dB（A）</w:t>
                  </w:r>
                </w:p>
              </w:tc>
              <w:tc>
                <w:tcPr>
                  <w:tcW w:w="1635" w:type="dxa"/>
                  <w:gridSpan w:val="2"/>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噪声标准/</w:t>
                  </w:r>
                  <w:r>
                    <w:rPr>
                      <w:rFonts w:ascii="Times New Roman" w:hAnsi="Times New Roman" w:cs="Calibri"/>
                      <w:b/>
                      <w:bCs/>
                      <w:color w:val="auto"/>
                      <w:sz w:val="21"/>
                      <w:szCs w:val="21"/>
                    </w:rPr>
                    <w:t>dB（A）</w:t>
                  </w:r>
                </w:p>
              </w:tc>
              <w:tc>
                <w:tcPr>
                  <w:tcW w:w="1635" w:type="dxa"/>
                  <w:gridSpan w:val="2"/>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噪声贡献值/</w:t>
                  </w:r>
                  <w:r>
                    <w:rPr>
                      <w:rFonts w:ascii="Times New Roman" w:hAnsi="Times New Roman" w:cs="Calibri"/>
                      <w:b/>
                      <w:bCs/>
                      <w:color w:val="auto"/>
                      <w:sz w:val="21"/>
                      <w:szCs w:val="21"/>
                    </w:rPr>
                    <w:t>dB（A）</w:t>
                  </w:r>
                </w:p>
              </w:tc>
              <w:tc>
                <w:tcPr>
                  <w:tcW w:w="1636" w:type="dxa"/>
                  <w:gridSpan w:val="2"/>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噪声预测值/</w:t>
                  </w:r>
                  <w:r>
                    <w:rPr>
                      <w:rFonts w:ascii="Times New Roman" w:hAnsi="Times New Roman" w:cs="Calibri"/>
                      <w:b/>
                      <w:bCs/>
                      <w:color w:val="auto"/>
                      <w:sz w:val="21"/>
                      <w:szCs w:val="21"/>
                    </w:rPr>
                    <w:t>dB（A）</w:t>
                  </w:r>
                </w:p>
              </w:tc>
              <w:tc>
                <w:tcPr>
                  <w:tcW w:w="1636" w:type="dxa"/>
                  <w:gridSpan w:val="2"/>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较现状增量/</w:t>
                  </w:r>
                  <w:r>
                    <w:rPr>
                      <w:rFonts w:ascii="Times New Roman" w:hAnsi="Times New Roman" w:cs="Calibri"/>
                      <w:b/>
                      <w:bCs/>
                      <w:color w:val="auto"/>
                      <w:sz w:val="21"/>
                      <w:szCs w:val="21"/>
                    </w:rPr>
                    <w:t>dB（A）</w:t>
                  </w:r>
                </w:p>
              </w:tc>
              <w:tc>
                <w:tcPr>
                  <w:tcW w:w="1636" w:type="dxa"/>
                  <w:gridSpan w:val="2"/>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超标和达标情况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92" w:type="dxa"/>
                  <w:vMerge w:val="continue"/>
                  <w:tcBorders>
                    <w:tl2br w:val="nil"/>
                    <w:tr2bl w:val="nil"/>
                  </w:tcBorders>
                  <w:vAlign w:val="center"/>
                </w:tcPr>
                <w:p>
                  <w:pPr>
                    <w:pStyle w:val="23"/>
                    <w:jc w:val="center"/>
                    <w:outlineLvl w:val="0"/>
                    <w:rPr>
                      <w:rFonts w:ascii="Times New Roman" w:hAnsi="Times New Roman" w:cs="Calibri"/>
                      <w:color w:val="auto"/>
                      <w:sz w:val="21"/>
                      <w:szCs w:val="21"/>
                    </w:rPr>
                  </w:pPr>
                </w:p>
              </w:tc>
              <w:tc>
                <w:tcPr>
                  <w:tcW w:w="1195" w:type="dxa"/>
                  <w:vMerge w:val="continue"/>
                  <w:tcBorders>
                    <w:tl2br w:val="nil"/>
                    <w:tr2bl w:val="nil"/>
                  </w:tcBorders>
                  <w:vAlign w:val="center"/>
                </w:tcPr>
                <w:p>
                  <w:pPr>
                    <w:pStyle w:val="23"/>
                    <w:jc w:val="center"/>
                    <w:outlineLvl w:val="0"/>
                    <w:rPr>
                      <w:rFonts w:ascii="Times New Roman" w:hAnsi="Times New Roman" w:cs="Calibri"/>
                      <w:color w:val="auto"/>
                      <w:sz w:val="21"/>
                      <w:szCs w:val="21"/>
                    </w:rPr>
                  </w:pPr>
                </w:p>
              </w:tc>
              <w:tc>
                <w:tcPr>
                  <w:tcW w:w="818"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昼间</w:t>
                  </w:r>
                </w:p>
              </w:tc>
              <w:tc>
                <w:tcPr>
                  <w:tcW w:w="816"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夜间</w:t>
                  </w:r>
                </w:p>
              </w:tc>
              <w:tc>
                <w:tcPr>
                  <w:tcW w:w="818"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昼间</w:t>
                  </w:r>
                </w:p>
              </w:tc>
              <w:tc>
                <w:tcPr>
                  <w:tcW w:w="816"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夜间</w:t>
                  </w:r>
                </w:p>
              </w:tc>
              <w:tc>
                <w:tcPr>
                  <w:tcW w:w="818"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昼间</w:t>
                  </w:r>
                </w:p>
              </w:tc>
              <w:tc>
                <w:tcPr>
                  <w:tcW w:w="817"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夜间</w:t>
                  </w:r>
                </w:p>
              </w:tc>
              <w:tc>
                <w:tcPr>
                  <w:tcW w:w="818"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昼间</w:t>
                  </w:r>
                </w:p>
              </w:tc>
              <w:tc>
                <w:tcPr>
                  <w:tcW w:w="817"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夜间</w:t>
                  </w:r>
                </w:p>
              </w:tc>
              <w:tc>
                <w:tcPr>
                  <w:tcW w:w="818"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昼间</w:t>
                  </w:r>
                </w:p>
              </w:tc>
              <w:tc>
                <w:tcPr>
                  <w:tcW w:w="818"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夜间</w:t>
                  </w:r>
                </w:p>
              </w:tc>
              <w:tc>
                <w:tcPr>
                  <w:tcW w:w="818"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昼间</w:t>
                  </w:r>
                </w:p>
              </w:tc>
              <w:tc>
                <w:tcPr>
                  <w:tcW w:w="818"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夜间</w:t>
                  </w:r>
                </w:p>
              </w:tc>
              <w:tc>
                <w:tcPr>
                  <w:tcW w:w="818"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昼间</w:t>
                  </w:r>
                </w:p>
              </w:tc>
              <w:tc>
                <w:tcPr>
                  <w:tcW w:w="818"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392"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1</w:t>
                  </w:r>
                </w:p>
              </w:tc>
              <w:tc>
                <w:tcPr>
                  <w:tcW w:w="1195"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新风公寓</w:t>
                  </w:r>
                </w:p>
              </w:tc>
              <w:tc>
                <w:tcPr>
                  <w:tcW w:w="818"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45.0</w:t>
                  </w:r>
                </w:p>
              </w:tc>
              <w:tc>
                <w:tcPr>
                  <w:tcW w:w="816"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44.0</w:t>
                  </w:r>
                </w:p>
              </w:tc>
              <w:tc>
                <w:tcPr>
                  <w:tcW w:w="818"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45.0</w:t>
                  </w:r>
                </w:p>
              </w:tc>
              <w:tc>
                <w:tcPr>
                  <w:tcW w:w="816"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44.0</w:t>
                  </w:r>
                </w:p>
              </w:tc>
              <w:tc>
                <w:tcPr>
                  <w:tcW w:w="818"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60</w:t>
                  </w:r>
                </w:p>
              </w:tc>
              <w:tc>
                <w:tcPr>
                  <w:tcW w:w="817" w:type="dxa"/>
                  <w:tcBorders>
                    <w:tl2br w:val="nil"/>
                    <w:tr2bl w:val="nil"/>
                  </w:tcBorders>
                  <w:vAlign w:val="center"/>
                </w:tcPr>
                <w:p>
                  <w:pPr>
                    <w:pStyle w:val="23"/>
                    <w:jc w:val="center"/>
                    <w:outlineLvl w:val="0"/>
                    <w:rPr>
                      <w:rFonts w:ascii="Times New Roman" w:hAnsi="Times New Roman" w:cs="Calibri"/>
                      <w:color w:val="auto"/>
                      <w:sz w:val="21"/>
                      <w:szCs w:val="21"/>
                    </w:rPr>
                  </w:pPr>
                  <w:r>
                    <w:rPr>
                      <w:rFonts w:ascii="Times New Roman" w:hAnsi="Times New Roman" w:cs="Calibri"/>
                      <w:color w:val="auto"/>
                      <w:sz w:val="21"/>
                      <w:szCs w:val="21"/>
                    </w:rPr>
                    <w:t>50</w:t>
                  </w:r>
                </w:p>
              </w:tc>
              <w:tc>
                <w:tcPr>
                  <w:tcW w:w="818" w:type="dxa"/>
                  <w:tcBorders>
                    <w:tl2br w:val="nil"/>
                    <w:tr2bl w:val="nil"/>
                  </w:tcBorders>
                  <w:vAlign w:val="center"/>
                </w:tcPr>
                <w:p>
                  <w:pPr>
                    <w:pStyle w:val="23"/>
                    <w:jc w:val="center"/>
                    <w:outlineLvl w:val="0"/>
                    <w:rPr>
                      <w:rFonts w:hint="default" w:ascii="Times New Roman" w:hAnsi="Times New Roman" w:eastAsia="宋体" w:cs="Calibri"/>
                      <w:color w:val="auto"/>
                      <w:sz w:val="21"/>
                      <w:szCs w:val="21"/>
                      <w:lang w:val="en-US" w:eastAsia="zh-CN"/>
                    </w:rPr>
                  </w:pPr>
                  <w:r>
                    <w:rPr>
                      <w:rFonts w:hint="eastAsia" w:ascii="Times New Roman" w:hAnsi="Times New Roman" w:cs="Calibri"/>
                      <w:color w:val="auto"/>
                      <w:sz w:val="21"/>
                      <w:szCs w:val="21"/>
                      <w:lang w:val="en-US" w:eastAsia="zh-CN"/>
                    </w:rPr>
                    <w:t>15.9</w:t>
                  </w:r>
                </w:p>
              </w:tc>
              <w:tc>
                <w:tcPr>
                  <w:tcW w:w="817" w:type="dxa"/>
                  <w:tcBorders>
                    <w:tl2br w:val="nil"/>
                    <w:tr2bl w:val="nil"/>
                  </w:tcBorders>
                  <w:vAlign w:val="center"/>
                </w:tcPr>
                <w:p>
                  <w:pPr>
                    <w:pStyle w:val="23"/>
                    <w:jc w:val="center"/>
                    <w:outlineLvl w:val="0"/>
                    <w:rPr>
                      <w:rFonts w:hint="default" w:ascii="Times New Roman" w:hAnsi="Times New Roman" w:eastAsia="宋体" w:cs="Calibri"/>
                      <w:color w:val="auto"/>
                      <w:sz w:val="21"/>
                      <w:szCs w:val="21"/>
                      <w:lang w:val="en-US" w:eastAsia="zh-CN"/>
                    </w:rPr>
                  </w:pPr>
                  <w:r>
                    <w:rPr>
                      <w:rFonts w:hint="eastAsia" w:ascii="Times New Roman" w:hAnsi="Times New Roman" w:cs="Calibri"/>
                      <w:color w:val="auto"/>
                      <w:sz w:val="21"/>
                      <w:szCs w:val="21"/>
                      <w:lang w:val="en-US" w:eastAsia="zh-CN"/>
                    </w:rPr>
                    <w:t>15.9</w:t>
                  </w:r>
                </w:p>
              </w:tc>
              <w:tc>
                <w:tcPr>
                  <w:tcW w:w="818" w:type="dxa"/>
                  <w:tcBorders>
                    <w:tl2br w:val="nil"/>
                    <w:tr2bl w:val="nil"/>
                  </w:tcBorders>
                  <w:vAlign w:val="center"/>
                </w:tcPr>
                <w:p>
                  <w:pPr>
                    <w:pStyle w:val="23"/>
                    <w:jc w:val="center"/>
                    <w:outlineLvl w:val="0"/>
                    <w:rPr>
                      <w:rFonts w:ascii="Times New Roman" w:hAnsi="Times New Roman" w:cs="Calibri"/>
                      <w:color w:val="auto"/>
                      <w:sz w:val="21"/>
                      <w:szCs w:val="21"/>
                    </w:rPr>
                  </w:pPr>
                  <w:r>
                    <w:rPr>
                      <w:rFonts w:hint="eastAsia" w:ascii="Times New Roman" w:hAnsi="Times New Roman" w:cs="Calibri"/>
                      <w:color w:val="auto"/>
                      <w:sz w:val="21"/>
                      <w:szCs w:val="21"/>
                      <w:lang w:val="en-US" w:eastAsia="zh-CN"/>
                    </w:rPr>
                    <w:t>45.01</w:t>
                  </w:r>
                </w:p>
              </w:tc>
              <w:tc>
                <w:tcPr>
                  <w:tcW w:w="818" w:type="dxa"/>
                  <w:tcBorders>
                    <w:tl2br w:val="nil"/>
                    <w:tr2bl w:val="nil"/>
                  </w:tcBorders>
                  <w:vAlign w:val="center"/>
                </w:tcPr>
                <w:p>
                  <w:pPr>
                    <w:pStyle w:val="23"/>
                    <w:jc w:val="center"/>
                    <w:outlineLvl w:val="0"/>
                    <w:rPr>
                      <w:rFonts w:ascii="Times New Roman" w:hAnsi="Times New Roman" w:cs="Calibri"/>
                      <w:color w:val="auto"/>
                      <w:sz w:val="21"/>
                      <w:szCs w:val="21"/>
                    </w:rPr>
                  </w:pPr>
                  <w:r>
                    <w:rPr>
                      <w:rFonts w:hint="eastAsia" w:ascii="Times New Roman" w:hAnsi="Times New Roman" w:cs="Calibri"/>
                      <w:color w:val="auto"/>
                      <w:sz w:val="21"/>
                      <w:szCs w:val="21"/>
                      <w:lang w:val="en-US" w:eastAsia="zh-CN"/>
                    </w:rPr>
                    <w:t>44.01</w:t>
                  </w:r>
                </w:p>
              </w:tc>
              <w:tc>
                <w:tcPr>
                  <w:tcW w:w="818" w:type="dxa"/>
                  <w:tcBorders>
                    <w:tl2br w:val="nil"/>
                    <w:tr2bl w:val="nil"/>
                  </w:tcBorders>
                  <w:vAlign w:val="center"/>
                </w:tcPr>
                <w:p>
                  <w:pPr>
                    <w:pStyle w:val="23"/>
                    <w:jc w:val="center"/>
                    <w:outlineLvl w:val="0"/>
                    <w:rPr>
                      <w:rFonts w:hint="default" w:ascii="Times New Roman" w:hAnsi="Times New Roman" w:eastAsia="宋体" w:cs="Calibri"/>
                      <w:color w:val="auto"/>
                      <w:sz w:val="21"/>
                      <w:szCs w:val="21"/>
                      <w:lang w:val="en-US" w:eastAsia="zh-CN"/>
                    </w:rPr>
                  </w:pPr>
                  <w:r>
                    <w:rPr>
                      <w:rFonts w:hint="eastAsia" w:ascii="Times New Roman" w:hAnsi="Times New Roman" w:cs="Calibri"/>
                      <w:color w:val="auto"/>
                      <w:sz w:val="21"/>
                      <w:szCs w:val="21"/>
                      <w:lang w:val="en-US" w:eastAsia="zh-CN"/>
                    </w:rPr>
                    <w:t>0.01</w:t>
                  </w:r>
                </w:p>
              </w:tc>
              <w:tc>
                <w:tcPr>
                  <w:tcW w:w="818" w:type="dxa"/>
                  <w:tcBorders>
                    <w:tl2br w:val="nil"/>
                    <w:tr2bl w:val="nil"/>
                  </w:tcBorders>
                  <w:vAlign w:val="center"/>
                </w:tcPr>
                <w:p>
                  <w:pPr>
                    <w:pStyle w:val="23"/>
                    <w:jc w:val="center"/>
                    <w:outlineLvl w:val="0"/>
                    <w:rPr>
                      <w:rFonts w:hint="default" w:ascii="Times New Roman" w:hAnsi="Times New Roman" w:eastAsia="宋体" w:cs="Calibri"/>
                      <w:color w:val="auto"/>
                      <w:sz w:val="21"/>
                      <w:szCs w:val="21"/>
                      <w:lang w:val="en-US" w:eastAsia="zh-CN"/>
                    </w:rPr>
                  </w:pPr>
                  <w:r>
                    <w:rPr>
                      <w:rFonts w:hint="eastAsia" w:ascii="Times New Roman" w:hAnsi="Times New Roman" w:cs="Calibri"/>
                      <w:color w:val="auto"/>
                      <w:sz w:val="21"/>
                      <w:szCs w:val="21"/>
                      <w:lang w:val="en-US" w:eastAsia="zh-CN"/>
                    </w:rPr>
                    <w:t>0.01</w:t>
                  </w:r>
                </w:p>
              </w:tc>
              <w:tc>
                <w:tcPr>
                  <w:tcW w:w="818" w:type="dxa"/>
                  <w:tcBorders>
                    <w:tl2br w:val="nil"/>
                    <w:tr2bl w:val="nil"/>
                  </w:tcBorders>
                  <w:vAlign w:val="center"/>
                </w:tcPr>
                <w:p>
                  <w:pPr>
                    <w:pStyle w:val="23"/>
                    <w:jc w:val="center"/>
                    <w:outlineLvl w:val="0"/>
                    <w:rPr>
                      <w:rFonts w:ascii="Times New Roman" w:hAnsi="Times New Roman" w:cs="Calibri"/>
                      <w:color w:val="auto"/>
                      <w:sz w:val="21"/>
                      <w:szCs w:val="21"/>
                    </w:rPr>
                  </w:pPr>
                  <w:r>
                    <w:rPr>
                      <w:rFonts w:hint="eastAsia" w:ascii="Times New Roman" w:hAnsi="Times New Roman" w:cs="Calibri"/>
                      <w:color w:val="auto"/>
                      <w:sz w:val="21"/>
                      <w:szCs w:val="21"/>
                    </w:rPr>
                    <w:t>达标</w:t>
                  </w:r>
                </w:p>
              </w:tc>
              <w:tc>
                <w:tcPr>
                  <w:tcW w:w="818" w:type="dxa"/>
                  <w:tcBorders>
                    <w:tl2br w:val="nil"/>
                    <w:tr2bl w:val="nil"/>
                  </w:tcBorders>
                  <w:vAlign w:val="center"/>
                </w:tcPr>
                <w:p>
                  <w:pPr>
                    <w:pStyle w:val="23"/>
                    <w:jc w:val="center"/>
                    <w:outlineLvl w:val="0"/>
                    <w:rPr>
                      <w:rFonts w:ascii="Times New Roman" w:hAnsi="Times New Roman" w:cs="Calibri"/>
                      <w:color w:val="auto"/>
                      <w:sz w:val="21"/>
                      <w:szCs w:val="21"/>
                    </w:rPr>
                  </w:pPr>
                  <w:r>
                    <w:rPr>
                      <w:rFonts w:hint="eastAsia" w:ascii="Times New Roman" w:hAnsi="Times New Roman" w:cs="Calibri"/>
                      <w:color w:val="auto"/>
                      <w:sz w:val="21"/>
                      <w:szCs w:val="21"/>
                    </w:rPr>
                    <w:t>达标</w:t>
                  </w:r>
                </w:p>
              </w:tc>
            </w:tr>
          </w:tbl>
          <w:p>
            <w:pPr>
              <w:pStyle w:val="23"/>
              <w:jc w:val="both"/>
              <w:outlineLvl w:val="0"/>
              <w:rPr>
                <w:rFonts w:cs="Calibri"/>
                <w:color w:val="auto"/>
              </w:rPr>
            </w:pPr>
          </w:p>
          <w:p>
            <w:pPr>
              <w:pStyle w:val="23"/>
              <w:jc w:val="both"/>
              <w:outlineLvl w:val="0"/>
              <w:rPr>
                <w:rFonts w:cs="Calibri"/>
                <w:color w:val="auto"/>
              </w:rPr>
            </w:pPr>
          </w:p>
          <w:p>
            <w:pPr>
              <w:pStyle w:val="23"/>
              <w:jc w:val="both"/>
              <w:outlineLvl w:val="0"/>
              <w:rPr>
                <w:rFonts w:ascii="Times New Roman" w:hAnsi="Times New Roman" w:cs="Calibri"/>
                <w:snapToGrid w:val="0"/>
                <w:color w:val="auto"/>
                <w:sz w:val="30"/>
                <w:szCs w:val="30"/>
              </w:rPr>
            </w:pPr>
          </w:p>
        </w:tc>
      </w:tr>
    </w:tbl>
    <w:p>
      <w:pPr>
        <w:pStyle w:val="23"/>
        <w:jc w:val="center"/>
        <w:outlineLvl w:val="0"/>
        <w:rPr>
          <w:rFonts w:ascii="Times New Roman" w:hAnsi="Times New Roman"/>
          <w:snapToGrid w:val="0"/>
          <w:color w:val="auto"/>
          <w:sz w:val="30"/>
          <w:szCs w:val="30"/>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0" w:num="1"/>
          <w:docGrid w:type="linesAndChars" w:linePitch="319"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7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dxa"/>
          </w:tcPr>
          <w:p>
            <w:pPr>
              <w:pStyle w:val="23"/>
              <w:jc w:val="center"/>
              <w:outlineLvl w:val="0"/>
              <w:rPr>
                <w:rFonts w:ascii="Times New Roman" w:hAnsi="Times New Roman" w:cs="Calibri"/>
                <w:snapToGrid w:val="0"/>
                <w:color w:val="auto"/>
                <w:sz w:val="30"/>
                <w:szCs w:val="30"/>
              </w:rPr>
            </w:pPr>
          </w:p>
        </w:tc>
        <w:tc>
          <w:tcPr>
            <w:tcW w:w="7746" w:type="dxa"/>
          </w:tcPr>
          <w:p>
            <w:pPr>
              <w:spacing w:line="360" w:lineRule="auto"/>
              <w:ind w:firstLine="480" w:firstLineChars="200"/>
              <w:rPr>
                <w:rFonts w:ascii="Calibri" w:hAnsi="Calibri" w:cs="Calibri"/>
                <w:color w:val="auto"/>
                <w:sz w:val="24"/>
              </w:rPr>
            </w:pPr>
            <w:r>
              <w:rPr>
                <w:rFonts w:hint="default" w:ascii="Times New Roman" w:hAnsi="Times New Roman" w:cs="Times New Roman"/>
                <w:color w:val="auto"/>
                <w:sz w:val="24"/>
              </w:rPr>
              <w:t>根据预测，通过厂房隔声等措施后，噪声源对厂界的预测值能达到《工业企业厂界环境噪声排放标准》（GB12348-2008）中的3类标准：昼间≤65dB（A），夜间≤55dB（A），噪声源对声环境保护目标新风公寓的预测值能达到《工业企业厂界环境噪声排放标准》（GB12348-2008）中的2类标准：昼间≤60dB（A），夜间≤50dB（A）。综上，项目产生的噪声对周围声环境影响较小，噪声防治措施可行。</w:t>
            </w:r>
          </w:p>
          <w:p>
            <w:pPr>
              <w:adjustRightInd w:val="0"/>
              <w:snapToGrid w:val="0"/>
              <w:spacing w:line="360" w:lineRule="auto"/>
              <w:ind w:firstLine="482" w:firstLineChars="200"/>
              <w:rPr>
                <w:rFonts w:ascii="Calibri" w:hAnsi="Calibri" w:cs="Calibri"/>
                <w:b/>
                <w:bCs/>
                <w:color w:val="auto"/>
                <w:sz w:val="24"/>
              </w:rPr>
            </w:pPr>
            <w:r>
              <w:rPr>
                <w:rFonts w:hint="eastAsia" w:ascii="Calibri" w:hAnsi="Calibri" w:cs="Calibri"/>
                <w:b/>
                <w:bCs/>
                <w:color w:val="auto"/>
                <w:sz w:val="24"/>
                <w:lang w:eastAsia="zh-CN"/>
              </w:rPr>
              <w:t>（</w:t>
            </w:r>
            <w:r>
              <w:rPr>
                <w:rFonts w:hint="eastAsia" w:ascii="Calibri" w:hAnsi="Calibri" w:cs="Calibri"/>
                <w:b/>
                <w:bCs/>
                <w:color w:val="auto"/>
                <w:sz w:val="24"/>
                <w:lang w:val="en-US" w:eastAsia="zh-CN"/>
              </w:rPr>
              <w:t>4</w:t>
            </w:r>
            <w:r>
              <w:rPr>
                <w:rFonts w:hint="eastAsia" w:ascii="Calibri" w:hAnsi="Calibri" w:cs="Calibri"/>
                <w:b/>
                <w:bCs/>
                <w:color w:val="auto"/>
                <w:sz w:val="24"/>
                <w:lang w:eastAsia="zh-CN"/>
              </w:rPr>
              <w:t>）</w:t>
            </w:r>
            <w:r>
              <w:rPr>
                <w:rFonts w:ascii="Calibri" w:hAnsi="Calibri" w:cs="Calibri"/>
                <w:b/>
                <w:bCs/>
                <w:color w:val="auto"/>
                <w:sz w:val="24"/>
              </w:rPr>
              <w:t>噪声监测计划</w:t>
            </w:r>
          </w:p>
          <w:p>
            <w:pPr>
              <w:pStyle w:val="64"/>
              <w:ind w:firstLine="480"/>
              <w:rPr>
                <w:rFonts w:hint="default" w:ascii="Times New Roman" w:hAnsi="Times New Roman" w:cs="Times New Roman"/>
                <w:color w:val="auto"/>
                <w:szCs w:val="24"/>
              </w:rPr>
            </w:pPr>
            <w:r>
              <w:rPr>
                <w:rFonts w:hint="default" w:ascii="Times New Roman" w:hAnsi="Times New Roman" w:cs="Times New Roman"/>
                <w:color w:val="auto"/>
                <w:szCs w:val="24"/>
              </w:rPr>
              <w:t>根据《排污单位自行监测技术指南  总则》（HJ819-2017）5.4厂界环境噪声监测，厂界噪声最低监测频次为季度，本项目建成后有夜间生产，则厂界噪声监测频次为一季度开展一次，昼夜间均需监测。</w:t>
            </w:r>
          </w:p>
          <w:p>
            <w:pPr>
              <w:pStyle w:val="6"/>
              <w:numPr>
                <w:ilvl w:val="0"/>
                <w:numId w:val="16"/>
              </w:numPr>
              <w:adjustRightInd w:val="0"/>
              <w:snapToGrid w:val="0"/>
              <w:ind w:firstLineChars="0"/>
              <w:jc w:val="center"/>
              <w:rPr>
                <w:rFonts w:ascii="Calibri" w:hAnsi="Calibri" w:cs="Calibri"/>
                <w:b/>
                <w:bCs/>
                <w:color w:val="auto"/>
                <w:sz w:val="24"/>
              </w:rPr>
            </w:pPr>
            <w:r>
              <w:rPr>
                <w:rFonts w:ascii="Calibri" w:hAnsi="Calibri" w:cs="Calibri"/>
                <w:b/>
                <w:bCs/>
                <w:color w:val="auto"/>
                <w:sz w:val="24"/>
              </w:rPr>
              <w:t>噪声监测计划</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910"/>
              <w:gridCol w:w="1221"/>
              <w:gridCol w:w="1227"/>
              <w:gridCol w:w="1170"/>
              <w:gridCol w:w="2999"/>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604" w:type="pct"/>
                  <w:vAlign w:val="center"/>
                </w:tcPr>
                <w:p>
                  <w:pPr>
                    <w:adjustRightInd w:val="0"/>
                    <w:snapToGrid w:val="0"/>
                    <w:jc w:val="center"/>
                    <w:rPr>
                      <w:b/>
                      <w:bCs/>
                      <w:color w:val="auto"/>
                      <w:szCs w:val="21"/>
                    </w:rPr>
                  </w:pPr>
                  <w:r>
                    <w:rPr>
                      <w:b/>
                      <w:bCs/>
                      <w:color w:val="auto"/>
                      <w:szCs w:val="21"/>
                    </w:rPr>
                    <w:t>监测项目</w:t>
                  </w:r>
                </w:p>
              </w:tc>
              <w:tc>
                <w:tcPr>
                  <w:tcW w:w="811" w:type="pct"/>
                  <w:vAlign w:val="center"/>
                </w:tcPr>
                <w:p>
                  <w:pPr>
                    <w:adjustRightInd w:val="0"/>
                    <w:snapToGrid w:val="0"/>
                    <w:jc w:val="center"/>
                    <w:rPr>
                      <w:b/>
                      <w:bCs/>
                      <w:color w:val="auto"/>
                      <w:szCs w:val="21"/>
                    </w:rPr>
                  </w:pPr>
                  <w:r>
                    <w:rPr>
                      <w:b/>
                      <w:bCs/>
                      <w:color w:val="auto"/>
                      <w:szCs w:val="21"/>
                    </w:rPr>
                    <w:t>监测点位</w:t>
                  </w:r>
                </w:p>
              </w:tc>
              <w:tc>
                <w:tcPr>
                  <w:tcW w:w="815" w:type="pct"/>
                  <w:vAlign w:val="center"/>
                </w:tcPr>
                <w:p>
                  <w:pPr>
                    <w:adjustRightInd w:val="0"/>
                    <w:snapToGrid w:val="0"/>
                    <w:jc w:val="center"/>
                    <w:rPr>
                      <w:b/>
                      <w:bCs/>
                      <w:color w:val="auto"/>
                      <w:szCs w:val="21"/>
                    </w:rPr>
                  </w:pPr>
                  <w:r>
                    <w:rPr>
                      <w:b/>
                      <w:bCs/>
                      <w:color w:val="auto"/>
                      <w:szCs w:val="21"/>
                    </w:rPr>
                    <w:t>监测指标</w:t>
                  </w:r>
                </w:p>
              </w:tc>
              <w:tc>
                <w:tcPr>
                  <w:tcW w:w="777" w:type="pct"/>
                  <w:vAlign w:val="center"/>
                </w:tcPr>
                <w:p>
                  <w:pPr>
                    <w:adjustRightInd w:val="0"/>
                    <w:snapToGrid w:val="0"/>
                    <w:jc w:val="center"/>
                    <w:rPr>
                      <w:b/>
                      <w:bCs/>
                      <w:color w:val="auto"/>
                      <w:szCs w:val="21"/>
                    </w:rPr>
                  </w:pPr>
                  <w:r>
                    <w:rPr>
                      <w:b/>
                      <w:bCs/>
                      <w:color w:val="auto"/>
                      <w:szCs w:val="21"/>
                    </w:rPr>
                    <w:t>监测频次</w:t>
                  </w:r>
                </w:p>
              </w:tc>
              <w:tc>
                <w:tcPr>
                  <w:tcW w:w="1991" w:type="pct"/>
                  <w:vAlign w:val="center"/>
                </w:tcPr>
                <w:p>
                  <w:pPr>
                    <w:adjustRightInd w:val="0"/>
                    <w:snapToGrid w:val="0"/>
                    <w:jc w:val="center"/>
                    <w:rPr>
                      <w:b/>
                      <w:bCs/>
                      <w:color w:val="auto"/>
                      <w:szCs w:val="21"/>
                    </w:rPr>
                  </w:pPr>
                  <w:r>
                    <w:rPr>
                      <w:b/>
                      <w:bCs/>
                      <w:color w:val="auto"/>
                      <w:szCs w:val="21"/>
                    </w:rPr>
                    <w:t>执行排放标准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cantSplit/>
                <w:trHeight w:val="340" w:hRule="atLeast"/>
                <w:jc w:val="center"/>
              </w:trPr>
              <w:tc>
                <w:tcPr>
                  <w:tcW w:w="604" w:type="pct"/>
                  <w:vAlign w:val="center"/>
                </w:tcPr>
                <w:p>
                  <w:pPr>
                    <w:adjustRightInd w:val="0"/>
                    <w:snapToGrid w:val="0"/>
                    <w:jc w:val="center"/>
                    <w:rPr>
                      <w:color w:val="auto"/>
                      <w:szCs w:val="21"/>
                    </w:rPr>
                  </w:pPr>
                  <w:r>
                    <w:rPr>
                      <w:color w:val="auto"/>
                      <w:szCs w:val="21"/>
                    </w:rPr>
                    <w:t>噪声</w:t>
                  </w:r>
                </w:p>
              </w:tc>
              <w:tc>
                <w:tcPr>
                  <w:tcW w:w="811" w:type="pct"/>
                  <w:vAlign w:val="center"/>
                </w:tcPr>
                <w:p>
                  <w:pPr>
                    <w:adjustRightInd w:val="0"/>
                    <w:snapToGrid w:val="0"/>
                    <w:jc w:val="center"/>
                    <w:rPr>
                      <w:color w:val="auto"/>
                      <w:szCs w:val="21"/>
                    </w:rPr>
                  </w:pPr>
                  <w:r>
                    <w:rPr>
                      <w:color w:val="auto"/>
                      <w:szCs w:val="21"/>
                    </w:rPr>
                    <w:t>东、南、西、北各厂界</w:t>
                  </w:r>
                </w:p>
              </w:tc>
              <w:tc>
                <w:tcPr>
                  <w:tcW w:w="815" w:type="pct"/>
                  <w:vAlign w:val="center"/>
                </w:tcPr>
                <w:p>
                  <w:pPr>
                    <w:adjustRightInd w:val="0"/>
                    <w:snapToGrid w:val="0"/>
                    <w:jc w:val="center"/>
                    <w:rPr>
                      <w:color w:val="auto"/>
                      <w:szCs w:val="21"/>
                    </w:rPr>
                  </w:pPr>
                  <w:r>
                    <w:rPr>
                      <w:color w:val="auto"/>
                      <w:szCs w:val="21"/>
                    </w:rPr>
                    <w:t>连续等效A声级</w:t>
                  </w:r>
                </w:p>
              </w:tc>
              <w:tc>
                <w:tcPr>
                  <w:tcW w:w="777" w:type="pct"/>
                  <w:vAlign w:val="center"/>
                </w:tcPr>
                <w:p>
                  <w:pPr>
                    <w:adjustRightInd w:val="0"/>
                    <w:snapToGrid w:val="0"/>
                    <w:jc w:val="center"/>
                    <w:rPr>
                      <w:color w:val="auto"/>
                      <w:szCs w:val="21"/>
                    </w:rPr>
                  </w:pPr>
                  <w:r>
                    <w:rPr>
                      <w:color w:val="auto"/>
                      <w:szCs w:val="21"/>
                    </w:rPr>
                    <w:t>1次/季度</w:t>
                  </w:r>
                </w:p>
                <w:p>
                  <w:pPr>
                    <w:adjustRightInd w:val="0"/>
                    <w:snapToGrid w:val="0"/>
                    <w:jc w:val="center"/>
                    <w:rPr>
                      <w:color w:val="auto"/>
                      <w:szCs w:val="21"/>
                    </w:rPr>
                  </w:pPr>
                  <w:r>
                    <w:rPr>
                      <w:color w:val="auto"/>
                      <w:szCs w:val="21"/>
                    </w:rPr>
                    <w:t>昼夜间</w:t>
                  </w:r>
                </w:p>
              </w:tc>
              <w:tc>
                <w:tcPr>
                  <w:tcW w:w="1991" w:type="pct"/>
                  <w:vAlign w:val="center"/>
                </w:tcPr>
                <w:p>
                  <w:pPr>
                    <w:adjustRightInd w:val="0"/>
                    <w:snapToGrid w:val="0"/>
                    <w:jc w:val="center"/>
                    <w:rPr>
                      <w:color w:val="auto"/>
                      <w:szCs w:val="21"/>
                    </w:rPr>
                  </w:pPr>
                  <w:r>
                    <w:rPr>
                      <w:color w:val="auto"/>
                      <w:szCs w:val="21"/>
                    </w:rPr>
                    <w:t>《工业企业厂界环境噪声排放标准》（GB12348-2008）3类标准</w:t>
                  </w:r>
                </w:p>
              </w:tc>
            </w:tr>
          </w:tbl>
          <w:p>
            <w:pPr>
              <w:autoSpaceDE w:val="0"/>
              <w:spacing w:line="360" w:lineRule="auto"/>
              <w:rPr>
                <w:rFonts w:ascii="Calibri" w:hAnsi="Calibri" w:cs="Calibri"/>
                <w:b/>
                <w:bCs/>
                <w:color w:val="auto"/>
                <w:sz w:val="24"/>
              </w:rPr>
            </w:pPr>
            <w:r>
              <w:rPr>
                <w:rFonts w:ascii="Calibri" w:hAnsi="Calibri" w:cs="Calibri"/>
                <w:b/>
                <w:bCs/>
                <w:color w:val="auto"/>
                <w:sz w:val="24"/>
              </w:rPr>
              <w:t>4、固体废物</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rPr>
              <w:t>固体废物产生情况</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（1）打磨毛刺：冲压件检验时产生打磨毛刺以及废气除尘收集到的粉尘，外售，综合利用。根据企业提供资料，产生量约为0.1t/a。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（2）废边角料：项目冲压件工艺过程中产生废边角料，外售，综合利用。根据企业提供资料，产生量为原料0.15%，约25t/a。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不合格品：项目冲压件工艺过程中产生不合格品，外售，综合利用。根据企业提供资料，产生量为12.75t/a。喷粉工艺过程中产生不合格品，外售，综合利用。根据企业提供资料，产生量为喷粉工艺原材料的0.1%，约8.5t/a。模具工艺过程产生不合格品，外售，综合利用。根据企业提供资料，产生量约为0.5t/a。不合格品合计为21.75t/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（4）钢屑：模具生产工艺中钻孔产生钢屑，外售综合利用，根据企业提供资料，产生量约0.5t/a。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（5）脱脂废渣（液）：预脱脂槽、脱脂槽清槽过程会产生脱脂废渣（液），委托有资质单位处理，产生量约12.4t/a。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（6）陶化废渣（液）：陶化清槽过程会产生陶化废渣（液），委托有资质单位处理，产生量约为2.5t/a。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（7）废塑粉：项目喷粉工艺过程中喷粉工序产生废塑粉，产生量约为4t/a，外售综合利用。</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（8）废包装桶：脱脂剂、脱脂助剂、无磷转化液、硅烷化处理剂等使用过程会产生废包装桶，委托有资质单位处理。根据企业提供资料。产生量约</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t/a。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（9）废包装材料：项目塑粉使用过程中会产生废包装材料，产生量约0.8t/a。外售，综合利用。</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10）废活性炭：根据企业提供废气处理设计方案，废气处理设施的动态吸附率为20%。喷粉工艺粉末固化工序生产过程中产生的有机废气采用两级活性炭吸附装置处理，废气的吸附量为0.4617t/a，填充量为0.58t/次，动态吸附量为20%，年更换4次，则废活性炭产生量为2.7817t/a；危废仓库产生有机废气采用二级活性炭吸附装置处理，废气的吸附量为</w:t>
            </w:r>
            <w:r>
              <w:rPr>
                <w:rFonts w:hint="default" w:ascii="Times New Roman" w:hAnsi="Times New Roman" w:cs="Times New Roman"/>
                <w:color w:val="auto"/>
                <w:sz w:val="24"/>
                <w:lang w:val="en-US" w:eastAsia="zh-CN"/>
              </w:rPr>
              <w:t>0.0</w:t>
            </w:r>
            <w:r>
              <w:rPr>
                <w:rFonts w:hint="default" w:ascii="Times New Roman" w:hAnsi="Times New Roman" w:cs="Times New Roman"/>
                <w:color w:val="auto"/>
                <w:sz w:val="24"/>
              </w:rPr>
              <w:t>804t/a，填充量为0.1t/次，动态吸附量为20%，年更换4次，则废活性炭产生量为</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48t/a。则本项目废活性炭产生量共计为3.2617t/a。</w:t>
            </w:r>
          </w:p>
          <w:p>
            <w:pPr>
              <w:spacing w:line="360" w:lineRule="auto"/>
              <w:ind w:firstLine="480" w:firstLineChars="200"/>
              <w:rPr>
                <w:rFonts w:hint="default" w:ascii="Times New Roman" w:hAnsi="Times New Roman" w:cs="Times New Roman"/>
                <w:color w:val="auto"/>
                <w:sz w:val="24"/>
                <w:lang w:val="en-US"/>
              </w:rPr>
            </w:pPr>
            <w:r>
              <w:rPr>
                <w:rFonts w:hint="default" w:ascii="Times New Roman" w:hAnsi="Times New Roman" w:cs="Times New Roman"/>
                <w:color w:val="auto"/>
                <w:sz w:val="24"/>
              </w:rPr>
              <w:t>（11）废油：设备维护保养过程产生废液压油、废润滑油，委托有资质单位处理。根据企业提供资料，产生量润滑油约30kg/a，液压油约30kg/a。</w:t>
            </w:r>
            <w:r>
              <w:rPr>
                <w:rFonts w:hint="default" w:ascii="Times New Roman" w:hAnsi="Times New Roman" w:cs="Times New Roman"/>
                <w:color w:val="auto"/>
                <w:sz w:val="24"/>
                <w:lang w:val="en-US" w:eastAsia="zh-CN"/>
              </w:rPr>
              <w:t>合计废油量0.06t/a。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（12）含油废抹布手套：本项目生产过程中、设备维护保养过程产生含油废抹布手套1t/a，委托有资质单位处理。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（13）废油类包装桶：设备维修保养过程会产生液压油、润滑油包装桶，产生量约为1t/a，委托有资质单位处置。</w:t>
            </w:r>
          </w:p>
          <w:p>
            <w:pPr>
              <w:pStyle w:val="1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w:t>（14）压滤污</w:t>
            </w:r>
            <w:r>
              <w:rPr>
                <w:rFonts w:hint="default" w:ascii="Times New Roman" w:hAnsi="Times New Roman" w:cs="Times New Roman"/>
                <w:color w:val="auto"/>
                <w:sz w:val="24"/>
                <w:szCs w:val="24"/>
              </w:rPr>
              <w:t>泥：项目污水处理过程产生压滤污泥，进入污泥废水量约</w:t>
            </w:r>
            <w:commentRangeStart w:id="35"/>
            <w:r>
              <w:rPr>
                <w:rFonts w:hint="default" w:ascii="Times New Roman" w:hAnsi="Times New Roman" w:cs="Times New Roman"/>
                <w:color w:val="auto"/>
                <w:sz w:val="24"/>
                <w:szCs w:val="24"/>
              </w:rPr>
              <w:t>45.</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t</w:t>
            </w:r>
            <w:commentRangeEnd w:id="35"/>
            <w:r>
              <w:rPr>
                <w:rFonts w:hint="default" w:ascii="Times New Roman" w:hAnsi="Times New Roman" w:cs="Times New Roman"/>
                <w:color w:val="auto"/>
              </w:rPr>
              <w:commentReference w:id="35"/>
            </w:r>
            <w:r>
              <w:rPr>
                <w:rFonts w:hint="default" w:ascii="Times New Roman" w:hAnsi="Times New Roman" w:cs="Times New Roman"/>
                <w:color w:val="auto"/>
                <w:sz w:val="24"/>
                <w:szCs w:val="24"/>
              </w:rPr>
              <w:t>/a，考虑污泥含水率，污泥量核算约55t，委托有资质单位处置。</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（15）浓缩蒸发液：项目污水处理过程浓缩液产生量约90.4t/a，委托有资质单位处置。</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（16）废水过滤材料：项目废水处理过程中会产生废过滤材料约0.01t/a，委托有资质单位处理。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（17）</w:t>
            </w:r>
            <w:r>
              <w:rPr>
                <w:rFonts w:hint="default" w:ascii="Times New Roman" w:hAnsi="Times New Roman" w:cs="Times New Roman"/>
                <w:color w:val="auto"/>
                <w:sz w:val="24"/>
                <w:lang w:val="en-US" w:eastAsia="zh-CN"/>
              </w:rPr>
              <w:t>纯水制备废过滤材料</w:t>
            </w:r>
            <w:r>
              <w:rPr>
                <w:rFonts w:hint="default" w:ascii="Times New Roman" w:hAnsi="Times New Roman" w:cs="Times New Roman"/>
                <w:color w:val="auto"/>
                <w:sz w:val="24"/>
              </w:rPr>
              <w:t>：本项目纯水制备过程中会产生废滤芯</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废RO膜</w:t>
            </w:r>
            <w:r>
              <w:rPr>
                <w:rFonts w:hint="default" w:ascii="Times New Roman" w:hAnsi="Times New Roman" w:cs="Times New Roman"/>
                <w:color w:val="auto"/>
                <w:sz w:val="24"/>
                <w:lang w:val="en-US" w:eastAsia="zh-CN"/>
              </w:rPr>
              <w:t>以及废活性炭，</w:t>
            </w:r>
            <w:r>
              <w:rPr>
                <w:rFonts w:hint="default" w:ascii="Times New Roman" w:hAnsi="Times New Roman" w:cs="Times New Roman"/>
                <w:color w:val="auto"/>
                <w:sz w:val="24"/>
              </w:rPr>
              <w:t>产生量</w:t>
            </w:r>
            <w:r>
              <w:rPr>
                <w:rFonts w:hint="default" w:ascii="Times New Roman" w:hAnsi="Times New Roman" w:cs="Times New Roman"/>
                <w:color w:val="auto"/>
                <w:sz w:val="24"/>
                <w:lang w:val="en-US" w:eastAsia="zh-CN"/>
              </w:rPr>
              <w:t>合计约为</w:t>
            </w:r>
            <w:r>
              <w:rPr>
                <w:rFonts w:hint="default" w:ascii="Times New Roman" w:hAnsi="Times New Roman" w:cs="Times New Roman"/>
                <w:color w:val="auto"/>
                <w:sz w:val="24"/>
              </w:rPr>
              <w:t>0.</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t/a。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（18）生活污水沉淀捞渣：化粪池沉淀捞渣，约12t/a，委托环卫清运。</w:t>
            </w:r>
          </w:p>
          <w:p>
            <w:pPr>
              <w:pStyle w:val="2"/>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（19）生活垃圾：办公生活产生生活垃圾，约21t/a，委托环卫部门清运。</w:t>
            </w:r>
          </w:p>
          <w:p>
            <w:pPr>
              <w:pStyle w:val="2"/>
              <w:rPr>
                <w:rFonts w:ascii="Calibri" w:hAnsi="Calibri" w:cs="Calibri"/>
                <w:color w:val="auto"/>
              </w:rPr>
            </w:pPr>
          </w:p>
          <w:p>
            <w:pPr>
              <w:pStyle w:val="23"/>
              <w:jc w:val="center"/>
              <w:outlineLvl w:val="0"/>
              <w:rPr>
                <w:rFonts w:ascii="Times New Roman" w:hAnsi="Times New Roman" w:cs="Calibri"/>
                <w:snapToGrid w:val="0"/>
                <w:color w:val="auto"/>
                <w:sz w:val="30"/>
                <w:szCs w:val="30"/>
              </w:rPr>
            </w:pPr>
          </w:p>
          <w:p>
            <w:pPr>
              <w:pStyle w:val="23"/>
              <w:jc w:val="center"/>
              <w:outlineLvl w:val="0"/>
              <w:rPr>
                <w:rFonts w:ascii="Times New Roman" w:hAnsi="Times New Roman" w:cs="Calibri"/>
                <w:snapToGrid w:val="0"/>
                <w:color w:val="auto"/>
                <w:sz w:val="30"/>
                <w:szCs w:val="30"/>
              </w:rPr>
            </w:pPr>
          </w:p>
          <w:p>
            <w:pPr>
              <w:pStyle w:val="23"/>
              <w:jc w:val="center"/>
              <w:outlineLvl w:val="0"/>
              <w:rPr>
                <w:rFonts w:ascii="Times New Roman" w:hAnsi="Times New Roman" w:cs="Calibri"/>
                <w:snapToGrid w:val="0"/>
                <w:color w:val="auto"/>
                <w:sz w:val="30"/>
                <w:szCs w:val="30"/>
              </w:rPr>
            </w:pPr>
          </w:p>
          <w:p>
            <w:pPr>
              <w:pStyle w:val="23"/>
              <w:jc w:val="center"/>
              <w:outlineLvl w:val="0"/>
              <w:rPr>
                <w:rFonts w:ascii="Times New Roman" w:hAnsi="Times New Roman" w:cs="Calibri"/>
                <w:snapToGrid w:val="0"/>
                <w:color w:val="auto"/>
                <w:sz w:val="30"/>
                <w:szCs w:val="30"/>
              </w:rPr>
            </w:pPr>
          </w:p>
          <w:p>
            <w:pPr>
              <w:pStyle w:val="23"/>
              <w:jc w:val="center"/>
              <w:outlineLvl w:val="0"/>
              <w:rPr>
                <w:rFonts w:ascii="Times New Roman" w:hAnsi="Times New Roman" w:cs="Calibri"/>
                <w:snapToGrid w:val="0"/>
                <w:color w:val="auto"/>
                <w:sz w:val="30"/>
                <w:szCs w:val="30"/>
              </w:rPr>
            </w:pPr>
          </w:p>
          <w:p>
            <w:pPr>
              <w:pStyle w:val="23"/>
              <w:jc w:val="center"/>
              <w:outlineLvl w:val="0"/>
              <w:rPr>
                <w:rFonts w:ascii="Times New Roman" w:hAnsi="Times New Roman" w:cs="Calibri"/>
                <w:snapToGrid w:val="0"/>
                <w:color w:val="auto"/>
                <w:sz w:val="30"/>
                <w:szCs w:val="30"/>
              </w:rPr>
            </w:pPr>
          </w:p>
          <w:p>
            <w:pPr>
              <w:pStyle w:val="23"/>
              <w:jc w:val="center"/>
              <w:outlineLvl w:val="0"/>
              <w:rPr>
                <w:rFonts w:ascii="Times New Roman" w:hAnsi="Times New Roman" w:cs="Calibri"/>
                <w:snapToGrid w:val="0"/>
                <w:color w:val="auto"/>
                <w:sz w:val="30"/>
                <w:szCs w:val="30"/>
              </w:rPr>
            </w:pPr>
          </w:p>
          <w:p>
            <w:pPr>
              <w:pStyle w:val="23"/>
              <w:jc w:val="center"/>
              <w:outlineLvl w:val="0"/>
              <w:rPr>
                <w:rFonts w:ascii="Times New Roman" w:hAnsi="Times New Roman" w:cs="Calibri"/>
                <w:snapToGrid w:val="0"/>
                <w:color w:val="auto"/>
                <w:sz w:val="30"/>
                <w:szCs w:val="30"/>
              </w:rPr>
            </w:pPr>
          </w:p>
          <w:p>
            <w:pPr>
              <w:pStyle w:val="23"/>
              <w:jc w:val="center"/>
              <w:outlineLvl w:val="0"/>
              <w:rPr>
                <w:rFonts w:ascii="Times New Roman" w:hAnsi="Times New Roman" w:cs="Calibri"/>
                <w:snapToGrid w:val="0"/>
                <w:color w:val="auto"/>
                <w:sz w:val="30"/>
                <w:szCs w:val="30"/>
              </w:rPr>
            </w:pPr>
          </w:p>
          <w:p>
            <w:pPr>
              <w:pStyle w:val="23"/>
              <w:jc w:val="center"/>
              <w:outlineLvl w:val="0"/>
              <w:rPr>
                <w:rFonts w:ascii="Times New Roman" w:hAnsi="Times New Roman" w:cs="Calibri"/>
                <w:snapToGrid w:val="0"/>
                <w:color w:val="auto"/>
                <w:sz w:val="30"/>
                <w:szCs w:val="30"/>
              </w:rPr>
            </w:pPr>
          </w:p>
          <w:p>
            <w:pPr>
              <w:pStyle w:val="23"/>
              <w:jc w:val="both"/>
              <w:outlineLvl w:val="0"/>
              <w:rPr>
                <w:rFonts w:ascii="Times New Roman" w:hAnsi="Times New Roman" w:cs="Calibri"/>
                <w:snapToGrid w:val="0"/>
                <w:color w:val="auto"/>
                <w:sz w:val="30"/>
                <w:szCs w:val="30"/>
              </w:rPr>
            </w:pPr>
          </w:p>
        </w:tc>
      </w:tr>
    </w:tbl>
    <w:p>
      <w:pPr>
        <w:pStyle w:val="23"/>
        <w:jc w:val="center"/>
        <w:outlineLvl w:val="0"/>
        <w:rPr>
          <w:rFonts w:ascii="Times New Roman" w:hAnsi="Times New Roman"/>
          <w:snapToGrid w:val="0"/>
          <w:color w:val="auto"/>
          <w:sz w:val="30"/>
          <w:szCs w:val="30"/>
        </w:rPr>
        <w:sectPr>
          <w:pgSz w:w="11906" w:h="16838"/>
          <w:pgMar w:top="1440" w:right="1797" w:bottom="1440" w:left="1797" w:header="851" w:footer="992" w:gutter="0"/>
          <w:pgBorders>
            <w:top w:val="none" w:sz="0" w:space="0"/>
            <w:left w:val="none" w:sz="0" w:space="0"/>
            <w:bottom w:val="none" w:sz="0" w:space="0"/>
            <w:right w:val="none" w:sz="0" w:space="0"/>
          </w:pgBorders>
          <w:cols w:space="0" w:num="1"/>
          <w:docGrid w:type="lines" w:linePitch="319"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13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2" w:hRule="atLeast"/>
        </w:trPr>
        <w:tc>
          <w:tcPr>
            <w:tcW w:w="220" w:type="dxa"/>
          </w:tcPr>
          <w:p>
            <w:pPr>
              <w:pStyle w:val="23"/>
              <w:jc w:val="center"/>
              <w:outlineLvl w:val="0"/>
              <w:rPr>
                <w:rFonts w:ascii="Times New Roman" w:hAnsi="Times New Roman" w:cs="Calibri"/>
                <w:snapToGrid w:val="0"/>
                <w:color w:val="auto"/>
                <w:sz w:val="30"/>
                <w:szCs w:val="30"/>
              </w:rPr>
            </w:pPr>
          </w:p>
        </w:tc>
        <w:tc>
          <w:tcPr>
            <w:tcW w:w="13728" w:type="dxa"/>
          </w:tcPr>
          <w:p>
            <w:pPr>
              <w:spacing w:line="360" w:lineRule="auto"/>
              <w:ind w:firstLine="480" w:firstLineChars="200"/>
              <w:rPr>
                <w:rFonts w:ascii="Calibri" w:hAnsi="Calibri" w:cs="Calibri"/>
                <w:color w:val="auto"/>
                <w:sz w:val="24"/>
              </w:rPr>
            </w:pPr>
            <w:r>
              <w:rPr>
                <w:rFonts w:ascii="Calibri" w:hAnsi="Calibri" w:cs="Calibri"/>
                <w:b/>
                <w:bCs/>
                <w:color w:val="auto"/>
                <w:sz w:val="24"/>
              </w:rPr>
              <w:t>固体废物属性判定</w:t>
            </w:r>
          </w:p>
          <w:p>
            <w:pPr>
              <w:numPr>
                <w:ilvl w:val="0"/>
                <w:numId w:val="21"/>
              </w:numPr>
              <w:adjustRightInd w:val="0"/>
              <w:snapToGrid w:val="0"/>
              <w:spacing w:line="360" w:lineRule="auto"/>
              <w:ind w:firstLine="480" w:firstLineChars="200"/>
              <w:rPr>
                <w:rFonts w:ascii="Calibri" w:hAnsi="Calibri" w:cs="Calibri"/>
                <w:color w:val="auto"/>
                <w:sz w:val="24"/>
              </w:rPr>
            </w:pPr>
            <w:r>
              <w:rPr>
                <w:rFonts w:ascii="Calibri" w:hAnsi="Calibri" w:cs="Calibri"/>
                <w:color w:val="auto"/>
                <w:sz w:val="24"/>
              </w:rPr>
              <w:t>根据《中华人民共和国固体废物污染环境防治法》及《固体废物鉴别标准 通则》（GB34330-2017）的规定，判断项目生产过程中产生的副产物是否属于固体废物，判定结果见下表。</w:t>
            </w:r>
          </w:p>
          <w:p>
            <w:pPr>
              <w:pStyle w:val="6"/>
              <w:numPr>
                <w:ilvl w:val="0"/>
                <w:numId w:val="16"/>
              </w:numPr>
              <w:adjustRightInd w:val="0"/>
              <w:snapToGrid w:val="0"/>
              <w:ind w:firstLineChars="0"/>
              <w:jc w:val="center"/>
              <w:rPr>
                <w:rFonts w:ascii="Calibri" w:hAnsi="Calibri" w:cs="Calibri"/>
                <w:b/>
                <w:color w:val="auto"/>
                <w:sz w:val="24"/>
              </w:rPr>
            </w:pPr>
            <w:r>
              <w:rPr>
                <w:rFonts w:ascii="Calibri" w:hAnsi="Calibri" w:cs="Calibri"/>
                <w:b/>
                <w:color w:val="auto"/>
                <w:sz w:val="24"/>
              </w:rPr>
              <w:t>本项目副产物产生情况及副产物属性判定表（固体废物属性）汇总表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2038"/>
              <w:gridCol w:w="2681"/>
              <w:gridCol w:w="930"/>
              <w:gridCol w:w="2373"/>
              <w:gridCol w:w="1011"/>
              <w:gridCol w:w="1138"/>
              <w:gridCol w:w="811"/>
              <w:gridCol w:w="18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7" w:type="pct"/>
                  <w:vMerge w:val="restart"/>
                  <w:tcMar>
                    <w:top w:w="0" w:type="dxa"/>
                    <w:left w:w="51" w:type="dxa"/>
                    <w:bottom w:w="0" w:type="dxa"/>
                    <w:right w:w="51" w:type="dxa"/>
                  </w:tcMar>
                  <w:vAlign w:val="center"/>
                </w:tcPr>
                <w:p>
                  <w:pPr>
                    <w:adjustRightInd w:val="0"/>
                    <w:snapToGrid w:val="0"/>
                    <w:ind w:left="-105" w:leftChars="-50" w:right="-105" w:rightChars="-50"/>
                    <w:jc w:val="center"/>
                    <w:rPr>
                      <w:b/>
                      <w:bCs/>
                      <w:color w:val="auto"/>
                      <w:szCs w:val="21"/>
                    </w:rPr>
                  </w:pPr>
                  <w:r>
                    <w:rPr>
                      <w:b/>
                      <w:bCs/>
                      <w:color w:val="auto"/>
                      <w:spacing w:val="-8"/>
                      <w:kern w:val="0"/>
                      <w:szCs w:val="21"/>
                    </w:rPr>
                    <w:t>序号</w:t>
                  </w:r>
                </w:p>
              </w:tc>
              <w:tc>
                <w:tcPr>
                  <w:tcW w:w="754" w:type="pct"/>
                  <w:vMerge w:val="restart"/>
                  <w:tcMar>
                    <w:top w:w="0" w:type="dxa"/>
                    <w:left w:w="51" w:type="dxa"/>
                    <w:bottom w:w="0" w:type="dxa"/>
                    <w:right w:w="51" w:type="dxa"/>
                  </w:tcMar>
                  <w:vAlign w:val="center"/>
                </w:tcPr>
                <w:p>
                  <w:pPr>
                    <w:adjustRightInd w:val="0"/>
                    <w:snapToGrid w:val="0"/>
                    <w:ind w:left="-105" w:leftChars="-50" w:right="-105" w:rightChars="-50"/>
                    <w:jc w:val="center"/>
                    <w:rPr>
                      <w:b/>
                      <w:bCs/>
                      <w:color w:val="auto"/>
                      <w:szCs w:val="21"/>
                    </w:rPr>
                  </w:pPr>
                  <w:r>
                    <w:rPr>
                      <w:b/>
                      <w:bCs/>
                      <w:color w:val="auto"/>
                      <w:szCs w:val="21"/>
                    </w:rPr>
                    <w:t>副产物名称</w:t>
                  </w:r>
                </w:p>
              </w:tc>
              <w:tc>
                <w:tcPr>
                  <w:tcW w:w="992" w:type="pct"/>
                  <w:vMerge w:val="restart"/>
                  <w:tcMar>
                    <w:top w:w="0" w:type="dxa"/>
                    <w:left w:w="51" w:type="dxa"/>
                    <w:bottom w:w="0" w:type="dxa"/>
                    <w:right w:w="51" w:type="dxa"/>
                  </w:tcMar>
                  <w:vAlign w:val="center"/>
                </w:tcPr>
                <w:p>
                  <w:pPr>
                    <w:adjustRightInd w:val="0"/>
                    <w:snapToGrid w:val="0"/>
                    <w:ind w:left="-105" w:leftChars="-50" w:right="-105" w:rightChars="-50"/>
                    <w:jc w:val="center"/>
                    <w:rPr>
                      <w:b/>
                      <w:bCs/>
                      <w:color w:val="auto"/>
                      <w:szCs w:val="21"/>
                    </w:rPr>
                  </w:pPr>
                  <w:r>
                    <w:rPr>
                      <w:b/>
                      <w:bCs/>
                      <w:color w:val="auto"/>
                      <w:szCs w:val="21"/>
                    </w:rPr>
                    <w:t>产生工序</w:t>
                  </w:r>
                </w:p>
              </w:tc>
              <w:tc>
                <w:tcPr>
                  <w:tcW w:w="344" w:type="pct"/>
                  <w:vMerge w:val="restart"/>
                  <w:tcMar>
                    <w:top w:w="0" w:type="dxa"/>
                    <w:left w:w="51" w:type="dxa"/>
                    <w:bottom w:w="0" w:type="dxa"/>
                    <w:right w:w="51" w:type="dxa"/>
                  </w:tcMar>
                  <w:vAlign w:val="center"/>
                </w:tcPr>
                <w:p>
                  <w:pPr>
                    <w:adjustRightInd w:val="0"/>
                    <w:snapToGrid w:val="0"/>
                    <w:ind w:left="-105" w:leftChars="-50" w:right="-105" w:rightChars="-50"/>
                    <w:jc w:val="center"/>
                    <w:rPr>
                      <w:b/>
                      <w:bCs/>
                      <w:color w:val="auto"/>
                      <w:szCs w:val="21"/>
                    </w:rPr>
                  </w:pPr>
                  <w:r>
                    <w:rPr>
                      <w:b/>
                      <w:bCs/>
                      <w:color w:val="auto"/>
                      <w:szCs w:val="21"/>
                    </w:rPr>
                    <w:t>形态</w:t>
                  </w:r>
                </w:p>
              </w:tc>
              <w:tc>
                <w:tcPr>
                  <w:tcW w:w="878" w:type="pct"/>
                  <w:vMerge w:val="restart"/>
                  <w:tcMar>
                    <w:top w:w="0" w:type="dxa"/>
                    <w:left w:w="51" w:type="dxa"/>
                    <w:bottom w:w="0" w:type="dxa"/>
                    <w:right w:w="51" w:type="dxa"/>
                  </w:tcMar>
                  <w:vAlign w:val="center"/>
                </w:tcPr>
                <w:p>
                  <w:pPr>
                    <w:adjustRightInd w:val="0"/>
                    <w:snapToGrid w:val="0"/>
                    <w:ind w:left="-105" w:leftChars="-50" w:right="-105" w:rightChars="-50"/>
                    <w:jc w:val="center"/>
                    <w:rPr>
                      <w:b/>
                      <w:bCs/>
                      <w:color w:val="auto"/>
                      <w:szCs w:val="21"/>
                    </w:rPr>
                  </w:pPr>
                  <w:r>
                    <w:rPr>
                      <w:b/>
                      <w:bCs/>
                      <w:color w:val="auto"/>
                      <w:szCs w:val="21"/>
                    </w:rPr>
                    <w:t>主要成分</w:t>
                  </w:r>
                </w:p>
              </w:tc>
              <w:tc>
                <w:tcPr>
                  <w:tcW w:w="374" w:type="pct"/>
                  <w:vMerge w:val="restart"/>
                  <w:tcMar>
                    <w:top w:w="0" w:type="dxa"/>
                    <w:left w:w="51" w:type="dxa"/>
                    <w:bottom w:w="0" w:type="dxa"/>
                    <w:right w:w="51" w:type="dxa"/>
                  </w:tcMar>
                  <w:vAlign w:val="center"/>
                </w:tcPr>
                <w:p>
                  <w:pPr>
                    <w:adjustRightInd w:val="0"/>
                    <w:snapToGrid w:val="0"/>
                    <w:jc w:val="center"/>
                    <w:rPr>
                      <w:b/>
                      <w:bCs/>
                      <w:color w:val="auto"/>
                      <w:szCs w:val="21"/>
                    </w:rPr>
                  </w:pPr>
                  <w:r>
                    <w:rPr>
                      <w:b/>
                      <w:bCs/>
                      <w:color w:val="auto"/>
                      <w:szCs w:val="21"/>
                    </w:rPr>
                    <w:t>预测产生量t/a</w:t>
                  </w:r>
                </w:p>
              </w:tc>
              <w:tc>
                <w:tcPr>
                  <w:tcW w:w="1418" w:type="pct"/>
                  <w:gridSpan w:val="3"/>
                  <w:tcMar>
                    <w:top w:w="0" w:type="dxa"/>
                    <w:left w:w="51" w:type="dxa"/>
                    <w:bottom w:w="0" w:type="dxa"/>
                    <w:right w:w="51" w:type="dxa"/>
                  </w:tcMar>
                  <w:vAlign w:val="center"/>
                </w:tcPr>
                <w:p>
                  <w:pPr>
                    <w:adjustRightInd w:val="0"/>
                    <w:snapToGrid w:val="0"/>
                    <w:ind w:left="-105" w:leftChars="-50" w:right="-105" w:rightChars="-50"/>
                    <w:jc w:val="center"/>
                    <w:rPr>
                      <w:b/>
                      <w:bCs/>
                      <w:color w:val="auto"/>
                      <w:szCs w:val="21"/>
                    </w:rPr>
                  </w:pPr>
                  <w:r>
                    <w:rPr>
                      <w:b/>
                      <w:bCs/>
                      <w:color w:val="auto"/>
                      <w:szCs w:val="21"/>
                    </w:rPr>
                    <w:t>种类判断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7" w:type="pct"/>
                  <w:vMerge w:val="continue"/>
                  <w:tcMar>
                    <w:top w:w="0" w:type="dxa"/>
                    <w:left w:w="51" w:type="dxa"/>
                    <w:bottom w:w="0" w:type="dxa"/>
                    <w:right w:w="51" w:type="dxa"/>
                  </w:tcMar>
                  <w:vAlign w:val="center"/>
                </w:tcPr>
                <w:p>
                  <w:pPr>
                    <w:adjustRightInd w:val="0"/>
                    <w:snapToGrid w:val="0"/>
                    <w:ind w:left="-105" w:leftChars="-50" w:right="-105" w:rightChars="-50"/>
                    <w:jc w:val="center"/>
                    <w:rPr>
                      <w:b/>
                      <w:bCs/>
                      <w:color w:val="auto"/>
                      <w:szCs w:val="21"/>
                    </w:rPr>
                  </w:pPr>
                </w:p>
              </w:tc>
              <w:tc>
                <w:tcPr>
                  <w:tcW w:w="754" w:type="pct"/>
                  <w:vMerge w:val="continue"/>
                  <w:tcMar>
                    <w:top w:w="0" w:type="dxa"/>
                    <w:left w:w="51" w:type="dxa"/>
                    <w:bottom w:w="0" w:type="dxa"/>
                    <w:right w:w="51" w:type="dxa"/>
                  </w:tcMar>
                  <w:vAlign w:val="center"/>
                </w:tcPr>
                <w:p>
                  <w:pPr>
                    <w:adjustRightInd w:val="0"/>
                    <w:snapToGrid w:val="0"/>
                    <w:ind w:left="-105" w:leftChars="-50" w:right="-105" w:rightChars="-50"/>
                    <w:jc w:val="center"/>
                    <w:rPr>
                      <w:b/>
                      <w:bCs/>
                      <w:color w:val="auto"/>
                      <w:szCs w:val="21"/>
                    </w:rPr>
                  </w:pPr>
                </w:p>
              </w:tc>
              <w:tc>
                <w:tcPr>
                  <w:tcW w:w="992" w:type="pct"/>
                  <w:vMerge w:val="continue"/>
                  <w:tcMar>
                    <w:top w:w="0" w:type="dxa"/>
                    <w:left w:w="51" w:type="dxa"/>
                    <w:bottom w:w="0" w:type="dxa"/>
                    <w:right w:w="51" w:type="dxa"/>
                  </w:tcMar>
                  <w:vAlign w:val="center"/>
                </w:tcPr>
                <w:p>
                  <w:pPr>
                    <w:adjustRightInd w:val="0"/>
                    <w:snapToGrid w:val="0"/>
                    <w:ind w:left="-105" w:leftChars="-50" w:right="-105" w:rightChars="-50"/>
                    <w:jc w:val="center"/>
                    <w:rPr>
                      <w:b/>
                      <w:bCs/>
                      <w:color w:val="auto"/>
                      <w:szCs w:val="21"/>
                    </w:rPr>
                  </w:pPr>
                </w:p>
              </w:tc>
              <w:tc>
                <w:tcPr>
                  <w:tcW w:w="344" w:type="pct"/>
                  <w:vMerge w:val="continue"/>
                  <w:tcMar>
                    <w:top w:w="0" w:type="dxa"/>
                    <w:left w:w="51" w:type="dxa"/>
                    <w:bottom w:w="0" w:type="dxa"/>
                    <w:right w:w="51" w:type="dxa"/>
                  </w:tcMar>
                  <w:vAlign w:val="center"/>
                </w:tcPr>
                <w:p>
                  <w:pPr>
                    <w:adjustRightInd w:val="0"/>
                    <w:snapToGrid w:val="0"/>
                    <w:ind w:left="-105" w:leftChars="-50" w:right="-105" w:rightChars="-50"/>
                    <w:jc w:val="center"/>
                    <w:rPr>
                      <w:b/>
                      <w:bCs/>
                      <w:color w:val="auto"/>
                      <w:szCs w:val="21"/>
                    </w:rPr>
                  </w:pPr>
                </w:p>
              </w:tc>
              <w:tc>
                <w:tcPr>
                  <w:tcW w:w="878" w:type="pct"/>
                  <w:vMerge w:val="continue"/>
                  <w:tcMar>
                    <w:top w:w="0" w:type="dxa"/>
                    <w:left w:w="51" w:type="dxa"/>
                    <w:bottom w:w="0" w:type="dxa"/>
                    <w:right w:w="51" w:type="dxa"/>
                  </w:tcMar>
                  <w:vAlign w:val="center"/>
                </w:tcPr>
                <w:p>
                  <w:pPr>
                    <w:adjustRightInd w:val="0"/>
                    <w:snapToGrid w:val="0"/>
                    <w:ind w:left="-105" w:leftChars="-50" w:right="-105" w:rightChars="-50"/>
                    <w:jc w:val="center"/>
                    <w:rPr>
                      <w:b/>
                      <w:bCs/>
                      <w:color w:val="auto"/>
                      <w:szCs w:val="21"/>
                    </w:rPr>
                  </w:pPr>
                </w:p>
              </w:tc>
              <w:tc>
                <w:tcPr>
                  <w:tcW w:w="374" w:type="pct"/>
                  <w:vMerge w:val="continue"/>
                  <w:tcMar>
                    <w:top w:w="0" w:type="dxa"/>
                    <w:left w:w="51" w:type="dxa"/>
                    <w:bottom w:w="0" w:type="dxa"/>
                    <w:right w:w="51" w:type="dxa"/>
                  </w:tcMar>
                  <w:vAlign w:val="center"/>
                </w:tcPr>
                <w:p>
                  <w:pPr>
                    <w:adjustRightInd w:val="0"/>
                    <w:snapToGrid w:val="0"/>
                    <w:ind w:left="-105" w:leftChars="-50" w:right="-105" w:rightChars="-50"/>
                    <w:jc w:val="center"/>
                    <w:rPr>
                      <w:b/>
                      <w:bCs/>
                      <w:color w:val="auto"/>
                      <w:szCs w:val="21"/>
                    </w:rPr>
                  </w:pPr>
                </w:p>
              </w:tc>
              <w:tc>
                <w:tcPr>
                  <w:tcW w:w="421" w:type="pct"/>
                  <w:tcMar>
                    <w:top w:w="0" w:type="dxa"/>
                    <w:left w:w="51" w:type="dxa"/>
                    <w:bottom w:w="0" w:type="dxa"/>
                    <w:right w:w="51" w:type="dxa"/>
                  </w:tcMar>
                  <w:vAlign w:val="center"/>
                </w:tcPr>
                <w:p>
                  <w:pPr>
                    <w:adjustRightInd w:val="0"/>
                    <w:snapToGrid w:val="0"/>
                    <w:ind w:left="-113" w:right="-113"/>
                    <w:jc w:val="center"/>
                    <w:rPr>
                      <w:b/>
                      <w:bCs/>
                      <w:color w:val="auto"/>
                      <w:szCs w:val="21"/>
                    </w:rPr>
                  </w:pPr>
                  <w:r>
                    <w:rPr>
                      <w:b/>
                      <w:bCs/>
                      <w:color w:val="auto"/>
                      <w:szCs w:val="21"/>
                    </w:rPr>
                    <w:t>固体废物</w:t>
                  </w:r>
                </w:p>
              </w:tc>
              <w:tc>
                <w:tcPr>
                  <w:tcW w:w="300" w:type="pct"/>
                  <w:tcMar>
                    <w:top w:w="0" w:type="dxa"/>
                    <w:left w:w="51" w:type="dxa"/>
                    <w:bottom w:w="0" w:type="dxa"/>
                    <w:right w:w="51" w:type="dxa"/>
                  </w:tcMar>
                  <w:vAlign w:val="center"/>
                </w:tcPr>
                <w:p>
                  <w:pPr>
                    <w:adjustRightInd w:val="0"/>
                    <w:snapToGrid w:val="0"/>
                    <w:ind w:left="-113" w:right="-113"/>
                    <w:jc w:val="center"/>
                    <w:rPr>
                      <w:b/>
                      <w:bCs/>
                      <w:color w:val="auto"/>
                      <w:szCs w:val="21"/>
                    </w:rPr>
                  </w:pPr>
                  <w:r>
                    <w:rPr>
                      <w:b/>
                      <w:bCs/>
                      <w:color w:val="auto"/>
                      <w:szCs w:val="21"/>
                    </w:rPr>
                    <w:t>副产品</w:t>
                  </w:r>
                </w:p>
              </w:tc>
              <w:tc>
                <w:tcPr>
                  <w:tcW w:w="697" w:type="pct"/>
                  <w:tcMar>
                    <w:top w:w="0" w:type="dxa"/>
                    <w:left w:w="51" w:type="dxa"/>
                    <w:bottom w:w="0" w:type="dxa"/>
                    <w:right w:w="51" w:type="dxa"/>
                  </w:tcMar>
                  <w:vAlign w:val="center"/>
                </w:tcPr>
                <w:p>
                  <w:pPr>
                    <w:adjustRightInd w:val="0"/>
                    <w:snapToGrid w:val="0"/>
                    <w:ind w:left="-50" w:right="-50"/>
                    <w:jc w:val="center"/>
                    <w:rPr>
                      <w:b/>
                      <w:bCs/>
                      <w:color w:val="auto"/>
                      <w:szCs w:val="21"/>
                    </w:rPr>
                  </w:pPr>
                  <w:r>
                    <w:rPr>
                      <w:b/>
                      <w:bCs/>
                      <w:color w:val="auto"/>
                      <w:szCs w:val="21"/>
                    </w:rPr>
                    <w:t>判定依据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7" w:type="pct"/>
                  <w:tcMar>
                    <w:top w:w="0" w:type="dxa"/>
                    <w:left w:w="51" w:type="dxa"/>
                    <w:bottom w:w="0" w:type="dxa"/>
                    <w:right w:w="51" w:type="dxa"/>
                  </w:tcMar>
                  <w:vAlign w:val="center"/>
                </w:tcPr>
                <w:p>
                  <w:pPr>
                    <w:widowControl/>
                    <w:jc w:val="center"/>
                    <w:textAlignment w:val="center"/>
                    <w:rPr>
                      <w:color w:val="auto"/>
                      <w:szCs w:val="21"/>
                    </w:rPr>
                  </w:pPr>
                  <w:r>
                    <w:rPr>
                      <w:color w:val="auto"/>
                      <w:kern w:val="0"/>
                      <w:szCs w:val="21"/>
                      <w:lang w:bidi="ar"/>
                    </w:rPr>
                    <w:t>1</w:t>
                  </w:r>
                </w:p>
              </w:tc>
              <w:tc>
                <w:tcPr>
                  <w:tcW w:w="75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打磨毛刺</w:t>
                  </w:r>
                </w:p>
              </w:tc>
              <w:tc>
                <w:tcPr>
                  <w:tcW w:w="992"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冲压件生产检验</w:t>
                  </w:r>
                </w:p>
              </w:tc>
              <w:tc>
                <w:tcPr>
                  <w:tcW w:w="34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固态</w:t>
                  </w:r>
                </w:p>
              </w:tc>
              <w:tc>
                <w:tcPr>
                  <w:tcW w:w="878"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金属</w:t>
                  </w:r>
                </w:p>
              </w:tc>
              <w:tc>
                <w:tcPr>
                  <w:tcW w:w="374"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0.</w:t>
                  </w:r>
                  <w:r>
                    <w:rPr>
                      <w:rFonts w:hint="eastAsia"/>
                      <w:color w:val="auto"/>
                      <w:szCs w:val="21"/>
                    </w:rPr>
                    <w:t>1</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7" w:type="pct"/>
                  <w:tcMar>
                    <w:top w:w="0" w:type="dxa"/>
                    <w:left w:w="51" w:type="dxa"/>
                    <w:bottom w:w="0" w:type="dxa"/>
                    <w:right w:w="51" w:type="dxa"/>
                  </w:tcMar>
                  <w:vAlign w:val="center"/>
                </w:tcPr>
                <w:p>
                  <w:pPr>
                    <w:widowControl/>
                    <w:jc w:val="center"/>
                    <w:textAlignment w:val="center"/>
                    <w:rPr>
                      <w:color w:val="auto"/>
                      <w:szCs w:val="21"/>
                    </w:rPr>
                  </w:pPr>
                  <w:r>
                    <w:rPr>
                      <w:color w:val="auto"/>
                      <w:kern w:val="0"/>
                      <w:szCs w:val="21"/>
                      <w:lang w:bidi="ar"/>
                    </w:rPr>
                    <w:t>2</w:t>
                  </w:r>
                </w:p>
              </w:tc>
              <w:tc>
                <w:tcPr>
                  <w:tcW w:w="754"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废边角料</w:t>
                  </w:r>
                </w:p>
              </w:tc>
              <w:tc>
                <w:tcPr>
                  <w:tcW w:w="992" w:type="pct"/>
                  <w:tcMar>
                    <w:top w:w="0" w:type="dxa"/>
                    <w:left w:w="51" w:type="dxa"/>
                    <w:bottom w:w="0" w:type="dxa"/>
                    <w:right w:w="51" w:type="dxa"/>
                  </w:tcMar>
                  <w:vAlign w:val="center"/>
                </w:tcPr>
                <w:p>
                  <w:pPr>
                    <w:widowControl/>
                    <w:jc w:val="center"/>
                    <w:textAlignment w:val="center"/>
                    <w:rPr>
                      <w:snapToGrid w:val="0"/>
                      <w:color w:val="auto"/>
                      <w:kern w:val="0"/>
                      <w:szCs w:val="21"/>
                    </w:rPr>
                  </w:pPr>
                  <w:r>
                    <w:rPr>
                      <w:color w:val="auto"/>
                      <w:szCs w:val="21"/>
                    </w:rPr>
                    <w:t>冲压件工艺过程</w:t>
                  </w:r>
                </w:p>
              </w:tc>
              <w:tc>
                <w:tcPr>
                  <w:tcW w:w="344" w:type="pct"/>
                  <w:tcMar>
                    <w:top w:w="0" w:type="dxa"/>
                    <w:left w:w="51" w:type="dxa"/>
                    <w:bottom w:w="0" w:type="dxa"/>
                    <w:right w:w="51" w:type="dxa"/>
                  </w:tcMar>
                  <w:vAlign w:val="center"/>
                </w:tcPr>
                <w:p>
                  <w:pPr>
                    <w:widowControl/>
                    <w:jc w:val="center"/>
                    <w:textAlignment w:val="center"/>
                    <w:rPr>
                      <w:color w:val="auto"/>
                      <w:szCs w:val="21"/>
                    </w:rPr>
                  </w:pPr>
                  <w:r>
                    <w:rPr>
                      <w:color w:val="auto"/>
                      <w:kern w:val="0"/>
                      <w:szCs w:val="21"/>
                      <w:lang w:bidi="ar"/>
                    </w:rPr>
                    <w:t>固态</w:t>
                  </w:r>
                </w:p>
              </w:tc>
              <w:tc>
                <w:tcPr>
                  <w:tcW w:w="878" w:type="pct"/>
                  <w:tcMar>
                    <w:top w:w="0" w:type="dxa"/>
                    <w:left w:w="51" w:type="dxa"/>
                    <w:bottom w:w="0" w:type="dxa"/>
                    <w:right w:w="51" w:type="dxa"/>
                  </w:tcMar>
                  <w:vAlign w:val="center"/>
                </w:tcPr>
                <w:p>
                  <w:pPr>
                    <w:widowControl/>
                    <w:jc w:val="center"/>
                    <w:textAlignment w:val="center"/>
                    <w:rPr>
                      <w:color w:val="auto"/>
                      <w:kern w:val="0"/>
                      <w:szCs w:val="21"/>
                    </w:rPr>
                  </w:pPr>
                  <w:r>
                    <w:rPr>
                      <w:color w:val="auto"/>
                      <w:kern w:val="0"/>
                      <w:szCs w:val="21"/>
                      <w:lang w:bidi="ar"/>
                    </w:rPr>
                    <w:t>金属</w:t>
                  </w:r>
                </w:p>
              </w:tc>
              <w:tc>
                <w:tcPr>
                  <w:tcW w:w="374"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25</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restar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《固体废物鉴别标准 通则》（GB34330-2017）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37" w:type="pct"/>
                  <w:vMerge w:val="restar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3</w:t>
                  </w:r>
                </w:p>
              </w:tc>
              <w:tc>
                <w:tcPr>
                  <w:tcW w:w="754" w:type="pct"/>
                  <w:vMerge w:val="restart"/>
                  <w:tcMar>
                    <w:top w:w="0" w:type="dxa"/>
                    <w:left w:w="51" w:type="dxa"/>
                    <w:bottom w:w="0" w:type="dxa"/>
                    <w:right w:w="51" w:type="dxa"/>
                  </w:tcMar>
                  <w:vAlign w:val="center"/>
                </w:tcPr>
                <w:p>
                  <w:pPr>
                    <w:widowControl/>
                    <w:jc w:val="center"/>
                    <w:textAlignment w:val="center"/>
                    <w:rPr>
                      <w:color w:val="auto"/>
                      <w:szCs w:val="21"/>
                    </w:rPr>
                  </w:pPr>
                  <w:r>
                    <w:rPr>
                      <w:color w:val="auto"/>
                      <w:szCs w:val="21"/>
                    </w:rPr>
                    <w:t>不合格品</w:t>
                  </w:r>
                </w:p>
              </w:tc>
              <w:tc>
                <w:tcPr>
                  <w:tcW w:w="992" w:type="pct"/>
                  <w:tcMar>
                    <w:top w:w="0" w:type="dxa"/>
                    <w:left w:w="51" w:type="dxa"/>
                    <w:bottom w:w="0" w:type="dxa"/>
                    <w:right w:w="51" w:type="dxa"/>
                  </w:tcMar>
                  <w:vAlign w:val="center"/>
                </w:tcPr>
                <w:p>
                  <w:pPr>
                    <w:widowControl/>
                    <w:jc w:val="center"/>
                    <w:textAlignment w:val="center"/>
                    <w:rPr>
                      <w:snapToGrid w:val="0"/>
                      <w:color w:val="auto"/>
                      <w:kern w:val="0"/>
                      <w:szCs w:val="21"/>
                    </w:rPr>
                  </w:pPr>
                  <w:r>
                    <w:rPr>
                      <w:color w:val="auto"/>
                      <w:szCs w:val="21"/>
                    </w:rPr>
                    <w:t>冲压件工艺过程</w:t>
                  </w:r>
                </w:p>
              </w:tc>
              <w:tc>
                <w:tcPr>
                  <w:tcW w:w="344" w:type="pct"/>
                  <w:tcMar>
                    <w:top w:w="0" w:type="dxa"/>
                    <w:left w:w="51" w:type="dxa"/>
                    <w:bottom w:w="0" w:type="dxa"/>
                    <w:right w:w="51" w:type="dxa"/>
                  </w:tcMar>
                  <w:vAlign w:val="center"/>
                </w:tcPr>
                <w:p>
                  <w:pPr>
                    <w:widowControl/>
                    <w:jc w:val="center"/>
                    <w:textAlignment w:val="center"/>
                    <w:rPr>
                      <w:color w:val="auto"/>
                      <w:szCs w:val="21"/>
                    </w:rPr>
                  </w:pPr>
                  <w:r>
                    <w:rPr>
                      <w:color w:val="auto"/>
                      <w:kern w:val="0"/>
                      <w:szCs w:val="21"/>
                      <w:lang w:bidi="ar"/>
                    </w:rPr>
                    <w:t>固态</w:t>
                  </w:r>
                </w:p>
              </w:tc>
              <w:tc>
                <w:tcPr>
                  <w:tcW w:w="878" w:type="pct"/>
                  <w:vMerge w:val="restart"/>
                  <w:tcMar>
                    <w:top w:w="0" w:type="dxa"/>
                    <w:left w:w="51" w:type="dxa"/>
                    <w:bottom w:w="0" w:type="dxa"/>
                    <w:right w:w="51" w:type="dxa"/>
                  </w:tcMar>
                  <w:vAlign w:val="center"/>
                </w:tcPr>
                <w:p>
                  <w:pPr>
                    <w:widowControl/>
                    <w:jc w:val="center"/>
                    <w:textAlignment w:val="center"/>
                    <w:rPr>
                      <w:color w:val="auto"/>
                      <w:szCs w:val="21"/>
                    </w:rPr>
                  </w:pPr>
                  <w:r>
                    <w:rPr>
                      <w:color w:val="auto"/>
                      <w:kern w:val="0"/>
                      <w:szCs w:val="21"/>
                      <w:lang w:bidi="ar"/>
                    </w:rPr>
                    <w:t>金属</w:t>
                  </w:r>
                </w:p>
              </w:tc>
              <w:tc>
                <w:tcPr>
                  <w:tcW w:w="374" w:type="pct"/>
                  <w:vMerge w:val="restart"/>
                  <w:tcMar>
                    <w:top w:w="0" w:type="dxa"/>
                    <w:left w:w="51" w:type="dxa"/>
                    <w:bottom w:w="0" w:type="dxa"/>
                    <w:right w:w="51" w:type="dxa"/>
                  </w:tcMar>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21.75</w:t>
                  </w:r>
                </w:p>
              </w:tc>
              <w:tc>
                <w:tcPr>
                  <w:tcW w:w="421" w:type="pct"/>
                  <w:vMerge w:val="restar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vMerge w:val="restar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237" w:type="pct"/>
                  <w:vMerge w:val="continue"/>
                  <w:tcMar>
                    <w:top w:w="0" w:type="dxa"/>
                    <w:left w:w="51" w:type="dxa"/>
                    <w:bottom w:w="0" w:type="dxa"/>
                    <w:right w:w="51" w:type="dxa"/>
                  </w:tcMar>
                  <w:vAlign w:val="center"/>
                </w:tcPr>
                <w:p>
                  <w:pPr>
                    <w:widowControl/>
                    <w:jc w:val="center"/>
                    <w:textAlignment w:val="center"/>
                    <w:rPr>
                      <w:color w:val="auto"/>
                      <w:kern w:val="0"/>
                      <w:szCs w:val="21"/>
                      <w:lang w:bidi="ar"/>
                    </w:rPr>
                  </w:pPr>
                </w:p>
              </w:tc>
              <w:tc>
                <w:tcPr>
                  <w:tcW w:w="754" w:type="pct"/>
                  <w:vMerge w:val="continue"/>
                  <w:tcMar>
                    <w:top w:w="0" w:type="dxa"/>
                    <w:left w:w="51" w:type="dxa"/>
                    <w:bottom w:w="0" w:type="dxa"/>
                    <w:right w:w="51" w:type="dxa"/>
                  </w:tcMar>
                  <w:vAlign w:val="center"/>
                </w:tcPr>
                <w:p>
                  <w:pPr>
                    <w:widowControl/>
                    <w:jc w:val="center"/>
                    <w:textAlignment w:val="center"/>
                    <w:rPr>
                      <w:color w:val="auto"/>
                      <w:kern w:val="0"/>
                      <w:szCs w:val="21"/>
                      <w:lang w:bidi="ar"/>
                    </w:rPr>
                  </w:pPr>
                </w:p>
              </w:tc>
              <w:tc>
                <w:tcPr>
                  <w:tcW w:w="992"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喷粉工艺过程</w:t>
                  </w:r>
                </w:p>
              </w:tc>
              <w:tc>
                <w:tcPr>
                  <w:tcW w:w="34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固态</w:t>
                  </w:r>
                </w:p>
              </w:tc>
              <w:tc>
                <w:tcPr>
                  <w:tcW w:w="878" w:type="pct"/>
                  <w:vMerge w:val="continue"/>
                  <w:tcMar>
                    <w:top w:w="0" w:type="dxa"/>
                    <w:left w:w="51" w:type="dxa"/>
                    <w:bottom w:w="0" w:type="dxa"/>
                    <w:right w:w="51" w:type="dxa"/>
                  </w:tcMar>
                  <w:vAlign w:val="center"/>
                </w:tcPr>
                <w:p>
                  <w:pPr>
                    <w:widowControl/>
                    <w:jc w:val="center"/>
                    <w:textAlignment w:val="center"/>
                    <w:rPr>
                      <w:color w:val="auto"/>
                      <w:kern w:val="0"/>
                      <w:szCs w:val="21"/>
                      <w:lang w:bidi="ar"/>
                    </w:rPr>
                  </w:pPr>
                </w:p>
              </w:tc>
              <w:tc>
                <w:tcPr>
                  <w:tcW w:w="374" w:type="pct"/>
                  <w:vMerge w:val="continue"/>
                  <w:tcMar>
                    <w:top w:w="0" w:type="dxa"/>
                    <w:left w:w="51" w:type="dxa"/>
                    <w:bottom w:w="0" w:type="dxa"/>
                    <w:right w:w="51" w:type="dxa"/>
                  </w:tcMar>
                  <w:vAlign w:val="center"/>
                </w:tcPr>
                <w:p>
                  <w:pPr>
                    <w:widowControl/>
                    <w:jc w:val="center"/>
                    <w:textAlignment w:val="center"/>
                    <w:rPr>
                      <w:color w:val="auto"/>
                      <w:szCs w:val="21"/>
                    </w:rPr>
                  </w:pPr>
                </w:p>
              </w:tc>
              <w:tc>
                <w:tcPr>
                  <w:tcW w:w="421" w:type="pct"/>
                  <w:vMerge w:val="continue"/>
                  <w:tcMar>
                    <w:top w:w="0" w:type="dxa"/>
                    <w:left w:w="51" w:type="dxa"/>
                    <w:bottom w:w="0" w:type="dxa"/>
                    <w:right w:w="51" w:type="dxa"/>
                  </w:tcMar>
                  <w:vAlign w:val="center"/>
                </w:tcPr>
                <w:p>
                  <w:pPr>
                    <w:adjustRightInd w:val="0"/>
                    <w:snapToGrid w:val="0"/>
                    <w:ind w:left="-105" w:leftChars="-50" w:right="-105" w:rightChars="-50"/>
                    <w:jc w:val="center"/>
                    <w:rPr>
                      <w:color w:val="auto"/>
                      <w:szCs w:val="21"/>
                    </w:rPr>
                  </w:pPr>
                </w:p>
              </w:tc>
              <w:tc>
                <w:tcPr>
                  <w:tcW w:w="300"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237" w:type="pct"/>
                  <w:vMerge w:val="continue"/>
                  <w:tcMar>
                    <w:top w:w="0" w:type="dxa"/>
                    <w:left w:w="51" w:type="dxa"/>
                    <w:bottom w:w="0" w:type="dxa"/>
                    <w:right w:w="51" w:type="dxa"/>
                  </w:tcMar>
                  <w:vAlign w:val="center"/>
                </w:tcPr>
                <w:p>
                  <w:pPr>
                    <w:widowControl/>
                    <w:jc w:val="center"/>
                    <w:textAlignment w:val="center"/>
                    <w:rPr>
                      <w:color w:val="auto"/>
                      <w:kern w:val="0"/>
                      <w:szCs w:val="21"/>
                      <w:lang w:bidi="ar"/>
                    </w:rPr>
                  </w:pPr>
                </w:p>
              </w:tc>
              <w:tc>
                <w:tcPr>
                  <w:tcW w:w="754" w:type="pct"/>
                  <w:vMerge w:val="continue"/>
                  <w:tcMar>
                    <w:top w:w="0" w:type="dxa"/>
                    <w:left w:w="51" w:type="dxa"/>
                    <w:bottom w:w="0" w:type="dxa"/>
                    <w:right w:w="51" w:type="dxa"/>
                  </w:tcMar>
                  <w:vAlign w:val="center"/>
                </w:tcPr>
                <w:p>
                  <w:pPr>
                    <w:widowControl/>
                    <w:jc w:val="center"/>
                    <w:textAlignment w:val="center"/>
                    <w:rPr>
                      <w:color w:val="auto"/>
                      <w:kern w:val="0"/>
                      <w:szCs w:val="21"/>
                      <w:lang w:bidi="ar"/>
                    </w:rPr>
                  </w:pPr>
                </w:p>
              </w:tc>
              <w:tc>
                <w:tcPr>
                  <w:tcW w:w="992"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模具生产</w:t>
                  </w:r>
                </w:p>
              </w:tc>
              <w:tc>
                <w:tcPr>
                  <w:tcW w:w="34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固态</w:t>
                  </w:r>
                </w:p>
              </w:tc>
              <w:tc>
                <w:tcPr>
                  <w:tcW w:w="878" w:type="pct"/>
                  <w:vMerge w:val="continue"/>
                  <w:tcMar>
                    <w:top w:w="0" w:type="dxa"/>
                    <w:left w:w="51" w:type="dxa"/>
                    <w:bottom w:w="0" w:type="dxa"/>
                    <w:right w:w="51" w:type="dxa"/>
                  </w:tcMar>
                  <w:vAlign w:val="center"/>
                </w:tcPr>
                <w:p>
                  <w:pPr>
                    <w:widowControl/>
                    <w:jc w:val="center"/>
                    <w:textAlignment w:val="center"/>
                    <w:rPr>
                      <w:color w:val="auto"/>
                      <w:kern w:val="0"/>
                      <w:szCs w:val="21"/>
                      <w:lang w:bidi="ar"/>
                    </w:rPr>
                  </w:pPr>
                </w:p>
              </w:tc>
              <w:tc>
                <w:tcPr>
                  <w:tcW w:w="374" w:type="pct"/>
                  <w:vMerge w:val="continue"/>
                  <w:tcMar>
                    <w:top w:w="0" w:type="dxa"/>
                    <w:left w:w="51" w:type="dxa"/>
                    <w:bottom w:w="0" w:type="dxa"/>
                    <w:right w:w="51" w:type="dxa"/>
                  </w:tcMar>
                  <w:vAlign w:val="center"/>
                </w:tcPr>
                <w:p>
                  <w:pPr>
                    <w:widowControl/>
                    <w:jc w:val="center"/>
                    <w:textAlignment w:val="center"/>
                    <w:rPr>
                      <w:color w:val="auto"/>
                      <w:szCs w:val="21"/>
                    </w:rPr>
                  </w:pPr>
                </w:p>
              </w:tc>
              <w:tc>
                <w:tcPr>
                  <w:tcW w:w="421" w:type="pct"/>
                  <w:vMerge w:val="continue"/>
                  <w:tcMar>
                    <w:top w:w="0" w:type="dxa"/>
                    <w:left w:w="51" w:type="dxa"/>
                    <w:bottom w:w="0" w:type="dxa"/>
                    <w:right w:w="51" w:type="dxa"/>
                  </w:tcMar>
                  <w:vAlign w:val="center"/>
                </w:tcPr>
                <w:p>
                  <w:pPr>
                    <w:adjustRightInd w:val="0"/>
                    <w:snapToGrid w:val="0"/>
                    <w:ind w:left="-105" w:leftChars="-50" w:right="-105" w:rightChars="-50"/>
                    <w:jc w:val="center"/>
                    <w:rPr>
                      <w:color w:val="auto"/>
                      <w:szCs w:val="21"/>
                    </w:rPr>
                  </w:pPr>
                </w:p>
              </w:tc>
              <w:tc>
                <w:tcPr>
                  <w:tcW w:w="300"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237"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4</w:t>
                  </w:r>
                </w:p>
              </w:tc>
              <w:tc>
                <w:tcPr>
                  <w:tcW w:w="754" w:type="pct"/>
                  <w:tcMar>
                    <w:top w:w="0" w:type="dxa"/>
                    <w:left w:w="51" w:type="dxa"/>
                    <w:bottom w:w="0" w:type="dxa"/>
                    <w:right w:w="51" w:type="dxa"/>
                  </w:tcMar>
                  <w:vAlign w:val="center"/>
                </w:tcPr>
                <w:p>
                  <w:pPr>
                    <w:widowControl/>
                    <w:jc w:val="center"/>
                    <w:textAlignment w:val="center"/>
                    <w:rPr>
                      <w:color w:val="auto"/>
                      <w:kern w:val="0"/>
                      <w:szCs w:val="21"/>
                      <w:lang w:bidi="ar"/>
                    </w:rPr>
                  </w:pPr>
                  <w:r>
                    <w:rPr>
                      <w:rFonts w:hint="eastAsia"/>
                      <w:color w:val="auto"/>
                      <w:szCs w:val="21"/>
                    </w:rPr>
                    <w:t>钢屑</w:t>
                  </w:r>
                </w:p>
              </w:tc>
              <w:tc>
                <w:tcPr>
                  <w:tcW w:w="992"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szCs w:val="21"/>
                    </w:rPr>
                    <w:t>模具生产</w:t>
                  </w:r>
                </w:p>
              </w:tc>
              <w:tc>
                <w:tcPr>
                  <w:tcW w:w="34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固态</w:t>
                  </w:r>
                </w:p>
              </w:tc>
              <w:tc>
                <w:tcPr>
                  <w:tcW w:w="878"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金属</w:t>
                  </w:r>
                </w:p>
              </w:tc>
              <w:tc>
                <w:tcPr>
                  <w:tcW w:w="374"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0.5</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237"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5</w:t>
                  </w:r>
                </w:p>
              </w:tc>
              <w:tc>
                <w:tcPr>
                  <w:tcW w:w="754" w:type="pct"/>
                  <w:tcMar>
                    <w:top w:w="0" w:type="dxa"/>
                    <w:left w:w="51" w:type="dxa"/>
                    <w:bottom w:w="0" w:type="dxa"/>
                    <w:right w:w="51" w:type="dxa"/>
                  </w:tcMar>
                  <w:vAlign w:val="center"/>
                </w:tcPr>
                <w:p>
                  <w:pPr>
                    <w:widowControl/>
                    <w:jc w:val="center"/>
                    <w:textAlignment w:val="center"/>
                    <w:rPr>
                      <w:color w:val="auto"/>
                      <w:kern w:val="0"/>
                      <w:szCs w:val="21"/>
                      <w:lang w:bidi="ar"/>
                    </w:rPr>
                  </w:pPr>
                  <w:r>
                    <w:rPr>
                      <w:rFonts w:hint="eastAsia"/>
                      <w:color w:val="auto"/>
                      <w:kern w:val="0"/>
                      <w:szCs w:val="21"/>
                      <w:lang w:bidi="ar"/>
                    </w:rPr>
                    <w:t>脱脂废渣（液）</w:t>
                  </w:r>
                </w:p>
              </w:tc>
              <w:tc>
                <w:tcPr>
                  <w:tcW w:w="992"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预脱脂槽、脱脂槽</w:t>
                  </w:r>
                </w:p>
              </w:tc>
              <w:tc>
                <w:tcPr>
                  <w:tcW w:w="34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液态</w:t>
                  </w:r>
                </w:p>
              </w:tc>
              <w:tc>
                <w:tcPr>
                  <w:tcW w:w="878"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脱脂液、脱脂助剂</w:t>
                  </w:r>
                </w:p>
              </w:tc>
              <w:tc>
                <w:tcPr>
                  <w:tcW w:w="374" w:type="pct"/>
                  <w:tcMar>
                    <w:top w:w="0" w:type="dxa"/>
                    <w:left w:w="51" w:type="dxa"/>
                    <w:bottom w:w="0" w:type="dxa"/>
                    <w:right w:w="51" w:type="dxa"/>
                  </w:tcMar>
                  <w:vAlign w:val="center"/>
                </w:tcPr>
                <w:p>
                  <w:pPr>
                    <w:widowControl/>
                    <w:jc w:val="center"/>
                    <w:textAlignment w:val="center"/>
                    <w:rPr>
                      <w:color w:val="auto"/>
                      <w:szCs w:val="21"/>
                    </w:rPr>
                  </w:pPr>
                  <w:r>
                    <w:rPr>
                      <w:rFonts w:hint="eastAsia"/>
                      <w:color w:val="auto"/>
                      <w:szCs w:val="21"/>
                    </w:rPr>
                    <w:t>12.4</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237"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6</w:t>
                  </w:r>
                </w:p>
              </w:tc>
              <w:tc>
                <w:tcPr>
                  <w:tcW w:w="754" w:type="pct"/>
                  <w:tcMar>
                    <w:top w:w="0" w:type="dxa"/>
                    <w:left w:w="51" w:type="dxa"/>
                    <w:bottom w:w="0" w:type="dxa"/>
                    <w:right w:w="51" w:type="dxa"/>
                  </w:tcMar>
                  <w:vAlign w:val="center"/>
                </w:tcPr>
                <w:p>
                  <w:pPr>
                    <w:widowControl/>
                    <w:jc w:val="center"/>
                    <w:textAlignment w:val="center"/>
                    <w:rPr>
                      <w:color w:val="auto"/>
                      <w:kern w:val="0"/>
                      <w:szCs w:val="21"/>
                      <w:lang w:bidi="ar"/>
                    </w:rPr>
                  </w:pPr>
                  <w:r>
                    <w:rPr>
                      <w:rFonts w:hint="eastAsia"/>
                      <w:color w:val="auto"/>
                      <w:szCs w:val="21"/>
                    </w:rPr>
                    <w:t>陶化废渣（液）</w:t>
                  </w:r>
                </w:p>
              </w:tc>
              <w:tc>
                <w:tcPr>
                  <w:tcW w:w="992" w:type="pct"/>
                  <w:tcMar>
                    <w:top w:w="0" w:type="dxa"/>
                    <w:left w:w="51" w:type="dxa"/>
                    <w:bottom w:w="0" w:type="dxa"/>
                    <w:right w:w="51" w:type="dxa"/>
                  </w:tcMar>
                  <w:vAlign w:val="center"/>
                </w:tcPr>
                <w:p>
                  <w:pPr>
                    <w:widowControl/>
                    <w:jc w:val="center"/>
                    <w:textAlignment w:val="center"/>
                    <w:rPr>
                      <w:color w:val="auto"/>
                      <w:kern w:val="0"/>
                      <w:szCs w:val="21"/>
                      <w:lang w:bidi="ar"/>
                    </w:rPr>
                  </w:pPr>
                  <w:r>
                    <w:rPr>
                      <w:rFonts w:hint="eastAsia"/>
                      <w:color w:val="auto"/>
                      <w:kern w:val="0"/>
                      <w:szCs w:val="21"/>
                      <w:lang w:bidi="ar"/>
                    </w:rPr>
                    <w:t>陶化工序</w:t>
                  </w:r>
                </w:p>
              </w:tc>
              <w:tc>
                <w:tcPr>
                  <w:tcW w:w="34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液态</w:t>
                  </w:r>
                </w:p>
              </w:tc>
              <w:tc>
                <w:tcPr>
                  <w:tcW w:w="878" w:type="pct"/>
                  <w:tcMar>
                    <w:top w:w="0" w:type="dxa"/>
                    <w:left w:w="51" w:type="dxa"/>
                    <w:bottom w:w="0" w:type="dxa"/>
                    <w:right w:w="51" w:type="dxa"/>
                  </w:tcMar>
                  <w:vAlign w:val="center"/>
                </w:tcPr>
                <w:p>
                  <w:pPr>
                    <w:widowControl/>
                    <w:jc w:val="center"/>
                    <w:textAlignment w:val="center"/>
                    <w:rPr>
                      <w:color w:val="auto"/>
                      <w:kern w:val="0"/>
                      <w:szCs w:val="21"/>
                      <w:lang w:bidi="ar"/>
                    </w:rPr>
                  </w:pPr>
                  <w:r>
                    <w:rPr>
                      <w:rFonts w:hint="eastAsia"/>
                      <w:color w:val="auto"/>
                      <w:szCs w:val="21"/>
                    </w:rPr>
                    <w:t>无磷转化剂、硅烷转化剂</w:t>
                  </w:r>
                </w:p>
              </w:tc>
              <w:tc>
                <w:tcPr>
                  <w:tcW w:w="374" w:type="pct"/>
                  <w:tcMar>
                    <w:top w:w="0" w:type="dxa"/>
                    <w:left w:w="51" w:type="dxa"/>
                    <w:bottom w:w="0" w:type="dxa"/>
                    <w:right w:w="51" w:type="dxa"/>
                  </w:tcMar>
                  <w:vAlign w:val="center"/>
                </w:tcPr>
                <w:p>
                  <w:pPr>
                    <w:widowControl/>
                    <w:jc w:val="center"/>
                    <w:textAlignment w:val="center"/>
                    <w:rPr>
                      <w:color w:val="auto"/>
                      <w:szCs w:val="21"/>
                    </w:rPr>
                  </w:pPr>
                  <w:r>
                    <w:rPr>
                      <w:rFonts w:hint="eastAsia"/>
                      <w:color w:val="auto"/>
                      <w:szCs w:val="21"/>
                    </w:rPr>
                    <w:t>2.5</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237" w:type="pct"/>
                  <w:tcMar>
                    <w:top w:w="0" w:type="dxa"/>
                    <w:left w:w="51" w:type="dxa"/>
                    <w:bottom w:w="0" w:type="dxa"/>
                    <w:right w:w="51" w:type="dxa"/>
                  </w:tcMar>
                  <w:vAlign w:val="center"/>
                </w:tcPr>
                <w:p>
                  <w:pPr>
                    <w:widowControl/>
                    <w:jc w:val="center"/>
                    <w:textAlignment w:val="center"/>
                    <w:rPr>
                      <w:color w:val="auto"/>
                      <w:kern w:val="0"/>
                      <w:szCs w:val="21"/>
                      <w:lang w:bidi="ar"/>
                    </w:rPr>
                  </w:pPr>
                  <w:r>
                    <w:rPr>
                      <w:rFonts w:hint="eastAsia"/>
                      <w:color w:val="auto"/>
                      <w:kern w:val="0"/>
                      <w:szCs w:val="21"/>
                      <w:lang w:bidi="ar"/>
                    </w:rPr>
                    <w:t>7</w:t>
                  </w:r>
                </w:p>
              </w:tc>
              <w:tc>
                <w:tcPr>
                  <w:tcW w:w="75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废塑粉</w:t>
                  </w:r>
                </w:p>
              </w:tc>
              <w:tc>
                <w:tcPr>
                  <w:tcW w:w="992"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szCs w:val="21"/>
                    </w:rPr>
                    <w:t>喷粉工序</w:t>
                  </w:r>
                </w:p>
              </w:tc>
              <w:tc>
                <w:tcPr>
                  <w:tcW w:w="34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固态</w:t>
                  </w:r>
                </w:p>
              </w:tc>
              <w:tc>
                <w:tcPr>
                  <w:tcW w:w="878"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塑粉</w:t>
                  </w:r>
                </w:p>
              </w:tc>
              <w:tc>
                <w:tcPr>
                  <w:tcW w:w="374" w:type="pct"/>
                  <w:tcMar>
                    <w:top w:w="0" w:type="dxa"/>
                    <w:left w:w="51" w:type="dxa"/>
                    <w:bottom w:w="0" w:type="dxa"/>
                    <w:right w:w="51" w:type="dxa"/>
                  </w:tcMar>
                  <w:vAlign w:val="center"/>
                </w:tcPr>
                <w:p>
                  <w:pPr>
                    <w:widowControl/>
                    <w:jc w:val="center"/>
                    <w:textAlignment w:val="center"/>
                    <w:rPr>
                      <w:color w:val="auto"/>
                      <w:szCs w:val="21"/>
                    </w:rPr>
                  </w:pPr>
                  <w:r>
                    <w:rPr>
                      <w:rFonts w:hint="eastAsia"/>
                      <w:color w:val="auto"/>
                      <w:szCs w:val="21"/>
                    </w:rPr>
                    <w:t>4</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237" w:type="pct"/>
                  <w:tcMar>
                    <w:top w:w="0" w:type="dxa"/>
                    <w:left w:w="51" w:type="dxa"/>
                    <w:bottom w:w="0" w:type="dxa"/>
                    <w:right w:w="51" w:type="dxa"/>
                  </w:tcMar>
                  <w:vAlign w:val="center"/>
                </w:tcPr>
                <w:p>
                  <w:pPr>
                    <w:widowControl/>
                    <w:jc w:val="center"/>
                    <w:textAlignment w:val="center"/>
                    <w:rPr>
                      <w:color w:val="auto"/>
                      <w:kern w:val="0"/>
                      <w:szCs w:val="21"/>
                      <w:lang w:bidi="ar"/>
                    </w:rPr>
                  </w:pPr>
                  <w:r>
                    <w:rPr>
                      <w:rFonts w:hint="eastAsia"/>
                      <w:color w:val="auto"/>
                      <w:kern w:val="0"/>
                      <w:szCs w:val="21"/>
                      <w:lang w:bidi="ar"/>
                    </w:rPr>
                    <w:t>8</w:t>
                  </w:r>
                </w:p>
              </w:tc>
              <w:tc>
                <w:tcPr>
                  <w:tcW w:w="75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废包装桶</w:t>
                  </w:r>
                </w:p>
              </w:tc>
              <w:tc>
                <w:tcPr>
                  <w:tcW w:w="992"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szCs w:val="21"/>
                    </w:rPr>
                    <w:t>脱脂剂、脱脂助剂、无磷转化液、硅烷化处理剂等使用过程会产生废包装桶</w:t>
                  </w:r>
                </w:p>
              </w:tc>
              <w:tc>
                <w:tcPr>
                  <w:tcW w:w="34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固态</w:t>
                  </w:r>
                </w:p>
              </w:tc>
              <w:tc>
                <w:tcPr>
                  <w:tcW w:w="878"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szCs w:val="21"/>
                    </w:rPr>
                    <w:t>脂剂、脱脂助剂、无磷转化液、硅烷化处理剂等</w:t>
                  </w:r>
                </w:p>
              </w:tc>
              <w:tc>
                <w:tcPr>
                  <w:tcW w:w="374" w:type="pct"/>
                  <w:tcMar>
                    <w:top w:w="0" w:type="dxa"/>
                    <w:left w:w="51" w:type="dxa"/>
                    <w:bottom w:w="0" w:type="dxa"/>
                    <w:right w:w="51" w:type="dxa"/>
                  </w:tcMar>
                  <w:vAlign w:val="center"/>
                </w:tcPr>
                <w:p>
                  <w:pPr>
                    <w:widowControl/>
                    <w:jc w:val="center"/>
                    <w:textAlignment w:val="center"/>
                    <w:rPr>
                      <w:rFonts w:hint="eastAsia" w:eastAsia="宋体"/>
                      <w:color w:val="auto"/>
                      <w:szCs w:val="21"/>
                      <w:lang w:eastAsia="zh-CN"/>
                    </w:rPr>
                  </w:pPr>
                  <w:r>
                    <w:rPr>
                      <w:rFonts w:hint="eastAsia"/>
                      <w:color w:val="auto"/>
                      <w:szCs w:val="21"/>
                      <w:lang w:val="en-US" w:eastAsia="zh-CN"/>
                    </w:rPr>
                    <w:t>1</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237" w:type="pct"/>
                  <w:tcMar>
                    <w:top w:w="0" w:type="dxa"/>
                    <w:left w:w="51" w:type="dxa"/>
                    <w:bottom w:w="0" w:type="dxa"/>
                    <w:right w:w="51" w:type="dxa"/>
                  </w:tcMar>
                  <w:vAlign w:val="center"/>
                </w:tcPr>
                <w:p>
                  <w:pPr>
                    <w:widowControl/>
                    <w:jc w:val="center"/>
                    <w:textAlignment w:val="center"/>
                    <w:rPr>
                      <w:color w:val="auto"/>
                      <w:kern w:val="0"/>
                      <w:szCs w:val="21"/>
                      <w:lang w:bidi="ar"/>
                    </w:rPr>
                  </w:pPr>
                  <w:r>
                    <w:rPr>
                      <w:rFonts w:hint="eastAsia"/>
                      <w:color w:val="auto"/>
                      <w:kern w:val="0"/>
                      <w:szCs w:val="21"/>
                      <w:lang w:bidi="ar"/>
                    </w:rPr>
                    <w:t>9</w:t>
                  </w:r>
                </w:p>
              </w:tc>
              <w:tc>
                <w:tcPr>
                  <w:tcW w:w="75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szCs w:val="21"/>
                    </w:rPr>
                    <w:t>废包装材料</w:t>
                  </w:r>
                </w:p>
              </w:tc>
              <w:tc>
                <w:tcPr>
                  <w:tcW w:w="992"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塑粉包装物</w:t>
                  </w:r>
                </w:p>
              </w:tc>
              <w:tc>
                <w:tcPr>
                  <w:tcW w:w="34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固态</w:t>
                  </w:r>
                </w:p>
              </w:tc>
              <w:tc>
                <w:tcPr>
                  <w:tcW w:w="878" w:type="pct"/>
                  <w:tcMar>
                    <w:top w:w="0" w:type="dxa"/>
                    <w:left w:w="51" w:type="dxa"/>
                    <w:bottom w:w="0" w:type="dxa"/>
                    <w:right w:w="51" w:type="dxa"/>
                  </w:tcMar>
                  <w:vAlign w:val="center"/>
                </w:tcPr>
                <w:p>
                  <w:pPr>
                    <w:widowControl/>
                    <w:jc w:val="center"/>
                    <w:textAlignment w:val="center"/>
                    <w:rPr>
                      <w:color w:val="auto"/>
                      <w:kern w:val="0"/>
                      <w:szCs w:val="21"/>
                      <w:lang w:bidi="ar"/>
                    </w:rPr>
                  </w:pPr>
                  <w:r>
                    <w:rPr>
                      <w:rFonts w:hint="eastAsia"/>
                      <w:color w:val="auto"/>
                      <w:kern w:val="0"/>
                      <w:szCs w:val="21"/>
                      <w:lang w:bidi="ar"/>
                    </w:rPr>
                    <w:t>沾染</w:t>
                  </w:r>
                  <w:r>
                    <w:rPr>
                      <w:color w:val="auto"/>
                      <w:kern w:val="0"/>
                      <w:szCs w:val="21"/>
                      <w:lang w:bidi="ar"/>
                    </w:rPr>
                    <w:t>塑粉</w:t>
                  </w:r>
                </w:p>
              </w:tc>
              <w:tc>
                <w:tcPr>
                  <w:tcW w:w="374"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0.8</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237"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1</w:t>
                  </w:r>
                  <w:r>
                    <w:rPr>
                      <w:rFonts w:hint="eastAsia"/>
                      <w:color w:val="auto"/>
                      <w:kern w:val="0"/>
                      <w:szCs w:val="21"/>
                      <w:lang w:bidi="ar"/>
                    </w:rPr>
                    <w:t>0</w:t>
                  </w:r>
                </w:p>
              </w:tc>
              <w:tc>
                <w:tcPr>
                  <w:tcW w:w="754"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废活性炭</w:t>
                  </w:r>
                </w:p>
              </w:tc>
              <w:tc>
                <w:tcPr>
                  <w:tcW w:w="992"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有机废气处理</w:t>
                  </w:r>
                </w:p>
              </w:tc>
              <w:tc>
                <w:tcPr>
                  <w:tcW w:w="344" w:type="pct"/>
                  <w:tcMar>
                    <w:top w:w="0" w:type="dxa"/>
                    <w:left w:w="51" w:type="dxa"/>
                    <w:bottom w:w="0" w:type="dxa"/>
                    <w:right w:w="51" w:type="dxa"/>
                  </w:tcMar>
                  <w:vAlign w:val="center"/>
                </w:tcPr>
                <w:p>
                  <w:pPr>
                    <w:widowControl/>
                    <w:jc w:val="center"/>
                    <w:textAlignment w:val="center"/>
                    <w:rPr>
                      <w:color w:val="auto"/>
                      <w:szCs w:val="21"/>
                    </w:rPr>
                  </w:pPr>
                  <w:r>
                    <w:rPr>
                      <w:color w:val="auto"/>
                      <w:kern w:val="0"/>
                      <w:szCs w:val="21"/>
                      <w:lang w:bidi="ar"/>
                    </w:rPr>
                    <w:t>固态</w:t>
                  </w:r>
                </w:p>
              </w:tc>
              <w:tc>
                <w:tcPr>
                  <w:tcW w:w="878" w:type="pct"/>
                  <w:tcMar>
                    <w:top w:w="0" w:type="dxa"/>
                    <w:left w:w="51" w:type="dxa"/>
                    <w:bottom w:w="0" w:type="dxa"/>
                    <w:right w:w="51" w:type="dxa"/>
                  </w:tcMar>
                  <w:vAlign w:val="center"/>
                </w:tcPr>
                <w:p>
                  <w:pPr>
                    <w:widowControl/>
                    <w:jc w:val="center"/>
                    <w:textAlignment w:val="center"/>
                    <w:rPr>
                      <w:bCs/>
                      <w:color w:val="auto"/>
                      <w:szCs w:val="21"/>
                    </w:rPr>
                  </w:pPr>
                  <w:r>
                    <w:rPr>
                      <w:bCs/>
                      <w:color w:val="auto"/>
                      <w:szCs w:val="21"/>
                    </w:rPr>
                    <w:t>有机废气</w:t>
                  </w:r>
                </w:p>
              </w:tc>
              <w:tc>
                <w:tcPr>
                  <w:tcW w:w="374" w:type="pct"/>
                  <w:tcMar>
                    <w:top w:w="0" w:type="dxa"/>
                    <w:left w:w="51" w:type="dxa"/>
                    <w:bottom w:w="0" w:type="dxa"/>
                    <w:right w:w="51" w:type="dxa"/>
                  </w:tcMar>
                  <w:vAlign w:val="center"/>
                </w:tcPr>
                <w:p>
                  <w:pPr>
                    <w:widowControl/>
                    <w:jc w:val="center"/>
                    <w:textAlignment w:val="center"/>
                    <w:rPr>
                      <w:color w:val="auto"/>
                      <w:szCs w:val="21"/>
                    </w:rPr>
                  </w:pPr>
                  <w:r>
                    <w:rPr>
                      <w:rFonts w:hint="eastAsia"/>
                      <w:color w:val="auto"/>
                      <w:szCs w:val="21"/>
                    </w:rPr>
                    <w:t>3.2617</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8" w:hRule="atLeast"/>
                <w:jc w:val="center"/>
              </w:trPr>
              <w:tc>
                <w:tcPr>
                  <w:tcW w:w="237" w:type="pct"/>
                  <w:tcMar>
                    <w:top w:w="0" w:type="dxa"/>
                    <w:left w:w="51" w:type="dxa"/>
                    <w:bottom w:w="0" w:type="dxa"/>
                    <w:right w:w="51" w:type="dxa"/>
                  </w:tcMar>
                  <w:vAlign w:val="center"/>
                </w:tcPr>
                <w:p>
                  <w:pPr>
                    <w:widowControl/>
                    <w:jc w:val="center"/>
                    <w:textAlignment w:val="center"/>
                    <w:rPr>
                      <w:color w:val="auto"/>
                      <w:kern w:val="0"/>
                      <w:szCs w:val="21"/>
                      <w:lang w:bidi="ar"/>
                    </w:rPr>
                  </w:pPr>
                  <w:r>
                    <w:rPr>
                      <w:rFonts w:hint="eastAsia"/>
                      <w:color w:val="auto"/>
                      <w:kern w:val="0"/>
                      <w:szCs w:val="21"/>
                      <w:lang w:bidi="ar"/>
                    </w:rPr>
                    <w:t>11</w:t>
                  </w:r>
                </w:p>
              </w:tc>
              <w:tc>
                <w:tcPr>
                  <w:tcW w:w="75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废油</w:t>
                  </w:r>
                </w:p>
              </w:tc>
              <w:tc>
                <w:tcPr>
                  <w:tcW w:w="992"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szCs w:val="21"/>
                    </w:rPr>
                    <w:t>设备维护保养过程产生废液压油、废润滑油</w:t>
                  </w:r>
                </w:p>
              </w:tc>
              <w:tc>
                <w:tcPr>
                  <w:tcW w:w="34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液态</w:t>
                  </w:r>
                </w:p>
              </w:tc>
              <w:tc>
                <w:tcPr>
                  <w:tcW w:w="878" w:type="pct"/>
                  <w:tcMar>
                    <w:top w:w="0" w:type="dxa"/>
                    <w:left w:w="51" w:type="dxa"/>
                    <w:bottom w:w="0" w:type="dxa"/>
                    <w:right w:w="51" w:type="dxa"/>
                  </w:tcMar>
                  <w:vAlign w:val="center"/>
                </w:tcPr>
                <w:p>
                  <w:pPr>
                    <w:widowControl/>
                    <w:jc w:val="center"/>
                    <w:textAlignment w:val="center"/>
                    <w:rPr>
                      <w:color w:val="auto"/>
                      <w:kern w:val="0"/>
                      <w:szCs w:val="21"/>
                      <w:lang w:bidi="ar"/>
                    </w:rPr>
                  </w:pPr>
                  <w:r>
                    <w:rPr>
                      <w:rFonts w:hint="eastAsia"/>
                      <w:color w:val="auto"/>
                      <w:kern w:val="0"/>
                      <w:szCs w:val="21"/>
                      <w:lang w:bidi="ar"/>
                    </w:rPr>
                    <w:t>油</w:t>
                  </w:r>
                </w:p>
              </w:tc>
              <w:tc>
                <w:tcPr>
                  <w:tcW w:w="374" w:type="pct"/>
                  <w:tcMar>
                    <w:top w:w="0" w:type="dxa"/>
                    <w:left w:w="51" w:type="dxa"/>
                    <w:bottom w:w="0" w:type="dxa"/>
                    <w:right w:w="51" w:type="dxa"/>
                  </w:tcMar>
                  <w:vAlign w:val="center"/>
                </w:tcPr>
                <w:p>
                  <w:pPr>
                    <w:widowControl/>
                    <w:jc w:val="center"/>
                    <w:textAlignment w:val="center"/>
                    <w:rPr>
                      <w:rFonts w:hint="eastAsia" w:eastAsia="宋体"/>
                      <w:color w:val="auto"/>
                      <w:szCs w:val="21"/>
                      <w:lang w:eastAsia="zh-CN"/>
                    </w:rPr>
                  </w:pPr>
                  <w:r>
                    <w:rPr>
                      <w:color w:val="auto"/>
                      <w:szCs w:val="21"/>
                    </w:rPr>
                    <w:t>0.0</w:t>
                  </w:r>
                  <w:r>
                    <w:rPr>
                      <w:rFonts w:hint="eastAsia"/>
                      <w:color w:val="auto"/>
                      <w:szCs w:val="21"/>
                      <w:lang w:val="en-US" w:eastAsia="zh-CN"/>
                    </w:rPr>
                    <w:t>6</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237"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1</w:t>
                  </w:r>
                  <w:r>
                    <w:rPr>
                      <w:rFonts w:hint="eastAsia"/>
                      <w:color w:val="auto"/>
                      <w:kern w:val="0"/>
                      <w:szCs w:val="21"/>
                      <w:lang w:bidi="ar"/>
                    </w:rPr>
                    <w:t>2</w:t>
                  </w:r>
                </w:p>
              </w:tc>
              <w:tc>
                <w:tcPr>
                  <w:tcW w:w="75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szCs w:val="21"/>
                    </w:rPr>
                    <w:t>含油废抹布手套</w:t>
                  </w:r>
                </w:p>
              </w:tc>
              <w:tc>
                <w:tcPr>
                  <w:tcW w:w="992"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生产过程、维护保养过程</w:t>
                  </w:r>
                </w:p>
              </w:tc>
              <w:tc>
                <w:tcPr>
                  <w:tcW w:w="34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固态</w:t>
                  </w:r>
                </w:p>
              </w:tc>
              <w:tc>
                <w:tcPr>
                  <w:tcW w:w="878"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油</w:t>
                  </w:r>
                </w:p>
              </w:tc>
              <w:tc>
                <w:tcPr>
                  <w:tcW w:w="374"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1</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237"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kern w:val="0"/>
                      <w:szCs w:val="21"/>
                      <w:lang w:bidi="ar"/>
                    </w:rPr>
                    <w:t>1</w:t>
                  </w:r>
                  <w:r>
                    <w:rPr>
                      <w:rFonts w:hint="eastAsia"/>
                      <w:color w:val="auto"/>
                      <w:kern w:val="0"/>
                      <w:szCs w:val="21"/>
                      <w:lang w:bidi="ar"/>
                    </w:rPr>
                    <w:t>3</w:t>
                  </w:r>
                </w:p>
              </w:tc>
              <w:tc>
                <w:tcPr>
                  <w:tcW w:w="75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szCs w:val="21"/>
                    </w:rPr>
                    <w:t>废油类包装桶</w:t>
                  </w:r>
                </w:p>
              </w:tc>
              <w:tc>
                <w:tcPr>
                  <w:tcW w:w="992"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维护保养过程</w:t>
                  </w:r>
                </w:p>
              </w:tc>
              <w:tc>
                <w:tcPr>
                  <w:tcW w:w="344" w:type="pct"/>
                  <w:tcMar>
                    <w:top w:w="0" w:type="dxa"/>
                    <w:left w:w="51" w:type="dxa"/>
                    <w:bottom w:w="0" w:type="dxa"/>
                    <w:right w:w="51" w:type="dxa"/>
                  </w:tcMar>
                  <w:vAlign w:val="center"/>
                </w:tcPr>
                <w:p>
                  <w:pPr>
                    <w:widowControl/>
                    <w:jc w:val="center"/>
                    <w:textAlignment w:val="center"/>
                    <w:rPr>
                      <w:color w:val="auto"/>
                      <w:szCs w:val="21"/>
                    </w:rPr>
                  </w:pPr>
                  <w:r>
                    <w:rPr>
                      <w:color w:val="auto"/>
                      <w:kern w:val="0"/>
                      <w:szCs w:val="21"/>
                      <w:lang w:bidi="ar"/>
                    </w:rPr>
                    <w:t>固态</w:t>
                  </w:r>
                </w:p>
              </w:tc>
              <w:tc>
                <w:tcPr>
                  <w:tcW w:w="878" w:type="pct"/>
                  <w:tcMar>
                    <w:top w:w="0" w:type="dxa"/>
                    <w:left w:w="51" w:type="dxa"/>
                    <w:bottom w:w="0" w:type="dxa"/>
                    <w:right w:w="51" w:type="dxa"/>
                  </w:tcMar>
                  <w:vAlign w:val="center"/>
                </w:tcPr>
                <w:p>
                  <w:pPr>
                    <w:widowControl/>
                    <w:jc w:val="center"/>
                    <w:textAlignment w:val="center"/>
                    <w:rPr>
                      <w:color w:val="auto"/>
                      <w:szCs w:val="21"/>
                    </w:rPr>
                  </w:pPr>
                  <w:r>
                    <w:rPr>
                      <w:color w:val="auto"/>
                      <w:kern w:val="0"/>
                      <w:szCs w:val="21"/>
                      <w:lang w:bidi="ar"/>
                    </w:rPr>
                    <w:t>油</w:t>
                  </w:r>
                </w:p>
              </w:tc>
              <w:tc>
                <w:tcPr>
                  <w:tcW w:w="374"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1</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7" w:type="pct"/>
                  <w:tcMar>
                    <w:top w:w="0" w:type="dxa"/>
                    <w:left w:w="51" w:type="dxa"/>
                    <w:bottom w:w="0" w:type="dxa"/>
                    <w:right w:w="51" w:type="dxa"/>
                  </w:tcMar>
                  <w:vAlign w:val="center"/>
                </w:tcPr>
                <w:p>
                  <w:pPr>
                    <w:widowControl/>
                    <w:jc w:val="center"/>
                    <w:textAlignment w:val="center"/>
                    <w:rPr>
                      <w:color w:val="auto"/>
                      <w:szCs w:val="21"/>
                    </w:rPr>
                  </w:pPr>
                  <w:r>
                    <w:rPr>
                      <w:color w:val="auto"/>
                      <w:kern w:val="0"/>
                      <w:szCs w:val="21"/>
                      <w:lang w:bidi="ar"/>
                    </w:rPr>
                    <w:t>1</w:t>
                  </w:r>
                  <w:r>
                    <w:rPr>
                      <w:rFonts w:hint="eastAsia"/>
                      <w:color w:val="auto"/>
                      <w:kern w:val="0"/>
                      <w:szCs w:val="21"/>
                      <w:lang w:bidi="ar"/>
                    </w:rPr>
                    <w:t>4</w:t>
                  </w:r>
                </w:p>
              </w:tc>
              <w:tc>
                <w:tcPr>
                  <w:tcW w:w="754"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压滤污泥</w:t>
                  </w:r>
                </w:p>
              </w:tc>
              <w:tc>
                <w:tcPr>
                  <w:tcW w:w="992" w:type="pct"/>
                  <w:vMerge w:val="restart"/>
                  <w:tcMar>
                    <w:top w:w="0" w:type="dxa"/>
                    <w:left w:w="51" w:type="dxa"/>
                    <w:bottom w:w="0" w:type="dxa"/>
                    <w:right w:w="51" w:type="dxa"/>
                  </w:tcMar>
                  <w:vAlign w:val="center"/>
                </w:tcPr>
                <w:p>
                  <w:pPr>
                    <w:widowControl/>
                    <w:jc w:val="center"/>
                    <w:textAlignment w:val="center"/>
                    <w:rPr>
                      <w:color w:val="auto"/>
                      <w:szCs w:val="21"/>
                    </w:rPr>
                  </w:pPr>
                  <w:r>
                    <w:rPr>
                      <w:color w:val="auto"/>
                      <w:szCs w:val="21"/>
                    </w:rPr>
                    <w:t>污水处理过程</w:t>
                  </w:r>
                </w:p>
              </w:tc>
              <w:tc>
                <w:tcPr>
                  <w:tcW w:w="344"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固态</w:t>
                  </w:r>
                </w:p>
              </w:tc>
              <w:tc>
                <w:tcPr>
                  <w:tcW w:w="878"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脱脂剂、脱脂助剂、无磷转化剂、</w:t>
                  </w:r>
                  <w:r>
                    <w:rPr>
                      <w:bCs/>
                      <w:color w:val="auto"/>
                      <w:szCs w:val="21"/>
                    </w:rPr>
                    <w:t>硅烷转化剂</w:t>
                  </w:r>
                </w:p>
              </w:tc>
              <w:tc>
                <w:tcPr>
                  <w:tcW w:w="374" w:type="pct"/>
                  <w:tcMar>
                    <w:top w:w="0" w:type="dxa"/>
                    <w:left w:w="51" w:type="dxa"/>
                    <w:bottom w:w="0" w:type="dxa"/>
                    <w:right w:w="51" w:type="dxa"/>
                  </w:tcMar>
                  <w:vAlign w:val="center"/>
                </w:tcPr>
                <w:p>
                  <w:pPr>
                    <w:widowControl/>
                    <w:jc w:val="center"/>
                    <w:textAlignment w:val="center"/>
                    <w:rPr>
                      <w:color w:val="auto"/>
                      <w:szCs w:val="21"/>
                    </w:rPr>
                  </w:pPr>
                  <w:r>
                    <w:rPr>
                      <w:rFonts w:hint="eastAsia"/>
                      <w:color w:val="auto"/>
                      <w:szCs w:val="21"/>
                    </w:rPr>
                    <w:t>55</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7" w:type="pct"/>
                  <w:tcMar>
                    <w:top w:w="0" w:type="dxa"/>
                    <w:left w:w="51" w:type="dxa"/>
                    <w:bottom w:w="0" w:type="dxa"/>
                    <w:right w:w="51" w:type="dxa"/>
                  </w:tcMar>
                  <w:vAlign w:val="center"/>
                </w:tcPr>
                <w:p>
                  <w:pPr>
                    <w:widowControl/>
                    <w:jc w:val="center"/>
                    <w:textAlignment w:val="center"/>
                    <w:rPr>
                      <w:color w:val="auto"/>
                      <w:szCs w:val="21"/>
                    </w:rPr>
                  </w:pPr>
                  <w:r>
                    <w:rPr>
                      <w:color w:val="auto"/>
                      <w:kern w:val="0"/>
                      <w:szCs w:val="21"/>
                      <w:lang w:bidi="ar"/>
                    </w:rPr>
                    <w:t>1</w:t>
                  </w:r>
                  <w:r>
                    <w:rPr>
                      <w:rFonts w:hint="eastAsia"/>
                      <w:color w:val="auto"/>
                      <w:kern w:val="0"/>
                      <w:szCs w:val="21"/>
                      <w:lang w:bidi="ar"/>
                    </w:rPr>
                    <w:t>5</w:t>
                  </w:r>
                </w:p>
              </w:tc>
              <w:tc>
                <w:tcPr>
                  <w:tcW w:w="754"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浓缩蒸发液</w:t>
                  </w:r>
                </w:p>
              </w:tc>
              <w:tc>
                <w:tcPr>
                  <w:tcW w:w="992" w:type="pct"/>
                  <w:vMerge w:val="continue"/>
                  <w:tcMar>
                    <w:top w:w="0" w:type="dxa"/>
                    <w:left w:w="51" w:type="dxa"/>
                    <w:bottom w:w="0" w:type="dxa"/>
                    <w:right w:w="51" w:type="dxa"/>
                  </w:tcMar>
                  <w:vAlign w:val="center"/>
                </w:tcPr>
                <w:p>
                  <w:pPr>
                    <w:widowControl/>
                    <w:jc w:val="center"/>
                    <w:textAlignment w:val="center"/>
                    <w:rPr>
                      <w:color w:val="auto"/>
                      <w:szCs w:val="21"/>
                    </w:rPr>
                  </w:pPr>
                </w:p>
              </w:tc>
              <w:tc>
                <w:tcPr>
                  <w:tcW w:w="344"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液态</w:t>
                  </w:r>
                </w:p>
              </w:tc>
              <w:tc>
                <w:tcPr>
                  <w:tcW w:w="878" w:type="pct"/>
                  <w:tcMar>
                    <w:top w:w="0" w:type="dxa"/>
                    <w:left w:w="51" w:type="dxa"/>
                    <w:bottom w:w="0" w:type="dxa"/>
                    <w:right w:w="51" w:type="dxa"/>
                  </w:tcMar>
                  <w:vAlign w:val="center"/>
                </w:tcPr>
                <w:p>
                  <w:pPr>
                    <w:widowControl/>
                    <w:jc w:val="center"/>
                    <w:textAlignment w:val="center"/>
                    <w:rPr>
                      <w:color w:val="auto"/>
                      <w:szCs w:val="21"/>
                    </w:rPr>
                  </w:pPr>
                  <w:r>
                    <w:rPr>
                      <w:rFonts w:hint="eastAsia"/>
                      <w:color w:val="auto"/>
                      <w:szCs w:val="21"/>
                    </w:rPr>
                    <w:t>脱脂剂、脱脂助剂、无磷转化剂、硅烷转化剂</w:t>
                  </w:r>
                </w:p>
              </w:tc>
              <w:tc>
                <w:tcPr>
                  <w:tcW w:w="374" w:type="pct"/>
                  <w:tcMar>
                    <w:top w:w="0" w:type="dxa"/>
                    <w:left w:w="51" w:type="dxa"/>
                    <w:bottom w:w="0" w:type="dxa"/>
                    <w:right w:w="51" w:type="dxa"/>
                  </w:tcMar>
                  <w:vAlign w:val="center"/>
                </w:tcPr>
                <w:p>
                  <w:pPr>
                    <w:widowControl/>
                    <w:jc w:val="center"/>
                    <w:textAlignment w:val="center"/>
                    <w:rPr>
                      <w:color w:val="auto"/>
                      <w:szCs w:val="21"/>
                    </w:rPr>
                  </w:pPr>
                  <w:r>
                    <w:rPr>
                      <w:rFonts w:hint="eastAsia"/>
                      <w:color w:val="auto"/>
                      <w:szCs w:val="21"/>
                    </w:rPr>
                    <w:t>90.4</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7"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szCs w:val="21"/>
                    </w:rPr>
                    <w:t>1</w:t>
                  </w:r>
                  <w:r>
                    <w:rPr>
                      <w:rFonts w:hint="eastAsia"/>
                      <w:color w:val="auto"/>
                      <w:szCs w:val="21"/>
                    </w:rPr>
                    <w:t>6</w:t>
                  </w:r>
                </w:p>
              </w:tc>
              <w:tc>
                <w:tcPr>
                  <w:tcW w:w="754" w:type="pct"/>
                  <w:tcMar>
                    <w:top w:w="0" w:type="dxa"/>
                    <w:left w:w="51" w:type="dxa"/>
                    <w:bottom w:w="0" w:type="dxa"/>
                    <w:right w:w="51" w:type="dxa"/>
                  </w:tcMar>
                  <w:vAlign w:val="center"/>
                </w:tcPr>
                <w:p>
                  <w:pPr>
                    <w:widowControl/>
                    <w:jc w:val="center"/>
                    <w:textAlignment w:val="center"/>
                    <w:rPr>
                      <w:bCs/>
                      <w:color w:val="auto"/>
                      <w:szCs w:val="21"/>
                    </w:rPr>
                  </w:pPr>
                  <w:r>
                    <w:rPr>
                      <w:rFonts w:hint="eastAsia"/>
                      <w:color w:val="auto"/>
                      <w:szCs w:val="21"/>
                    </w:rPr>
                    <w:t>废水过滤材料</w:t>
                  </w:r>
                </w:p>
              </w:tc>
              <w:tc>
                <w:tcPr>
                  <w:tcW w:w="992" w:type="pct"/>
                  <w:vMerge w:val="continue"/>
                  <w:tcMar>
                    <w:top w:w="0" w:type="dxa"/>
                    <w:left w:w="51" w:type="dxa"/>
                    <w:bottom w:w="0" w:type="dxa"/>
                    <w:right w:w="51" w:type="dxa"/>
                  </w:tcMar>
                  <w:vAlign w:val="center"/>
                </w:tcPr>
                <w:p>
                  <w:pPr>
                    <w:widowControl/>
                    <w:jc w:val="center"/>
                    <w:textAlignment w:val="center"/>
                    <w:rPr>
                      <w:color w:val="auto"/>
                      <w:szCs w:val="21"/>
                    </w:rPr>
                  </w:pPr>
                </w:p>
              </w:tc>
              <w:tc>
                <w:tcPr>
                  <w:tcW w:w="344"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固态</w:t>
                  </w:r>
                </w:p>
              </w:tc>
              <w:tc>
                <w:tcPr>
                  <w:tcW w:w="878"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脱脂剂、脱脂助剂、无磷转化剂、</w:t>
                  </w:r>
                  <w:r>
                    <w:rPr>
                      <w:bCs/>
                      <w:color w:val="auto"/>
                      <w:szCs w:val="21"/>
                    </w:rPr>
                    <w:t>硅烷转化剂</w:t>
                  </w:r>
                </w:p>
              </w:tc>
              <w:tc>
                <w:tcPr>
                  <w:tcW w:w="374"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0.0</w:t>
                  </w:r>
                  <w:r>
                    <w:rPr>
                      <w:rFonts w:hint="eastAsia"/>
                      <w:color w:val="auto"/>
                      <w:szCs w:val="21"/>
                    </w:rPr>
                    <w:t>1</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7"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1</w:t>
                  </w:r>
                  <w:r>
                    <w:rPr>
                      <w:rFonts w:hint="eastAsia"/>
                      <w:color w:val="auto"/>
                      <w:szCs w:val="21"/>
                    </w:rPr>
                    <w:t>7</w:t>
                  </w:r>
                </w:p>
              </w:tc>
              <w:tc>
                <w:tcPr>
                  <w:tcW w:w="754" w:type="pct"/>
                  <w:tcMar>
                    <w:top w:w="0" w:type="dxa"/>
                    <w:left w:w="51" w:type="dxa"/>
                    <w:bottom w:w="0" w:type="dxa"/>
                    <w:right w:w="51" w:type="dxa"/>
                  </w:tcMar>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纯水制备废过滤材料</w:t>
                  </w:r>
                </w:p>
              </w:tc>
              <w:tc>
                <w:tcPr>
                  <w:tcW w:w="992" w:type="pct"/>
                  <w:tcMar>
                    <w:top w:w="0" w:type="dxa"/>
                    <w:left w:w="51" w:type="dxa"/>
                    <w:bottom w:w="0" w:type="dxa"/>
                    <w:right w:w="51" w:type="dxa"/>
                  </w:tcMar>
                  <w:vAlign w:val="center"/>
                </w:tcPr>
                <w:p>
                  <w:pPr>
                    <w:widowControl/>
                    <w:jc w:val="center"/>
                    <w:textAlignment w:val="center"/>
                    <w:rPr>
                      <w:color w:val="auto"/>
                      <w:szCs w:val="21"/>
                    </w:rPr>
                  </w:pPr>
                  <w:r>
                    <w:rPr>
                      <w:color w:val="auto"/>
                      <w:kern w:val="0"/>
                      <w:szCs w:val="21"/>
                      <w:lang w:bidi="ar"/>
                    </w:rPr>
                    <w:t>纯水制备</w:t>
                  </w:r>
                </w:p>
              </w:tc>
              <w:tc>
                <w:tcPr>
                  <w:tcW w:w="344"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固态</w:t>
                  </w:r>
                </w:p>
              </w:tc>
              <w:tc>
                <w:tcPr>
                  <w:tcW w:w="878" w:type="pct"/>
                  <w:tcMar>
                    <w:top w:w="0" w:type="dxa"/>
                    <w:left w:w="51" w:type="dxa"/>
                    <w:bottom w:w="0" w:type="dxa"/>
                    <w:right w:w="51" w:type="dxa"/>
                  </w:tcMar>
                  <w:vAlign w:val="center"/>
                </w:tcPr>
                <w:p>
                  <w:pPr>
                    <w:widowControl/>
                    <w:jc w:val="center"/>
                    <w:textAlignment w:val="center"/>
                    <w:rPr>
                      <w:rFonts w:hint="eastAsia" w:eastAsia="宋体"/>
                      <w:bCs/>
                      <w:color w:val="auto"/>
                      <w:szCs w:val="21"/>
                      <w:lang w:eastAsia="zh-CN"/>
                    </w:rPr>
                  </w:pPr>
                  <w:r>
                    <w:rPr>
                      <w:bCs/>
                      <w:color w:val="auto"/>
                      <w:szCs w:val="21"/>
                    </w:rPr>
                    <w:t>塑料</w:t>
                  </w:r>
                  <w:r>
                    <w:rPr>
                      <w:rFonts w:hint="eastAsia"/>
                      <w:bCs/>
                      <w:color w:val="auto"/>
                      <w:szCs w:val="21"/>
                      <w:lang w:eastAsia="zh-CN"/>
                    </w:rPr>
                    <w:t>、</w:t>
                  </w:r>
                  <w:r>
                    <w:rPr>
                      <w:rFonts w:hint="eastAsia"/>
                      <w:bCs/>
                      <w:color w:val="auto"/>
                      <w:szCs w:val="21"/>
                    </w:rPr>
                    <w:t>膜</w:t>
                  </w:r>
                  <w:r>
                    <w:rPr>
                      <w:rFonts w:hint="eastAsia"/>
                      <w:bCs/>
                      <w:color w:val="auto"/>
                      <w:szCs w:val="21"/>
                      <w:lang w:eastAsia="zh-CN"/>
                    </w:rPr>
                    <w:t>、</w:t>
                  </w:r>
                  <w:r>
                    <w:rPr>
                      <w:color w:val="auto"/>
                      <w:szCs w:val="21"/>
                    </w:rPr>
                    <w:t>活性炭</w:t>
                  </w:r>
                </w:p>
              </w:tc>
              <w:tc>
                <w:tcPr>
                  <w:tcW w:w="374" w:type="pct"/>
                  <w:tcMar>
                    <w:top w:w="0" w:type="dxa"/>
                    <w:left w:w="51" w:type="dxa"/>
                    <w:bottom w:w="0" w:type="dxa"/>
                    <w:right w:w="51" w:type="dxa"/>
                  </w:tcMar>
                  <w:vAlign w:val="center"/>
                </w:tcPr>
                <w:p>
                  <w:pPr>
                    <w:widowControl/>
                    <w:jc w:val="center"/>
                    <w:textAlignment w:val="center"/>
                    <w:rPr>
                      <w:rFonts w:hint="eastAsia" w:eastAsia="宋体"/>
                      <w:color w:val="auto"/>
                      <w:szCs w:val="21"/>
                      <w:lang w:eastAsia="zh-CN"/>
                    </w:rPr>
                  </w:pPr>
                  <w:r>
                    <w:rPr>
                      <w:color w:val="auto"/>
                      <w:szCs w:val="21"/>
                    </w:rPr>
                    <w:t>0.</w:t>
                  </w:r>
                  <w:r>
                    <w:rPr>
                      <w:rFonts w:hint="eastAsia"/>
                      <w:color w:val="auto"/>
                      <w:szCs w:val="21"/>
                      <w:lang w:val="en-US" w:eastAsia="zh-CN"/>
                    </w:rPr>
                    <w:t>6</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7" w:type="pct"/>
                  <w:tcMar>
                    <w:top w:w="0" w:type="dxa"/>
                    <w:left w:w="51" w:type="dxa"/>
                    <w:bottom w:w="0" w:type="dxa"/>
                    <w:right w:w="51" w:type="dxa"/>
                  </w:tcMar>
                  <w:vAlign w:val="center"/>
                </w:tcPr>
                <w:p>
                  <w:pPr>
                    <w:widowControl/>
                    <w:jc w:val="center"/>
                    <w:textAlignment w:val="center"/>
                    <w:rPr>
                      <w:rFonts w:hint="default" w:eastAsia="宋体"/>
                      <w:color w:val="auto"/>
                      <w:kern w:val="0"/>
                      <w:szCs w:val="21"/>
                      <w:lang w:val="en-US" w:eastAsia="zh-CN" w:bidi="ar"/>
                    </w:rPr>
                  </w:pPr>
                  <w:r>
                    <w:rPr>
                      <w:rFonts w:hint="eastAsia"/>
                      <w:color w:val="auto"/>
                      <w:szCs w:val="21"/>
                      <w:lang w:val="en-US" w:eastAsia="zh-CN"/>
                    </w:rPr>
                    <w:t>18</w:t>
                  </w:r>
                </w:p>
              </w:tc>
              <w:tc>
                <w:tcPr>
                  <w:tcW w:w="754" w:type="pct"/>
                  <w:tcMar>
                    <w:top w:w="0" w:type="dxa"/>
                    <w:left w:w="51" w:type="dxa"/>
                    <w:bottom w:w="0" w:type="dxa"/>
                    <w:right w:w="51" w:type="dxa"/>
                  </w:tcMar>
                  <w:vAlign w:val="center"/>
                </w:tcPr>
                <w:p>
                  <w:pPr>
                    <w:widowControl/>
                    <w:jc w:val="center"/>
                    <w:textAlignment w:val="center"/>
                    <w:rPr>
                      <w:color w:val="auto"/>
                      <w:kern w:val="0"/>
                      <w:szCs w:val="21"/>
                      <w:lang w:bidi="ar"/>
                    </w:rPr>
                  </w:pPr>
                  <w:r>
                    <w:rPr>
                      <w:color w:val="auto"/>
                      <w:szCs w:val="21"/>
                    </w:rPr>
                    <w:t>生活污水沉淀捞渣</w:t>
                  </w:r>
                </w:p>
              </w:tc>
              <w:tc>
                <w:tcPr>
                  <w:tcW w:w="992"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化粪池沉淀捞渣</w:t>
                  </w:r>
                </w:p>
              </w:tc>
              <w:tc>
                <w:tcPr>
                  <w:tcW w:w="344" w:type="pct"/>
                  <w:tcMar>
                    <w:top w:w="0" w:type="dxa"/>
                    <w:left w:w="51" w:type="dxa"/>
                    <w:bottom w:w="0" w:type="dxa"/>
                    <w:right w:w="51" w:type="dxa"/>
                  </w:tcMar>
                  <w:vAlign w:val="center"/>
                </w:tcPr>
                <w:p>
                  <w:pPr>
                    <w:widowControl/>
                    <w:jc w:val="center"/>
                    <w:textAlignment w:val="center"/>
                    <w:rPr>
                      <w:color w:val="auto"/>
                      <w:szCs w:val="21"/>
                    </w:rPr>
                  </w:pPr>
                  <w:r>
                    <w:rPr>
                      <w:rFonts w:hint="eastAsia"/>
                      <w:color w:val="auto"/>
                      <w:szCs w:val="21"/>
                    </w:rPr>
                    <w:t>半</w:t>
                  </w:r>
                  <w:r>
                    <w:rPr>
                      <w:color w:val="auto"/>
                      <w:szCs w:val="21"/>
                    </w:rPr>
                    <w:t>固态</w:t>
                  </w:r>
                </w:p>
              </w:tc>
              <w:tc>
                <w:tcPr>
                  <w:tcW w:w="878" w:type="pct"/>
                  <w:tcMar>
                    <w:top w:w="0" w:type="dxa"/>
                    <w:left w:w="51" w:type="dxa"/>
                    <w:bottom w:w="0" w:type="dxa"/>
                    <w:right w:w="51" w:type="dxa"/>
                  </w:tcMar>
                  <w:vAlign w:val="center"/>
                </w:tcPr>
                <w:p>
                  <w:pPr>
                    <w:widowControl/>
                    <w:jc w:val="center"/>
                    <w:textAlignment w:val="center"/>
                    <w:rPr>
                      <w:color w:val="auto"/>
                      <w:szCs w:val="21"/>
                    </w:rPr>
                  </w:pPr>
                  <w:r>
                    <w:rPr>
                      <w:rFonts w:hint="eastAsia"/>
                      <w:color w:val="auto"/>
                      <w:szCs w:val="21"/>
                    </w:rPr>
                    <w:t>粪便</w:t>
                  </w:r>
                  <w:r>
                    <w:rPr>
                      <w:color w:val="auto"/>
                      <w:szCs w:val="21"/>
                    </w:rPr>
                    <w:t>、</w:t>
                  </w:r>
                  <w:r>
                    <w:rPr>
                      <w:rFonts w:hint="eastAsia"/>
                      <w:color w:val="auto"/>
                      <w:szCs w:val="21"/>
                    </w:rPr>
                    <w:t>水</w:t>
                  </w:r>
                </w:p>
              </w:tc>
              <w:tc>
                <w:tcPr>
                  <w:tcW w:w="374"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12</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7" w:type="pct"/>
                  <w:tcMar>
                    <w:top w:w="0" w:type="dxa"/>
                    <w:left w:w="51" w:type="dxa"/>
                    <w:bottom w:w="0" w:type="dxa"/>
                    <w:right w:w="51" w:type="dxa"/>
                  </w:tcMar>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19</w:t>
                  </w:r>
                </w:p>
              </w:tc>
              <w:tc>
                <w:tcPr>
                  <w:tcW w:w="754" w:type="pct"/>
                  <w:tcMar>
                    <w:top w:w="0" w:type="dxa"/>
                    <w:left w:w="51" w:type="dxa"/>
                    <w:bottom w:w="0" w:type="dxa"/>
                    <w:right w:w="51" w:type="dxa"/>
                  </w:tcMar>
                  <w:vAlign w:val="center"/>
                </w:tcPr>
                <w:p>
                  <w:pPr>
                    <w:widowControl/>
                    <w:jc w:val="center"/>
                    <w:textAlignment w:val="center"/>
                    <w:rPr>
                      <w:color w:val="auto"/>
                      <w:szCs w:val="21"/>
                    </w:rPr>
                  </w:pPr>
                  <w:r>
                    <w:rPr>
                      <w:rFonts w:hint="eastAsia"/>
                      <w:color w:val="auto"/>
                      <w:szCs w:val="21"/>
                    </w:rPr>
                    <w:t>生活垃圾</w:t>
                  </w:r>
                </w:p>
              </w:tc>
              <w:tc>
                <w:tcPr>
                  <w:tcW w:w="992" w:type="pct"/>
                  <w:tcMar>
                    <w:top w:w="0" w:type="dxa"/>
                    <w:left w:w="51" w:type="dxa"/>
                    <w:bottom w:w="0" w:type="dxa"/>
                    <w:right w:w="51" w:type="dxa"/>
                  </w:tcMar>
                  <w:vAlign w:val="center"/>
                </w:tcPr>
                <w:p>
                  <w:pPr>
                    <w:widowControl/>
                    <w:jc w:val="center"/>
                    <w:textAlignment w:val="center"/>
                    <w:rPr>
                      <w:color w:val="auto"/>
                      <w:szCs w:val="21"/>
                    </w:rPr>
                  </w:pPr>
                  <w:r>
                    <w:rPr>
                      <w:rFonts w:hint="eastAsia"/>
                      <w:color w:val="auto"/>
                      <w:szCs w:val="21"/>
                    </w:rPr>
                    <w:t>办公</w:t>
                  </w:r>
                  <w:r>
                    <w:rPr>
                      <w:color w:val="auto"/>
                      <w:kern w:val="0"/>
                      <w:szCs w:val="21"/>
                      <w:lang w:bidi="ar"/>
                    </w:rPr>
                    <w:t>、</w:t>
                  </w:r>
                  <w:r>
                    <w:rPr>
                      <w:rFonts w:hint="eastAsia"/>
                      <w:color w:val="auto"/>
                      <w:szCs w:val="21"/>
                    </w:rPr>
                    <w:t>生活</w:t>
                  </w:r>
                </w:p>
              </w:tc>
              <w:tc>
                <w:tcPr>
                  <w:tcW w:w="344" w:type="pct"/>
                  <w:tcMar>
                    <w:top w:w="0" w:type="dxa"/>
                    <w:left w:w="51" w:type="dxa"/>
                    <w:bottom w:w="0" w:type="dxa"/>
                    <w:right w:w="51" w:type="dxa"/>
                  </w:tcMar>
                  <w:vAlign w:val="center"/>
                </w:tcPr>
                <w:p>
                  <w:pPr>
                    <w:widowControl/>
                    <w:jc w:val="center"/>
                    <w:textAlignment w:val="center"/>
                    <w:rPr>
                      <w:color w:val="auto"/>
                      <w:szCs w:val="21"/>
                    </w:rPr>
                  </w:pPr>
                  <w:r>
                    <w:rPr>
                      <w:color w:val="auto"/>
                      <w:szCs w:val="21"/>
                    </w:rPr>
                    <w:t>固态</w:t>
                  </w:r>
                </w:p>
              </w:tc>
              <w:tc>
                <w:tcPr>
                  <w:tcW w:w="878" w:type="pct"/>
                  <w:tcMar>
                    <w:top w:w="0" w:type="dxa"/>
                    <w:left w:w="51" w:type="dxa"/>
                    <w:bottom w:w="0" w:type="dxa"/>
                    <w:right w:w="51" w:type="dxa"/>
                  </w:tcMar>
                  <w:vAlign w:val="center"/>
                </w:tcPr>
                <w:p>
                  <w:pPr>
                    <w:widowControl/>
                    <w:jc w:val="center"/>
                    <w:textAlignment w:val="center"/>
                    <w:rPr>
                      <w:color w:val="auto"/>
                      <w:szCs w:val="21"/>
                    </w:rPr>
                  </w:pPr>
                  <w:r>
                    <w:rPr>
                      <w:rFonts w:hint="eastAsia"/>
                      <w:color w:val="auto"/>
                      <w:szCs w:val="21"/>
                    </w:rPr>
                    <w:t>纸张</w:t>
                  </w:r>
                  <w:r>
                    <w:rPr>
                      <w:color w:val="auto"/>
                      <w:szCs w:val="21"/>
                    </w:rPr>
                    <w:t>、</w:t>
                  </w:r>
                  <w:r>
                    <w:rPr>
                      <w:rFonts w:hint="eastAsia"/>
                      <w:color w:val="auto"/>
                      <w:szCs w:val="21"/>
                    </w:rPr>
                    <w:t>包装袋</w:t>
                  </w:r>
                </w:p>
              </w:tc>
              <w:tc>
                <w:tcPr>
                  <w:tcW w:w="374" w:type="pct"/>
                  <w:tcMar>
                    <w:top w:w="0" w:type="dxa"/>
                    <w:left w:w="51" w:type="dxa"/>
                    <w:bottom w:w="0" w:type="dxa"/>
                    <w:right w:w="51" w:type="dxa"/>
                  </w:tcMar>
                  <w:vAlign w:val="center"/>
                </w:tcPr>
                <w:p>
                  <w:pPr>
                    <w:widowControl/>
                    <w:jc w:val="center"/>
                    <w:textAlignment w:val="center"/>
                    <w:rPr>
                      <w:color w:val="auto"/>
                      <w:szCs w:val="21"/>
                    </w:rPr>
                  </w:pPr>
                  <w:r>
                    <w:rPr>
                      <w:rFonts w:hint="eastAsia"/>
                      <w:color w:val="auto"/>
                      <w:szCs w:val="21"/>
                    </w:rPr>
                    <w:t>21</w:t>
                  </w:r>
                </w:p>
              </w:tc>
              <w:tc>
                <w:tcPr>
                  <w:tcW w:w="421" w:type="pct"/>
                  <w:tcMar>
                    <w:top w:w="0" w:type="dxa"/>
                    <w:left w:w="51" w:type="dxa"/>
                    <w:bottom w:w="0" w:type="dxa"/>
                    <w:right w:w="51" w:type="dxa"/>
                  </w:tcMar>
                  <w:vAlign w:val="center"/>
                </w:tcPr>
                <w:p>
                  <w:pPr>
                    <w:adjustRightInd w:val="0"/>
                    <w:snapToGrid w:val="0"/>
                    <w:ind w:left="-105" w:leftChars="-50" w:right="-105" w:rightChars="-50"/>
                    <w:jc w:val="center"/>
                    <w:rPr>
                      <w:color w:val="auto"/>
                      <w:szCs w:val="21"/>
                    </w:rPr>
                  </w:pPr>
                  <w:r>
                    <w:rPr>
                      <w:color w:val="auto"/>
                      <w:szCs w:val="21"/>
                    </w:rPr>
                    <w:t>√</w:t>
                  </w:r>
                </w:p>
              </w:tc>
              <w:tc>
                <w:tcPr>
                  <w:tcW w:w="300" w:type="pct"/>
                  <w:tcMar>
                    <w:top w:w="0" w:type="dxa"/>
                    <w:left w:w="51" w:type="dxa"/>
                    <w:bottom w:w="0" w:type="dxa"/>
                    <w:right w:w="51" w:type="dxa"/>
                  </w:tcMar>
                  <w:vAlign w:val="center"/>
                </w:tcPr>
                <w:p>
                  <w:pPr>
                    <w:adjustRightInd w:val="0"/>
                    <w:snapToGrid w:val="0"/>
                    <w:ind w:left="-50" w:right="-50"/>
                    <w:jc w:val="center"/>
                    <w:rPr>
                      <w:color w:val="auto"/>
                      <w:szCs w:val="21"/>
                    </w:rPr>
                  </w:pPr>
                  <w:r>
                    <w:rPr>
                      <w:color w:val="auto"/>
                      <w:szCs w:val="21"/>
                    </w:rPr>
                    <w:t>/</w:t>
                  </w:r>
                </w:p>
              </w:tc>
              <w:tc>
                <w:tcPr>
                  <w:tcW w:w="697" w:type="pct"/>
                  <w:vMerge w:val="continue"/>
                  <w:tcMar>
                    <w:top w:w="0" w:type="dxa"/>
                    <w:left w:w="51" w:type="dxa"/>
                    <w:bottom w:w="0" w:type="dxa"/>
                    <w:right w:w="51" w:type="dxa"/>
                  </w:tcMar>
                  <w:vAlign w:val="center"/>
                </w:tcPr>
                <w:p>
                  <w:pPr>
                    <w:adjustRightInd w:val="0"/>
                    <w:snapToGrid w:val="0"/>
                    <w:ind w:left="-50" w:right="-50"/>
                    <w:jc w:val="center"/>
                    <w:rPr>
                      <w:color w:val="auto"/>
                      <w:szCs w:val="21"/>
                    </w:rPr>
                  </w:pPr>
                </w:p>
              </w:tc>
            </w:tr>
          </w:tbl>
          <w:p>
            <w:pPr>
              <w:adjustRightInd w:val="0"/>
              <w:snapToGrid w:val="0"/>
              <w:spacing w:before="159" w:beforeLines="50" w:line="360" w:lineRule="auto"/>
              <w:ind w:firstLine="480" w:firstLineChars="200"/>
              <w:rPr>
                <w:rFonts w:ascii="Calibri" w:hAnsi="Calibri" w:cs="Calibri"/>
                <w:color w:val="auto"/>
                <w:sz w:val="24"/>
              </w:rPr>
            </w:pPr>
            <w:r>
              <w:rPr>
                <w:rFonts w:ascii="Calibri" w:hAnsi="Calibri" w:cs="Calibri"/>
                <w:color w:val="auto"/>
                <w:sz w:val="24"/>
              </w:rPr>
              <w:t>根据上表可知，本项目产生的各类副产物均属于固体废物。</w:t>
            </w:r>
          </w:p>
          <w:p>
            <w:pPr>
              <w:numPr>
                <w:ilvl w:val="0"/>
                <w:numId w:val="21"/>
              </w:numPr>
              <w:adjustRightInd w:val="0"/>
              <w:snapToGrid w:val="0"/>
              <w:spacing w:line="360" w:lineRule="auto"/>
              <w:ind w:firstLine="480" w:firstLineChars="200"/>
              <w:jc w:val="left"/>
              <w:rPr>
                <w:rFonts w:ascii="Calibri" w:hAnsi="Calibri" w:cs="Calibri"/>
                <w:color w:val="auto"/>
                <w:sz w:val="24"/>
              </w:rPr>
            </w:pPr>
            <w:r>
              <w:rPr>
                <w:rFonts w:ascii="Calibri" w:hAnsi="Calibri" w:cs="Calibri"/>
                <w:b/>
                <w:bCs/>
                <w:color w:val="auto"/>
                <w:sz w:val="24"/>
              </w:rPr>
              <w:t>危险废物属性判定</w:t>
            </w:r>
          </w:p>
          <w:p>
            <w:pPr>
              <w:adjustRightInd w:val="0"/>
              <w:snapToGrid w:val="0"/>
              <w:spacing w:line="360" w:lineRule="auto"/>
              <w:ind w:firstLine="480" w:firstLineChars="200"/>
              <w:jc w:val="left"/>
              <w:rPr>
                <w:rFonts w:ascii="Calibri" w:hAnsi="Calibri" w:cs="Calibri"/>
                <w:color w:val="auto"/>
                <w:sz w:val="24"/>
              </w:rPr>
            </w:pPr>
            <w:r>
              <w:rPr>
                <w:rFonts w:ascii="Calibri" w:hAnsi="Calibri" w:cs="Calibri"/>
                <w:color w:val="auto"/>
                <w:sz w:val="24"/>
              </w:rPr>
              <w:t>根据《国家危险废物名录（2021版）》以及《危险废物鉴别标准》，判定建设项目的固体废物是否属于危险废物。根据副产物产生情况分析和副产物属性判定，本项目固体废物分析结果</w:t>
            </w:r>
            <w:r>
              <w:rPr>
                <w:rFonts w:hint="eastAsia" w:ascii="Calibri" w:hAnsi="Calibri" w:cs="Calibri"/>
                <w:color w:val="auto"/>
                <w:sz w:val="24"/>
              </w:rPr>
              <w:t>及</w:t>
            </w:r>
            <w:r>
              <w:rPr>
                <w:rFonts w:ascii="Calibri" w:hAnsi="Calibri" w:cs="Calibri"/>
                <w:color w:val="auto"/>
                <w:sz w:val="24"/>
              </w:rPr>
              <w:t>危险废物分析结果汇总</w:t>
            </w:r>
            <w:r>
              <w:rPr>
                <w:rFonts w:hint="eastAsia" w:ascii="Calibri" w:hAnsi="Calibri" w:cs="Calibri"/>
                <w:color w:val="auto"/>
                <w:sz w:val="24"/>
              </w:rPr>
              <w:t>下</w:t>
            </w:r>
            <w:r>
              <w:rPr>
                <w:rFonts w:ascii="Calibri" w:hAnsi="Calibri" w:cs="Calibri"/>
                <w:color w:val="auto"/>
                <w:sz w:val="24"/>
              </w:rPr>
              <w:t>表。</w:t>
            </w:r>
          </w:p>
          <w:p>
            <w:pPr>
              <w:pStyle w:val="6"/>
              <w:numPr>
                <w:ilvl w:val="0"/>
                <w:numId w:val="16"/>
              </w:numPr>
              <w:adjustRightInd w:val="0"/>
              <w:snapToGrid w:val="0"/>
              <w:ind w:firstLineChars="0"/>
              <w:jc w:val="center"/>
              <w:rPr>
                <w:rFonts w:ascii="Calibri" w:hAnsi="Calibri" w:cs="Calibri"/>
                <w:b/>
                <w:bCs/>
                <w:color w:val="auto"/>
                <w:sz w:val="24"/>
              </w:rPr>
            </w:pPr>
            <w:r>
              <w:rPr>
                <w:rFonts w:ascii="Calibri" w:hAnsi="Calibri" w:cs="Calibri"/>
                <w:b/>
                <w:bCs/>
                <w:color w:val="auto"/>
                <w:sz w:val="24"/>
              </w:rPr>
              <w:t>本项目固体废物分析结果汇总表</w:t>
            </w:r>
          </w:p>
          <w:tbl>
            <w:tblPr>
              <w:tblStyle w:val="26"/>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83"/>
              <w:gridCol w:w="1381"/>
              <w:gridCol w:w="2081"/>
              <w:gridCol w:w="778"/>
              <w:gridCol w:w="1884"/>
              <w:gridCol w:w="670"/>
              <w:gridCol w:w="1086"/>
              <w:gridCol w:w="1057"/>
              <w:gridCol w:w="1378"/>
              <w:gridCol w:w="1406"/>
              <w:gridCol w:w="99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op w:val="single" w:color="000000" w:sz="12" w:space="0"/>
                    <w:tl2br w:val="nil"/>
                    <w:tr2bl w:val="nil"/>
                  </w:tcBorders>
                  <w:vAlign w:val="center"/>
                </w:tcPr>
                <w:p>
                  <w:pPr>
                    <w:autoSpaceDN w:val="0"/>
                    <w:adjustRightInd w:val="0"/>
                    <w:snapToGrid w:val="0"/>
                    <w:jc w:val="center"/>
                    <w:rPr>
                      <w:b/>
                      <w:bCs/>
                      <w:color w:val="auto"/>
                      <w:szCs w:val="21"/>
                    </w:rPr>
                  </w:pPr>
                  <w:r>
                    <w:rPr>
                      <w:b/>
                      <w:bCs/>
                      <w:color w:val="auto"/>
                      <w:szCs w:val="21"/>
                    </w:rPr>
                    <w:t>序号</w:t>
                  </w:r>
                </w:p>
              </w:tc>
              <w:tc>
                <w:tcPr>
                  <w:tcW w:w="511" w:type="pct"/>
                  <w:tcBorders>
                    <w:top w:val="single" w:color="000000" w:sz="12" w:space="0"/>
                    <w:tl2br w:val="nil"/>
                    <w:tr2bl w:val="nil"/>
                  </w:tcBorders>
                  <w:vAlign w:val="center"/>
                </w:tcPr>
                <w:p>
                  <w:pPr>
                    <w:autoSpaceDN w:val="0"/>
                    <w:adjustRightInd w:val="0"/>
                    <w:snapToGrid w:val="0"/>
                    <w:jc w:val="center"/>
                    <w:rPr>
                      <w:b/>
                      <w:bCs/>
                      <w:color w:val="auto"/>
                      <w:szCs w:val="21"/>
                    </w:rPr>
                  </w:pPr>
                  <w:r>
                    <w:rPr>
                      <w:b/>
                      <w:bCs/>
                      <w:color w:val="auto"/>
                      <w:szCs w:val="21"/>
                    </w:rPr>
                    <w:t>固废名称</w:t>
                  </w:r>
                </w:p>
              </w:tc>
              <w:tc>
                <w:tcPr>
                  <w:tcW w:w="770" w:type="pct"/>
                  <w:tcBorders>
                    <w:top w:val="single" w:color="000000" w:sz="12" w:space="0"/>
                    <w:tl2br w:val="nil"/>
                    <w:tr2bl w:val="nil"/>
                  </w:tcBorders>
                  <w:vAlign w:val="center"/>
                </w:tcPr>
                <w:p>
                  <w:pPr>
                    <w:autoSpaceDN w:val="0"/>
                    <w:adjustRightInd w:val="0"/>
                    <w:snapToGrid w:val="0"/>
                    <w:jc w:val="center"/>
                    <w:rPr>
                      <w:b/>
                      <w:bCs/>
                      <w:color w:val="auto"/>
                      <w:szCs w:val="21"/>
                    </w:rPr>
                  </w:pPr>
                  <w:r>
                    <w:rPr>
                      <w:b/>
                      <w:bCs/>
                      <w:color w:val="auto"/>
                      <w:szCs w:val="21"/>
                    </w:rPr>
                    <w:t>产生工序</w:t>
                  </w:r>
                </w:p>
              </w:tc>
              <w:tc>
                <w:tcPr>
                  <w:tcW w:w="288" w:type="pct"/>
                  <w:tcBorders>
                    <w:top w:val="single" w:color="000000" w:sz="12" w:space="0"/>
                    <w:tl2br w:val="nil"/>
                    <w:tr2bl w:val="nil"/>
                  </w:tcBorders>
                  <w:vAlign w:val="center"/>
                </w:tcPr>
                <w:p>
                  <w:pPr>
                    <w:autoSpaceDN w:val="0"/>
                    <w:adjustRightInd w:val="0"/>
                    <w:snapToGrid w:val="0"/>
                    <w:jc w:val="center"/>
                    <w:rPr>
                      <w:b/>
                      <w:bCs/>
                      <w:color w:val="auto"/>
                      <w:szCs w:val="21"/>
                    </w:rPr>
                  </w:pPr>
                  <w:r>
                    <w:rPr>
                      <w:b/>
                      <w:bCs/>
                      <w:color w:val="auto"/>
                      <w:szCs w:val="21"/>
                    </w:rPr>
                    <w:t>形态</w:t>
                  </w:r>
                </w:p>
              </w:tc>
              <w:tc>
                <w:tcPr>
                  <w:tcW w:w="697" w:type="pct"/>
                  <w:tcBorders>
                    <w:top w:val="single" w:color="000000" w:sz="12" w:space="0"/>
                    <w:tl2br w:val="nil"/>
                    <w:tr2bl w:val="nil"/>
                  </w:tcBorders>
                  <w:vAlign w:val="center"/>
                </w:tcPr>
                <w:p>
                  <w:pPr>
                    <w:autoSpaceDN w:val="0"/>
                    <w:adjustRightInd w:val="0"/>
                    <w:snapToGrid w:val="0"/>
                    <w:jc w:val="center"/>
                    <w:rPr>
                      <w:b/>
                      <w:bCs/>
                      <w:color w:val="auto"/>
                      <w:szCs w:val="21"/>
                    </w:rPr>
                  </w:pPr>
                  <w:r>
                    <w:rPr>
                      <w:b/>
                      <w:bCs/>
                      <w:color w:val="auto"/>
                      <w:szCs w:val="21"/>
                    </w:rPr>
                    <w:t>主要成分</w:t>
                  </w:r>
                </w:p>
              </w:tc>
              <w:tc>
                <w:tcPr>
                  <w:tcW w:w="248" w:type="pct"/>
                  <w:tcBorders>
                    <w:top w:val="single" w:color="000000" w:sz="12" w:space="0"/>
                    <w:tl2br w:val="nil"/>
                    <w:tr2bl w:val="nil"/>
                  </w:tcBorders>
                  <w:vAlign w:val="center"/>
                </w:tcPr>
                <w:p>
                  <w:pPr>
                    <w:autoSpaceDN w:val="0"/>
                    <w:adjustRightInd w:val="0"/>
                    <w:snapToGrid w:val="0"/>
                    <w:jc w:val="center"/>
                    <w:rPr>
                      <w:b/>
                      <w:bCs/>
                      <w:color w:val="auto"/>
                      <w:szCs w:val="21"/>
                    </w:rPr>
                  </w:pPr>
                  <w:r>
                    <w:rPr>
                      <w:b/>
                      <w:bCs/>
                      <w:color w:val="auto"/>
                      <w:szCs w:val="21"/>
                    </w:rPr>
                    <w:t>属性</w:t>
                  </w:r>
                </w:p>
              </w:tc>
              <w:tc>
                <w:tcPr>
                  <w:tcW w:w="402" w:type="pct"/>
                  <w:tcBorders>
                    <w:top w:val="single" w:color="000000" w:sz="12" w:space="0"/>
                    <w:tl2br w:val="nil"/>
                    <w:tr2bl w:val="nil"/>
                  </w:tcBorders>
                  <w:vAlign w:val="center"/>
                </w:tcPr>
                <w:p>
                  <w:pPr>
                    <w:autoSpaceDN w:val="0"/>
                    <w:adjustRightInd w:val="0"/>
                    <w:snapToGrid w:val="0"/>
                    <w:jc w:val="center"/>
                    <w:rPr>
                      <w:b/>
                      <w:bCs/>
                      <w:color w:val="auto"/>
                      <w:szCs w:val="21"/>
                    </w:rPr>
                  </w:pPr>
                  <w:r>
                    <w:rPr>
                      <w:b/>
                      <w:bCs/>
                      <w:color w:val="auto"/>
                      <w:szCs w:val="21"/>
                    </w:rPr>
                    <w:t>类别鉴别方法</w:t>
                  </w:r>
                </w:p>
              </w:tc>
              <w:tc>
                <w:tcPr>
                  <w:tcW w:w="391" w:type="pct"/>
                  <w:tcBorders>
                    <w:top w:val="single" w:color="000000" w:sz="12" w:space="0"/>
                    <w:tl2br w:val="nil"/>
                    <w:tr2bl w:val="nil"/>
                  </w:tcBorders>
                  <w:vAlign w:val="center"/>
                </w:tcPr>
                <w:p>
                  <w:pPr>
                    <w:autoSpaceDN w:val="0"/>
                    <w:adjustRightInd w:val="0"/>
                    <w:snapToGrid w:val="0"/>
                    <w:jc w:val="center"/>
                    <w:rPr>
                      <w:b/>
                      <w:bCs/>
                      <w:color w:val="auto"/>
                      <w:szCs w:val="21"/>
                    </w:rPr>
                  </w:pPr>
                  <w:r>
                    <w:rPr>
                      <w:b/>
                      <w:bCs/>
                      <w:color w:val="auto"/>
                      <w:szCs w:val="21"/>
                    </w:rPr>
                    <w:t>危险</w:t>
                  </w:r>
                </w:p>
                <w:p>
                  <w:pPr>
                    <w:autoSpaceDN w:val="0"/>
                    <w:adjustRightInd w:val="0"/>
                    <w:snapToGrid w:val="0"/>
                    <w:jc w:val="center"/>
                    <w:rPr>
                      <w:b/>
                      <w:bCs/>
                      <w:color w:val="auto"/>
                      <w:szCs w:val="21"/>
                    </w:rPr>
                  </w:pPr>
                  <w:r>
                    <w:rPr>
                      <w:b/>
                      <w:bCs/>
                      <w:color w:val="auto"/>
                      <w:szCs w:val="21"/>
                    </w:rPr>
                    <w:t>特性</w:t>
                  </w:r>
                </w:p>
              </w:tc>
              <w:tc>
                <w:tcPr>
                  <w:tcW w:w="510" w:type="pct"/>
                  <w:tcBorders>
                    <w:top w:val="single" w:color="000000" w:sz="12" w:space="0"/>
                    <w:tl2br w:val="nil"/>
                    <w:tr2bl w:val="nil"/>
                  </w:tcBorders>
                  <w:vAlign w:val="center"/>
                </w:tcPr>
                <w:p>
                  <w:pPr>
                    <w:autoSpaceDN w:val="0"/>
                    <w:adjustRightInd w:val="0"/>
                    <w:snapToGrid w:val="0"/>
                    <w:jc w:val="center"/>
                    <w:rPr>
                      <w:b/>
                      <w:bCs/>
                      <w:color w:val="auto"/>
                      <w:szCs w:val="21"/>
                    </w:rPr>
                  </w:pPr>
                  <w:r>
                    <w:rPr>
                      <w:b/>
                      <w:bCs/>
                      <w:color w:val="auto"/>
                      <w:szCs w:val="21"/>
                    </w:rPr>
                    <w:t>废物类别</w:t>
                  </w:r>
                </w:p>
              </w:tc>
              <w:tc>
                <w:tcPr>
                  <w:tcW w:w="520" w:type="pct"/>
                  <w:tcBorders>
                    <w:top w:val="single" w:color="000000" w:sz="12" w:space="0"/>
                    <w:tl2br w:val="nil"/>
                    <w:tr2bl w:val="nil"/>
                  </w:tcBorders>
                  <w:vAlign w:val="center"/>
                </w:tcPr>
                <w:p>
                  <w:pPr>
                    <w:autoSpaceDN w:val="0"/>
                    <w:adjustRightInd w:val="0"/>
                    <w:snapToGrid w:val="0"/>
                    <w:jc w:val="center"/>
                    <w:rPr>
                      <w:b/>
                      <w:bCs/>
                      <w:color w:val="auto"/>
                      <w:szCs w:val="21"/>
                    </w:rPr>
                  </w:pPr>
                  <w:r>
                    <w:rPr>
                      <w:b/>
                      <w:bCs/>
                      <w:color w:val="auto"/>
                      <w:szCs w:val="21"/>
                    </w:rPr>
                    <w:t>废物代码</w:t>
                  </w:r>
                </w:p>
              </w:tc>
              <w:tc>
                <w:tcPr>
                  <w:tcW w:w="367" w:type="pct"/>
                  <w:tcBorders>
                    <w:top w:val="single" w:color="000000" w:sz="12" w:space="0"/>
                    <w:tl2br w:val="nil"/>
                    <w:tr2bl w:val="nil"/>
                  </w:tcBorders>
                  <w:vAlign w:val="center"/>
                </w:tcPr>
                <w:p>
                  <w:pPr>
                    <w:autoSpaceDN w:val="0"/>
                    <w:adjustRightInd w:val="0"/>
                    <w:snapToGrid w:val="0"/>
                    <w:jc w:val="center"/>
                    <w:rPr>
                      <w:b/>
                      <w:bCs/>
                      <w:color w:val="auto"/>
                      <w:szCs w:val="21"/>
                    </w:rPr>
                  </w:pPr>
                  <w:r>
                    <w:rPr>
                      <w:b/>
                      <w:bCs/>
                      <w:color w:val="auto"/>
                      <w:szCs w:val="21"/>
                    </w:rPr>
                    <w:t>产生量t/a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pPr>
                    <w:widowControl/>
                    <w:jc w:val="center"/>
                    <w:textAlignment w:val="center"/>
                    <w:rPr>
                      <w:color w:val="auto"/>
                      <w:szCs w:val="21"/>
                    </w:rPr>
                  </w:pPr>
                  <w:r>
                    <w:rPr>
                      <w:color w:val="auto"/>
                      <w:kern w:val="0"/>
                      <w:szCs w:val="21"/>
                      <w:lang w:bidi="ar"/>
                    </w:rPr>
                    <w:t>1</w:t>
                  </w:r>
                </w:p>
              </w:tc>
              <w:tc>
                <w:tcPr>
                  <w:tcW w:w="511" w:type="pct"/>
                  <w:tcBorders>
                    <w:tl2br w:val="nil"/>
                    <w:tr2bl w:val="nil"/>
                  </w:tcBorders>
                  <w:vAlign w:val="center"/>
                </w:tcPr>
                <w:p>
                  <w:pPr>
                    <w:widowControl/>
                    <w:jc w:val="center"/>
                    <w:textAlignment w:val="center"/>
                    <w:rPr>
                      <w:color w:val="auto"/>
                      <w:kern w:val="0"/>
                      <w:szCs w:val="21"/>
                    </w:rPr>
                  </w:pPr>
                  <w:r>
                    <w:rPr>
                      <w:rFonts w:hint="eastAsia"/>
                      <w:color w:val="auto"/>
                      <w:kern w:val="0"/>
                      <w:szCs w:val="21"/>
                      <w:lang w:bidi="ar"/>
                    </w:rPr>
                    <w:t>脱脂废渣（液）</w:t>
                  </w:r>
                </w:p>
              </w:tc>
              <w:tc>
                <w:tcPr>
                  <w:tcW w:w="770" w:type="pct"/>
                  <w:tcBorders>
                    <w:tl2br w:val="nil"/>
                    <w:tr2bl w:val="nil"/>
                  </w:tcBorders>
                  <w:vAlign w:val="center"/>
                </w:tcPr>
                <w:p>
                  <w:pPr>
                    <w:widowControl/>
                    <w:jc w:val="center"/>
                    <w:textAlignment w:val="center"/>
                    <w:rPr>
                      <w:color w:val="auto"/>
                      <w:szCs w:val="21"/>
                    </w:rPr>
                  </w:pPr>
                  <w:r>
                    <w:rPr>
                      <w:color w:val="auto"/>
                      <w:kern w:val="0"/>
                      <w:szCs w:val="21"/>
                      <w:lang w:bidi="ar"/>
                    </w:rPr>
                    <w:t>预脱脂槽、脱脂槽</w:t>
                  </w:r>
                </w:p>
              </w:tc>
              <w:tc>
                <w:tcPr>
                  <w:tcW w:w="288" w:type="pct"/>
                  <w:tcBorders>
                    <w:tl2br w:val="nil"/>
                    <w:tr2bl w:val="nil"/>
                  </w:tcBorders>
                  <w:vAlign w:val="center"/>
                </w:tcPr>
                <w:p>
                  <w:pPr>
                    <w:widowControl/>
                    <w:jc w:val="center"/>
                    <w:textAlignment w:val="center"/>
                    <w:rPr>
                      <w:color w:val="auto"/>
                      <w:szCs w:val="21"/>
                    </w:rPr>
                  </w:pPr>
                  <w:r>
                    <w:rPr>
                      <w:color w:val="auto"/>
                      <w:kern w:val="0"/>
                      <w:szCs w:val="21"/>
                      <w:lang w:bidi="ar"/>
                    </w:rPr>
                    <w:t>液态</w:t>
                  </w:r>
                </w:p>
              </w:tc>
              <w:tc>
                <w:tcPr>
                  <w:tcW w:w="697" w:type="pct"/>
                  <w:tcBorders>
                    <w:tl2br w:val="nil"/>
                    <w:tr2bl w:val="nil"/>
                  </w:tcBorders>
                  <w:vAlign w:val="center"/>
                </w:tcPr>
                <w:p>
                  <w:pPr>
                    <w:widowControl/>
                    <w:jc w:val="center"/>
                    <w:textAlignment w:val="center"/>
                    <w:rPr>
                      <w:color w:val="auto"/>
                      <w:szCs w:val="21"/>
                    </w:rPr>
                  </w:pPr>
                  <w:r>
                    <w:rPr>
                      <w:color w:val="auto"/>
                      <w:kern w:val="0"/>
                      <w:szCs w:val="21"/>
                      <w:lang w:bidi="ar"/>
                    </w:rPr>
                    <w:t>脱脂液、脱脂助剂</w:t>
                  </w:r>
                </w:p>
              </w:tc>
              <w:tc>
                <w:tcPr>
                  <w:tcW w:w="248" w:type="pct"/>
                  <w:vMerge w:val="restart"/>
                  <w:tcBorders>
                    <w:tl2br w:val="nil"/>
                    <w:tr2bl w:val="nil"/>
                  </w:tcBorders>
                  <w:vAlign w:val="center"/>
                </w:tcPr>
                <w:p>
                  <w:pPr>
                    <w:adjustRightInd w:val="0"/>
                    <w:snapToGrid w:val="0"/>
                    <w:jc w:val="center"/>
                    <w:rPr>
                      <w:color w:val="auto"/>
                      <w:szCs w:val="21"/>
                    </w:rPr>
                  </w:pPr>
                  <w:r>
                    <w:rPr>
                      <w:color w:val="auto"/>
                      <w:kern w:val="0"/>
                      <w:szCs w:val="21"/>
                      <w:lang w:bidi="ar"/>
                    </w:rPr>
                    <w:t>危险固废</w:t>
                  </w:r>
                </w:p>
              </w:tc>
              <w:tc>
                <w:tcPr>
                  <w:tcW w:w="402" w:type="pct"/>
                  <w:vMerge w:val="restart"/>
                  <w:tcBorders>
                    <w:tl2br w:val="nil"/>
                    <w:tr2bl w:val="nil"/>
                  </w:tcBorders>
                  <w:vAlign w:val="center"/>
                </w:tcPr>
                <w:p>
                  <w:pPr>
                    <w:adjustRightInd w:val="0"/>
                    <w:snapToGrid w:val="0"/>
                    <w:jc w:val="center"/>
                    <w:rPr>
                      <w:color w:val="auto"/>
                      <w:szCs w:val="21"/>
                    </w:rPr>
                  </w:pPr>
                  <w:r>
                    <w:rPr>
                      <w:snapToGrid w:val="0"/>
                      <w:color w:val="auto"/>
                      <w:szCs w:val="21"/>
                    </w:rPr>
                    <w:t>《国家危险废物名录》（2021年版）</w:t>
                  </w:r>
                </w:p>
              </w:tc>
              <w:tc>
                <w:tcPr>
                  <w:tcW w:w="391" w:type="pct"/>
                  <w:tcBorders>
                    <w:tl2br w:val="nil"/>
                    <w:tr2bl w:val="nil"/>
                  </w:tcBorders>
                  <w:vAlign w:val="center"/>
                </w:tcPr>
                <w:p>
                  <w:pPr>
                    <w:widowControl/>
                    <w:jc w:val="center"/>
                    <w:textAlignment w:val="center"/>
                    <w:rPr>
                      <w:color w:val="auto"/>
                      <w:szCs w:val="21"/>
                    </w:rPr>
                  </w:pPr>
                  <w:r>
                    <w:rPr>
                      <w:color w:val="auto"/>
                      <w:kern w:val="0"/>
                      <w:szCs w:val="21"/>
                      <w:lang w:bidi="ar"/>
                    </w:rPr>
                    <w:t>T</w:t>
                  </w:r>
                  <w:r>
                    <w:rPr>
                      <w:rFonts w:hint="eastAsia"/>
                      <w:color w:val="auto"/>
                      <w:kern w:val="0"/>
                      <w:szCs w:val="21"/>
                      <w:lang w:bidi="ar"/>
                    </w:rPr>
                    <w:t>/C</w:t>
                  </w:r>
                </w:p>
              </w:tc>
              <w:tc>
                <w:tcPr>
                  <w:tcW w:w="510" w:type="pct"/>
                  <w:tcBorders>
                    <w:tl2br w:val="nil"/>
                    <w:tr2bl w:val="nil"/>
                  </w:tcBorders>
                  <w:vAlign w:val="center"/>
                </w:tcPr>
                <w:p>
                  <w:pPr>
                    <w:widowControl/>
                    <w:jc w:val="center"/>
                    <w:textAlignment w:val="center"/>
                    <w:rPr>
                      <w:color w:val="auto"/>
                      <w:szCs w:val="21"/>
                    </w:rPr>
                  </w:pPr>
                  <w:r>
                    <w:rPr>
                      <w:color w:val="auto"/>
                      <w:kern w:val="0"/>
                      <w:szCs w:val="21"/>
                      <w:lang w:bidi="ar"/>
                    </w:rPr>
                    <w:t>HW17</w:t>
                  </w:r>
                </w:p>
              </w:tc>
              <w:tc>
                <w:tcPr>
                  <w:tcW w:w="520" w:type="pct"/>
                  <w:tcBorders>
                    <w:tl2br w:val="nil"/>
                    <w:tr2bl w:val="nil"/>
                  </w:tcBorders>
                  <w:vAlign w:val="center"/>
                </w:tcPr>
                <w:p>
                  <w:pPr>
                    <w:widowControl/>
                    <w:jc w:val="center"/>
                    <w:textAlignment w:val="center"/>
                    <w:rPr>
                      <w:color w:val="auto"/>
                      <w:szCs w:val="21"/>
                    </w:rPr>
                  </w:pPr>
                  <w:r>
                    <w:rPr>
                      <w:color w:val="auto"/>
                      <w:kern w:val="0"/>
                      <w:szCs w:val="21"/>
                      <w:lang w:bidi="ar"/>
                    </w:rPr>
                    <w:t>336-064-17</w:t>
                  </w:r>
                </w:p>
              </w:tc>
              <w:tc>
                <w:tcPr>
                  <w:tcW w:w="367" w:type="pct"/>
                  <w:tcBorders>
                    <w:tl2br w:val="nil"/>
                    <w:tr2bl w:val="nil"/>
                  </w:tcBorders>
                  <w:vAlign w:val="center"/>
                </w:tcPr>
                <w:p>
                  <w:pPr>
                    <w:widowControl/>
                    <w:jc w:val="center"/>
                    <w:textAlignment w:val="center"/>
                    <w:rPr>
                      <w:color w:val="auto"/>
                      <w:szCs w:val="21"/>
                    </w:rPr>
                  </w:pPr>
                  <w:r>
                    <w:rPr>
                      <w:rFonts w:hint="eastAsia"/>
                      <w:color w:val="auto"/>
                      <w:szCs w:val="21"/>
                    </w:rPr>
                    <w:t>12.4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pPr>
                    <w:widowControl/>
                    <w:jc w:val="center"/>
                    <w:textAlignment w:val="center"/>
                    <w:rPr>
                      <w:color w:val="auto"/>
                      <w:kern w:val="0"/>
                      <w:szCs w:val="21"/>
                    </w:rPr>
                  </w:pPr>
                  <w:r>
                    <w:rPr>
                      <w:color w:val="auto"/>
                      <w:kern w:val="0"/>
                      <w:szCs w:val="21"/>
                      <w:lang w:bidi="ar"/>
                    </w:rPr>
                    <w:t>2</w:t>
                  </w:r>
                </w:p>
              </w:tc>
              <w:tc>
                <w:tcPr>
                  <w:tcW w:w="511" w:type="pct"/>
                  <w:tcBorders>
                    <w:tl2br w:val="nil"/>
                    <w:tr2bl w:val="nil"/>
                  </w:tcBorders>
                  <w:vAlign w:val="center"/>
                </w:tcPr>
                <w:p>
                  <w:pPr>
                    <w:widowControl/>
                    <w:jc w:val="center"/>
                    <w:textAlignment w:val="center"/>
                    <w:rPr>
                      <w:color w:val="auto"/>
                      <w:kern w:val="0"/>
                      <w:szCs w:val="21"/>
                    </w:rPr>
                  </w:pPr>
                  <w:r>
                    <w:rPr>
                      <w:rFonts w:hint="eastAsia"/>
                      <w:color w:val="auto"/>
                      <w:szCs w:val="21"/>
                    </w:rPr>
                    <w:t>陶化废渣（液）</w:t>
                  </w:r>
                </w:p>
              </w:tc>
              <w:tc>
                <w:tcPr>
                  <w:tcW w:w="770" w:type="pct"/>
                  <w:tcBorders>
                    <w:tl2br w:val="nil"/>
                    <w:tr2bl w:val="nil"/>
                  </w:tcBorders>
                  <w:vAlign w:val="center"/>
                </w:tcPr>
                <w:p>
                  <w:pPr>
                    <w:widowControl/>
                    <w:jc w:val="center"/>
                    <w:textAlignment w:val="center"/>
                    <w:rPr>
                      <w:color w:val="auto"/>
                      <w:szCs w:val="21"/>
                    </w:rPr>
                  </w:pPr>
                  <w:r>
                    <w:rPr>
                      <w:rFonts w:hint="eastAsia"/>
                      <w:color w:val="auto"/>
                      <w:szCs w:val="21"/>
                    </w:rPr>
                    <w:t>陶化</w:t>
                  </w:r>
                </w:p>
              </w:tc>
              <w:tc>
                <w:tcPr>
                  <w:tcW w:w="288" w:type="pct"/>
                  <w:tcBorders>
                    <w:tl2br w:val="nil"/>
                    <w:tr2bl w:val="nil"/>
                  </w:tcBorders>
                  <w:vAlign w:val="center"/>
                </w:tcPr>
                <w:p>
                  <w:pPr>
                    <w:widowControl/>
                    <w:jc w:val="center"/>
                    <w:textAlignment w:val="center"/>
                    <w:rPr>
                      <w:color w:val="auto"/>
                      <w:szCs w:val="21"/>
                    </w:rPr>
                  </w:pPr>
                  <w:r>
                    <w:rPr>
                      <w:color w:val="auto"/>
                      <w:kern w:val="0"/>
                      <w:szCs w:val="21"/>
                      <w:lang w:bidi="ar"/>
                    </w:rPr>
                    <w:t>液态</w:t>
                  </w:r>
                </w:p>
              </w:tc>
              <w:tc>
                <w:tcPr>
                  <w:tcW w:w="697" w:type="pct"/>
                  <w:tcBorders>
                    <w:tl2br w:val="nil"/>
                    <w:tr2bl w:val="nil"/>
                  </w:tcBorders>
                  <w:vAlign w:val="center"/>
                </w:tcPr>
                <w:p>
                  <w:pPr>
                    <w:widowControl/>
                    <w:jc w:val="center"/>
                    <w:textAlignment w:val="center"/>
                    <w:rPr>
                      <w:color w:val="auto"/>
                      <w:szCs w:val="21"/>
                    </w:rPr>
                  </w:pPr>
                  <w:r>
                    <w:rPr>
                      <w:color w:val="auto"/>
                      <w:szCs w:val="21"/>
                    </w:rPr>
                    <w:t>无磷转化</w:t>
                  </w:r>
                  <w:r>
                    <w:rPr>
                      <w:rFonts w:hint="eastAsia"/>
                      <w:color w:val="auto"/>
                      <w:szCs w:val="21"/>
                    </w:rPr>
                    <w:t>液、</w:t>
                  </w:r>
                  <w:r>
                    <w:rPr>
                      <w:bCs/>
                      <w:color w:val="auto"/>
                      <w:szCs w:val="21"/>
                    </w:rPr>
                    <w:t>硅烷转</w:t>
                  </w:r>
                </w:p>
              </w:tc>
              <w:tc>
                <w:tcPr>
                  <w:tcW w:w="248" w:type="pct"/>
                  <w:vMerge w:val="continue"/>
                  <w:tcBorders>
                    <w:tl2br w:val="nil"/>
                    <w:tr2bl w:val="nil"/>
                  </w:tcBorders>
                  <w:vAlign w:val="center"/>
                </w:tcPr>
                <w:p>
                  <w:pPr>
                    <w:widowControl/>
                    <w:jc w:val="center"/>
                    <w:textAlignment w:val="center"/>
                    <w:rPr>
                      <w:color w:val="auto"/>
                      <w:szCs w:val="21"/>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tcBorders>
                    <w:tl2br w:val="nil"/>
                    <w:tr2bl w:val="nil"/>
                  </w:tcBorders>
                  <w:vAlign w:val="center"/>
                </w:tcPr>
                <w:p>
                  <w:pPr>
                    <w:widowControl/>
                    <w:jc w:val="center"/>
                    <w:textAlignment w:val="center"/>
                    <w:rPr>
                      <w:color w:val="auto"/>
                      <w:szCs w:val="21"/>
                    </w:rPr>
                  </w:pPr>
                  <w:r>
                    <w:rPr>
                      <w:color w:val="auto"/>
                      <w:kern w:val="0"/>
                      <w:szCs w:val="21"/>
                      <w:lang w:bidi="ar"/>
                    </w:rPr>
                    <w:t>T</w:t>
                  </w:r>
                  <w:r>
                    <w:rPr>
                      <w:rFonts w:hint="eastAsia"/>
                      <w:color w:val="auto"/>
                      <w:kern w:val="0"/>
                      <w:szCs w:val="21"/>
                      <w:lang w:bidi="ar"/>
                    </w:rPr>
                    <w:t>/C</w:t>
                  </w:r>
                </w:p>
              </w:tc>
              <w:tc>
                <w:tcPr>
                  <w:tcW w:w="510" w:type="pct"/>
                  <w:tcBorders>
                    <w:tl2br w:val="nil"/>
                    <w:tr2bl w:val="nil"/>
                  </w:tcBorders>
                  <w:vAlign w:val="center"/>
                </w:tcPr>
                <w:p>
                  <w:pPr>
                    <w:widowControl/>
                    <w:jc w:val="center"/>
                    <w:textAlignment w:val="center"/>
                    <w:rPr>
                      <w:color w:val="auto"/>
                      <w:szCs w:val="21"/>
                    </w:rPr>
                  </w:pPr>
                  <w:r>
                    <w:rPr>
                      <w:color w:val="auto"/>
                      <w:kern w:val="0"/>
                      <w:szCs w:val="21"/>
                      <w:lang w:bidi="ar"/>
                    </w:rPr>
                    <w:t>HW17</w:t>
                  </w:r>
                </w:p>
              </w:tc>
              <w:tc>
                <w:tcPr>
                  <w:tcW w:w="520" w:type="pct"/>
                  <w:tcBorders>
                    <w:tl2br w:val="nil"/>
                    <w:tr2bl w:val="nil"/>
                  </w:tcBorders>
                  <w:vAlign w:val="center"/>
                </w:tcPr>
                <w:p>
                  <w:pPr>
                    <w:widowControl/>
                    <w:jc w:val="center"/>
                    <w:textAlignment w:val="center"/>
                    <w:rPr>
                      <w:color w:val="auto"/>
                      <w:szCs w:val="21"/>
                    </w:rPr>
                  </w:pPr>
                  <w:r>
                    <w:rPr>
                      <w:color w:val="auto"/>
                      <w:kern w:val="0"/>
                      <w:szCs w:val="21"/>
                      <w:lang w:bidi="ar"/>
                    </w:rPr>
                    <w:t>336-064-17</w:t>
                  </w:r>
                </w:p>
              </w:tc>
              <w:tc>
                <w:tcPr>
                  <w:tcW w:w="367" w:type="pct"/>
                  <w:tcBorders>
                    <w:tl2br w:val="nil"/>
                    <w:tr2bl w:val="nil"/>
                  </w:tcBorders>
                  <w:vAlign w:val="center"/>
                </w:tcPr>
                <w:p>
                  <w:pPr>
                    <w:widowControl/>
                    <w:jc w:val="center"/>
                    <w:textAlignment w:val="center"/>
                    <w:rPr>
                      <w:color w:val="auto"/>
                      <w:szCs w:val="21"/>
                    </w:rPr>
                  </w:pPr>
                  <w:r>
                    <w:rPr>
                      <w:rFonts w:hint="eastAsia"/>
                      <w:color w:val="auto"/>
                      <w:szCs w:val="21"/>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pPr>
                    <w:widowControl/>
                    <w:jc w:val="center"/>
                    <w:textAlignment w:val="center"/>
                    <w:rPr>
                      <w:color w:val="auto"/>
                      <w:kern w:val="0"/>
                      <w:szCs w:val="21"/>
                    </w:rPr>
                  </w:pPr>
                  <w:r>
                    <w:rPr>
                      <w:rFonts w:hint="eastAsia"/>
                      <w:color w:val="auto"/>
                      <w:kern w:val="0"/>
                      <w:szCs w:val="21"/>
                      <w:lang w:bidi="ar"/>
                    </w:rPr>
                    <w:t>3</w:t>
                  </w:r>
                </w:p>
              </w:tc>
              <w:tc>
                <w:tcPr>
                  <w:tcW w:w="511" w:type="pct"/>
                  <w:tcBorders>
                    <w:tl2br w:val="nil"/>
                    <w:tr2bl w:val="nil"/>
                  </w:tcBorders>
                  <w:vAlign w:val="center"/>
                </w:tcPr>
                <w:p>
                  <w:pPr>
                    <w:widowControl/>
                    <w:jc w:val="center"/>
                    <w:textAlignment w:val="center"/>
                    <w:rPr>
                      <w:color w:val="auto"/>
                      <w:szCs w:val="21"/>
                    </w:rPr>
                  </w:pPr>
                  <w:r>
                    <w:rPr>
                      <w:color w:val="auto"/>
                      <w:kern w:val="0"/>
                      <w:szCs w:val="21"/>
                      <w:lang w:bidi="ar"/>
                    </w:rPr>
                    <w:t>废包装桶</w:t>
                  </w:r>
                </w:p>
              </w:tc>
              <w:tc>
                <w:tcPr>
                  <w:tcW w:w="770" w:type="pct"/>
                  <w:tcBorders>
                    <w:tl2br w:val="nil"/>
                    <w:tr2bl w:val="nil"/>
                  </w:tcBorders>
                  <w:vAlign w:val="center"/>
                </w:tcPr>
                <w:p>
                  <w:pPr>
                    <w:widowControl/>
                    <w:jc w:val="center"/>
                    <w:textAlignment w:val="center"/>
                    <w:rPr>
                      <w:bCs/>
                      <w:color w:val="auto"/>
                      <w:szCs w:val="21"/>
                    </w:rPr>
                  </w:pPr>
                  <w:r>
                    <w:rPr>
                      <w:color w:val="auto"/>
                      <w:szCs w:val="21"/>
                    </w:rPr>
                    <w:t>脱脂剂、脱脂助剂、无磷转化液、硅烷化处理剂等使用过程会产生废包装桶</w:t>
                  </w:r>
                </w:p>
              </w:tc>
              <w:tc>
                <w:tcPr>
                  <w:tcW w:w="288" w:type="pct"/>
                  <w:tcBorders>
                    <w:tl2br w:val="nil"/>
                    <w:tr2bl w:val="nil"/>
                  </w:tcBorders>
                  <w:vAlign w:val="center"/>
                </w:tcPr>
                <w:p>
                  <w:pPr>
                    <w:widowControl/>
                    <w:jc w:val="center"/>
                    <w:textAlignment w:val="center"/>
                    <w:rPr>
                      <w:bCs/>
                      <w:color w:val="auto"/>
                      <w:szCs w:val="21"/>
                    </w:rPr>
                  </w:pPr>
                  <w:r>
                    <w:rPr>
                      <w:color w:val="auto"/>
                      <w:kern w:val="0"/>
                      <w:szCs w:val="21"/>
                      <w:lang w:bidi="ar"/>
                    </w:rPr>
                    <w:t>固态</w:t>
                  </w:r>
                </w:p>
              </w:tc>
              <w:tc>
                <w:tcPr>
                  <w:tcW w:w="697" w:type="pct"/>
                  <w:tcBorders>
                    <w:tl2br w:val="nil"/>
                    <w:tr2bl w:val="nil"/>
                  </w:tcBorders>
                  <w:vAlign w:val="center"/>
                </w:tcPr>
                <w:p>
                  <w:pPr>
                    <w:widowControl/>
                    <w:jc w:val="center"/>
                    <w:textAlignment w:val="center"/>
                    <w:rPr>
                      <w:bCs/>
                      <w:color w:val="auto"/>
                      <w:szCs w:val="21"/>
                    </w:rPr>
                  </w:pPr>
                  <w:r>
                    <w:rPr>
                      <w:color w:val="auto"/>
                      <w:szCs w:val="21"/>
                    </w:rPr>
                    <w:t>脂剂、脱脂助剂、无磷转化液、硅烷化处理剂等</w:t>
                  </w:r>
                </w:p>
              </w:tc>
              <w:tc>
                <w:tcPr>
                  <w:tcW w:w="248" w:type="pct"/>
                  <w:vMerge w:val="continue"/>
                  <w:tcBorders>
                    <w:tl2br w:val="nil"/>
                    <w:tr2bl w:val="nil"/>
                  </w:tcBorders>
                  <w:vAlign w:val="center"/>
                </w:tcPr>
                <w:p>
                  <w:pPr>
                    <w:adjustRightInd w:val="0"/>
                    <w:snapToGrid w:val="0"/>
                    <w:jc w:val="center"/>
                    <w:rPr>
                      <w:color w:val="auto"/>
                      <w:szCs w:val="21"/>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tcBorders>
                    <w:tl2br w:val="nil"/>
                    <w:tr2bl w:val="nil"/>
                  </w:tcBorders>
                  <w:vAlign w:val="center"/>
                </w:tcPr>
                <w:p>
                  <w:pPr>
                    <w:widowControl/>
                    <w:jc w:val="center"/>
                    <w:textAlignment w:val="center"/>
                    <w:rPr>
                      <w:color w:val="auto"/>
                      <w:szCs w:val="21"/>
                    </w:rPr>
                  </w:pPr>
                  <w:r>
                    <w:rPr>
                      <w:color w:val="auto"/>
                      <w:kern w:val="0"/>
                      <w:szCs w:val="21"/>
                      <w:lang w:bidi="ar"/>
                    </w:rPr>
                    <w:t>T</w:t>
                  </w:r>
                  <w:r>
                    <w:rPr>
                      <w:rFonts w:hint="eastAsia"/>
                      <w:color w:val="auto"/>
                      <w:kern w:val="0"/>
                      <w:szCs w:val="21"/>
                      <w:lang w:bidi="ar"/>
                    </w:rPr>
                    <w:t>/C</w:t>
                  </w:r>
                </w:p>
              </w:tc>
              <w:tc>
                <w:tcPr>
                  <w:tcW w:w="510" w:type="pct"/>
                  <w:tcBorders>
                    <w:tl2br w:val="nil"/>
                    <w:tr2bl w:val="nil"/>
                  </w:tcBorders>
                  <w:vAlign w:val="center"/>
                </w:tcPr>
                <w:p>
                  <w:pPr>
                    <w:widowControl/>
                    <w:jc w:val="center"/>
                    <w:textAlignment w:val="center"/>
                    <w:rPr>
                      <w:color w:val="auto"/>
                      <w:szCs w:val="21"/>
                    </w:rPr>
                  </w:pPr>
                  <w:r>
                    <w:rPr>
                      <w:color w:val="auto"/>
                      <w:szCs w:val="21"/>
                    </w:rPr>
                    <w:t>HW49</w:t>
                  </w:r>
                </w:p>
              </w:tc>
              <w:tc>
                <w:tcPr>
                  <w:tcW w:w="520" w:type="pct"/>
                  <w:tcBorders>
                    <w:tl2br w:val="nil"/>
                    <w:tr2bl w:val="nil"/>
                  </w:tcBorders>
                  <w:vAlign w:val="center"/>
                </w:tcPr>
                <w:p>
                  <w:pPr>
                    <w:widowControl/>
                    <w:jc w:val="center"/>
                    <w:textAlignment w:val="center"/>
                    <w:rPr>
                      <w:color w:val="auto"/>
                      <w:szCs w:val="21"/>
                    </w:rPr>
                  </w:pPr>
                  <w:r>
                    <w:rPr>
                      <w:color w:val="auto"/>
                      <w:szCs w:val="21"/>
                    </w:rPr>
                    <w:t>900-041-49</w:t>
                  </w:r>
                </w:p>
              </w:tc>
              <w:tc>
                <w:tcPr>
                  <w:tcW w:w="367" w:type="pct"/>
                  <w:tcBorders>
                    <w:tl2br w:val="nil"/>
                    <w:tr2bl w:val="nil"/>
                  </w:tcBorders>
                  <w:vAlign w:val="center"/>
                </w:tcPr>
                <w:p>
                  <w:pPr>
                    <w:widowControl/>
                    <w:jc w:val="center"/>
                    <w:textAlignment w:val="center"/>
                    <w:rPr>
                      <w:color w:val="auto"/>
                      <w:szCs w:val="21"/>
                    </w:rPr>
                  </w:pPr>
                  <w:r>
                    <w:rPr>
                      <w:rFonts w:hint="eastAsia"/>
                      <w:color w:val="auto"/>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pPr>
                    <w:widowControl/>
                    <w:jc w:val="center"/>
                    <w:textAlignment w:val="center"/>
                    <w:rPr>
                      <w:color w:val="auto"/>
                      <w:kern w:val="0"/>
                      <w:szCs w:val="21"/>
                    </w:rPr>
                  </w:pPr>
                  <w:r>
                    <w:rPr>
                      <w:rFonts w:hint="eastAsia"/>
                      <w:color w:val="auto"/>
                      <w:kern w:val="0"/>
                      <w:szCs w:val="21"/>
                      <w:lang w:bidi="ar"/>
                    </w:rPr>
                    <w:t>4</w:t>
                  </w:r>
                </w:p>
              </w:tc>
              <w:tc>
                <w:tcPr>
                  <w:tcW w:w="511" w:type="pct"/>
                  <w:tcBorders>
                    <w:tl2br w:val="nil"/>
                    <w:tr2bl w:val="nil"/>
                  </w:tcBorders>
                  <w:vAlign w:val="center"/>
                </w:tcPr>
                <w:p>
                  <w:pPr>
                    <w:widowControl/>
                    <w:jc w:val="center"/>
                    <w:textAlignment w:val="center"/>
                    <w:rPr>
                      <w:color w:val="auto"/>
                      <w:kern w:val="0"/>
                      <w:szCs w:val="21"/>
                    </w:rPr>
                  </w:pPr>
                  <w:r>
                    <w:rPr>
                      <w:color w:val="auto"/>
                      <w:szCs w:val="21"/>
                    </w:rPr>
                    <w:t>废活性炭</w:t>
                  </w:r>
                </w:p>
              </w:tc>
              <w:tc>
                <w:tcPr>
                  <w:tcW w:w="770" w:type="pct"/>
                  <w:tcBorders>
                    <w:tl2br w:val="nil"/>
                    <w:tr2bl w:val="nil"/>
                  </w:tcBorders>
                  <w:vAlign w:val="center"/>
                </w:tcPr>
                <w:p>
                  <w:pPr>
                    <w:widowControl/>
                    <w:jc w:val="center"/>
                    <w:textAlignment w:val="center"/>
                    <w:rPr>
                      <w:bCs/>
                      <w:color w:val="auto"/>
                      <w:szCs w:val="21"/>
                    </w:rPr>
                  </w:pPr>
                  <w:r>
                    <w:rPr>
                      <w:color w:val="auto"/>
                      <w:szCs w:val="21"/>
                    </w:rPr>
                    <w:t>有机废气处理</w:t>
                  </w:r>
                </w:p>
              </w:tc>
              <w:tc>
                <w:tcPr>
                  <w:tcW w:w="288" w:type="pct"/>
                  <w:tcBorders>
                    <w:tl2br w:val="nil"/>
                    <w:tr2bl w:val="nil"/>
                  </w:tcBorders>
                  <w:vAlign w:val="center"/>
                </w:tcPr>
                <w:p>
                  <w:pPr>
                    <w:widowControl/>
                    <w:jc w:val="center"/>
                    <w:textAlignment w:val="center"/>
                    <w:rPr>
                      <w:bCs/>
                      <w:color w:val="auto"/>
                      <w:szCs w:val="21"/>
                    </w:rPr>
                  </w:pPr>
                  <w:r>
                    <w:rPr>
                      <w:color w:val="auto"/>
                      <w:kern w:val="0"/>
                      <w:szCs w:val="21"/>
                      <w:lang w:bidi="ar"/>
                    </w:rPr>
                    <w:t>固态</w:t>
                  </w:r>
                </w:p>
              </w:tc>
              <w:tc>
                <w:tcPr>
                  <w:tcW w:w="697" w:type="pct"/>
                  <w:tcBorders>
                    <w:tl2br w:val="nil"/>
                    <w:tr2bl w:val="nil"/>
                  </w:tcBorders>
                  <w:vAlign w:val="center"/>
                </w:tcPr>
                <w:p>
                  <w:pPr>
                    <w:widowControl/>
                    <w:jc w:val="center"/>
                    <w:textAlignment w:val="center"/>
                    <w:rPr>
                      <w:bCs/>
                      <w:color w:val="auto"/>
                      <w:szCs w:val="21"/>
                    </w:rPr>
                  </w:pPr>
                  <w:r>
                    <w:rPr>
                      <w:bCs/>
                      <w:color w:val="auto"/>
                      <w:szCs w:val="21"/>
                    </w:rPr>
                    <w:t>有机废气</w:t>
                  </w:r>
                </w:p>
              </w:tc>
              <w:tc>
                <w:tcPr>
                  <w:tcW w:w="248" w:type="pct"/>
                  <w:vMerge w:val="continue"/>
                  <w:tcBorders>
                    <w:tl2br w:val="nil"/>
                    <w:tr2bl w:val="nil"/>
                  </w:tcBorders>
                  <w:vAlign w:val="center"/>
                </w:tcPr>
                <w:p>
                  <w:pPr>
                    <w:adjustRightInd w:val="0"/>
                    <w:snapToGrid w:val="0"/>
                    <w:jc w:val="center"/>
                    <w:rPr>
                      <w:color w:val="auto"/>
                      <w:szCs w:val="21"/>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tcBorders>
                    <w:tl2br w:val="nil"/>
                    <w:tr2bl w:val="nil"/>
                  </w:tcBorders>
                  <w:vAlign w:val="center"/>
                </w:tcPr>
                <w:p>
                  <w:pPr>
                    <w:widowControl/>
                    <w:jc w:val="center"/>
                    <w:textAlignment w:val="center"/>
                    <w:rPr>
                      <w:bCs/>
                      <w:color w:val="auto"/>
                      <w:szCs w:val="21"/>
                    </w:rPr>
                  </w:pPr>
                  <w:r>
                    <w:rPr>
                      <w:bCs/>
                      <w:color w:val="auto"/>
                      <w:szCs w:val="21"/>
                    </w:rPr>
                    <w:t>T</w:t>
                  </w:r>
                </w:p>
              </w:tc>
              <w:tc>
                <w:tcPr>
                  <w:tcW w:w="510" w:type="pct"/>
                  <w:tcBorders>
                    <w:tl2br w:val="nil"/>
                    <w:tr2bl w:val="nil"/>
                  </w:tcBorders>
                  <w:vAlign w:val="center"/>
                </w:tcPr>
                <w:p>
                  <w:pPr>
                    <w:widowControl/>
                    <w:jc w:val="center"/>
                    <w:textAlignment w:val="center"/>
                    <w:rPr>
                      <w:color w:val="auto"/>
                      <w:kern w:val="0"/>
                      <w:szCs w:val="21"/>
                    </w:rPr>
                  </w:pPr>
                  <w:r>
                    <w:rPr>
                      <w:color w:val="auto"/>
                      <w:szCs w:val="21"/>
                    </w:rPr>
                    <w:t>HW49</w:t>
                  </w:r>
                </w:p>
              </w:tc>
              <w:tc>
                <w:tcPr>
                  <w:tcW w:w="520" w:type="pct"/>
                  <w:tcBorders>
                    <w:tl2br w:val="nil"/>
                    <w:tr2bl w:val="nil"/>
                  </w:tcBorders>
                  <w:vAlign w:val="center"/>
                </w:tcPr>
                <w:p>
                  <w:pPr>
                    <w:widowControl/>
                    <w:jc w:val="center"/>
                    <w:textAlignment w:val="center"/>
                    <w:rPr>
                      <w:bCs/>
                      <w:color w:val="auto"/>
                      <w:szCs w:val="21"/>
                    </w:rPr>
                  </w:pPr>
                  <w:r>
                    <w:rPr>
                      <w:color w:val="auto"/>
                      <w:szCs w:val="21"/>
                    </w:rPr>
                    <w:t>900-0</w:t>
                  </w:r>
                  <w:r>
                    <w:rPr>
                      <w:rFonts w:hint="eastAsia"/>
                      <w:color w:val="auto"/>
                      <w:szCs w:val="21"/>
                    </w:rPr>
                    <w:t>39</w:t>
                  </w:r>
                  <w:r>
                    <w:rPr>
                      <w:color w:val="auto"/>
                      <w:szCs w:val="21"/>
                    </w:rPr>
                    <w:t>-49</w:t>
                  </w:r>
                </w:p>
              </w:tc>
              <w:tc>
                <w:tcPr>
                  <w:tcW w:w="367" w:type="pct"/>
                  <w:tcBorders>
                    <w:tl2br w:val="nil"/>
                    <w:tr2bl w:val="nil"/>
                  </w:tcBorders>
                  <w:vAlign w:val="center"/>
                </w:tcPr>
                <w:p>
                  <w:pPr>
                    <w:widowControl/>
                    <w:jc w:val="center"/>
                    <w:textAlignment w:val="center"/>
                    <w:rPr>
                      <w:color w:val="auto"/>
                      <w:szCs w:val="21"/>
                    </w:rPr>
                  </w:pPr>
                  <w:r>
                    <w:rPr>
                      <w:rFonts w:hint="eastAsia"/>
                      <w:color w:val="auto"/>
                      <w:szCs w:val="21"/>
                    </w:rPr>
                    <w:t>3.2617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1" w:hRule="atLeast"/>
                <w:jc w:val="center"/>
              </w:trPr>
              <w:tc>
                <w:tcPr>
                  <w:tcW w:w="290" w:type="pct"/>
                  <w:tcBorders>
                    <w:tl2br w:val="nil"/>
                    <w:tr2bl w:val="nil"/>
                  </w:tcBorders>
                  <w:vAlign w:val="center"/>
                </w:tcPr>
                <w:p>
                  <w:pPr>
                    <w:widowControl/>
                    <w:jc w:val="center"/>
                    <w:textAlignment w:val="center"/>
                    <w:rPr>
                      <w:color w:val="auto"/>
                      <w:szCs w:val="21"/>
                    </w:rPr>
                  </w:pPr>
                  <w:r>
                    <w:rPr>
                      <w:rFonts w:hint="eastAsia"/>
                      <w:color w:val="auto"/>
                      <w:kern w:val="0"/>
                      <w:szCs w:val="21"/>
                      <w:lang w:bidi="ar"/>
                    </w:rPr>
                    <w:t>5</w:t>
                  </w:r>
                </w:p>
              </w:tc>
              <w:tc>
                <w:tcPr>
                  <w:tcW w:w="511" w:type="pct"/>
                  <w:tcBorders>
                    <w:tl2br w:val="nil"/>
                    <w:tr2bl w:val="nil"/>
                  </w:tcBorders>
                  <w:vAlign w:val="center"/>
                </w:tcPr>
                <w:p>
                  <w:pPr>
                    <w:widowControl/>
                    <w:jc w:val="center"/>
                    <w:textAlignment w:val="center"/>
                    <w:rPr>
                      <w:bCs/>
                      <w:color w:val="auto"/>
                      <w:szCs w:val="21"/>
                    </w:rPr>
                  </w:pPr>
                  <w:r>
                    <w:rPr>
                      <w:color w:val="auto"/>
                      <w:kern w:val="0"/>
                      <w:szCs w:val="21"/>
                      <w:lang w:bidi="ar"/>
                    </w:rPr>
                    <w:t>废油</w:t>
                  </w:r>
                </w:p>
              </w:tc>
              <w:tc>
                <w:tcPr>
                  <w:tcW w:w="770" w:type="pct"/>
                  <w:tcBorders>
                    <w:tl2br w:val="nil"/>
                    <w:tr2bl w:val="nil"/>
                  </w:tcBorders>
                  <w:vAlign w:val="center"/>
                </w:tcPr>
                <w:p>
                  <w:pPr>
                    <w:widowControl/>
                    <w:jc w:val="center"/>
                    <w:textAlignment w:val="center"/>
                    <w:rPr>
                      <w:bCs/>
                      <w:color w:val="auto"/>
                      <w:szCs w:val="21"/>
                    </w:rPr>
                  </w:pPr>
                  <w:r>
                    <w:rPr>
                      <w:color w:val="auto"/>
                      <w:szCs w:val="21"/>
                    </w:rPr>
                    <w:t>设备维护保养过程产生废液压油、废润滑油</w:t>
                  </w:r>
                </w:p>
              </w:tc>
              <w:tc>
                <w:tcPr>
                  <w:tcW w:w="288" w:type="pct"/>
                  <w:tcBorders>
                    <w:tl2br w:val="nil"/>
                    <w:tr2bl w:val="nil"/>
                  </w:tcBorders>
                  <w:vAlign w:val="center"/>
                </w:tcPr>
                <w:p>
                  <w:pPr>
                    <w:widowControl/>
                    <w:jc w:val="center"/>
                    <w:textAlignment w:val="center"/>
                    <w:rPr>
                      <w:bCs/>
                      <w:color w:val="auto"/>
                      <w:szCs w:val="21"/>
                    </w:rPr>
                  </w:pPr>
                  <w:r>
                    <w:rPr>
                      <w:color w:val="auto"/>
                      <w:kern w:val="0"/>
                      <w:szCs w:val="21"/>
                      <w:lang w:bidi="ar"/>
                    </w:rPr>
                    <w:t>液态</w:t>
                  </w:r>
                </w:p>
              </w:tc>
              <w:tc>
                <w:tcPr>
                  <w:tcW w:w="697" w:type="pct"/>
                  <w:tcBorders>
                    <w:bottom w:val="single" w:color="auto" w:sz="4" w:space="0"/>
                    <w:tl2br w:val="nil"/>
                    <w:tr2bl w:val="nil"/>
                  </w:tcBorders>
                  <w:vAlign w:val="center"/>
                </w:tcPr>
                <w:p>
                  <w:pPr>
                    <w:widowControl/>
                    <w:jc w:val="center"/>
                    <w:textAlignment w:val="center"/>
                    <w:rPr>
                      <w:color w:val="auto"/>
                      <w:szCs w:val="21"/>
                    </w:rPr>
                  </w:pPr>
                  <w:r>
                    <w:rPr>
                      <w:color w:val="auto"/>
                      <w:kern w:val="0"/>
                      <w:szCs w:val="21"/>
                      <w:lang w:bidi="ar"/>
                    </w:rPr>
                    <w:t>油</w:t>
                  </w:r>
                </w:p>
              </w:tc>
              <w:tc>
                <w:tcPr>
                  <w:tcW w:w="248" w:type="pct"/>
                  <w:vMerge w:val="continue"/>
                  <w:tcBorders>
                    <w:tl2br w:val="nil"/>
                    <w:tr2bl w:val="nil"/>
                  </w:tcBorders>
                  <w:vAlign w:val="center"/>
                </w:tcPr>
                <w:p>
                  <w:pPr>
                    <w:adjustRightInd w:val="0"/>
                    <w:snapToGrid w:val="0"/>
                    <w:jc w:val="center"/>
                    <w:rPr>
                      <w:color w:val="auto"/>
                      <w:szCs w:val="21"/>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tcBorders>
                    <w:bottom w:val="single" w:color="auto" w:sz="4" w:space="0"/>
                    <w:tl2br w:val="nil"/>
                    <w:tr2bl w:val="nil"/>
                  </w:tcBorders>
                  <w:vAlign w:val="center"/>
                </w:tcPr>
                <w:p>
                  <w:pPr>
                    <w:spacing w:line="240" w:lineRule="auto"/>
                    <w:jc w:val="center"/>
                    <w:rPr>
                      <w:rFonts w:ascii="Times New Roman" w:hAnsi="Times New Roman" w:eastAsia="宋体" w:cs="Times New Roman"/>
                      <w:bCs/>
                      <w:color w:val="auto"/>
                      <w:kern w:val="2"/>
                      <w:sz w:val="21"/>
                      <w:szCs w:val="21"/>
                      <w:lang w:val="en-US" w:eastAsia="zh-CN" w:bidi="ar-SA"/>
                    </w:rPr>
                  </w:pPr>
                  <w:r>
                    <w:rPr>
                      <w:color w:val="auto"/>
                      <w:szCs w:val="21"/>
                    </w:rPr>
                    <w:t>T，I</w:t>
                  </w:r>
                </w:p>
              </w:tc>
              <w:tc>
                <w:tcPr>
                  <w:tcW w:w="510" w:type="pct"/>
                  <w:tcBorders>
                    <w:bottom w:val="single" w:color="auto" w:sz="4" w:space="0"/>
                    <w:tl2br w:val="nil"/>
                    <w:tr2bl w:val="nil"/>
                  </w:tcBorders>
                  <w:vAlign w:val="center"/>
                </w:tcPr>
                <w:p>
                  <w:pPr>
                    <w:jc w:val="center"/>
                    <w:textAlignment w:val="center"/>
                    <w:rPr>
                      <w:rFonts w:ascii="Times New Roman" w:hAnsi="Times New Roman" w:eastAsia="宋体" w:cs="Times New Roman"/>
                      <w:color w:val="auto"/>
                      <w:kern w:val="2"/>
                      <w:sz w:val="21"/>
                      <w:szCs w:val="21"/>
                      <w:lang w:val="en-US" w:eastAsia="zh-CN" w:bidi="ar-SA"/>
                    </w:rPr>
                  </w:pPr>
                  <w:r>
                    <w:rPr>
                      <w:color w:val="auto"/>
                      <w:kern w:val="0"/>
                      <w:szCs w:val="21"/>
                      <w:lang w:bidi="ar"/>
                    </w:rPr>
                    <w:t>HW08</w:t>
                  </w:r>
                </w:p>
              </w:tc>
              <w:tc>
                <w:tcPr>
                  <w:tcW w:w="520" w:type="pct"/>
                  <w:tcBorders>
                    <w:bottom w:val="single" w:color="auto" w:sz="4" w:space="0"/>
                    <w:tl2br w:val="nil"/>
                    <w:tr2bl w:val="nil"/>
                  </w:tcBorders>
                  <w:vAlign w:val="center"/>
                </w:tcPr>
                <w:p>
                  <w:pPr>
                    <w:jc w:val="center"/>
                    <w:textAlignment w:val="center"/>
                    <w:rPr>
                      <w:rFonts w:ascii="Times New Roman" w:hAnsi="Times New Roman" w:eastAsia="宋体" w:cs="Times New Roman"/>
                      <w:color w:val="auto"/>
                      <w:kern w:val="2"/>
                      <w:sz w:val="21"/>
                      <w:szCs w:val="21"/>
                      <w:lang w:val="en-US" w:eastAsia="zh-CN" w:bidi="ar-SA"/>
                    </w:rPr>
                  </w:pPr>
                  <w:r>
                    <w:rPr>
                      <w:color w:val="auto"/>
                      <w:szCs w:val="21"/>
                      <w:shd w:val="clear" w:color="auto" w:fill="FFFFFF"/>
                    </w:rPr>
                    <w:t>900-</w:t>
                  </w:r>
                  <w:r>
                    <w:rPr>
                      <w:rFonts w:hint="eastAsia"/>
                      <w:color w:val="auto"/>
                      <w:szCs w:val="21"/>
                      <w:shd w:val="clear" w:color="auto" w:fill="FFFFFF"/>
                      <w:lang w:val="en-US" w:eastAsia="zh-CN"/>
                    </w:rPr>
                    <w:t>249</w:t>
                  </w:r>
                  <w:r>
                    <w:rPr>
                      <w:color w:val="auto"/>
                      <w:szCs w:val="21"/>
                      <w:shd w:val="clear" w:color="auto" w:fill="FFFFFF"/>
                    </w:rPr>
                    <w:t>-08</w:t>
                  </w:r>
                </w:p>
              </w:tc>
              <w:tc>
                <w:tcPr>
                  <w:tcW w:w="367" w:type="pct"/>
                  <w:tcBorders>
                    <w:bottom w:val="single" w:color="auto" w:sz="4" w:space="0"/>
                    <w:tl2br w:val="nil"/>
                    <w:tr2bl w:val="nil"/>
                  </w:tcBorders>
                  <w:vAlign w:val="center"/>
                </w:tcPr>
                <w:p>
                  <w:pPr>
                    <w:jc w:val="center"/>
                    <w:textAlignment w:val="center"/>
                    <w:rPr>
                      <w:rFonts w:hint="eastAsia" w:ascii="Times New Roman" w:hAnsi="Times New Roman" w:eastAsia="宋体" w:cs="Times New Roman"/>
                      <w:color w:val="auto"/>
                      <w:kern w:val="2"/>
                      <w:sz w:val="21"/>
                      <w:szCs w:val="21"/>
                      <w:lang w:val="en-US" w:eastAsia="zh-CN" w:bidi="ar-SA"/>
                    </w:rPr>
                  </w:pPr>
                  <w:r>
                    <w:rPr>
                      <w:color w:val="auto"/>
                      <w:szCs w:val="21"/>
                    </w:rPr>
                    <w:t>0.0</w:t>
                  </w:r>
                  <w:r>
                    <w:rPr>
                      <w:rFonts w:hint="eastAsia"/>
                      <w:color w:val="auto"/>
                      <w:szCs w:val="21"/>
                      <w:lang w:val="en-US" w:eastAsia="zh-CN"/>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pPr>
                    <w:widowControl/>
                    <w:jc w:val="center"/>
                    <w:textAlignment w:val="center"/>
                    <w:rPr>
                      <w:color w:val="auto"/>
                      <w:szCs w:val="21"/>
                    </w:rPr>
                  </w:pPr>
                  <w:r>
                    <w:rPr>
                      <w:rFonts w:hint="eastAsia"/>
                      <w:color w:val="auto"/>
                      <w:kern w:val="0"/>
                      <w:szCs w:val="21"/>
                      <w:lang w:bidi="ar"/>
                    </w:rPr>
                    <w:t>6</w:t>
                  </w:r>
                </w:p>
              </w:tc>
              <w:tc>
                <w:tcPr>
                  <w:tcW w:w="511" w:type="pct"/>
                  <w:tcBorders>
                    <w:tl2br w:val="nil"/>
                    <w:tr2bl w:val="nil"/>
                  </w:tcBorders>
                  <w:vAlign w:val="center"/>
                </w:tcPr>
                <w:p>
                  <w:pPr>
                    <w:widowControl/>
                    <w:jc w:val="center"/>
                    <w:textAlignment w:val="center"/>
                    <w:rPr>
                      <w:color w:val="auto"/>
                      <w:kern w:val="0"/>
                      <w:szCs w:val="21"/>
                    </w:rPr>
                  </w:pPr>
                  <w:r>
                    <w:rPr>
                      <w:color w:val="auto"/>
                      <w:szCs w:val="21"/>
                    </w:rPr>
                    <w:t>含油废抹布手套</w:t>
                  </w:r>
                </w:p>
              </w:tc>
              <w:tc>
                <w:tcPr>
                  <w:tcW w:w="770" w:type="pct"/>
                  <w:tcBorders>
                    <w:tl2br w:val="nil"/>
                    <w:tr2bl w:val="nil"/>
                  </w:tcBorders>
                  <w:vAlign w:val="center"/>
                </w:tcPr>
                <w:p>
                  <w:pPr>
                    <w:widowControl/>
                    <w:jc w:val="center"/>
                    <w:textAlignment w:val="center"/>
                    <w:rPr>
                      <w:bCs/>
                      <w:color w:val="auto"/>
                      <w:szCs w:val="21"/>
                    </w:rPr>
                  </w:pPr>
                  <w:r>
                    <w:rPr>
                      <w:color w:val="auto"/>
                      <w:kern w:val="0"/>
                      <w:szCs w:val="21"/>
                      <w:lang w:bidi="ar"/>
                    </w:rPr>
                    <w:t>生产过程、维护保养过程</w:t>
                  </w:r>
                </w:p>
              </w:tc>
              <w:tc>
                <w:tcPr>
                  <w:tcW w:w="288" w:type="pct"/>
                  <w:tcBorders>
                    <w:tl2br w:val="nil"/>
                    <w:tr2bl w:val="nil"/>
                  </w:tcBorders>
                  <w:vAlign w:val="center"/>
                </w:tcPr>
                <w:p>
                  <w:pPr>
                    <w:widowControl/>
                    <w:jc w:val="center"/>
                    <w:textAlignment w:val="center"/>
                    <w:rPr>
                      <w:bCs/>
                      <w:color w:val="auto"/>
                      <w:szCs w:val="21"/>
                    </w:rPr>
                  </w:pPr>
                  <w:r>
                    <w:rPr>
                      <w:color w:val="auto"/>
                      <w:kern w:val="0"/>
                      <w:szCs w:val="21"/>
                      <w:lang w:bidi="ar"/>
                    </w:rPr>
                    <w:t>固态</w:t>
                  </w:r>
                </w:p>
              </w:tc>
              <w:tc>
                <w:tcPr>
                  <w:tcW w:w="697" w:type="pct"/>
                  <w:tcBorders>
                    <w:tl2br w:val="nil"/>
                    <w:tr2bl w:val="nil"/>
                  </w:tcBorders>
                  <w:vAlign w:val="center"/>
                </w:tcPr>
                <w:p>
                  <w:pPr>
                    <w:widowControl/>
                    <w:jc w:val="center"/>
                    <w:textAlignment w:val="center"/>
                    <w:rPr>
                      <w:bCs/>
                      <w:color w:val="auto"/>
                      <w:szCs w:val="21"/>
                    </w:rPr>
                  </w:pPr>
                  <w:r>
                    <w:rPr>
                      <w:color w:val="auto"/>
                      <w:kern w:val="0"/>
                      <w:szCs w:val="21"/>
                      <w:lang w:bidi="ar"/>
                    </w:rPr>
                    <w:t>油</w:t>
                  </w:r>
                </w:p>
              </w:tc>
              <w:tc>
                <w:tcPr>
                  <w:tcW w:w="248" w:type="pct"/>
                  <w:vMerge w:val="continue"/>
                  <w:tcBorders>
                    <w:tl2br w:val="nil"/>
                    <w:tr2bl w:val="nil"/>
                  </w:tcBorders>
                  <w:vAlign w:val="center"/>
                </w:tcPr>
                <w:p>
                  <w:pPr>
                    <w:widowControl/>
                    <w:jc w:val="center"/>
                    <w:textAlignment w:val="center"/>
                    <w:rPr>
                      <w:color w:val="auto"/>
                      <w:szCs w:val="21"/>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tcBorders>
                    <w:tl2br w:val="nil"/>
                    <w:tr2bl w:val="nil"/>
                  </w:tcBorders>
                  <w:vAlign w:val="center"/>
                </w:tcPr>
                <w:p>
                  <w:pPr>
                    <w:widowControl/>
                    <w:jc w:val="center"/>
                    <w:textAlignment w:val="center"/>
                    <w:rPr>
                      <w:snapToGrid w:val="0"/>
                      <w:color w:val="auto"/>
                      <w:szCs w:val="21"/>
                    </w:rPr>
                  </w:pPr>
                  <w:r>
                    <w:rPr>
                      <w:bCs/>
                      <w:color w:val="auto"/>
                      <w:szCs w:val="21"/>
                    </w:rPr>
                    <w:t>T/In</w:t>
                  </w:r>
                </w:p>
              </w:tc>
              <w:tc>
                <w:tcPr>
                  <w:tcW w:w="510" w:type="pct"/>
                  <w:tcBorders>
                    <w:tl2br w:val="nil"/>
                    <w:tr2bl w:val="nil"/>
                  </w:tcBorders>
                  <w:vAlign w:val="center"/>
                </w:tcPr>
                <w:p>
                  <w:pPr>
                    <w:widowControl/>
                    <w:jc w:val="center"/>
                    <w:textAlignment w:val="center"/>
                    <w:rPr>
                      <w:color w:val="auto"/>
                      <w:szCs w:val="21"/>
                    </w:rPr>
                  </w:pPr>
                  <w:r>
                    <w:rPr>
                      <w:color w:val="auto"/>
                      <w:szCs w:val="21"/>
                    </w:rPr>
                    <w:t>HW49</w:t>
                  </w:r>
                </w:p>
              </w:tc>
              <w:tc>
                <w:tcPr>
                  <w:tcW w:w="520" w:type="pct"/>
                  <w:tcBorders>
                    <w:tl2br w:val="nil"/>
                    <w:tr2bl w:val="nil"/>
                  </w:tcBorders>
                  <w:vAlign w:val="center"/>
                </w:tcPr>
                <w:p>
                  <w:pPr>
                    <w:widowControl/>
                    <w:jc w:val="center"/>
                    <w:textAlignment w:val="center"/>
                    <w:rPr>
                      <w:snapToGrid w:val="0"/>
                      <w:color w:val="auto"/>
                      <w:szCs w:val="21"/>
                    </w:rPr>
                  </w:pPr>
                  <w:r>
                    <w:rPr>
                      <w:color w:val="auto"/>
                      <w:szCs w:val="21"/>
                    </w:rPr>
                    <w:t>900-041-49</w:t>
                  </w:r>
                </w:p>
              </w:tc>
              <w:tc>
                <w:tcPr>
                  <w:tcW w:w="367" w:type="pct"/>
                  <w:tcBorders>
                    <w:tl2br w:val="nil"/>
                    <w:tr2bl w:val="nil"/>
                  </w:tcBorders>
                  <w:vAlign w:val="center"/>
                </w:tcPr>
                <w:p>
                  <w:pPr>
                    <w:widowControl/>
                    <w:jc w:val="center"/>
                    <w:textAlignment w:val="center"/>
                    <w:rPr>
                      <w:color w:val="auto"/>
                      <w:szCs w:val="21"/>
                    </w:rPr>
                  </w:pPr>
                  <w:r>
                    <w:rPr>
                      <w:color w:val="auto"/>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pPr>
                    <w:widowControl/>
                    <w:jc w:val="center"/>
                    <w:textAlignment w:val="center"/>
                    <w:rPr>
                      <w:color w:val="auto"/>
                      <w:szCs w:val="21"/>
                    </w:rPr>
                  </w:pPr>
                  <w:r>
                    <w:rPr>
                      <w:rFonts w:hint="eastAsia"/>
                      <w:color w:val="auto"/>
                      <w:kern w:val="0"/>
                      <w:szCs w:val="21"/>
                      <w:lang w:bidi="ar"/>
                    </w:rPr>
                    <w:t>7</w:t>
                  </w:r>
                </w:p>
              </w:tc>
              <w:tc>
                <w:tcPr>
                  <w:tcW w:w="511" w:type="pct"/>
                  <w:tcBorders>
                    <w:tl2br w:val="nil"/>
                    <w:tr2bl w:val="nil"/>
                  </w:tcBorders>
                  <w:vAlign w:val="center"/>
                </w:tcPr>
                <w:p>
                  <w:pPr>
                    <w:widowControl/>
                    <w:jc w:val="center"/>
                    <w:textAlignment w:val="center"/>
                    <w:rPr>
                      <w:color w:val="auto"/>
                      <w:kern w:val="0"/>
                      <w:szCs w:val="21"/>
                      <w:lang w:bidi="ar"/>
                    </w:rPr>
                  </w:pPr>
                  <w:r>
                    <w:rPr>
                      <w:color w:val="auto"/>
                      <w:szCs w:val="21"/>
                    </w:rPr>
                    <w:t>废油类包装桶</w:t>
                  </w:r>
                </w:p>
              </w:tc>
              <w:tc>
                <w:tcPr>
                  <w:tcW w:w="770"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原料使用</w:t>
                  </w:r>
                </w:p>
              </w:tc>
              <w:tc>
                <w:tcPr>
                  <w:tcW w:w="288"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固态</w:t>
                  </w:r>
                </w:p>
              </w:tc>
              <w:tc>
                <w:tcPr>
                  <w:tcW w:w="697"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油</w:t>
                  </w:r>
                </w:p>
              </w:tc>
              <w:tc>
                <w:tcPr>
                  <w:tcW w:w="248" w:type="pct"/>
                  <w:vMerge w:val="continue"/>
                  <w:tcBorders>
                    <w:tl2br w:val="nil"/>
                    <w:tr2bl w:val="nil"/>
                  </w:tcBorders>
                  <w:vAlign w:val="center"/>
                </w:tcPr>
                <w:p>
                  <w:pPr>
                    <w:adjustRightInd w:val="0"/>
                    <w:snapToGrid w:val="0"/>
                    <w:jc w:val="center"/>
                    <w:rPr>
                      <w:color w:val="auto"/>
                      <w:szCs w:val="21"/>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T，I</w:t>
                  </w:r>
                </w:p>
              </w:tc>
              <w:tc>
                <w:tcPr>
                  <w:tcW w:w="510"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HW08</w:t>
                  </w:r>
                </w:p>
              </w:tc>
              <w:tc>
                <w:tcPr>
                  <w:tcW w:w="520"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900-249-08</w:t>
                  </w:r>
                </w:p>
              </w:tc>
              <w:tc>
                <w:tcPr>
                  <w:tcW w:w="367"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pPr>
                    <w:widowControl/>
                    <w:jc w:val="center"/>
                    <w:textAlignment w:val="center"/>
                    <w:rPr>
                      <w:color w:val="auto"/>
                      <w:szCs w:val="21"/>
                    </w:rPr>
                  </w:pPr>
                  <w:r>
                    <w:rPr>
                      <w:rFonts w:hint="eastAsia"/>
                      <w:color w:val="auto"/>
                      <w:szCs w:val="21"/>
                    </w:rPr>
                    <w:t>8</w:t>
                  </w:r>
                </w:p>
              </w:tc>
              <w:tc>
                <w:tcPr>
                  <w:tcW w:w="511" w:type="pct"/>
                  <w:tcBorders>
                    <w:tl2br w:val="nil"/>
                    <w:tr2bl w:val="nil"/>
                  </w:tcBorders>
                  <w:vAlign w:val="center"/>
                </w:tcPr>
                <w:p>
                  <w:pPr>
                    <w:widowControl/>
                    <w:jc w:val="center"/>
                    <w:textAlignment w:val="center"/>
                    <w:rPr>
                      <w:color w:val="auto"/>
                      <w:kern w:val="0"/>
                      <w:szCs w:val="21"/>
                      <w:lang w:bidi="ar"/>
                    </w:rPr>
                  </w:pPr>
                  <w:r>
                    <w:rPr>
                      <w:color w:val="auto"/>
                      <w:szCs w:val="21"/>
                    </w:rPr>
                    <w:t>压滤污泥</w:t>
                  </w:r>
                </w:p>
              </w:tc>
              <w:tc>
                <w:tcPr>
                  <w:tcW w:w="770" w:type="pct"/>
                  <w:vMerge w:val="restart"/>
                  <w:tcBorders>
                    <w:tl2br w:val="nil"/>
                    <w:tr2bl w:val="nil"/>
                  </w:tcBorders>
                  <w:vAlign w:val="center"/>
                </w:tcPr>
                <w:p>
                  <w:pPr>
                    <w:widowControl/>
                    <w:jc w:val="center"/>
                    <w:textAlignment w:val="center"/>
                    <w:rPr>
                      <w:color w:val="auto"/>
                      <w:kern w:val="0"/>
                      <w:szCs w:val="21"/>
                      <w:lang w:bidi="ar"/>
                    </w:rPr>
                  </w:pPr>
                  <w:r>
                    <w:rPr>
                      <w:color w:val="auto"/>
                      <w:szCs w:val="21"/>
                    </w:rPr>
                    <w:t>污水处理过程</w:t>
                  </w:r>
                </w:p>
              </w:tc>
              <w:tc>
                <w:tcPr>
                  <w:tcW w:w="288" w:type="pct"/>
                  <w:tcBorders>
                    <w:tl2br w:val="nil"/>
                    <w:tr2bl w:val="nil"/>
                  </w:tcBorders>
                  <w:vAlign w:val="center"/>
                </w:tcPr>
                <w:p>
                  <w:pPr>
                    <w:widowControl/>
                    <w:jc w:val="center"/>
                    <w:textAlignment w:val="center"/>
                    <w:rPr>
                      <w:color w:val="auto"/>
                      <w:kern w:val="0"/>
                      <w:szCs w:val="21"/>
                      <w:lang w:bidi="ar"/>
                    </w:rPr>
                  </w:pPr>
                  <w:r>
                    <w:rPr>
                      <w:color w:val="auto"/>
                      <w:szCs w:val="21"/>
                    </w:rPr>
                    <w:t>固态</w:t>
                  </w:r>
                </w:p>
              </w:tc>
              <w:tc>
                <w:tcPr>
                  <w:tcW w:w="697" w:type="pct"/>
                  <w:tcBorders>
                    <w:tl2br w:val="nil"/>
                    <w:tr2bl w:val="nil"/>
                  </w:tcBorders>
                  <w:vAlign w:val="center"/>
                </w:tcPr>
                <w:p>
                  <w:pPr>
                    <w:widowControl/>
                    <w:jc w:val="center"/>
                    <w:textAlignment w:val="center"/>
                    <w:rPr>
                      <w:color w:val="auto"/>
                      <w:kern w:val="0"/>
                      <w:szCs w:val="21"/>
                      <w:lang w:bidi="ar"/>
                    </w:rPr>
                  </w:pPr>
                  <w:r>
                    <w:rPr>
                      <w:color w:val="auto"/>
                      <w:szCs w:val="21"/>
                    </w:rPr>
                    <w:t>脱脂剂、脱脂助剂、无磷转化剂、</w:t>
                  </w:r>
                  <w:r>
                    <w:rPr>
                      <w:bCs/>
                      <w:color w:val="auto"/>
                      <w:szCs w:val="21"/>
                    </w:rPr>
                    <w:t>硅烷转化剂</w:t>
                  </w:r>
                </w:p>
              </w:tc>
              <w:tc>
                <w:tcPr>
                  <w:tcW w:w="248" w:type="pct"/>
                  <w:vMerge w:val="continue"/>
                  <w:tcBorders>
                    <w:tl2br w:val="nil"/>
                    <w:tr2bl w:val="nil"/>
                  </w:tcBorders>
                  <w:vAlign w:val="center"/>
                </w:tcPr>
                <w:p>
                  <w:pPr>
                    <w:widowControl/>
                    <w:jc w:val="center"/>
                    <w:textAlignment w:val="center"/>
                    <w:rPr>
                      <w:color w:val="auto"/>
                      <w:kern w:val="0"/>
                      <w:szCs w:val="21"/>
                      <w:lang w:bidi="ar"/>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T/C</w:t>
                  </w:r>
                </w:p>
              </w:tc>
              <w:tc>
                <w:tcPr>
                  <w:tcW w:w="510"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HW17</w:t>
                  </w:r>
                </w:p>
              </w:tc>
              <w:tc>
                <w:tcPr>
                  <w:tcW w:w="520"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336-064-17</w:t>
                  </w:r>
                </w:p>
              </w:tc>
              <w:tc>
                <w:tcPr>
                  <w:tcW w:w="367" w:type="pct"/>
                  <w:tcBorders>
                    <w:tl2br w:val="nil"/>
                    <w:tr2bl w:val="nil"/>
                  </w:tcBorders>
                  <w:vAlign w:val="center"/>
                </w:tcPr>
                <w:p>
                  <w:pPr>
                    <w:widowControl/>
                    <w:jc w:val="center"/>
                    <w:textAlignment w:val="center"/>
                    <w:rPr>
                      <w:color w:val="auto"/>
                      <w:kern w:val="0"/>
                      <w:szCs w:val="21"/>
                      <w:lang w:bidi="ar"/>
                    </w:rPr>
                  </w:pPr>
                  <w:r>
                    <w:rPr>
                      <w:rFonts w:hint="eastAsia"/>
                      <w:color w:val="auto"/>
                      <w:szCs w:val="21"/>
                    </w:rPr>
                    <w:t>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90" w:type="pct"/>
                  <w:tcBorders>
                    <w:tl2br w:val="nil"/>
                    <w:tr2bl w:val="nil"/>
                  </w:tcBorders>
                  <w:vAlign w:val="center"/>
                </w:tcPr>
                <w:p>
                  <w:pPr>
                    <w:widowControl/>
                    <w:jc w:val="center"/>
                    <w:textAlignment w:val="center"/>
                    <w:rPr>
                      <w:color w:val="auto"/>
                      <w:szCs w:val="21"/>
                    </w:rPr>
                  </w:pPr>
                  <w:r>
                    <w:rPr>
                      <w:rFonts w:hint="eastAsia"/>
                      <w:color w:val="auto"/>
                      <w:szCs w:val="21"/>
                    </w:rPr>
                    <w:t>9</w:t>
                  </w:r>
                </w:p>
              </w:tc>
              <w:tc>
                <w:tcPr>
                  <w:tcW w:w="511" w:type="pct"/>
                  <w:tcBorders>
                    <w:tl2br w:val="nil"/>
                    <w:tr2bl w:val="nil"/>
                  </w:tcBorders>
                  <w:vAlign w:val="center"/>
                </w:tcPr>
                <w:p>
                  <w:pPr>
                    <w:widowControl/>
                    <w:jc w:val="center"/>
                    <w:textAlignment w:val="center"/>
                    <w:rPr>
                      <w:color w:val="auto"/>
                      <w:kern w:val="0"/>
                      <w:szCs w:val="21"/>
                    </w:rPr>
                  </w:pPr>
                  <w:r>
                    <w:rPr>
                      <w:color w:val="auto"/>
                      <w:szCs w:val="21"/>
                    </w:rPr>
                    <w:t>浓缩蒸发液</w:t>
                  </w:r>
                </w:p>
              </w:tc>
              <w:tc>
                <w:tcPr>
                  <w:tcW w:w="770" w:type="pct"/>
                  <w:vMerge w:val="continue"/>
                  <w:tcBorders>
                    <w:tl2br w:val="nil"/>
                    <w:tr2bl w:val="nil"/>
                  </w:tcBorders>
                  <w:vAlign w:val="center"/>
                </w:tcPr>
                <w:p>
                  <w:pPr>
                    <w:widowControl/>
                    <w:jc w:val="center"/>
                    <w:textAlignment w:val="center"/>
                    <w:rPr>
                      <w:bCs/>
                      <w:color w:val="auto"/>
                      <w:szCs w:val="21"/>
                    </w:rPr>
                  </w:pPr>
                </w:p>
              </w:tc>
              <w:tc>
                <w:tcPr>
                  <w:tcW w:w="288" w:type="pct"/>
                  <w:tcBorders>
                    <w:tl2br w:val="nil"/>
                    <w:tr2bl w:val="nil"/>
                  </w:tcBorders>
                  <w:vAlign w:val="center"/>
                </w:tcPr>
                <w:p>
                  <w:pPr>
                    <w:widowControl/>
                    <w:jc w:val="center"/>
                    <w:textAlignment w:val="center"/>
                    <w:rPr>
                      <w:bCs/>
                      <w:color w:val="auto"/>
                      <w:szCs w:val="21"/>
                    </w:rPr>
                  </w:pPr>
                  <w:r>
                    <w:rPr>
                      <w:color w:val="auto"/>
                      <w:szCs w:val="21"/>
                    </w:rPr>
                    <w:t>液态</w:t>
                  </w:r>
                </w:p>
              </w:tc>
              <w:tc>
                <w:tcPr>
                  <w:tcW w:w="697" w:type="pct"/>
                  <w:tcBorders>
                    <w:tl2br w:val="nil"/>
                    <w:tr2bl w:val="nil"/>
                  </w:tcBorders>
                  <w:vAlign w:val="center"/>
                </w:tcPr>
                <w:p>
                  <w:pPr>
                    <w:widowControl/>
                    <w:jc w:val="center"/>
                    <w:textAlignment w:val="center"/>
                    <w:rPr>
                      <w:bCs/>
                      <w:color w:val="auto"/>
                      <w:szCs w:val="21"/>
                    </w:rPr>
                  </w:pPr>
                  <w:r>
                    <w:rPr>
                      <w:color w:val="auto"/>
                      <w:szCs w:val="21"/>
                    </w:rPr>
                    <w:t>脱脂剂、脱脂助剂、无磷转化剂、</w:t>
                  </w:r>
                  <w:r>
                    <w:rPr>
                      <w:bCs/>
                      <w:color w:val="auto"/>
                      <w:szCs w:val="21"/>
                    </w:rPr>
                    <w:t>硅烷转化剂</w:t>
                  </w:r>
                </w:p>
              </w:tc>
              <w:tc>
                <w:tcPr>
                  <w:tcW w:w="248" w:type="pct"/>
                  <w:vMerge w:val="continue"/>
                  <w:tcBorders>
                    <w:tl2br w:val="nil"/>
                    <w:tr2bl w:val="nil"/>
                  </w:tcBorders>
                  <w:vAlign w:val="center"/>
                </w:tcPr>
                <w:p>
                  <w:pPr>
                    <w:adjustRightInd w:val="0"/>
                    <w:snapToGrid w:val="0"/>
                    <w:jc w:val="center"/>
                    <w:rPr>
                      <w:color w:val="auto"/>
                      <w:szCs w:val="21"/>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tcBorders>
                    <w:tl2br w:val="nil"/>
                    <w:tr2bl w:val="nil"/>
                  </w:tcBorders>
                  <w:vAlign w:val="center"/>
                </w:tcPr>
                <w:p>
                  <w:pPr>
                    <w:widowControl/>
                    <w:jc w:val="center"/>
                    <w:textAlignment w:val="center"/>
                    <w:rPr>
                      <w:color w:val="auto"/>
                      <w:szCs w:val="21"/>
                    </w:rPr>
                  </w:pPr>
                  <w:r>
                    <w:rPr>
                      <w:color w:val="auto"/>
                      <w:kern w:val="0"/>
                      <w:szCs w:val="21"/>
                      <w:lang w:bidi="ar"/>
                    </w:rPr>
                    <w:t>T</w:t>
                  </w:r>
                  <w:r>
                    <w:rPr>
                      <w:rFonts w:hint="eastAsia"/>
                      <w:color w:val="auto"/>
                      <w:kern w:val="0"/>
                      <w:szCs w:val="21"/>
                      <w:lang w:bidi="ar"/>
                    </w:rPr>
                    <w:t>/C</w:t>
                  </w:r>
                </w:p>
              </w:tc>
              <w:tc>
                <w:tcPr>
                  <w:tcW w:w="510" w:type="pct"/>
                  <w:tcBorders>
                    <w:tl2br w:val="nil"/>
                    <w:tr2bl w:val="nil"/>
                  </w:tcBorders>
                  <w:vAlign w:val="center"/>
                </w:tcPr>
                <w:p>
                  <w:pPr>
                    <w:widowControl/>
                    <w:jc w:val="center"/>
                    <w:textAlignment w:val="center"/>
                    <w:rPr>
                      <w:color w:val="auto"/>
                      <w:szCs w:val="21"/>
                    </w:rPr>
                  </w:pPr>
                  <w:r>
                    <w:rPr>
                      <w:color w:val="auto"/>
                      <w:szCs w:val="21"/>
                    </w:rPr>
                    <w:t>HW17</w:t>
                  </w:r>
                </w:p>
              </w:tc>
              <w:tc>
                <w:tcPr>
                  <w:tcW w:w="520" w:type="pct"/>
                  <w:tcBorders>
                    <w:tl2br w:val="nil"/>
                    <w:tr2bl w:val="nil"/>
                  </w:tcBorders>
                  <w:vAlign w:val="center"/>
                </w:tcPr>
                <w:p>
                  <w:pPr>
                    <w:widowControl/>
                    <w:jc w:val="center"/>
                    <w:textAlignment w:val="center"/>
                    <w:rPr>
                      <w:color w:val="auto"/>
                      <w:szCs w:val="21"/>
                    </w:rPr>
                  </w:pPr>
                  <w:r>
                    <w:rPr>
                      <w:color w:val="auto"/>
                      <w:szCs w:val="21"/>
                    </w:rPr>
                    <w:t>336-064-17</w:t>
                  </w:r>
                </w:p>
              </w:tc>
              <w:tc>
                <w:tcPr>
                  <w:tcW w:w="367" w:type="pct"/>
                  <w:tcBorders>
                    <w:tl2br w:val="nil"/>
                    <w:tr2bl w:val="nil"/>
                  </w:tcBorders>
                  <w:vAlign w:val="center"/>
                </w:tcPr>
                <w:p>
                  <w:pPr>
                    <w:widowControl/>
                    <w:jc w:val="center"/>
                    <w:textAlignment w:val="center"/>
                    <w:rPr>
                      <w:color w:val="auto"/>
                      <w:szCs w:val="21"/>
                    </w:rPr>
                  </w:pPr>
                  <w:r>
                    <w:rPr>
                      <w:rFonts w:hint="eastAsia"/>
                      <w:color w:val="auto"/>
                      <w:szCs w:val="21"/>
                    </w:rPr>
                    <w:t>90.4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pPr>
                    <w:widowControl/>
                    <w:jc w:val="center"/>
                    <w:textAlignment w:val="center"/>
                    <w:rPr>
                      <w:color w:val="auto"/>
                      <w:szCs w:val="21"/>
                    </w:rPr>
                  </w:pPr>
                  <w:r>
                    <w:rPr>
                      <w:color w:val="auto"/>
                      <w:szCs w:val="21"/>
                    </w:rPr>
                    <w:t>1</w:t>
                  </w:r>
                  <w:r>
                    <w:rPr>
                      <w:rFonts w:hint="eastAsia"/>
                      <w:color w:val="auto"/>
                      <w:szCs w:val="21"/>
                    </w:rPr>
                    <w:t>0</w:t>
                  </w:r>
                </w:p>
              </w:tc>
              <w:tc>
                <w:tcPr>
                  <w:tcW w:w="511" w:type="pct"/>
                  <w:tcBorders>
                    <w:tl2br w:val="nil"/>
                    <w:tr2bl w:val="nil"/>
                  </w:tcBorders>
                  <w:vAlign w:val="center"/>
                </w:tcPr>
                <w:p>
                  <w:pPr>
                    <w:widowControl/>
                    <w:jc w:val="center"/>
                    <w:textAlignment w:val="center"/>
                    <w:rPr>
                      <w:color w:val="auto"/>
                      <w:kern w:val="0"/>
                      <w:szCs w:val="21"/>
                    </w:rPr>
                  </w:pPr>
                  <w:r>
                    <w:rPr>
                      <w:rFonts w:hint="eastAsia"/>
                      <w:color w:val="auto"/>
                      <w:szCs w:val="21"/>
                    </w:rPr>
                    <w:t>废水过滤材料</w:t>
                  </w:r>
                </w:p>
              </w:tc>
              <w:tc>
                <w:tcPr>
                  <w:tcW w:w="770" w:type="pct"/>
                  <w:vMerge w:val="continue"/>
                  <w:tcBorders>
                    <w:tl2br w:val="nil"/>
                    <w:tr2bl w:val="nil"/>
                  </w:tcBorders>
                  <w:vAlign w:val="center"/>
                </w:tcPr>
                <w:p>
                  <w:pPr>
                    <w:widowControl/>
                    <w:jc w:val="center"/>
                    <w:textAlignment w:val="center"/>
                    <w:rPr>
                      <w:bCs/>
                      <w:color w:val="auto"/>
                      <w:szCs w:val="21"/>
                    </w:rPr>
                  </w:pPr>
                </w:p>
              </w:tc>
              <w:tc>
                <w:tcPr>
                  <w:tcW w:w="288" w:type="pct"/>
                  <w:tcBorders>
                    <w:tl2br w:val="nil"/>
                    <w:tr2bl w:val="nil"/>
                  </w:tcBorders>
                  <w:vAlign w:val="center"/>
                </w:tcPr>
                <w:p>
                  <w:pPr>
                    <w:widowControl/>
                    <w:jc w:val="center"/>
                    <w:textAlignment w:val="center"/>
                    <w:rPr>
                      <w:bCs/>
                      <w:color w:val="auto"/>
                      <w:szCs w:val="21"/>
                    </w:rPr>
                  </w:pPr>
                  <w:r>
                    <w:rPr>
                      <w:color w:val="auto"/>
                      <w:szCs w:val="21"/>
                    </w:rPr>
                    <w:t>固态</w:t>
                  </w:r>
                </w:p>
              </w:tc>
              <w:tc>
                <w:tcPr>
                  <w:tcW w:w="697" w:type="pct"/>
                  <w:tcBorders>
                    <w:tl2br w:val="nil"/>
                    <w:tr2bl w:val="nil"/>
                  </w:tcBorders>
                  <w:vAlign w:val="center"/>
                </w:tcPr>
                <w:p>
                  <w:pPr>
                    <w:widowControl/>
                    <w:jc w:val="center"/>
                    <w:textAlignment w:val="center"/>
                    <w:rPr>
                      <w:bCs/>
                      <w:color w:val="auto"/>
                      <w:szCs w:val="21"/>
                    </w:rPr>
                  </w:pPr>
                  <w:r>
                    <w:rPr>
                      <w:color w:val="auto"/>
                      <w:szCs w:val="21"/>
                    </w:rPr>
                    <w:t>脱脂剂、脱脂助剂、无磷转化剂、</w:t>
                  </w:r>
                  <w:r>
                    <w:rPr>
                      <w:bCs/>
                      <w:color w:val="auto"/>
                      <w:szCs w:val="21"/>
                    </w:rPr>
                    <w:t>硅烷转化剂</w:t>
                  </w:r>
                </w:p>
              </w:tc>
              <w:tc>
                <w:tcPr>
                  <w:tcW w:w="248" w:type="pct"/>
                  <w:vMerge w:val="continue"/>
                  <w:tcBorders>
                    <w:tl2br w:val="nil"/>
                    <w:tr2bl w:val="nil"/>
                  </w:tcBorders>
                  <w:vAlign w:val="center"/>
                </w:tcPr>
                <w:p>
                  <w:pPr>
                    <w:adjustRightInd w:val="0"/>
                    <w:snapToGrid w:val="0"/>
                    <w:jc w:val="center"/>
                    <w:rPr>
                      <w:color w:val="auto"/>
                      <w:szCs w:val="21"/>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tcBorders>
                    <w:tl2br w:val="nil"/>
                    <w:tr2bl w:val="nil"/>
                  </w:tcBorders>
                  <w:vAlign w:val="center"/>
                </w:tcPr>
                <w:p>
                  <w:pPr>
                    <w:widowControl/>
                    <w:jc w:val="center"/>
                    <w:textAlignment w:val="center"/>
                    <w:rPr>
                      <w:color w:val="auto"/>
                      <w:szCs w:val="21"/>
                    </w:rPr>
                  </w:pPr>
                  <w:r>
                    <w:rPr>
                      <w:bCs/>
                      <w:color w:val="auto"/>
                      <w:szCs w:val="21"/>
                    </w:rPr>
                    <w:t>T/In</w:t>
                  </w:r>
                </w:p>
              </w:tc>
              <w:tc>
                <w:tcPr>
                  <w:tcW w:w="510" w:type="pct"/>
                  <w:tcBorders>
                    <w:tl2br w:val="nil"/>
                    <w:tr2bl w:val="nil"/>
                  </w:tcBorders>
                  <w:vAlign w:val="center"/>
                </w:tcPr>
                <w:p>
                  <w:pPr>
                    <w:widowControl/>
                    <w:jc w:val="center"/>
                    <w:textAlignment w:val="center"/>
                    <w:rPr>
                      <w:color w:val="auto"/>
                      <w:szCs w:val="21"/>
                    </w:rPr>
                  </w:pPr>
                  <w:r>
                    <w:rPr>
                      <w:color w:val="auto"/>
                      <w:szCs w:val="21"/>
                    </w:rPr>
                    <w:t>HW49</w:t>
                  </w:r>
                </w:p>
              </w:tc>
              <w:tc>
                <w:tcPr>
                  <w:tcW w:w="520" w:type="pct"/>
                  <w:tcBorders>
                    <w:tl2br w:val="nil"/>
                    <w:tr2bl w:val="nil"/>
                  </w:tcBorders>
                  <w:vAlign w:val="center"/>
                </w:tcPr>
                <w:p>
                  <w:pPr>
                    <w:widowControl/>
                    <w:jc w:val="center"/>
                    <w:textAlignment w:val="center"/>
                    <w:rPr>
                      <w:color w:val="auto"/>
                      <w:szCs w:val="21"/>
                    </w:rPr>
                  </w:pPr>
                  <w:r>
                    <w:rPr>
                      <w:color w:val="auto"/>
                      <w:szCs w:val="21"/>
                    </w:rPr>
                    <w:t>900-041-49</w:t>
                  </w:r>
                </w:p>
              </w:tc>
              <w:tc>
                <w:tcPr>
                  <w:tcW w:w="367" w:type="pct"/>
                  <w:tcBorders>
                    <w:tl2br w:val="nil"/>
                    <w:tr2bl w:val="nil"/>
                  </w:tcBorders>
                  <w:vAlign w:val="center"/>
                </w:tcPr>
                <w:p>
                  <w:pPr>
                    <w:widowControl/>
                    <w:jc w:val="center"/>
                    <w:textAlignment w:val="center"/>
                    <w:rPr>
                      <w:color w:val="auto"/>
                      <w:kern w:val="0"/>
                      <w:szCs w:val="21"/>
                    </w:rPr>
                  </w:pPr>
                  <w:r>
                    <w:rPr>
                      <w:color w:val="auto"/>
                      <w:szCs w:val="21"/>
                    </w:rPr>
                    <w:t>0.0</w:t>
                  </w:r>
                  <w:r>
                    <w:rPr>
                      <w:rFonts w:hint="eastAsia"/>
                      <w:color w:val="auto"/>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1</w:t>
                  </w:r>
                  <w:r>
                    <w:rPr>
                      <w:rFonts w:hint="eastAsia"/>
                      <w:color w:val="auto"/>
                      <w:kern w:val="0"/>
                      <w:szCs w:val="21"/>
                      <w:lang w:bidi="ar"/>
                    </w:rPr>
                    <w:t>1</w:t>
                  </w:r>
                </w:p>
              </w:tc>
              <w:tc>
                <w:tcPr>
                  <w:tcW w:w="511" w:type="pct"/>
                  <w:tcBorders>
                    <w:tl2br w:val="nil"/>
                    <w:tr2bl w:val="nil"/>
                  </w:tcBorders>
                  <w:vAlign w:val="center"/>
                </w:tcPr>
                <w:p>
                  <w:pPr>
                    <w:widowControl/>
                    <w:jc w:val="center"/>
                    <w:textAlignment w:val="center"/>
                    <w:rPr>
                      <w:color w:val="auto"/>
                      <w:kern w:val="0"/>
                      <w:szCs w:val="21"/>
                      <w:lang w:bidi="ar"/>
                    </w:rPr>
                  </w:pPr>
                  <w:r>
                    <w:rPr>
                      <w:color w:val="auto"/>
                      <w:szCs w:val="21"/>
                    </w:rPr>
                    <w:t>打磨毛刺</w:t>
                  </w:r>
                </w:p>
              </w:tc>
              <w:tc>
                <w:tcPr>
                  <w:tcW w:w="770" w:type="pct"/>
                  <w:tcBorders>
                    <w:tl2br w:val="nil"/>
                    <w:tr2bl w:val="nil"/>
                  </w:tcBorders>
                  <w:vAlign w:val="center"/>
                </w:tcPr>
                <w:p>
                  <w:pPr>
                    <w:widowControl/>
                    <w:jc w:val="center"/>
                    <w:textAlignment w:val="center"/>
                    <w:rPr>
                      <w:color w:val="auto"/>
                      <w:szCs w:val="21"/>
                    </w:rPr>
                  </w:pPr>
                  <w:r>
                    <w:rPr>
                      <w:color w:val="auto"/>
                      <w:kern w:val="0"/>
                      <w:szCs w:val="21"/>
                      <w:lang w:bidi="ar"/>
                    </w:rPr>
                    <w:t>冲压件生产检验</w:t>
                  </w:r>
                </w:p>
              </w:tc>
              <w:tc>
                <w:tcPr>
                  <w:tcW w:w="288" w:type="pct"/>
                  <w:tcBorders>
                    <w:tl2br w:val="nil"/>
                    <w:tr2bl w:val="nil"/>
                  </w:tcBorders>
                  <w:vAlign w:val="center"/>
                </w:tcPr>
                <w:p>
                  <w:pPr>
                    <w:widowControl/>
                    <w:jc w:val="center"/>
                    <w:textAlignment w:val="center"/>
                    <w:rPr>
                      <w:color w:val="auto"/>
                      <w:szCs w:val="21"/>
                    </w:rPr>
                  </w:pPr>
                  <w:r>
                    <w:rPr>
                      <w:color w:val="auto"/>
                      <w:kern w:val="0"/>
                      <w:szCs w:val="21"/>
                      <w:lang w:bidi="ar"/>
                    </w:rPr>
                    <w:t>固态</w:t>
                  </w:r>
                </w:p>
              </w:tc>
              <w:tc>
                <w:tcPr>
                  <w:tcW w:w="697" w:type="pct"/>
                  <w:tcBorders>
                    <w:tl2br w:val="nil"/>
                    <w:tr2bl w:val="nil"/>
                  </w:tcBorders>
                  <w:vAlign w:val="center"/>
                </w:tcPr>
                <w:p>
                  <w:pPr>
                    <w:widowControl/>
                    <w:jc w:val="center"/>
                    <w:textAlignment w:val="center"/>
                    <w:rPr>
                      <w:color w:val="auto"/>
                      <w:szCs w:val="21"/>
                    </w:rPr>
                  </w:pPr>
                  <w:r>
                    <w:rPr>
                      <w:color w:val="auto"/>
                      <w:kern w:val="0"/>
                      <w:szCs w:val="21"/>
                      <w:lang w:bidi="ar"/>
                    </w:rPr>
                    <w:t>金属</w:t>
                  </w:r>
                </w:p>
              </w:tc>
              <w:tc>
                <w:tcPr>
                  <w:tcW w:w="248" w:type="pct"/>
                  <w:vMerge w:val="restart"/>
                  <w:tcBorders>
                    <w:tl2br w:val="nil"/>
                    <w:tr2bl w:val="nil"/>
                  </w:tcBorders>
                  <w:vAlign w:val="center"/>
                </w:tcPr>
                <w:p>
                  <w:pPr>
                    <w:widowControl/>
                    <w:jc w:val="center"/>
                    <w:textAlignment w:val="center"/>
                    <w:rPr>
                      <w:color w:val="auto"/>
                      <w:szCs w:val="21"/>
                    </w:rPr>
                  </w:pPr>
                  <w:r>
                    <w:rPr>
                      <w:color w:val="auto"/>
                      <w:kern w:val="0"/>
                      <w:szCs w:val="21"/>
                      <w:lang w:bidi="ar"/>
                    </w:rPr>
                    <w:t>一般固废</w:t>
                  </w: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tcBorders>
                    <w:tl2br w:val="nil"/>
                    <w:tr2bl w:val="nil"/>
                  </w:tcBorders>
                  <w:vAlign w:val="center"/>
                </w:tcPr>
                <w:p>
                  <w:pPr>
                    <w:widowControl/>
                    <w:jc w:val="center"/>
                    <w:textAlignment w:val="center"/>
                    <w:rPr>
                      <w:color w:val="auto"/>
                      <w:szCs w:val="21"/>
                    </w:rPr>
                  </w:pPr>
                  <w:r>
                    <w:rPr>
                      <w:color w:val="auto"/>
                      <w:szCs w:val="21"/>
                    </w:rPr>
                    <w:t>—</w:t>
                  </w:r>
                </w:p>
              </w:tc>
              <w:tc>
                <w:tcPr>
                  <w:tcW w:w="510" w:type="pct"/>
                  <w:tcBorders>
                    <w:tl2br w:val="nil"/>
                    <w:tr2bl w:val="nil"/>
                  </w:tcBorders>
                  <w:vAlign w:val="center"/>
                </w:tcPr>
                <w:p>
                  <w:pPr>
                    <w:widowControl/>
                    <w:jc w:val="center"/>
                    <w:textAlignment w:val="center"/>
                    <w:rPr>
                      <w:rFonts w:hint="default" w:eastAsia="宋体"/>
                      <w:bCs/>
                      <w:color w:val="auto"/>
                      <w:szCs w:val="21"/>
                      <w:highlight w:val="yellow"/>
                      <w:lang w:val="en-US" w:eastAsia="zh-CN"/>
                    </w:rPr>
                  </w:pPr>
                  <w:r>
                    <w:rPr>
                      <w:rFonts w:hint="eastAsia"/>
                      <w:color w:val="auto"/>
                      <w:szCs w:val="21"/>
                      <w:lang w:val="en-US" w:eastAsia="zh-CN"/>
                    </w:rPr>
                    <w:t>09</w:t>
                  </w:r>
                </w:p>
              </w:tc>
              <w:tc>
                <w:tcPr>
                  <w:tcW w:w="520" w:type="pct"/>
                  <w:tcBorders>
                    <w:tl2br w:val="nil"/>
                    <w:tr2bl w:val="nil"/>
                  </w:tcBorders>
                  <w:vAlign w:val="center"/>
                </w:tcPr>
                <w:p>
                  <w:pPr>
                    <w:widowControl/>
                    <w:jc w:val="center"/>
                    <w:textAlignment w:val="center"/>
                    <w:rPr>
                      <w:rFonts w:hint="default" w:eastAsia="宋体"/>
                      <w:bCs/>
                      <w:color w:val="auto"/>
                      <w:szCs w:val="21"/>
                      <w:lang w:val="en-US" w:eastAsia="zh-CN"/>
                    </w:rPr>
                  </w:pPr>
                  <w:r>
                    <w:rPr>
                      <w:rFonts w:hint="eastAsia"/>
                      <w:bCs/>
                      <w:color w:val="auto"/>
                      <w:szCs w:val="21"/>
                    </w:rPr>
                    <w:t>331-999-</w:t>
                  </w:r>
                  <w:r>
                    <w:rPr>
                      <w:rFonts w:hint="eastAsia"/>
                      <w:bCs/>
                      <w:color w:val="auto"/>
                      <w:szCs w:val="21"/>
                      <w:lang w:val="en-US" w:eastAsia="zh-CN"/>
                    </w:rPr>
                    <w:t>09</w:t>
                  </w:r>
                </w:p>
              </w:tc>
              <w:tc>
                <w:tcPr>
                  <w:tcW w:w="367" w:type="pct"/>
                  <w:tcBorders>
                    <w:tl2br w:val="nil"/>
                    <w:tr2bl w:val="nil"/>
                  </w:tcBorders>
                  <w:vAlign w:val="center"/>
                </w:tcPr>
                <w:p>
                  <w:pPr>
                    <w:widowControl/>
                    <w:jc w:val="center"/>
                    <w:textAlignment w:val="center"/>
                    <w:rPr>
                      <w:color w:val="auto"/>
                      <w:szCs w:val="21"/>
                    </w:rPr>
                  </w:pPr>
                  <w:r>
                    <w:rPr>
                      <w:color w:val="auto"/>
                      <w:szCs w:val="21"/>
                    </w:rPr>
                    <w:t>0.</w:t>
                  </w:r>
                  <w:r>
                    <w:rPr>
                      <w:rFonts w:hint="eastAsia"/>
                      <w:color w:val="auto"/>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1</w:t>
                  </w:r>
                  <w:r>
                    <w:rPr>
                      <w:rFonts w:hint="eastAsia"/>
                      <w:color w:val="auto"/>
                      <w:kern w:val="0"/>
                      <w:szCs w:val="21"/>
                      <w:lang w:bidi="ar"/>
                    </w:rPr>
                    <w:t>2</w:t>
                  </w:r>
                </w:p>
              </w:tc>
              <w:tc>
                <w:tcPr>
                  <w:tcW w:w="511" w:type="pct"/>
                  <w:tcBorders>
                    <w:tl2br w:val="nil"/>
                    <w:tr2bl w:val="nil"/>
                  </w:tcBorders>
                  <w:vAlign w:val="center"/>
                </w:tcPr>
                <w:p>
                  <w:pPr>
                    <w:widowControl/>
                    <w:jc w:val="center"/>
                    <w:textAlignment w:val="center"/>
                    <w:rPr>
                      <w:color w:val="auto"/>
                      <w:szCs w:val="21"/>
                    </w:rPr>
                  </w:pPr>
                  <w:r>
                    <w:rPr>
                      <w:color w:val="auto"/>
                      <w:szCs w:val="21"/>
                    </w:rPr>
                    <w:t>废边角料</w:t>
                  </w:r>
                </w:p>
              </w:tc>
              <w:tc>
                <w:tcPr>
                  <w:tcW w:w="770" w:type="pct"/>
                  <w:tcBorders>
                    <w:tl2br w:val="nil"/>
                    <w:tr2bl w:val="nil"/>
                  </w:tcBorders>
                  <w:vAlign w:val="center"/>
                </w:tcPr>
                <w:p>
                  <w:pPr>
                    <w:widowControl/>
                    <w:jc w:val="center"/>
                    <w:textAlignment w:val="center"/>
                    <w:rPr>
                      <w:color w:val="auto"/>
                      <w:szCs w:val="21"/>
                    </w:rPr>
                  </w:pPr>
                  <w:r>
                    <w:rPr>
                      <w:color w:val="auto"/>
                      <w:szCs w:val="21"/>
                    </w:rPr>
                    <w:t>冲压件工艺过程</w:t>
                  </w:r>
                </w:p>
              </w:tc>
              <w:tc>
                <w:tcPr>
                  <w:tcW w:w="288" w:type="pct"/>
                  <w:tcBorders>
                    <w:tl2br w:val="nil"/>
                    <w:tr2bl w:val="nil"/>
                  </w:tcBorders>
                  <w:vAlign w:val="center"/>
                </w:tcPr>
                <w:p>
                  <w:pPr>
                    <w:widowControl/>
                    <w:jc w:val="center"/>
                    <w:textAlignment w:val="center"/>
                    <w:rPr>
                      <w:color w:val="auto"/>
                      <w:szCs w:val="21"/>
                    </w:rPr>
                  </w:pPr>
                  <w:r>
                    <w:rPr>
                      <w:color w:val="auto"/>
                      <w:kern w:val="0"/>
                      <w:szCs w:val="21"/>
                      <w:lang w:bidi="ar"/>
                    </w:rPr>
                    <w:t>固态</w:t>
                  </w:r>
                </w:p>
              </w:tc>
              <w:tc>
                <w:tcPr>
                  <w:tcW w:w="697" w:type="pct"/>
                  <w:tcBorders>
                    <w:tl2br w:val="nil"/>
                    <w:tr2bl w:val="nil"/>
                  </w:tcBorders>
                  <w:vAlign w:val="center"/>
                </w:tcPr>
                <w:p>
                  <w:pPr>
                    <w:widowControl/>
                    <w:jc w:val="center"/>
                    <w:textAlignment w:val="center"/>
                    <w:rPr>
                      <w:color w:val="auto"/>
                      <w:szCs w:val="21"/>
                    </w:rPr>
                  </w:pPr>
                  <w:r>
                    <w:rPr>
                      <w:color w:val="auto"/>
                      <w:kern w:val="0"/>
                      <w:szCs w:val="21"/>
                      <w:lang w:bidi="ar"/>
                    </w:rPr>
                    <w:t>金属</w:t>
                  </w:r>
                </w:p>
              </w:tc>
              <w:tc>
                <w:tcPr>
                  <w:tcW w:w="248" w:type="pct"/>
                  <w:vMerge w:val="continue"/>
                  <w:tcBorders>
                    <w:tl2br w:val="nil"/>
                    <w:tr2bl w:val="nil"/>
                  </w:tcBorders>
                  <w:vAlign w:val="center"/>
                </w:tcPr>
                <w:p>
                  <w:pPr>
                    <w:widowControl/>
                    <w:jc w:val="center"/>
                    <w:textAlignment w:val="center"/>
                    <w:rPr>
                      <w:color w:val="auto"/>
                      <w:szCs w:val="21"/>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tcBorders>
                    <w:tl2br w:val="nil"/>
                    <w:tr2bl w:val="nil"/>
                  </w:tcBorders>
                  <w:vAlign w:val="center"/>
                </w:tcPr>
                <w:p>
                  <w:pPr>
                    <w:widowControl/>
                    <w:jc w:val="center"/>
                    <w:textAlignment w:val="center"/>
                    <w:rPr>
                      <w:color w:val="auto"/>
                      <w:szCs w:val="21"/>
                    </w:rPr>
                  </w:pPr>
                  <w:r>
                    <w:rPr>
                      <w:color w:val="auto"/>
                      <w:szCs w:val="21"/>
                    </w:rPr>
                    <w:t>—</w:t>
                  </w:r>
                </w:p>
              </w:tc>
              <w:tc>
                <w:tcPr>
                  <w:tcW w:w="510" w:type="pct"/>
                  <w:tcBorders>
                    <w:tl2br w:val="nil"/>
                    <w:tr2bl w:val="nil"/>
                  </w:tcBorders>
                  <w:vAlign w:val="center"/>
                </w:tcPr>
                <w:p>
                  <w:pPr>
                    <w:widowControl/>
                    <w:jc w:val="center"/>
                    <w:textAlignment w:val="center"/>
                    <w:rPr>
                      <w:rFonts w:hint="default" w:eastAsia="宋体"/>
                      <w:bCs/>
                      <w:color w:val="auto"/>
                      <w:szCs w:val="21"/>
                      <w:highlight w:val="yellow"/>
                      <w:lang w:val="en-US" w:eastAsia="zh-CN"/>
                    </w:rPr>
                  </w:pPr>
                  <w:r>
                    <w:rPr>
                      <w:rFonts w:hint="eastAsia"/>
                      <w:color w:val="auto"/>
                      <w:szCs w:val="21"/>
                      <w:lang w:val="en-US" w:eastAsia="zh-CN"/>
                    </w:rPr>
                    <w:t>09</w:t>
                  </w:r>
                </w:p>
              </w:tc>
              <w:tc>
                <w:tcPr>
                  <w:tcW w:w="520" w:type="pct"/>
                  <w:tcBorders>
                    <w:tl2br w:val="nil"/>
                    <w:tr2bl w:val="nil"/>
                  </w:tcBorders>
                  <w:vAlign w:val="center"/>
                </w:tcPr>
                <w:p>
                  <w:pPr>
                    <w:widowControl/>
                    <w:jc w:val="center"/>
                    <w:textAlignment w:val="center"/>
                    <w:rPr>
                      <w:rFonts w:hint="default" w:eastAsia="宋体"/>
                      <w:bCs/>
                      <w:color w:val="auto"/>
                      <w:szCs w:val="21"/>
                      <w:highlight w:val="yellow"/>
                      <w:lang w:val="en-US" w:eastAsia="zh-CN"/>
                    </w:rPr>
                  </w:pPr>
                  <w:r>
                    <w:rPr>
                      <w:rFonts w:hint="eastAsia"/>
                      <w:color w:val="auto"/>
                      <w:szCs w:val="21"/>
                    </w:rPr>
                    <w:t>331-999-</w:t>
                  </w:r>
                  <w:r>
                    <w:rPr>
                      <w:rFonts w:hint="eastAsia"/>
                      <w:color w:val="auto"/>
                      <w:szCs w:val="21"/>
                      <w:lang w:val="en-US" w:eastAsia="zh-CN"/>
                    </w:rPr>
                    <w:t>09</w:t>
                  </w:r>
                </w:p>
              </w:tc>
              <w:tc>
                <w:tcPr>
                  <w:tcW w:w="367" w:type="pct"/>
                  <w:tcBorders>
                    <w:tl2br w:val="nil"/>
                    <w:tr2bl w:val="nil"/>
                  </w:tcBorders>
                  <w:vAlign w:val="center"/>
                </w:tcPr>
                <w:p>
                  <w:pPr>
                    <w:widowControl/>
                    <w:jc w:val="center"/>
                    <w:textAlignment w:val="center"/>
                    <w:rPr>
                      <w:color w:val="auto"/>
                      <w:szCs w:val="21"/>
                    </w:rPr>
                  </w:pPr>
                  <w:r>
                    <w:rPr>
                      <w:color w:val="auto"/>
                      <w:szCs w:val="21"/>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vMerge w:val="restar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1</w:t>
                  </w:r>
                  <w:r>
                    <w:rPr>
                      <w:rFonts w:hint="eastAsia"/>
                      <w:color w:val="auto"/>
                      <w:kern w:val="0"/>
                      <w:szCs w:val="21"/>
                      <w:lang w:bidi="ar"/>
                    </w:rPr>
                    <w:t>3</w:t>
                  </w:r>
                </w:p>
              </w:tc>
              <w:tc>
                <w:tcPr>
                  <w:tcW w:w="511" w:type="pct"/>
                  <w:vMerge w:val="restart"/>
                  <w:tcBorders>
                    <w:tl2br w:val="nil"/>
                    <w:tr2bl w:val="nil"/>
                  </w:tcBorders>
                  <w:vAlign w:val="center"/>
                </w:tcPr>
                <w:p>
                  <w:pPr>
                    <w:widowControl/>
                    <w:jc w:val="center"/>
                    <w:textAlignment w:val="center"/>
                    <w:rPr>
                      <w:color w:val="auto"/>
                      <w:kern w:val="0"/>
                      <w:szCs w:val="21"/>
                      <w:lang w:bidi="ar"/>
                    </w:rPr>
                  </w:pPr>
                  <w:r>
                    <w:rPr>
                      <w:color w:val="auto"/>
                      <w:szCs w:val="21"/>
                    </w:rPr>
                    <w:t>不合格品</w:t>
                  </w:r>
                </w:p>
              </w:tc>
              <w:tc>
                <w:tcPr>
                  <w:tcW w:w="770" w:type="pct"/>
                  <w:tcBorders>
                    <w:bottom w:val="single" w:color="auto" w:sz="4" w:space="0"/>
                    <w:tl2br w:val="nil"/>
                    <w:tr2bl w:val="nil"/>
                  </w:tcBorders>
                  <w:vAlign w:val="center"/>
                </w:tcPr>
                <w:p>
                  <w:pPr>
                    <w:widowControl/>
                    <w:jc w:val="center"/>
                    <w:textAlignment w:val="center"/>
                    <w:rPr>
                      <w:color w:val="auto"/>
                      <w:kern w:val="0"/>
                      <w:szCs w:val="21"/>
                      <w:lang w:bidi="ar"/>
                    </w:rPr>
                  </w:pPr>
                  <w:r>
                    <w:rPr>
                      <w:color w:val="auto"/>
                      <w:szCs w:val="21"/>
                    </w:rPr>
                    <w:t>冲压件工艺过程</w:t>
                  </w:r>
                </w:p>
              </w:tc>
              <w:tc>
                <w:tcPr>
                  <w:tcW w:w="288"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固态</w:t>
                  </w:r>
                </w:p>
              </w:tc>
              <w:tc>
                <w:tcPr>
                  <w:tcW w:w="697" w:type="pct"/>
                  <w:vMerge w:val="restar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金属</w:t>
                  </w:r>
                </w:p>
              </w:tc>
              <w:tc>
                <w:tcPr>
                  <w:tcW w:w="248" w:type="pct"/>
                  <w:vMerge w:val="continue"/>
                  <w:tcBorders>
                    <w:tl2br w:val="nil"/>
                    <w:tr2bl w:val="nil"/>
                  </w:tcBorders>
                  <w:vAlign w:val="center"/>
                </w:tcPr>
                <w:p>
                  <w:pPr>
                    <w:widowControl/>
                    <w:jc w:val="center"/>
                    <w:textAlignment w:val="center"/>
                    <w:rPr>
                      <w:color w:val="auto"/>
                      <w:kern w:val="0"/>
                      <w:szCs w:val="21"/>
                      <w:lang w:bidi="ar"/>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vMerge w:val="restart"/>
                  <w:tcBorders>
                    <w:tl2br w:val="nil"/>
                    <w:tr2bl w:val="nil"/>
                  </w:tcBorders>
                  <w:vAlign w:val="center"/>
                </w:tcPr>
                <w:p>
                  <w:pPr>
                    <w:widowControl/>
                    <w:jc w:val="center"/>
                    <w:textAlignment w:val="center"/>
                    <w:rPr>
                      <w:color w:val="auto"/>
                      <w:kern w:val="0"/>
                      <w:szCs w:val="21"/>
                      <w:lang w:bidi="ar"/>
                    </w:rPr>
                  </w:pPr>
                  <w:r>
                    <w:rPr>
                      <w:color w:val="auto"/>
                      <w:szCs w:val="21"/>
                    </w:rPr>
                    <w:t>—</w:t>
                  </w:r>
                </w:p>
              </w:tc>
              <w:tc>
                <w:tcPr>
                  <w:tcW w:w="510" w:type="pct"/>
                  <w:vMerge w:val="restart"/>
                  <w:tcBorders>
                    <w:tl2br w:val="nil"/>
                    <w:tr2bl w:val="nil"/>
                  </w:tcBorders>
                  <w:vAlign w:val="center"/>
                </w:tcPr>
                <w:p>
                  <w:pPr>
                    <w:widowControl/>
                    <w:jc w:val="center"/>
                    <w:textAlignment w:val="center"/>
                    <w:rPr>
                      <w:color w:val="auto"/>
                      <w:kern w:val="0"/>
                      <w:szCs w:val="21"/>
                      <w:highlight w:val="yellow"/>
                      <w:lang w:bidi="ar"/>
                    </w:rPr>
                  </w:pPr>
                  <w:r>
                    <w:rPr>
                      <w:rFonts w:hint="eastAsia"/>
                      <w:color w:val="auto"/>
                      <w:szCs w:val="21"/>
                    </w:rPr>
                    <w:t>09</w:t>
                  </w:r>
                </w:p>
              </w:tc>
              <w:tc>
                <w:tcPr>
                  <w:tcW w:w="520" w:type="pct"/>
                  <w:vMerge w:val="restart"/>
                  <w:tcBorders>
                    <w:tl2br w:val="nil"/>
                    <w:tr2bl w:val="nil"/>
                  </w:tcBorders>
                  <w:vAlign w:val="center"/>
                </w:tcPr>
                <w:p>
                  <w:pPr>
                    <w:widowControl/>
                    <w:jc w:val="center"/>
                    <w:textAlignment w:val="center"/>
                    <w:rPr>
                      <w:rFonts w:hint="eastAsia" w:eastAsia="宋体"/>
                      <w:color w:val="auto"/>
                      <w:kern w:val="0"/>
                      <w:szCs w:val="21"/>
                      <w:highlight w:val="yellow"/>
                      <w:lang w:eastAsia="zh-CN" w:bidi="ar"/>
                    </w:rPr>
                  </w:pPr>
                  <w:r>
                    <w:rPr>
                      <w:rFonts w:hint="eastAsia"/>
                      <w:color w:val="auto"/>
                      <w:szCs w:val="21"/>
                      <w:lang w:val="en-US" w:eastAsia="zh-CN"/>
                    </w:rPr>
                    <w:t>352</w:t>
                  </w:r>
                  <w:r>
                    <w:rPr>
                      <w:rFonts w:hint="eastAsia"/>
                      <w:color w:val="auto"/>
                      <w:szCs w:val="21"/>
                    </w:rPr>
                    <w:t>-999-09</w:t>
                  </w:r>
                  <w:r>
                    <w:rPr>
                      <w:rFonts w:hint="eastAsia"/>
                      <w:color w:val="auto"/>
                      <w:szCs w:val="21"/>
                      <w:lang w:eastAsia="zh-CN"/>
                    </w:rPr>
                    <w:t>、</w:t>
                  </w:r>
                  <w:r>
                    <w:rPr>
                      <w:rFonts w:hint="eastAsia"/>
                      <w:color w:val="auto"/>
                      <w:szCs w:val="21"/>
                    </w:rPr>
                    <w:t>331-999-</w:t>
                  </w:r>
                  <w:r>
                    <w:rPr>
                      <w:rFonts w:hint="eastAsia"/>
                      <w:color w:val="auto"/>
                      <w:szCs w:val="21"/>
                      <w:lang w:val="en-US" w:eastAsia="zh-CN"/>
                    </w:rPr>
                    <w:t>09</w:t>
                  </w:r>
                </w:p>
              </w:tc>
              <w:tc>
                <w:tcPr>
                  <w:tcW w:w="367" w:type="pct"/>
                  <w:vMerge w:val="restart"/>
                  <w:tcBorders>
                    <w:tl2br w:val="nil"/>
                    <w:tr2bl w:val="nil"/>
                  </w:tcBorders>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21.75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90" w:type="pct"/>
                  <w:vMerge w:val="continue"/>
                  <w:tcBorders>
                    <w:tl2br w:val="nil"/>
                    <w:tr2bl w:val="nil"/>
                  </w:tcBorders>
                  <w:vAlign w:val="center"/>
                </w:tcPr>
                <w:p>
                  <w:pPr>
                    <w:widowControl/>
                    <w:jc w:val="center"/>
                    <w:textAlignment w:val="center"/>
                    <w:rPr>
                      <w:color w:val="auto"/>
                      <w:kern w:val="0"/>
                      <w:szCs w:val="21"/>
                      <w:lang w:bidi="ar"/>
                    </w:rPr>
                  </w:pPr>
                </w:p>
              </w:tc>
              <w:tc>
                <w:tcPr>
                  <w:tcW w:w="511" w:type="pct"/>
                  <w:vMerge w:val="continue"/>
                  <w:tcBorders>
                    <w:tl2br w:val="nil"/>
                    <w:tr2bl w:val="nil"/>
                  </w:tcBorders>
                  <w:vAlign w:val="center"/>
                </w:tcPr>
                <w:p>
                  <w:pPr>
                    <w:jc w:val="center"/>
                    <w:textAlignment w:val="center"/>
                    <w:rPr>
                      <w:color w:val="auto"/>
                      <w:kern w:val="0"/>
                      <w:szCs w:val="21"/>
                      <w:lang w:bidi="ar"/>
                    </w:rPr>
                  </w:pPr>
                </w:p>
              </w:tc>
              <w:tc>
                <w:tcPr>
                  <w:tcW w:w="770" w:type="pct"/>
                  <w:tcBorders>
                    <w:top w:val="single" w:color="auto" w:sz="4" w:space="0"/>
                    <w:tl2br w:val="nil"/>
                    <w:tr2bl w:val="nil"/>
                  </w:tcBorders>
                  <w:vAlign w:val="center"/>
                </w:tcPr>
                <w:p>
                  <w:pPr>
                    <w:jc w:val="center"/>
                    <w:textAlignment w:val="center"/>
                    <w:rPr>
                      <w:color w:val="auto"/>
                      <w:kern w:val="0"/>
                      <w:szCs w:val="21"/>
                      <w:lang w:bidi="ar"/>
                    </w:rPr>
                  </w:pPr>
                  <w:r>
                    <w:rPr>
                      <w:color w:val="auto"/>
                      <w:kern w:val="0"/>
                      <w:szCs w:val="21"/>
                      <w:lang w:bidi="ar"/>
                    </w:rPr>
                    <w:t>喷粉工艺过程</w:t>
                  </w:r>
                </w:p>
              </w:tc>
              <w:tc>
                <w:tcPr>
                  <w:tcW w:w="288"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固态</w:t>
                  </w:r>
                </w:p>
              </w:tc>
              <w:tc>
                <w:tcPr>
                  <w:tcW w:w="697" w:type="pct"/>
                  <w:vMerge w:val="continue"/>
                  <w:tcBorders>
                    <w:tl2br w:val="nil"/>
                    <w:tr2bl w:val="nil"/>
                  </w:tcBorders>
                  <w:vAlign w:val="center"/>
                </w:tcPr>
                <w:p>
                  <w:pPr>
                    <w:widowControl/>
                    <w:jc w:val="center"/>
                    <w:textAlignment w:val="center"/>
                    <w:rPr>
                      <w:color w:val="auto"/>
                      <w:kern w:val="0"/>
                      <w:szCs w:val="21"/>
                      <w:lang w:bidi="ar"/>
                    </w:rPr>
                  </w:pPr>
                </w:p>
              </w:tc>
              <w:tc>
                <w:tcPr>
                  <w:tcW w:w="248" w:type="pct"/>
                  <w:vMerge w:val="continue"/>
                  <w:tcBorders>
                    <w:tl2br w:val="nil"/>
                    <w:tr2bl w:val="nil"/>
                  </w:tcBorders>
                  <w:vAlign w:val="center"/>
                </w:tcPr>
                <w:p>
                  <w:pPr>
                    <w:widowControl/>
                    <w:jc w:val="center"/>
                    <w:textAlignment w:val="center"/>
                    <w:rPr>
                      <w:color w:val="auto"/>
                      <w:kern w:val="0"/>
                      <w:szCs w:val="21"/>
                      <w:lang w:bidi="ar"/>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vMerge w:val="continue"/>
                  <w:tcBorders>
                    <w:tl2br w:val="nil"/>
                    <w:tr2bl w:val="nil"/>
                  </w:tcBorders>
                  <w:vAlign w:val="center"/>
                </w:tcPr>
                <w:p>
                  <w:pPr>
                    <w:widowControl/>
                    <w:jc w:val="center"/>
                    <w:textAlignment w:val="center"/>
                    <w:rPr>
                      <w:color w:val="auto"/>
                      <w:kern w:val="0"/>
                      <w:szCs w:val="21"/>
                      <w:lang w:bidi="ar"/>
                    </w:rPr>
                  </w:pPr>
                </w:p>
              </w:tc>
              <w:tc>
                <w:tcPr>
                  <w:tcW w:w="510" w:type="pct"/>
                  <w:vMerge w:val="continue"/>
                  <w:tcBorders>
                    <w:tl2br w:val="nil"/>
                    <w:tr2bl w:val="nil"/>
                  </w:tcBorders>
                  <w:vAlign w:val="center"/>
                </w:tcPr>
                <w:p>
                  <w:pPr>
                    <w:widowControl/>
                    <w:jc w:val="center"/>
                    <w:textAlignment w:val="center"/>
                    <w:rPr>
                      <w:color w:val="auto"/>
                      <w:kern w:val="0"/>
                      <w:szCs w:val="21"/>
                      <w:highlight w:val="yellow"/>
                      <w:lang w:bidi="ar"/>
                    </w:rPr>
                  </w:pPr>
                </w:p>
              </w:tc>
              <w:tc>
                <w:tcPr>
                  <w:tcW w:w="520" w:type="pct"/>
                  <w:vMerge w:val="continue"/>
                  <w:tcBorders>
                    <w:tl2br w:val="nil"/>
                    <w:tr2bl w:val="nil"/>
                  </w:tcBorders>
                  <w:vAlign w:val="center"/>
                </w:tcPr>
                <w:p>
                  <w:pPr>
                    <w:widowControl/>
                    <w:jc w:val="center"/>
                    <w:textAlignment w:val="center"/>
                    <w:rPr>
                      <w:rFonts w:hint="default" w:eastAsia="宋体"/>
                      <w:color w:val="auto"/>
                      <w:kern w:val="0"/>
                      <w:szCs w:val="21"/>
                      <w:highlight w:val="yellow"/>
                      <w:lang w:val="en-US" w:eastAsia="zh-CN" w:bidi="ar"/>
                    </w:rPr>
                  </w:pPr>
                </w:p>
              </w:tc>
              <w:tc>
                <w:tcPr>
                  <w:tcW w:w="367" w:type="pct"/>
                  <w:vMerge w:val="continue"/>
                  <w:tcBorders>
                    <w:tl2br w:val="nil"/>
                    <w:tr2bl w:val="nil"/>
                  </w:tcBorders>
                  <w:vAlign w:val="center"/>
                </w:tcPr>
                <w:p>
                  <w:pPr>
                    <w:widowControl/>
                    <w:jc w:val="center"/>
                    <w:textAlignment w:val="center"/>
                    <w:rPr>
                      <w:color w:val="auto"/>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vMerge w:val="continue"/>
                  <w:tcBorders>
                    <w:tl2br w:val="nil"/>
                    <w:tr2bl w:val="nil"/>
                  </w:tcBorders>
                  <w:vAlign w:val="center"/>
                </w:tcPr>
                <w:p>
                  <w:pPr>
                    <w:widowControl/>
                    <w:jc w:val="center"/>
                    <w:textAlignment w:val="center"/>
                    <w:rPr>
                      <w:color w:val="auto"/>
                      <w:kern w:val="0"/>
                      <w:szCs w:val="21"/>
                      <w:lang w:bidi="ar"/>
                    </w:rPr>
                  </w:pPr>
                </w:p>
              </w:tc>
              <w:tc>
                <w:tcPr>
                  <w:tcW w:w="511" w:type="pct"/>
                  <w:vMerge w:val="continue"/>
                  <w:tcBorders>
                    <w:tl2br w:val="nil"/>
                    <w:tr2bl w:val="nil"/>
                  </w:tcBorders>
                  <w:vAlign w:val="center"/>
                </w:tcPr>
                <w:p>
                  <w:pPr>
                    <w:widowControl/>
                    <w:jc w:val="center"/>
                    <w:textAlignment w:val="center"/>
                    <w:rPr>
                      <w:color w:val="auto"/>
                      <w:kern w:val="0"/>
                      <w:szCs w:val="21"/>
                      <w:lang w:bidi="ar"/>
                    </w:rPr>
                  </w:pPr>
                </w:p>
              </w:tc>
              <w:tc>
                <w:tcPr>
                  <w:tcW w:w="770"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模具生产</w:t>
                  </w:r>
                </w:p>
              </w:tc>
              <w:tc>
                <w:tcPr>
                  <w:tcW w:w="288"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固态</w:t>
                  </w:r>
                </w:p>
              </w:tc>
              <w:tc>
                <w:tcPr>
                  <w:tcW w:w="697" w:type="pct"/>
                  <w:vMerge w:val="continue"/>
                  <w:tcBorders>
                    <w:tl2br w:val="nil"/>
                    <w:tr2bl w:val="nil"/>
                  </w:tcBorders>
                  <w:vAlign w:val="center"/>
                </w:tcPr>
                <w:p>
                  <w:pPr>
                    <w:widowControl/>
                    <w:jc w:val="center"/>
                    <w:textAlignment w:val="center"/>
                    <w:rPr>
                      <w:color w:val="auto"/>
                      <w:kern w:val="0"/>
                      <w:szCs w:val="21"/>
                      <w:lang w:bidi="ar"/>
                    </w:rPr>
                  </w:pPr>
                </w:p>
              </w:tc>
              <w:tc>
                <w:tcPr>
                  <w:tcW w:w="248" w:type="pct"/>
                  <w:vMerge w:val="continue"/>
                  <w:tcBorders>
                    <w:tl2br w:val="nil"/>
                    <w:tr2bl w:val="nil"/>
                  </w:tcBorders>
                  <w:vAlign w:val="center"/>
                </w:tcPr>
                <w:p>
                  <w:pPr>
                    <w:widowControl/>
                    <w:jc w:val="center"/>
                    <w:textAlignment w:val="center"/>
                    <w:rPr>
                      <w:color w:val="auto"/>
                      <w:kern w:val="0"/>
                      <w:szCs w:val="21"/>
                      <w:lang w:bidi="ar"/>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vMerge w:val="continue"/>
                  <w:tcBorders>
                    <w:tl2br w:val="nil"/>
                    <w:tr2bl w:val="nil"/>
                  </w:tcBorders>
                  <w:vAlign w:val="center"/>
                </w:tcPr>
                <w:p>
                  <w:pPr>
                    <w:widowControl/>
                    <w:jc w:val="center"/>
                    <w:textAlignment w:val="center"/>
                    <w:rPr>
                      <w:color w:val="auto"/>
                      <w:kern w:val="0"/>
                      <w:szCs w:val="21"/>
                      <w:lang w:bidi="ar"/>
                    </w:rPr>
                  </w:pPr>
                </w:p>
              </w:tc>
              <w:tc>
                <w:tcPr>
                  <w:tcW w:w="510" w:type="pct"/>
                  <w:vMerge w:val="continue"/>
                  <w:tcBorders>
                    <w:tl2br w:val="nil"/>
                    <w:tr2bl w:val="nil"/>
                  </w:tcBorders>
                  <w:vAlign w:val="center"/>
                </w:tcPr>
                <w:p>
                  <w:pPr>
                    <w:widowControl/>
                    <w:jc w:val="center"/>
                    <w:textAlignment w:val="center"/>
                    <w:rPr>
                      <w:color w:val="auto"/>
                      <w:kern w:val="0"/>
                      <w:szCs w:val="21"/>
                      <w:highlight w:val="yellow"/>
                      <w:lang w:bidi="ar"/>
                    </w:rPr>
                  </w:pPr>
                </w:p>
              </w:tc>
              <w:tc>
                <w:tcPr>
                  <w:tcW w:w="520" w:type="pct"/>
                  <w:vMerge w:val="continue"/>
                  <w:tcBorders>
                    <w:tl2br w:val="nil"/>
                    <w:tr2bl w:val="nil"/>
                  </w:tcBorders>
                  <w:vAlign w:val="center"/>
                </w:tcPr>
                <w:p>
                  <w:pPr>
                    <w:widowControl/>
                    <w:jc w:val="center"/>
                    <w:textAlignment w:val="center"/>
                    <w:rPr>
                      <w:rFonts w:hint="eastAsia" w:eastAsia="宋体"/>
                      <w:color w:val="auto"/>
                      <w:kern w:val="0"/>
                      <w:szCs w:val="21"/>
                      <w:highlight w:val="yellow"/>
                      <w:lang w:eastAsia="zh-CN" w:bidi="ar"/>
                    </w:rPr>
                  </w:pPr>
                </w:p>
              </w:tc>
              <w:tc>
                <w:tcPr>
                  <w:tcW w:w="367" w:type="pct"/>
                  <w:vMerge w:val="continue"/>
                  <w:tcBorders>
                    <w:tl2br w:val="nil"/>
                    <w:tr2bl w:val="nil"/>
                  </w:tcBorders>
                  <w:vAlign w:val="center"/>
                </w:tcPr>
                <w:p>
                  <w:pPr>
                    <w:widowControl/>
                    <w:jc w:val="center"/>
                    <w:textAlignment w:val="center"/>
                    <w:rPr>
                      <w:color w:val="auto"/>
                      <w:kern w:val="0"/>
                      <w:szCs w:val="21"/>
                      <w:lang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1</w:t>
                  </w:r>
                  <w:r>
                    <w:rPr>
                      <w:rFonts w:hint="eastAsia"/>
                      <w:color w:val="auto"/>
                      <w:kern w:val="0"/>
                      <w:szCs w:val="21"/>
                      <w:lang w:bidi="ar"/>
                    </w:rPr>
                    <w:t>4</w:t>
                  </w:r>
                </w:p>
              </w:tc>
              <w:tc>
                <w:tcPr>
                  <w:tcW w:w="511" w:type="pct"/>
                  <w:tcBorders>
                    <w:tl2br w:val="nil"/>
                    <w:tr2bl w:val="nil"/>
                  </w:tcBorders>
                  <w:vAlign w:val="center"/>
                </w:tcPr>
                <w:p>
                  <w:pPr>
                    <w:widowControl/>
                    <w:jc w:val="center"/>
                    <w:textAlignment w:val="center"/>
                    <w:rPr>
                      <w:color w:val="auto"/>
                      <w:kern w:val="0"/>
                      <w:szCs w:val="21"/>
                      <w:lang w:bidi="ar"/>
                    </w:rPr>
                  </w:pPr>
                  <w:r>
                    <w:rPr>
                      <w:rFonts w:hint="eastAsia"/>
                      <w:color w:val="auto"/>
                      <w:szCs w:val="21"/>
                    </w:rPr>
                    <w:t>钢屑</w:t>
                  </w:r>
                </w:p>
              </w:tc>
              <w:tc>
                <w:tcPr>
                  <w:tcW w:w="770" w:type="pct"/>
                  <w:tcBorders>
                    <w:tl2br w:val="nil"/>
                    <w:tr2bl w:val="nil"/>
                  </w:tcBorders>
                  <w:vAlign w:val="center"/>
                </w:tcPr>
                <w:p>
                  <w:pPr>
                    <w:widowControl/>
                    <w:jc w:val="center"/>
                    <w:textAlignment w:val="center"/>
                    <w:rPr>
                      <w:color w:val="auto"/>
                      <w:kern w:val="0"/>
                      <w:szCs w:val="21"/>
                      <w:lang w:bidi="ar"/>
                    </w:rPr>
                  </w:pPr>
                  <w:r>
                    <w:rPr>
                      <w:color w:val="auto"/>
                      <w:szCs w:val="21"/>
                    </w:rPr>
                    <w:t>模具生产</w:t>
                  </w:r>
                </w:p>
              </w:tc>
              <w:tc>
                <w:tcPr>
                  <w:tcW w:w="288"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固态</w:t>
                  </w:r>
                </w:p>
              </w:tc>
              <w:tc>
                <w:tcPr>
                  <w:tcW w:w="697"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金属</w:t>
                  </w:r>
                </w:p>
              </w:tc>
              <w:tc>
                <w:tcPr>
                  <w:tcW w:w="248" w:type="pct"/>
                  <w:vMerge w:val="continue"/>
                  <w:tcBorders>
                    <w:tl2br w:val="nil"/>
                    <w:tr2bl w:val="nil"/>
                  </w:tcBorders>
                  <w:vAlign w:val="center"/>
                </w:tcPr>
                <w:p>
                  <w:pPr>
                    <w:widowControl/>
                    <w:jc w:val="center"/>
                    <w:textAlignment w:val="center"/>
                    <w:rPr>
                      <w:color w:val="auto"/>
                      <w:kern w:val="0"/>
                      <w:szCs w:val="21"/>
                      <w:lang w:bidi="ar"/>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tcBorders>
                    <w:tl2br w:val="nil"/>
                    <w:tr2bl w:val="nil"/>
                  </w:tcBorders>
                  <w:vAlign w:val="center"/>
                </w:tcPr>
                <w:p>
                  <w:pPr>
                    <w:widowControl/>
                    <w:jc w:val="center"/>
                    <w:textAlignment w:val="center"/>
                    <w:rPr>
                      <w:color w:val="auto"/>
                      <w:kern w:val="0"/>
                      <w:szCs w:val="21"/>
                      <w:lang w:bidi="ar"/>
                    </w:rPr>
                  </w:pPr>
                  <w:r>
                    <w:rPr>
                      <w:color w:val="auto"/>
                      <w:szCs w:val="21"/>
                    </w:rPr>
                    <w:t>—</w:t>
                  </w:r>
                </w:p>
              </w:tc>
              <w:tc>
                <w:tcPr>
                  <w:tcW w:w="510" w:type="pct"/>
                  <w:tcBorders>
                    <w:tl2br w:val="nil"/>
                    <w:tr2bl w:val="nil"/>
                  </w:tcBorders>
                  <w:vAlign w:val="center"/>
                </w:tcPr>
                <w:p>
                  <w:pPr>
                    <w:widowControl/>
                    <w:jc w:val="center"/>
                    <w:textAlignment w:val="center"/>
                    <w:rPr>
                      <w:color w:val="auto"/>
                      <w:kern w:val="0"/>
                      <w:szCs w:val="21"/>
                      <w:highlight w:val="yellow"/>
                      <w:lang w:bidi="ar"/>
                    </w:rPr>
                  </w:pPr>
                  <w:r>
                    <w:rPr>
                      <w:rFonts w:hint="eastAsia"/>
                      <w:color w:val="auto"/>
                      <w:szCs w:val="21"/>
                    </w:rPr>
                    <w:t>09</w:t>
                  </w:r>
                </w:p>
              </w:tc>
              <w:tc>
                <w:tcPr>
                  <w:tcW w:w="520" w:type="pct"/>
                  <w:tcBorders>
                    <w:tl2br w:val="nil"/>
                    <w:tr2bl w:val="nil"/>
                  </w:tcBorders>
                  <w:vAlign w:val="center"/>
                </w:tcPr>
                <w:p>
                  <w:pPr>
                    <w:widowControl/>
                    <w:jc w:val="center"/>
                    <w:textAlignment w:val="center"/>
                    <w:rPr>
                      <w:color w:val="auto"/>
                      <w:kern w:val="0"/>
                      <w:szCs w:val="21"/>
                      <w:highlight w:val="yellow"/>
                      <w:lang w:bidi="ar"/>
                    </w:rPr>
                  </w:pPr>
                  <w:r>
                    <w:rPr>
                      <w:rFonts w:hint="eastAsia"/>
                      <w:color w:val="auto"/>
                      <w:szCs w:val="21"/>
                    </w:rPr>
                    <w:t>352-999-09</w:t>
                  </w:r>
                </w:p>
              </w:tc>
              <w:tc>
                <w:tcPr>
                  <w:tcW w:w="367" w:type="pct"/>
                  <w:tcBorders>
                    <w:tl2br w:val="nil"/>
                    <w:tr2bl w:val="nil"/>
                  </w:tcBorders>
                  <w:vAlign w:val="center"/>
                </w:tcPr>
                <w:p>
                  <w:pPr>
                    <w:widowControl/>
                    <w:jc w:val="center"/>
                    <w:textAlignment w:val="center"/>
                    <w:rPr>
                      <w:color w:val="auto"/>
                      <w:kern w:val="0"/>
                      <w:szCs w:val="21"/>
                      <w:lang w:bidi="ar"/>
                    </w:rPr>
                  </w:pPr>
                  <w:r>
                    <w:rPr>
                      <w:color w:val="auto"/>
                      <w:szCs w:val="21"/>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1</w:t>
                  </w:r>
                  <w:r>
                    <w:rPr>
                      <w:rFonts w:hint="eastAsia"/>
                      <w:color w:val="auto"/>
                      <w:kern w:val="0"/>
                      <w:szCs w:val="21"/>
                      <w:lang w:bidi="ar"/>
                    </w:rPr>
                    <w:t>5</w:t>
                  </w:r>
                </w:p>
              </w:tc>
              <w:tc>
                <w:tcPr>
                  <w:tcW w:w="511"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废塑粉</w:t>
                  </w:r>
                </w:p>
              </w:tc>
              <w:tc>
                <w:tcPr>
                  <w:tcW w:w="770" w:type="pct"/>
                  <w:tcBorders>
                    <w:tl2br w:val="nil"/>
                    <w:tr2bl w:val="nil"/>
                  </w:tcBorders>
                  <w:vAlign w:val="center"/>
                </w:tcPr>
                <w:p>
                  <w:pPr>
                    <w:widowControl/>
                    <w:jc w:val="center"/>
                    <w:textAlignment w:val="center"/>
                    <w:rPr>
                      <w:color w:val="auto"/>
                      <w:kern w:val="0"/>
                      <w:szCs w:val="21"/>
                      <w:lang w:bidi="ar"/>
                    </w:rPr>
                  </w:pPr>
                  <w:r>
                    <w:rPr>
                      <w:color w:val="auto"/>
                      <w:szCs w:val="21"/>
                    </w:rPr>
                    <w:t>喷粉工序</w:t>
                  </w:r>
                </w:p>
              </w:tc>
              <w:tc>
                <w:tcPr>
                  <w:tcW w:w="288"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固态</w:t>
                  </w:r>
                </w:p>
              </w:tc>
              <w:tc>
                <w:tcPr>
                  <w:tcW w:w="697"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塑粉</w:t>
                  </w:r>
                </w:p>
              </w:tc>
              <w:tc>
                <w:tcPr>
                  <w:tcW w:w="248" w:type="pct"/>
                  <w:vMerge w:val="continue"/>
                  <w:tcBorders>
                    <w:tl2br w:val="nil"/>
                    <w:tr2bl w:val="nil"/>
                  </w:tcBorders>
                  <w:vAlign w:val="center"/>
                </w:tcPr>
                <w:p>
                  <w:pPr>
                    <w:widowControl/>
                    <w:jc w:val="center"/>
                    <w:textAlignment w:val="center"/>
                    <w:rPr>
                      <w:color w:val="auto"/>
                      <w:kern w:val="0"/>
                      <w:szCs w:val="21"/>
                      <w:lang w:bidi="ar"/>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tcBorders>
                    <w:tl2br w:val="nil"/>
                    <w:tr2bl w:val="nil"/>
                  </w:tcBorders>
                  <w:vAlign w:val="center"/>
                </w:tcPr>
                <w:p>
                  <w:pPr>
                    <w:widowControl/>
                    <w:jc w:val="center"/>
                    <w:textAlignment w:val="center"/>
                    <w:rPr>
                      <w:color w:val="auto"/>
                      <w:kern w:val="0"/>
                      <w:szCs w:val="21"/>
                      <w:lang w:bidi="ar"/>
                    </w:rPr>
                  </w:pPr>
                  <w:r>
                    <w:rPr>
                      <w:color w:val="auto"/>
                      <w:szCs w:val="21"/>
                    </w:rPr>
                    <w:t>—</w:t>
                  </w:r>
                </w:p>
              </w:tc>
              <w:tc>
                <w:tcPr>
                  <w:tcW w:w="510" w:type="pct"/>
                  <w:tcBorders>
                    <w:tl2br w:val="nil"/>
                    <w:tr2bl w:val="nil"/>
                  </w:tcBorders>
                  <w:vAlign w:val="center"/>
                </w:tcPr>
                <w:p>
                  <w:pPr>
                    <w:widowControl/>
                    <w:jc w:val="center"/>
                    <w:textAlignment w:val="center"/>
                    <w:rPr>
                      <w:color w:val="auto"/>
                      <w:kern w:val="0"/>
                      <w:szCs w:val="21"/>
                      <w:highlight w:val="yellow"/>
                      <w:lang w:bidi="ar"/>
                    </w:rPr>
                  </w:pPr>
                  <w:r>
                    <w:rPr>
                      <w:rFonts w:hint="eastAsia"/>
                      <w:color w:val="auto"/>
                      <w:szCs w:val="21"/>
                    </w:rPr>
                    <w:t>66</w:t>
                  </w:r>
                </w:p>
              </w:tc>
              <w:tc>
                <w:tcPr>
                  <w:tcW w:w="520" w:type="pct"/>
                  <w:tcBorders>
                    <w:tl2br w:val="nil"/>
                    <w:tr2bl w:val="nil"/>
                  </w:tcBorders>
                  <w:vAlign w:val="center"/>
                </w:tcPr>
                <w:p>
                  <w:pPr>
                    <w:widowControl/>
                    <w:jc w:val="center"/>
                    <w:textAlignment w:val="center"/>
                    <w:rPr>
                      <w:color w:val="auto"/>
                      <w:kern w:val="0"/>
                      <w:szCs w:val="21"/>
                      <w:highlight w:val="yellow"/>
                      <w:lang w:bidi="ar"/>
                    </w:rPr>
                  </w:pPr>
                  <w:r>
                    <w:rPr>
                      <w:rFonts w:hint="eastAsia"/>
                      <w:color w:val="auto"/>
                      <w:szCs w:val="21"/>
                    </w:rPr>
                    <w:t>900-999-66</w:t>
                  </w:r>
                </w:p>
              </w:tc>
              <w:tc>
                <w:tcPr>
                  <w:tcW w:w="367" w:type="pct"/>
                  <w:tcBorders>
                    <w:tl2br w:val="nil"/>
                    <w:tr2bl w:val="nil"/>
                  </w:tcBorders>
                  <w:vAlign w:val="center"/>
                </w:tcPr>
                <w:p>
                  <w:pPr>
                    <w:widowControl/>
                    <w:jc w:val="center"/>
                    <w:textAlignment w:val="center"/>
                    <w:rPr>
                      <w:color w:val="auto"/>
                      <w:kern w:val="0"/>
                      <w:szCs w:val="21"/>
                      <w:lang w:bidi="ar"/>
                    </w:rPr>
                  </w:pPr>
                  <w:r>
                    <w:rPr>
                      <w:rFonts w:hint="eastAsia"/>
                      <w:color w:val="auto"/>
                      <w:szCs w:val="21"/>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1</w:t>
                  </w:r>
                  <w:r>
                    <w:rPr>
                      <w:rFonts w:hint="eastAsia"/>
                      <w:color w:val="auto"/>
                      <w:kern w:val="0"/>
                      <w:szCs w:val="21"/>
                      <w:lang w:bidi="ar"/>
                    </w:rPr>
                    <w:t>6</w:t>
                  </w:r>
                </w:p>
              </w:tc>
              <w:tc>
                <w:tcPr>
                  <w:tcW w:w="511" w:type="pct"/>
                  <w:tcBorders>
                    <w:tl2br w:val="nil"/>
                    <w:tr2bl w:val="nil"/>
                  </w:tcBorders>
                  <w:vAlign w:val="center"/>
                </w:tcPr>
                <w:p>
                  <w:pPr>
                    <w:widowControl/>
                    <w:jc w:val="center"/>
                    <w:textAlignment w:val="center"/>
                    <w:rPr>
                      <w:color w:val="auto"/>
                      <w:kern w:val="0"/>
                      <w:szCs w:val="21"/>
                      <w:lang w:bidi="ar"/>
                    </w:rPr>
                  </w:pPr>
                  <w:r>
                    <w:rPr>
                      <w:color w:val="auto"/>
                      <w:szCs w:val="21"/>
                    </w:rPr>
                    <w:t>废包装材料</w:t>
                  </w:r>
                </w:p>
              </w:tc>
              <w:tc>
                <w:tcPr>
                  <w:tcW w:w="770" w:type="pct"/>
                  <w:tcBorders>
                    <w:bottom w:val="single" w:color="auto" w:sz="4" w:space="0"/>
                    <w:tl2br w:val="nil"/>
                    <w:tr2bl w:val="nil"/>
                  </w:tcBorders>
                  <w:vAlign w:val="center"/>
                </w:tcPr>
                <w:p>
                  <w:pPr>
                    <w:widowControl/>
                    <w:jc w:val="center"/>
                    <w:textAlignment w:val="center"/>
                    <w:rPr>
                      <w:color w:val="auto"/>
                      <w:kern w:val="0"/>
                      <w:szCs w:val="21"/>
                      <w:lang w:bidi="ar"/>
                    </w:rPr>
                  </w:pPr>
                  <w:r>
                    <w:rPr>
                      <w:color w:val="auto"/>
                      <w:kern w:val="0"/>
                      <w:szCs w:val="21"/>
                      <w:lang w:bidi="ar"/>
                    </w:rPr>
                    <w:t>塑粉包装物</w:t>
                  </w:r>
                </w:p>
              </w:tc>
              <w:tc>
                <w:tcPr>
                  <w:tcW w:w="288"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固态</w:t>
                  </w:r>
                </w:p>
              </w:tc>
              <w:tc>
                <w:tcPr>
                  <w:tcW w:w="697"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塑粉</w:t>
                  </w:r>
                </w:p>
              </w:tc>
              <w:tc>
                <w:tcPr>
                  <w:tcW w:w="248" w:type="pct"/>
                  <w:vMerge w:val="continue"/>
                  <w:tcBorders>
                    <w:tl2br w:val="nil"/>
                    <w:tr2bl w:val="nil"/>
                  </w:tcBorders>
                  <w:vAlign w:val="center"/>
                </w:tcPr>
                <w:p>
                  <w:pPr>
                    <w:widowControl/>
                    <w:jc w:val="center"/>
                    <w:textAlignment w:val="center"/>
                    <w:rPr>
                      <w:color w:val="auto"/>
                      <w:kern w:val="0"/>
                      <w:szCs w:val="21"/>
                      <w:lang w:bidi="ar"/>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tcBorders>
                    <w:tl2br w:val="nil"/>
                    <w:tr2bl w:val="nil"/>
                  </w:tcBorders>
                  <w:vAlign w:val="center"/>
                </w:tcPr>
                <w:p>
                  <w:pPr>
                    <w:widowControl/>
                    <w:jc w:val="center"/>
                    <w:textAlignment w:val="center"/>
                    <w:rPr>
                      <w:color w:val="auto"/>
                      <w:kern w:val="0"/>
                      <w:szCs w:val="21"/>
                      <w:lang w:bidi="ar"/>
                    </w:rPr>
                  </w:pPr>
                  <w:r>
                    <w:rPr>
                      <w:color w:val="auto"/>
                      <w:szCs w:val="21"/>
                    </w:rPr>
                    <w:t>—</w:t>
                  </w:r>
                </w:p>
              </w:tc>
              <w:tc>
                <w:tcPr>
                  <w:tcW w:w="510" w:type="pct"/>
                  <w:tcBorders>
                    <w:tl2br w:val="nil"/>
                    <w:tr2bl w:val="nil"/>
                  </w:tcBorders>
                  <w:vAlign w:val="center"/>
                </w:tcPr>
                <w:p>
                  <w:pPr>
                    <w:widowControl/>
                    <w:jc w:val="center"/>
                    <w:textAlignment w:val="center"/>
                    <w:rPr>
                      <w:color w:val="auto"/>
                      <w:kern w:val="0"/>
                      <w:szCs w:val="21"/>
                      <w:highlight w:val="yellow"/>
                      <w:lang w:bidi="ar"/>
                    </w:rPr>
                  </w:pPr>
                  <w:r>
                    <w:rPr>
                      <w:color w:val="auto"/>
                      <w:kern w:val="0"/>
                      <w:szCs w:val="21"/>
                      <w:lang w:bidi="ar"/>
                    </w:rPr>
                    <w:t>07</w:t>
                  </w:r>
                </w:p>
              </w:tc>
              <w:tc>
                <w:tcPr>
                  <w:tcW w:w="520" w:type="pct"/>
                  <w:tcBorders>
                    <w:tl2br w:val="nil"/>
                    <w:tr2bl w:val="nil"/>
                  </w:tcBorders>
                  <w:vAlign w:val="center"/>
                </w:tcPr>
                <w:p>
                  <w:pPr>
                    <w:widowControl/>
                    <w:jc w:val="center"/>
                    <w:textAlignment w:val="center"/>
                    <w:rPr>
                      <w:color w:val="auto"/>
                      <w:kern w:val="0"/>
                      <w:szCs w:val="21"/>
                      <w:highlight w:val="yellow"/>
                      <w:lang w:bidi="ar"/>
                    </w:rPr>
                  </w:pPr>
                  <w:r>
                    <w:rPr>
                      <w:rFonts w:hint="eastAsia"/>
                      <w:bCs/>
                      <w:color w:val="auto"/>
                      <w:szCs w:val="21"/>
                    </w:rPr>
                    <w:t>900</w:t>
                  </w:r>
                  <w:r>
                    <w:rPr>
                      <w:bCs/>
                      <w:color w:val="auto"/>
                      <w:szCs w:val="21"/>
                    </w:rPr>
                    <w:t>-999-07</w:t>
                  </w:r>
                </w:p>
              </w:tc>
              <w:tc>
                <w:tcPr>
                  <w:tcW w:w="367" w:type="pct"/>
                  <w:tcBorders>
                    <w:tl2br w:val="nil"/>
                    <w:tr2bl w:val="nil"/>
                  </w:tcBorders>
                  <w:vAlign w:val="center"/>
                </w:tcPr>
                <w:p>
                  <w:pPr>
                    <w:widowControl/>
                    <w:jc w:val="center"/>
                    <w:textAlignment w:val="center"/>
                    <w:rPr>
                      <w:color w:val="auto"/>
                      <w:kern w:val="0"/>
                      <w:szCs w:val="21"/>
                      <w:lang w:bidi="ar"/>
                    </w:rPr>
                  </w:pPr>
                  <w:r>
                    <w:rPr>
                      <w:color w:val="auto"/>
                      <w:szCs w:val="21"/>
                    </w:rPr>
                    <w:t>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1</w:t>
                  </w:r>
                  <w:r>
                    <w:rPr>
                      <w:rFonts w:hint="eastAsia"/>
                      <w:color w:val="auto"/>
                      <w:kern w:val="0"/>
                      <w:szCs w:val="21"/>
                      <w:lang w:bidi="ar"/>
                    </w:rPr>
                    <w:t>7</w:t>
                  </w:r>
                </w:p>
              </w:tc>
              <w:tc>
                <w:tcPr>
                  <w:tcW w:w="511" w:type="pct"/>
                  <w:tcBorders>
                    <w:tl2br w:val="nil"/>
                    <w:tr2bl w:val="nil"/>
                  </w:tcBorders>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纯水制备废过滤材料</w:t>
                  </w:r>
                </w:p>
              </w:tc>
              <w:tc>
                <w:tcPr>
                  <w:tcW w:w="770" w:type="pct"/>
                  <w:tcBorders>
                    <w:tl2br w:val="nil"/>
                    <w:tr2bl w:val="nil"/>
                  </w:tcBorders>
                  <w:vAlign w:val="center"/>
                </w:tcPr>
                <w:p>
                  <w:pPr>
                    <w:jc w:val="center"/>
                    <w:textAlignment w:val="center"/>
                    <w:rPr>
                      <w:color w:val="auto"/>
                      <w:kern w:val="0"/>
                      <w:szCs w:val="21"/>
                      <w:lang w:bidi="ar"/>
                    </w:rPr>
                  </w:pPr>
                  <w:r>
                    <w:rPr>
                      <w:color w:val="auto"/>
                      <w:kern w:val="0"/>
                      <w:szCs w:val="21"/>
                      <w:lang w:bidi="ar"/>
                    </w:rPr>
                    <w:t>纯水制备</w:t>
                  </w:r>
                </w:p>
              </w:tc>
              <w:tc>
                <w:tcPr>
                  <w:tcW w:w="288"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固态</w:t>
                  </w:r>
                </w:p>
              </w:tc>
              <w:tc>
                <w:tcPr>
                  <w:tcW w:w="697" w:type="pct"/>
                  <w:tcBorders>
                    <w:tl2br w:val="nil"/>
                    <w:tr2bl w:val="nil"/>
                  </w:tcBorders>
                  <w:vAlign w:val="center"/>
                </w:tcPr>
                <w:p>
                  <w:pPr>
                    <w:widowControl/>
                    <w:jc w:val="center"/>
                    <w:textAlignment w:val="center"/>
                    <w:rPr>
                      <w:rFonts w:hint="eastAsia" w:eastAsia="宋体"/>
                      <w:color w:val="auto"/>
                      <w:kern w:val="0"/>
                      <w:szCs w:val="21"/>
                      <w:lang w:eastAsia="zh-CN" w:bidi="ar"/>
                    </w:rPr>
                  </w:pPr>
                  <w:r>
                    <w:rPr>
                      <w:color w:val="auto"/>
                      <w:kern w:val="0"/>
                      <w:szCs w:val="21"/>
                      <w:lang w:bidi="ar"/>
                    </w:rPr>
                    <w:t>塑料</w:t>
                  </w:r>
                  <w:r>
                    <w:rPr>
                      <w:rFonts w:hint="eastAsia"/>
                      <w:color w:val="auto"/>
                      <w:kern w:val="0"/>
                      <w:szCs w:val="21"/>
                      <w:lang w:eastAsia="zh-CN" w:bidi="ar"/>
                    </w:rPr>
                    <w:t>、</w:t>
                  </w:r>
                  <w:r>
                    <w:rPr>
                      <w:color w:val="auto"/>
                      <w:kern w:val="0"/>
                      <w:szCs w:val="21"/>
                      <w:lang w:bidi="ar"/>
                    </w:rPr>
                    <w:t>膜</w:t>
                  </w:r>
                  <w:r>
                    <w:rPr>
                      <w:rFonts w:hint="eastAsia"/>
                      <w:color w:val="auto"/>
                      <w:kern w:val="0"/>
                      <w:szCs w:val="21"/>
                      <w:lang w:eastAsia="zh-CN" w:bidi="ar"/>
                    </w:rPr>
                    <w:t>、</w:t>
                  </w:r>
                  <w:r>
                    <w:rPr>
                      <w:color w:val="auto"/>
                      <w:kern w:val="0"/>
                      <w:szCs w:val="21"/>
                      <w:lang w:bidi="ar"/>
                    </w:rPr>
                    <w:t>活性炭</w:t>
                  </w:r>
                </w:p>
              </w:tc>
              <w:tc>
                <w:tcPr>
                  <w:tcW w:w="248" w:type="pct"/>
                  <w:vMerge w:val="continue"/>
                  <w:tcBorders>
                    <w:tl2br w:val="nil"/>
                    <w:tr2bl w:val="nil"/>
                  </w:tcBorders>
                  <w:vAlign w:val="center"/>
                </w:tcPr>
                <w:p>
                  <w:pPr>
                    <w:widowControl/>
                    <w:jc w:val="center"/>
                    <w:textAlignment w:val="center"/>
                    <w:rPr>
                      <w:color w:val="auto"/>
                      <w:kern w:val="0"/>
                      <w:szCs w:val="21"/>
                      <w:lang w:bidi="ar"/>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tcBorders>
                    <w:tl2br w:val="nil"/>
                    <w:tr2bl w:val="nil"/>
                  </w:tcBorders>
                  <w:vAlign w:val="center"/>
                </w:tcPr>
                <w:p>
                  <w:pPr>
                    <w:widowControl/>
                    <w:jc w:val="center"/>
                    <w:textAlignment w:val="center"/>
                    <w:rPr>
                      <w:color w:val="auto"/>
                      <w:kern w:val="0"/>
                      <w:szCs w:val="21"/>
                      <w:lang w:bidi="ar"/>
                    </w:rPr>
                  </w:pPr>
                  <w:r>
                    <w:rPr>
                      <w:color w:val="auto"/>
                      <w:szCs w:val="21"/>
                    </w:rPr>
                    <w:t>—</w:t>
                  </w:r>
                </w:p>
              </w:tc>
              <w:tc>
                <w:tcPr>
                  <w:tcW w:w="510" w:type="pct"/>
                  <w:tcBorders>
                    <w:tl2br w:val="nil"/>
                    <w:tr2bl w:val="nil"/>
                  </w:tcBorders>
                  <w:vAlign w:val="center"/>
                </w:tcPr>
                <w:p>
                  <w:pPr>
                    <w:widowControl/>
                    <w:jc w:val="center"/>
                    <w:textAlignment w:val="center"/>
                    <w:rPr>
                      <w:color w:val="auto"/>
                      <w:kern w:val="0"/>
                      <w:szCs w:val="21"/>
                      <w:highlight w:val="yellow"/>
                      <w:lang w:bidi="ar"/>
                    </w:rPr>
                  </w:pPr>
                  <w:r>
                    <w:rPr>
                      <w:rFonts w:hint="eastAsia"/>
                      <w:color w:val="auto"/>
                      <w:szCs w:val="21"/>
                    </w:rPr>
                    <w:t>99</w:t>
                  </w:r>
                </w:p>
              </w:tc>
              <w:tc>
                <w:tcPr>
                  <w:tcW w:w="520" w:type="pct"/>
                  <w:tcBorders>
                    <w:tl2br w:val="nil"/>
                    <w:tr2bl w:val="nil"/>
                  </w:tcBorders>
                  <w:vAlign w:val="center"/>
                </w:tcPr>
                <w:p>
                  <w:pPr>
                    <w:widowControl/>
                    <w:jc w:val="center"/>
                    <w:textAlignment w:val="center"/>
                    <w:rPr>
                      <w:color w:val="auto"/>
                      <w:kern w:val="0"/>
                      <w:szCs w:val="21"/>
                      <w:highlight w:val="yellow"/>
                      <w:lang w:bidi="ar"/>
                    </w:rPr>
                  </w:pPr>
                  <w:r>
                    <w:rPr>
                      <w:bCs/>
                      <w:color w:val="auto"/>
                      <w:szCs w:val="21"/>
                    </w:rPr>
                    <w:t>900-999-99</w:t>
                  </w:r>
                </w:p>
              </w:tc>
              <w:tc>
                <w:tcPr>
                  <w:tcW w:w="367" w:type="pct"/>
                  <w:tcBorders>
                    <w:tl2br w:val="nil"/>
                    <w:tr2bl w:val="nil"/>
                  </w:tcBorders>
                  <w:vAlign w:val="center"/>
                </w:tcPr>
                <w:p>
                  <w:pPr>
                    <w:widowControl/>
                    <w:jc w:val="center"/>
                    <w:textAlignment w:val="center"/>
                    <w:rPr>
                      <w:rFonts w:hint="eastAsia" w:eastAsia="宋体"/>
                      <w:color w:val="auto"/>
                      <w:kern w:val="0"/>
                      <w:szCs w:val="21"/>
                      <w:lang w:eastAsia="zh-CN" w:bidi="ar"/>
                    </w:rPr>
                  </w:pPr>
                  <w:r>
                    <w:rPr>
                      <w:color w:val="auto"/>
                      <w:szCs w:val="21"/>
                    </w:rPr>
                    <w:t>0.</w:t>
                  </w:r>
                  <w:r>
                    <w:rPr>
                      <w:rFonts w:hint="eastAsia"/>
                      <w:color w:val="auto"/>
                      <w:szCs w:val="21"/>
                      <w:lang w:val="en-US" w:eastAsia="zh-CN"/>
                    </w:rPr>
                    <w:t>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tl2br w:val="nil"/>
                    <w:tr2bl w:val="nil"/>
                  </w:tcBorders>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18</w:t>
                  </w:r>
                </w:p>
              </w:tc>
              <w:tc>
                <w:tcPr>
                  <w:tcW w:w="511" w:type="pct"/>
                  <w:tcBorders>
                    <w:tl2br w:val="nil"/>
                    <w:tr2bl w:val="nil"/>
                  </w:tcBorders>
                  <w:vAlign w:val="center"/>
                </w:tcPr>
                <w:p>
                  <w:pPr>
                    <w:widowControl/>
                    <w:jc w:val="center"/>
                    <w:textAlignment w:val="center"/>
                    <w:rPr>
                      <w:color w:val="auto"/>
                      <w:kern w:val="0"/>
                      <w:szCs w:val="21"/>
                      <w:lang w:bidi="ar"/>
                    </w:rPr>
                  </w:pPr>
                  <w:r>
                    <w:rPr>
                      <w:color w:val="auto"/>
                      <w:szCs w:val="21"/>
                    </w:rPr>
                    <w:t>生活污水沉淀捞渣</w:t>
                  </w:r>
                </w:p>
              </w:tc>
              <w:tc>
                <w:tcPr>
                  <w:tcW w:w="770" w:type="pct"/>
                  <w:tcBorders>
                    <w:tl2br w:val="nil"/>
                    <w:tr2bl w:val="nil"/>
                  </w:tcBorders>
                  <w:vAlign w:val="center"/>
                </w:tcPr>
                <w:p>
                  <w:pPr>
                    <w:widowControl/>
                    <w:jc w:val="center"/>
                    <w:textAlignment w:val="center"/>
                    <w:rPr>
                      <w:color w:val="auto"/>
                      <w:kern w:val="0"/>
                      <w:szCs w:val="21"/>
                      <w:lang w:bidi="ar"/>
                    </w:rPr>
                  </w:pPr>
                  <w:r>
                    <w:rPr>
                      <w:color w:val="auto"/>
                      <w:szCs w:val="21"/>
                    </w:rPr>
                    <w:t>化粪池沉淀捞渣</w:t>
                  </w:r>
                </w:p>
              </w:tc>
              <w:tc>
                <w:tcPr>
                  <w:tcW w:w="288" w:type="pct"/>
                  <w:tcBorders>
                    <w:tl2br w:val="nil"/>
                    <w:tr2bl w:val="nil"/>
                  </w:tcBorders>
                  <w:vAlign w:val="center"/>
                </w:tcPr>
                <w:p>
                  <w:pPr>
                    <w:widowControl/>
                    <w:jc w:val="center"/>
                    <w:textAlignment w:val="center"/>
                    <w:rPr>
                      <w:color w:val="auto"/>
                      <w:kern w:val="0"/>
                      <w:szCs w:val="21"/>
                      <w:lang w:bidi="ar"/>
                    </w:rPr>
                  </w:pPr>
                  <w:r>
                    <w:rPr>
                      <w:color w:val="auto"/>
                      <w:szCs w:val="21"/>
                    </w:rPr>
                    <w:t>半固态</w:t>
                  </w:r>
                </w:p>
              </w:tc>
              <w:tc>
                <w:tcPr>
                  <w:tcW w:w="697" w:type="pct"/>
                  <w:tcBorders>
                    <w:tl2br w:val="nil"/>
                    <w:tr2bl w:val="nil"/>
                  </w:tcBorders>
                  <w:vAlign w:val="center"/>
                </w:tcPr>
                <w:p>
                  <w:pPr>
                    <w:widowControl/>
                    <w:jc w:val="center"/>
                    <w:textAlignment w:val="center"/>
                    <w:rPr>
                      <w:color w:val="auto"/>
                      <w:kern w:val="0"/>
                      <w:szCs w:val="21"/>
                      <w:lang w:bidi="ar"/>
                    </w:rPr>
                  </w:pPr>
                  <w:r>
                    <w:rPr>
                      <w:rFonts w:hint="eastAsia"/>
                      <w:color w:val="auto"/>
                      <w:szCs w:val="21"/>
                    </w:rPr>
                    <w:t>粪便</w:t>
                  </w:r>
                  <w:r>
                    <w:rPr>
                      <w:color w:val="auto"/>
                      <w:szCs w:val="21"/>
                    </w:rPr>
                    <w:t>、水</w:t>
                  </w:r>
                </w:p>
              </w:tc>
              <w:tc>
                <w:tcPr>
                  <w:tcW w:w="248" w:type="pct"/>
                  <w:vMerge w:val="continue"/>
                  <w:tcBorders>
                    <w:tl2br w:val="nil"/>
                    <w:tr2bl w:val="nil"/>
                  </w:tcBorders>
                  <w:vAlign w:val="center"/>
                </w:tcPr>
                <w:p>
                  <w:pPr>
                    <w:widowControl/>
                    <w:jc w:val="center"/>
                    <w:textAlignment w:val="center"/>
                    <w:rPr>
                      <w:color w:val="auto"/>
                      <w:kern w:val="0"/>
                      <w:szCs w:val="21"/>
                      <w:lang w:bidi="ar"/>
                    </w:rPr>
                  </w:pPr>
                </w:p>
              </w:tc>
              <w:tc>
                <w:tcPr>
                  <w:tcW w:w="402" w:type="pct"/>
                  <w:vMerge w:val="continue"/>
                  <w:tcBorders>
                    <w:tl2br w:val="nil"/>
                    <w:tr2bl w:val="nil"/>
                  </w:tcBorders>
                  <w:vAlign w:val="center"/>
                </w:tcPr>
                <w:p>
                  <w:pPr>
                    <w:adjustRightInd w:val="0"/>
                    <w:snapToGrid w:val="0"/>
                    <w:jc w:val="center"/>
                    <w:rPr>
                      <w:color w:val="auto"/>
                      <w:szCs w:val="21"/>
                    </w:rPr>
                  </w:pPr>
                </w:p>
              </w:tc>
              <w:tc>
                <w:tcPr>
                  <w:tcW w:w="391" w:type="pct"/>
                  <w:tcBorders>
                    <w:tl2br w:val="nil"/>
                    <w:tr2bl w:val="nil"/>
                  </w:tcBorders>
                  <w:vAlign w:val="center"/>
                </w:tcPr>
                <w:p>
                  <w:pPr>
                    <w:widowControl/>
                    <w:jc w:val="center"/>
                    <w:textAlignment w:val="center"/>
                    <w:rPr>
                      <w:color w:val="auto"/>
                      <w:szCs w:val="21"/>
                    </w:rPr>
                  </w:pPr>
                  <w:r>
                    <w:rPr>
                      <w:color w:val="auto"/>
                      <w:szCs w:val="21"/>
                    </w:rPr>
                    <w:t>—</w:t>
                  </w:r>
                </w:p>
              </w:tc>
              <w:tc>
                <w:tcPr>
                  <w:tcW w:w="510" w:type="pct"/>
                  <w:tcBorders>
                    <w:tl2br w:val="nil"/>
                    <w:tr2bl w:val="nil"/>
                  </w:tcBorders>
                  <w:vAlign w:val="center"/>
                </w:tcPr>
                <w:p>
                  <w:pPr>
                    <w:widowControl/>
                    <w:jc w:val="center"/>
                    <w:textAlignment w:val="center"/>
                    <w:rPr>
                      <w:bCs/>
                      <w:color w:val="auto"/>
                      <w:szCs w:val="21"/>
                      <w:highlight w:val="yellow"/>
                    </w:rPr>
                  </w:pPr>
                  <w:r>
                    <w:rPr>
                      <w:bCs/>
                      <w:color w:val="auto"/>
                      <w:szCs w:val="21"/>
                    </w:rPr>
                    <w:t>99</w:t>
                  </w:r>
                </w:p>
              </w:tc>
              <w:tc>
                <w:tcPr>
                  <w:tcW w:w="520" w:type="pct"/>
                  <w:tcBorders>
                    <w:tl2br w:val="nil"/>
                    <w:tr2bl w:val="nil"/>
                  </w:tcBorders>
                  <w:vAlign w:val="center"/>
                </w:tcPr>
                <w:p>
                  <w:pPr>
                    <w:widowControl/>
                    <w:jc w:val="center"/>
                    <w:textAlignment w:val="center"/>
                    <w:rPr>
                      <w:bCs/>
                      <w:color w:val="auto"/>
                      <w:szCs w:val="21"/>
                      <w:highlight w:val="yellow"/>
                    </w:rPr>
                  </w:pPr>
                  <w:r>
                    <w:rPr>
                      <w:bCs/>
                      <w:color w:val="auto"/>
                      <w:szCs w:val="21"/>
                    </w:rPr>
                    <w:t>900-999-99</w:t>
                  </w:r>
                </w:p>
              </w:tc>
              <w:tc>
                <w:tcPr>
                  <w:tcW w:w="367" w:type="pct"/>
                  <w:tcBorders>
                    <w:tl2br w:val="nil"/>
                    <w:tr2bl w:val="nil"/>
                  </w:tcBorders>
                  <w:vAlign w:val="center"/>
                </w:tcPr>
                <w:p>
                  <w:pPr>
                    <w:widowControl/>
                    <w:jc w:val="center"/>
                    <w:textAlignment w:val="center"/>
                    <w:rPr>
                      <w:color w:val="auto"/>
                      <w:szCs w:val="21"/>
                    </w:rPr>
                  </w:pPr>
                  <w:r>
                    <w:rPr>
                      <w:color w:val="auto"/>
                      <w:szCs w:val="21"/>
                    </w:rPr>
                    <w:t>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0" w:type="pct"/>
                  <w:tcBorders>
                    <w:bottom w:val="single" w:color="000000" w:sz="12" w:space="0"/>
                    <w:tl2br w:val="nil"/>
                    <w:tr2bl w:val="nil"/>
                  </w:tcBorders>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19</w:t>
                  </w:r>
                </w:p>
              </w:tc>
              <w:tc>
                <w:tcPr>
                  <w:tcW w:w="511" w:type="pct"/>
                  <w:tcBorders>
                    <w:bottom w:val="single" w:color="000000" w:sz="12" w:space="0"/>
                    <w:tl2br w:val="nil"/>
                    <w:tr2bl w:val="nil"/>
                  </w:tcBorders>
                  <w:vAlign w:val="center"/>
                </w:tcPr>
                <w:p>
                  <w:pPr>
                    <w:widowControl/>
                    <w:jc w:val="center"/>
                    <w:textAlignment w:val="center"/>
                    <w:rPr>
                      <w:color w:val="auto"/>
                      <w:szCs w:val="21"/>
                    </w:rPr>
                  </w:pPr>
                  <w:r>
                    <w:rPr>
                      <w:rFonts w:hint="eastAsia"/>
                      <w:color w:val="auto"/>
                      <w:szCs w:val="21"/>
                    </w:rPr>
                    <w:t>生活垃圾</w:t>
                  </w:r>
                </w:p>
              </w:tc>
              <w:tc>
                <w:tcPr>
                  <w:tcW w:w="770" w:type="pct"/>
                  <w:tcBorders>
                    <w:bottom w:val="single" w:color="000000" w:sz="12" w:space="0"/>
                    <w:tl2br w:val="nil"/>
                    <w:tr2bl w:val="nil"/>
                  </w:tcBorders>
                  <w:vAlign w:val="center"/>
                </w:tcPr>
                <w:p>
                  <w:pPr>
                    <w:widowControl/>
                    <w:jc w:val="center"/>
                    <w:textAlignment w:val="center"/>
                    <w:rPr>
                      <w:color w:val="auto"/>
                      <w:szCs w:val="21"/>
                    </w:rPr>
                  </w:pPr>
                  <w:r>
                    <w:rPr>
                      <w:rFonts w:hint="eastAsia"/>
                      <w:color w:val="auto"/>
                      <w:szCs w:val="21"/>
                    </w:rPr>
                    <w:t>办公、生活</w:t>
                  </w:r>
                </w:p>
              </w:tc>
              <w:tc>
                <w:tcPr>
                  <w:tcW w:w="288" w:type="pct"/>
                  <w:tcBorders>
                    <w:bottom w:val="single" w:color="000000" w:sz="12" w:space="0"/>
                    <w:tl2br w:val="nil"/>
                    <w:tr2bl w:val="nil"/>
                  </w:tcBorders>
                  <w:vAlign w:val="center"/>
                </w:tcPr>
                <w:p>
                  <w:pPr>
                    <w:widowControl/>
                    <w:jc w:val="center"/>
                    <w:textAlignment w:val="center"/>
                    <w:rPr>
                      <w:color w:val="auto"/>
                      <w:szCs w:val="21"/>
                    </w:rPr>
                  </w:pPr>
                  <w:r>
                    <w:rPr>
                      <w:color w:val="auto"/>
                      <w:kern w:val="0"/>
                      <w:szCs w:val="21"/>
                      <w:lang w:bidi="ar"/>
                    </w:rPr>
                    <w:t>固态</w:t>
                  </w:r>
                </w:p>
              </w:tc>
              <w:tc>
                <w:tcPr>
                  <w:tcW w:w="697" w:type="pct"/>
                  <w:tcBorders>
                    <w:bottom w:val="single" w:color="000000" w:sz="12" w:space="0"/>
                    <w:tl2br w:val="nil"/>
                    <w:tr2bl w:val="nil"/>
                  </w:tcBorders>
                  <w:vAlign w:val="center"/>
                </w:tcPr>
                <w:p>
                  <w:pPr>
                    <w:widowControl/>
                    <w:jc w:val="center"/>
                    <w:textAlignment w:val="center"/>
                    <w:rPr>
                      <w:color w:val="auto"/>
                      <w:szCs w:val="21"/>
                    </w:rPr>
                  </w:pPr>
                  <w:r>
                    <w:rPr>
                      <w:rFonts w:hint="eastAsia"/>
                      <w:color w:val="auto"/>
                      <w:szCs w:val="21"/>
                    </w:rPr>
                    <w:t>纸张</w:t>
                  </w:r>
                  <w:r>
                    <w:rPr>
                      <w:color w:val="auto"/>
                      <w:szCs w:val="21"/>
                    </w:rPr>
                    <w:t>、</w:t>
                  </w:r>
                  <w:r>
                    <w:rPr>
                      <w:rFonts w:hint="eastAsia"/>
                      <w:color w:val="auto"/>
                      <w:szCs w:val="21"/>
                    </w:rPr>
                    <w:t>包装袋</w:t>
                  </w:r>
                </w:p>
              </w:tc>
              <w:tc>
                <w:tcPr>
                  <w:tcW w:w="248" w:type="pct"/>
                  <w:vMerge w:val="continue"/>
                  <w:tcBorders>
                    <w:bottom w:val="single" w:color="000000" w:sz="12" w:space="0"/>
                    <w:tl2br w:val="nil"/>
                    <w:tr2bl w:val="nil"/>
                  </w:tcBorders>
                  <w:vAlign w:val="center"/>
                </w:tcPr>
                <w:p>
                  <w:pPr>
                    <w:widowControl/>
                    <w:jc w:val="center"/>
                    <w:textAlignment w:val="center"/>
                    <w:rPr>
                      <w:color w:val="auto"/>
                      <w:kern w:val="0"/>
                      <w:szCs w:val="21"/>
                      <w:lang w:bidi="ar"/>
                    </w:rPr>
                  </w:pPr>
                </w:p>
              </w:tc>
              <w:tc>
                <w:tcPr>
                  <w:tcW w:w="402" w:type="pct"/>
                  <w:vMerge w:val="continue"/>
                  <w:tcBorders>
                    <w:bottom w:val="single" w:color="000000" w:sz="12" w:space="0"/>
                    <w:tl2br w:val="nil"/>
                    <w:tr2bl w:val="nil"/>
                  </w:tcBorders>
                  <w:vAlign w:val="center"/>
                </w:tcPr>
                <w:p>
                  <w:pPr>
                    <w:adjustRightInd w:val="0"/>
                    <w:snapToGrid w:val="0"/>
                    <w:jc w:val="center"/>
                    <w:rPr>
                      <w:color w:val="auto"/>
                      <w:szCs w:val="21"/>
                    </w:rPr>
                  </w:pPr>
                </w:p>
              </w:tc>
              <w:tc>
                <w:tcPr>
                  <w:tcW w:w="391" w:type="pct"/>
                  <w:tcBorders>
                    <w:bottom w:val="single" w:color="000000" w:sz="12" w:space="0"/>
                    <w:tl2br w:val="nil"/>
                    <w:tr2bl w:val="nil"/>
                  </w:tcBorders>
                  <w:vAlign w:val="center"/>
                </w:tcPr>
                <w:p>
                  <w:pPr>
                    <w:widowControl/>
                    <w:jc w:val="center"/>
                    <w:textAlignment w:val="center"/>
                    <w:rPr>
                      <w:color w:val="auto"/>
                      <w:szCs w:val="21"/>
                    </w:rPr>
                  </w:pPr>
                  <w:r>
                    <w:rPr>
                      <w:color w:val="auto"/>
                      <w:szCs w:val="21"/>
                    </w:rPr>
                    <w:t>—</w:t>
                  </w:r>
                </w:p>
              </w:tc>
              <w:tc>
                <w:tcPr>
                  <w:tcW w:w="510" w:type="pct"/>
                  <w:tcBorders>
                    <w:bottom w:val="single" w:color="000000" w:sz="12" w:space="0"/>
                    <w:tl2br w:val="nil"/>
                    <w:tr2bl w:val="nil"/>
                  </w:tcBorders>
                  <w:vAlign w:val="center"/>
                </w:tcPr>
                <w:p>
                  <w:pPr>
                    <w:adjustRightInd w:val="0"/>
                    <w:snapToGrid w:val="0"/>
                    <w:jc w:val="center"/>
                    <w:rPr>
                      <w:color w:val="auto"/>
                      <w:szCs w:val="21"/>
                    </w:rPr>
                  </w:pPr>
                  <w:r>
                    <w:rPr>
                      <w:color w:val="auto"/>
                      <w:kern w:val="0"/>
                      <w:szCs w:val="21"/>
                      <w:lang w:bidi="ar"/>
                    </w:rPr>
                    <w:t>99</w:t>
                  </w:r>
                </w:p>
              </w:tc>
              <w:tc>
                <w:tcPr>
                  <w:tcW w:w="520" w:type="pct"/>
                  <w:tcBorders>
                    <w:bottom w:val="single" w:color="000000" w:sz="12" w:space="0"/>
                    <w:tl2br w:val="nil"/>
                    <w:tr2bl w:val="nil"/>
                  </w:tcBorders>
                  <w:vAlign w:val="center"/>
                </w:tcPr>
                <w:p>
                  <w:pPr>
                    <w:adjustRightInd w:val="0"/>
                    <w:snapToGrid w:val="0"/>
                    <w:jc w:val="center"/>
                    <w:rPr>
                      <w:color w:val="auto"/>
                      <w:szCs w:val="21"/>
                    </w:rPr>
                  </w:pPr>
                  <w:r>
                    <w:rPr>
                      <w:rFonts w:hint="eastAsia"/>
                      <w:color w:val="auto"/>
                      <w:szCs w:val="21"/>
                      <w:lang w:val="en-US" w:eastAsia="zh-CN"/>
                    </w:rPr>
                    <w:t>900</w:t>
                  </w:r>
                  <w:r>
                    <w:rPr>
                      <w:color w:val="auto"/>
                      <w:szCs w:val="21"/>
                    </w:rPr>
                    <w:t>-999-99</w:t>
                  </w:r>
                </w:p>
              </w:tc>
              <w:tc>
                <w:tcPr>
                  <w:tcW w:w="367" w:type="pct"/>
                  <w:tcBorders>
                    <w:bottom w:val="single" w:color="000000" w:sz="12" w:space="0"/>
                    <w:tl2br w:val="nil"/>
                    <w:tr2bl w:val="nil"/>
                  </w:tcBorders>
                  <w:vAlign w:val="center"/>
                </w:tcPr>
                <w:p>
                  <w:pPr>
                    <w:widowControl/>
                    <w:jc w:val="center"/>
                    <w:textAlignment w:val="center"/>
                    <w:rPr>
                      <w:color w:val="auto"/>
                      <w:szCs w:val="21"/>
                    </w:rPr>
                  </w:pPr>
                  <w:r>
                    <w:rPr>
                      <w:rFonts w:hint="eastAsia"/>
                      <w:color w:val="auto"/>
                      <w:szCs w:val="21"/>
                    </w:rPr>
                    <w:t>21</w:t>
                  </w:r>
                </w:p>
              </w:tc>
            </w:tr>
          </w:tbl>
          <w:p>
            <w:pPr>
              <w:adjustRightInd w:val="0"/>
              <w:snapToGrid w:val="0"/>
              <w:jc w:val="left"/>
              <w:rPr>
                <w:rFonts w:ascii="Calibri" w:hAnsi="Calibri" w:cs="Calibri"/>
                <w:b/>
                <w:color w:val="auto"/>
                <w:sz w:val="18"/>
                <w:szCs w:val="18"/>
              </w:rPr>
            </w:pPr>
            <w:r>
              <w:rPr>
                <w:rFonts w:ascii="Calibri" w:hAnsi="Calibri" w:cs="Calibri"/>
                <w:b/>
                <w:color w:val="auto"/>
                <w:sz w:val="18"/>
                <w:szCs w:val="21"/>
              </w:rPr>
              <w:t>注：</w:t>
            </w:r>
            <w:r>
              <w:rPr>
                <w:rFonts w:ascii="Calibri" w:hAnsi="Calibri" w:cs="Calibri"/>
                <w:b/>
                <w:color w:val="auto"/>
                <w:sz w:val="18"/>
                <w:szCs w:val="18"/>
              </w:rPr>
              <w:t>上表危险特性中“T指毒性”、“In指感染性”、“C指腐蚀性”、“I指易燃性”。</w:t>
            </w:r>
          </w:p>
          <w:p>
            <w:pPr>
              <w:pStyle w:val="6"/>
              <w:numPr>
                <w:ilvl w:val="0"/>
                <w:numId w:val="16"/>
              </w:numPr>
              <w:adjustRightInd w:val="0"/>
              <w:snapToGrid w:val="0"/>
              <w:ind w:firstLineChars="0"/>
              <w:jc w:val="center"/>
              <w:rPr>
                <w:rFonts w:ascii="Calibri" w:hAnsi="Calibri" w:cs="Calibri"/>
                <w:b/>
                <w:bCs/>
                <w:color w:val="auto"/>
                <w:sz w:val="24"/>
              </w:rPr>
            </w:pPr>
            <w:r>
              <w:rPr>
                <w:rFonts w:ascii="Calibri" w:hAnsi="Calibri" w:cs="Calibri"/>
                <w:b/>
                <w:bCs/>
                <w:color w:val="auto"/>
                <w:sz w:val="24"/>
              </w:rPr>
              <w:t>本项目危险废物汇总表</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178"/>
              <w:gridCol w:w="1070"/>
              <w:gridCol w:w="1370"/>
              <w:gridCol w:w="962"/>
              <w:gridCol w:w="1800"/>
              <w:gridCol w:w="822"/>
              <w:gridCol w:w="1281"/>
              <w:gridCol w:w="1362"/>
              <w:gridCol w:w="1027"/>
              <w:gridCol w:w="1116"/>
              <w:gridCol w:w="1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167" w:type="pct"/>
                  <w:vAlign w:val="center"/>
                </w:tcPr>
                <w:p>
                  <w:pPr>
                    <w:autoSpaceDN w:val="0"/>
                    <w:adjustRightInd w:val="0"/>
                    <w:snapToGrid w:val="0"/>
                    <w:jc w:val="center"/>
                    <w:rPr>
                      <w:b/>
                      <w:bCs/>
                      <w:color w:val="auto"/>
                      <w:szCs w:val="21"/>
                    </w:rPr>
                  </w:pPr>
                  <w:r>
                    <w:rPr>
                      <w:b/>
                      <w:bCs/>
                      <w:color w:val="auto"/>
                      <w:szCs w:val="21"/>
                    </w:rPr>
                    <w:t>序号</w:t>
                  </w:r>
                </w:p>
              </w:tc>
              <w:tc>
                <w:tcPr>
                  <w:tcW w:w="436" w:type="pct"/>
                  <w:vAlign w:val="center"/>
                </w:tcPr>
                <w:p>
                  <w:pPr>
                    <w:autoSpaceDN w:val="0"/>
                    <w:adjustRightInd w:val="0"/>
                    <w:snapToGrid w:val="0"/>
                    <w:jc w:val="center"/>
                    <w:rPr>
                      <w:b/>
                      <w:bCs/>
                      <w:color w:val="auto"/>
                      <w:szCs w:val="21"/>
                    </w:rPr>
                  </w:pPr>
                  <w:r>
                    <w:rPr>
                      <w:b/>
                      <w:bCs/>
                      <w:color w:val="auto"/>
                      <w:szCs w:val="21"/>
                    </w:rPr>
                    <w:t>危险废</w:t>
                  </w:r>
                </w:p>
                <w:p>
                  <w:pPr>
                    <w:autoSpaceDN w:val="0"/>
                    <w:adjustRightInd w:val="0"/>
                    <w:snapToGrid w:val="0"/>
                    <w:jc w:val="center"/>
                    <w:rPr>
                      <w:b/>
                      <w:bCs/>
                      <w:color w:val="auto"/>
                      <w:szCs w:val="21"/>
                    </w:rPr>
                  </w:pPr>
                  <w:r>
                    <w:rPr>
                      <w:b/>
                      <w:bCs/>
                      <w:color w:val="auto"/>
                      <w:szCs w:val="21"/>
                    </w:rPr>
                    <w:t>物名称</w:t>
                  </w:r>
                </w:p>
              </w:tc>
              <w:tc>
                <w:tcPr>
                  <w:tcW w:w="396" w:type="pct"/>
                  <w:vAlign w:val="center"/>
                </w:tcPr>
                <w:p>
                  <w:pPr>
                    <w:autoSpaceDN w:val="0"/>
                    <w:adjustRightInd w:val="0"/>
                    <w:snapToGrid w:val="0"/>
                    <w:jc w:val="center"/>
                    <w:rPr>
                      <w:b/>
                      <w:bCs/>
                      <w:color w:val="auto"/>
                      <w:szCs w:val="21"/>
                    </w:rPr>
                  </w:pPr>
                  <w:r>
                    <w:rPr>
                      <w:b/>
                      <w:bCs/>
                      <w:color w:val="auto"/>
                      <w:szCs w:val="21"/>
                    </w:rPr>
                    <w:t>危险废物类别</w:t>
                  </w:r>
                </w:p>
              </w:tc>
              <w:tc>
                <w:tcPr>
                  <w:tcW w:w="507" w:type="pct"/>
                  <w:vAlign w:val="center"/>
                </w:tcPr>
                <w:p>
                  <w:pPr>
                    <w:autoSpaceDN w:val="0"/>
                    <w:adjustRightInd w:val="0"/>
                    <w:snapToGrid w:val="0"/>
                    <w:jc w:val="center"/>
                    <w:rPr>
                      <w:b/>
                      <w:bCs/>
                      <w:color w:val="auto"/>
                      <w:szCs w:val="21"/>
                    </w:rPr>
                  </w:pPr>
                  <w:r>
                    <w:rPr>
                      <w:b/>
                      <w:bCs/>
                      <w:color w:val="auto"/>
                      <w:szCs w:val="21"/>
                    </w:rPr>
                    <w:t>危险废</w:t>
                  </w:r>
                </w:p>
                <w:p>
                  <w:pPr>
                    <w:autoSpaceDN w:val="0"/>
                    <w:adjustRightInd w:val="0"/>
                    <w:snapToGrid w:val="0"/>
                    <w:jc w:val="center"/>
                    <w:rPr>
                      <w:b/>
                      <w:bCs/>
                      <w:color w:val="auto"/>
                      <w:szCs w:val="21"/>
                    </w:rPr>
                  </w:pPr>
                  <w:r>
                    <w:rPr>
                      <w:b/>
                      <w:bCs/>
                      <w:color w:val="auto"/>
                      <w:szCs w:val="21"/>
                    </w:rPr>
                    <w:t>物代码</w:t>
                  </w:r>
                </w:p>
              </w:tc>
              <w:tc>
                <w:tcPr>
                  <w:tcW w:w="356" w:type="pct"/>
                  <w:vAlign w:val="center"/>
                </w:tcPr>
                <w:p>
                  <w:pPr>
                    <w:autoSpaceDN w:val="0"/>
                    <w:adjustRightInd w:val="0"/>
                    <w:snapToGrid w:val="0"/>
                    <w:jc w:val="center"/>
                    <w:rPr>
                      <w:b/>
                      <w:bCs/>
                      <w:color w:val="auto"/>
                      <w:szCs w:val="21"/>
                    </w:rPr>
                  </w:pPr>
                  <w:r>
                    <w:rPr>
                      <w:b/>
                      <w:bCs/>
                      <w:color w:val="auto"/>
                      <w:szCs w:val="21"/>
                    </w:rPr>
                    <w:t>产生量</w:t>
                  </w:r>
                </w:p>
                <w:p>
                  <w:pPr>
                    <w:autoSpaceDN w:val="0"/>
                    <w:adjustRightInd w:val="0"/>
                    <w:snapToGrid w:val="0"/>
                    <w:jc w:val="center"/>
                    <w:rPr>
                      <w:b/>
                      <w:bCs/>
                      <w:color w:val="auto"/>
                      <w:szCs w:val="21"/>
                    </w:rPr>
                  </w:pPr>
                  <w:r>
                    <w:rPr>
                      <w:b/>
                      <w:bCs/>
                      <w:color w:val="auto"/>
                      <w:szCs w:val="21"/>
                    </w:rPr>
                    <w:t>（t/a）</w:t>
                  </w:r>
                </w:p>
              </w:tc>
              <w:tc>
                <w:tcPr>
                  <w:tcW w:w="666" w:type="pct"/>
                  <w:vAlign w:val="center"/>
                </w:tcPr>
                <w:p>
                  <w:pPr>
                    <w:autoSpaceDN w:val="0"/>
                    <w:adjustRightInd w:val="0"/>
                    <w:snapToGrid w:val="0"/>
                    <w:jc w:val="center"/>
                    <w:rPr>
                      <w:b/>
                      <w:bCs/>
                      <w:color w:val="auto"/>
                      <w:szCs w:val="21"/>
                    </w:rPr>
                  </w:pPr>
                  <w:r>
                    <w:rPr>
                      <w:b/>
                      <w:bCs/>
                      <w:color w:val="auto"/>
                      <w:szCs w:val="21"/>
                    </w:rPr>
                    <w:t>产生工序</w:t>
                  </w:r>
                </w:p>
                <w:p>
                  <w:pPr>
                    <w:autoSpaceDN w:val="0"/>
                    <w:adjustRightInd w:val="0"/>
                    <w:snapToGrid w:val="0"/>
                    <w:jc w:val="center"/>
                    <w:rPr>
                      <w:b/>
                      <w:bCs/>
                      <w:color w:val="auto"/>
                      <w:szCs w:val="21"/>
                    </w:rPr>
                  </w:pPr>
                  <w:r>
                    <w:rPr>
                      <w:b/>
                      <w:bCs/>
                      <w:color w:val="auto"/>
                      <w:szCs w:val="21"/>
                    </w:rPr>
                    <w:t>及装置</w:t>
                  </w:r>
                </w:p>
              </w:tc>
              <w:tc>
                <w:tcPr>
                  <w:tcW w:w="304" w:type="pct"/>
                  <w:vAlign w:val="center"/>
                </w:tcPr>
                <w:p>
                  <w:pPr>
                    <w:autoSpaceDN w:val="0"/>
                    <w:adjustRightInd w:val="0"/>
                    <w:snapToGrid w:val="0"/>
                    <w:jc w:val="center"/>
                    <w:rPr>
                      <w:b/>
                      <w:bCs/>
                      <w:color w:val="auto"/>
                      <w:szCs w:val="21"/>
                    </w:rPr>
                  </w:pPr>
                  <w:r>
                    <w:rPr>
                      <w:b/>
                      <w:bCs/>
                      <w:color w:val="auto"/>
                      <w:szCs w:val="21"/>
                    </w:rPr>
                    <w:t>形态</w:t>
                  </w:r>
                </w:p>
              </w:tc>
              <w:tc>
                <w:tcPr>
                  <w:tcW w:w="474" w:type="pct"/>
                  <w:vAlign w:val="center"/>
                </w:tcPr>
                <w:p>
                  <w:pPr>
                    <w:autoSpaceDN w:val="0"/>
                    <w:adjustRightInd w:val="0"/>
                    <w:snapToGrid w:val="0"/>
                    <w:jc w:val="center"/>
                    <w:rPr>
                      <w:b/>
                      <w:bCs/>
                      <w:color w:val="auto"/>
                      <w:szCs w:val="21"/>
                    </w:rPr>
                  </w:pPr>
                  <w:r>
                    <w:rPr>
                      <w:b/>
                      <w:bCs/>
                      <w:color w:val="auto"/>
                      <w:szCs w:val="21"/>
                    </w:rPr>
                    <w:t>主要成分</w:t>
                  </w:r>
                </w:p>
              </w:tc>
              <w:tc>
                <w:tcPr>
                  <w:tcW w:w="504" w:type="pct"/>
                  <w:vAlign w:val="center"/>
                </w:tcPr>
                <w:p>
                  <w:pPr>
                    <w:autoSpaceDN w:val="0"/>
                    <w:adjustRightInd w:val="0"/>
                    <w:snapToGrid w:val="0"/>
                    <w:jc w:val="center"/>
                    <w:rPr>
                      <w:b/>
                      <w:bCs/>
                      <w:color w:val="auto"/>
                      <w:szCs w:val="21"/>
                    </w:rPr>
                  </w:pPr>
                  <w:r>
                    <w:rPr>
                      <w:b/>
                      <w:bCs/>
                      <w:color w:val="auto"/>
                      <w:szCs w:val="21"/>
                    </w:rPr>
                    <w:t>有害</w:t>
                  </w:r>
                </w:p>
                <w:p>
                  <w:pPr>
                    <w:autoSpaceDN w:val="0"/>
                    <w:adjustRightInd w:val="0"/>
                    <w:snapToGrid w:val="0"/>
                    <w:jc w:val="center"/>
                    <w:rPr>
                      <w:b/>
                      <w:bCs/>
                      <w:color w:val="auto"/>
                      <w:szCs w:val="21"/>
                    </w:rPr>
                  </w:pPr>
                  <w:r>
                    <w:rPr>
                      <w:b/>
                      <w:bCs/>
                      <w:color w:val="auto"/>
                      <w:szCs w:val="21"/>
                    </w:rPr>
                    <w:t>成分</w:t>
                  </w:r>
                </w:p>
              </w:tc>
              <w:tc>
                <w:tcPr>
                  <w:tcW w:w="380" w:type="pct"/>
                  <w:vAlign w:val="center"/>
                </w:tcPr>
                <w:p>
                  <w:pPr>
                    <w:autoSpaceDN w:val="0"/>
                    <w:adjustRightInd w:val="0"/>
                    <w:snapToGrid w:val="0"/>
                    <w:jc w:val="center"/>
                    <w:rPr>
                      <w:b/>
                      <w:bCs/>
                      <w:color w:val="auto"/>
                      <w:szCs w:val="21"/>
                    </w:rPr>
                  </w:pPr>
                  <w:r>
                    <w:rPr>
                      <w:b/>
                      <w:bCs/>
                      <w:color w:val="auto"/>
                      <w:szCs w:val="21"/>
                    </w:rPr>
                    <w:t>产废周期</w:t>
                  </w:r>
                </w:p>
              </w:tc>
              <w:tc>
                <w:tcPr>
                  <w:tcW w:w="413" w:type="pct"/>
                  <w:vAlign w:val="center"/>
                </w:tcPr>
                <w:p>
                  <w:pPr>
                    <w:autoSpaceDN w:val="0"/>
                    <w:adjustRightInd w:val="0"/>
                    <w:snapToGrid w:val="0"/>
                    <w:jc w:val="center"/>
                    <w:rPr>
                      <w:b/>
                      <w:bCs/>
                      <w:color w:val="auto"/>
                      <w:szCs w:val="21"/>
                    </w:rPr>
                  </w:pPr>
                  <w:r>
                    <w:rPr>
                      <w:b/>
                      <w:bCs/>
                      <w:color w:val="auto"/>
                      <w:szCs w:val="21"/>
                    </w:rPr>
                    <w:t>危险</w:t>
                  </w:r>
                </w:p>
                <w:p>
                  <w:pPr>
                    <w:autoSpaceDN w:val="0"/>
                    <w:adjustRightInd w:val="0"/>
                    <w:snapToGrid w:val="0"/>
                    <w:jc w:val="center"/>
                    <w:rPr>
                      <w:b/>
                      <w:bCs/>
                      <w:color w:val="auto"/>
                      <w:szCs w:val="21"/>
                    </w:rPr>
                  </w:pPr>
                  <w:r>
                    <w:rPr>
                      <w:b/>
                      <w:bCs/>
                      <w:color w:val="auto"/>
                      <w:szCs w:val="21"/>
                    </w:rPr>
                    <w:t>特性</w:t>
                  </w:r>
                </w:p>
              </w:tc>
              <w:tc>
                <w:tcPr>
                  <w:tcW w:w="391" w:type="pct"/>
                  <w:vAlign w:val="center"/>
                </w:tcPr>
                <w:p>
                  <w:pPr>
                    <w:autoSpaceDN w:val="0"/>
                    <w:adjustRightInd w:val="0"/>
                    <w:snapToGrid w:val="0"/>
                    <w:jc w:val="center"/>
                    <w:rPr>
                      <w:b/>
                      <w:bCs/>
                      <w:color w:val="auto"/>
                      <w:szCs w:val="21"/>
                    </w:rPr>
                  </w:pPr>
                  <w:r>
                    <w:rPr>
                      <w:b/>
                      <w:bCs/>
                      <w:color w:val="auto"/>
                      <w:szCs w:val="21"/>
                    </w:rPr>
                    <w:t>污染防</w:t>
                  </w:r>
                </w:p>
                <w:p>
                  <w:pPr>
                    <w:autoSpaceDN w:val="0"/>
                    <w:adjustRightInd w:val="0"/>
                    <w:snapToGrid w:val="0"/>
                    <w:jc w:val="center"/>
                    <w:rPr>
                      <w:b/>
                      <w:bCs/>
                      <w:color w:val="auto"/>
                      <w:szCs w:val="21"/>
                    </w:rPr>
                  </w:pPr>
                  <w:r>
                    <w:rPr>
                      <w:b/>
                      <w:bCs/>
                      <w:color w:val="auto"/>
                      <w:szCs w:val="21"/>
                    </w:rPr>
                    <w:t>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 w:type="pct"/>
                  <w:vAlign w:val="center"/>
                </w:tcPr>
                <w:p>
                  <w:pPr>
                    <w:widowControl/>
                    <w:jc w:val="center"/>
                    <w:textAlignment w:val="center"/>
                    <w:rPr>
                      <w:color w:val="auto"/>
                      <w:kern w:val="0"/>
                      <w:szCs w:val="21"/>
                    </w:rPr>
                  </w:pPr>
                  <w:r>
                    <w:rPr>
                      <w:color w:val="auto"/>
                      <w:kern w:val="0"/>
                      <w:szCs w:val="21"/>
                      <w:lang w:bidi="ar"/>
                    </w:rPr>
                    <w:t>1</w:t>
                  </w:r>
                </w:p>
              </w:tc>
              <w:tc>
                <w:tcPr>
                  <w:tcW w:w="436" w:type="pct"/>
                  <w:vAlign w:val="center"/>
                </w:tcPr>
                <w:p>
                  <w:pPr>
                    <w:widowControl/>
                    <w:jc w:val="center"/>
                    <w:textAlignment w:val="center"/>
                    <w:rPr>
                      <w:color w:val="auto"/>
                      <w:kern w:val="0"/>
                      <w:szCs w:val="21"/>
                      <w:lang w:bidi="ar"/>
                    </w:rPr>
                  </w:pPr>
                  <w:r>
                    <w:rPr>
                      <w:rFonts w:hint="eastAsia"/>
                      <w:color w:val="auto"/>
                    </w:rPr>
                    <w:t>脱脂废渣（液）</w:t>
                  </w:r>
                </w:p>
              </w:tc>
              <w:tc>
                <w:tcPr>
                  <w:tcW w:w="396" w:type="pct"/>
                  <w:vAlign w:val="center"/>
                </w:tcPr>
                <w:p>
                  <w:pPr>
                    <w:widowControl/>
                    <w:jc w:val="center"/>
                    <w:textAlignment w:val="center"/>
                    <w:rPr>
                      <w:color w:val="auto"/>
                      <w:kern w:val="0"/>
                      <w:szCs w:val="21"/>
                      <w:lang w:bidi="ar"/>
                    </w:rPr>
                  </w:pPr>
                  <w:r>
                    <w:rPr>
                      <w:color w:val="auto"/>
                      <w:kern w:val="0"/>
                      <w:szCs w:val="21"/>
                      <w:lang w:bidi="ar"/>
                    </w:rPr>
                    <w:t>HW17</w:t>
                  </w:r>
                </w:p>
              </w:tc>
              <w:tc>
                <w:tcPr>
                  <w:tcW w:w="507" w:type="pct"/>
                  <w:vAlign w:val="center"/>
                </w:tcPr>
                <w:p>
                  <w:pPr>
                    <w:widowControl/>
                    <w:jc w:val="center"/>
                    <w:textAlignment w:val="center"/>
                    <w:rPr>
                      <w:color w:val="auto"/>
                      <w:kern w:val="0"/>
                      <w:szCs w:val="21"/>
                      <w:lang w:bidi="ar"/>
                    </w:rPr>
                  </w:pPr>
                  <w:r>
                    <w:rPr>
                      <w:color w:val="auto"/>
                      <w:kern w:val="0"/>
                      <w:szCs w:val="21"/>
                      <w:lang w:bidi="ar"/>
                    </w:rPr>
                    <w:t>336-064-17</w:t>
                  </w:r>
                </w:p>
              </w:tc>
              <w:tc>
                <w:tcPr>
                  <w:tcW w:w="356" w:type="pct"/>
                  <w:vAlign w:val="center"/>
                </w:tcPr>
                <w:p>
                  <w:pPr>
                    <w:widowControl/>
                    <w:jc w:val="center"/>
                    <w:textAlignment w:val="center"/>
                    <w:rPr>
                      <w:color w:val="auto"/>
                      <w:szCs w:val="21"/>
                    </w:rPr>
                  </w:pPr>
                  <w:r>
                    <w:rPr>
                      <w:rFonts w:hint="eastAsia"/>
                      <w:color w:val="auto"/>
                      <w:szCs w:val="21"/>
                    </w:rPr>
                    <w:t>12.4</w:t>
                  </w:r>
                </w:p>
              </w:tc>
              <w:tc>
                <w:tcPr>
                  <w:tcW w:w="666" w:type="pct"/>
                  <w:vAlign w:val="center"/>
                </w:tcPr>
                <w:p>
                  <w:pPr>
                    <w:widowControl/>
                    <w:jc w:val="center"/>
                    <w:textAlignment w:val="center"/>
                    <w:rPr>
                      <w:color w:val="auto"/>
                      <w:kern w:val="0"/>
                      <w:szCs w:val="21"/>
                    </w:rPr>
                  </w:pPr>
                  <w:r>
                    <w:rPr>
                      <w:rFonts w:hint="eastAsia"/>
                      <w:color w:val="auto"/>
                    </w:rPr>
                    <w:t>预脱脂槽、脱脂槽</w:t>
                  </w:r>
                </w:p>
              </w:tc>
              <w:tc>
                <w:tcPr>
                  <w:tcW w:w="304" w:type="pct"/>
                  <w:vAlign w:val="center"/>
                </w:tcPr>
                <w:p>
                  <w:pPr>
                    <w:widowControl/>
                    <w:jc w:val="center"/>
                    <w:textAlignment w:val="center"/>
                    <w:rPr>
                      <w:color w:val="auto"/>
                      <w:kern w:val="0"/>
                      <w:szCs w:val="21"/>
                    </w:rPr>
                  </w:pPr>
                  <w:r>
                    <w:rPr>
                      <w:rFonts w:hint="eastAsia"/>
                      <w:color w:val="auto"/>
                    </w:rPr>
                    <w:t>液态</w:t>
                  </w:r>
                </w:p>
              </w:tc>
              <w:tc>
                <w:tcPr>
                  <w:tcW w:w="474" w:type="pct"/>
                  <w:vAlign w:val="center"/>
                </w:tcPr>
                <w:p>
                  <w:pPr>
                    <w:widowControl/>
                    <w:jc w:val="center"/>
                    <w:textAlignment w:val="center"/>
                    <w:rPr>
                      <w:color w:val="auto"/>
                      <w:kern w:val="0"/>
                      <w:szCs w:val="21"/>
                    </w:rPr>
                  </w:pPr>
                  <w:r>
                    <w:rPr>
                      <w:rFonts w:hint="eastAsia"/>
                      <w:color w:val="auto"/>
                    </w:rPr>
                    <w:t>脱脂液、脱脂助剂</w:t>
                  </w:r>
                </w:p>
              </w:tc>
              <w:tc>
                <w:tcPr>
                  <w:tcW w:w="504" w:type="pct"/>
                  <w:vAlign w:val="center"/>
                </w:tcPr>
                <w:p>
                  <w:pPr>
                    <w:widowControl/>
                    <w:jc w:val="center"/>
                    <w:textAlignment w:val="center"/>
                    <w:rPr>
                      <w:color w:val="auto"/>
                      <w:szCs w:val="21"/>
                    </w:rPr>
                  </w:pPr>
                  <w:r>
                    <w:rPr>
                      <w:color w:val="auto"/>
                      <w:kern w:val="0"/>
                      <w:szCs w:val="21"/>
                      <w:lang w:bidi="ar"/>
                    </w:rPr>
                    <w:t>脱脂液、脱脂助剂</w:t>
                  </w:r>
                </w:p>
              </w:tc>
              <w:tc>
                <w:tcPr>
                  <w:tcW w:w="380" w:type="pct"/>
                  <w:vAlign w:val="center"/>
                </w:tcPr>
                <w:p>
                  <w:pPr>
                    <w:adjustRightInd w:val="0"/>
                    <w:snapToGrid w:val="0"/>
                    <w:jc w:val="center"/>
                    <w:rPr>
                      <w:bCs/>
                      <w:color w:val="auto"/>
                    </w:rPr>
                  </w:pPr>
                  <w:r>
                    <w:rPr>
                      <w:bCs/>
                      <w:color w:val="auto"/>
                    </w:rPr>
                    <w:t>每</w:t>
                  </w:r>
                  <w:r>
                    <w:rPr>
                      <w:rFonts w:hint="eastAsia"/>
                      <w:bCs/>
                      <w:color w:val="auto"/>
                    </w:rPr>
                    <w:t>20-50天</w:t>
                  </w:r>
                </w:p>
              </w:tc>
              <w:tc>
                <w:tcPr>
                  <w:tcW w:w="413" w:type="pct"/>
                  <w:vAlign w:val="center"/>
                </w:tcPr>
                <w:p>
                  <w:pPr>
                    <w:widowControl/>
                    <w:jc w:val="center"/>
                    <w:textAlignment w:val="center"/>
                    <w:rPr>
                      <w:color w:val="auto"/>
                      <w:kern w:val="0"/>
                      <w:szCs w:val="21"/>
                      <w:lang w:bidi="ar"/>
                    </w:rPr>
                  </w:pPr>
                  <w:r>
                    <w:rPr>
                      <w:color w:val="auto"/>
                      <w:kern w:val="0"/>
                      <w:szCs w:val="21"/>
                      <w:lang w:bidi="ar"/>
                    </w:rPr>
                    <w:t>T</w:t>
                  </w:r>
                  <w:r>
                    <w:rPr>
                      <w:rFonts w:hint="eastAsia"/>
                      <w:color w:val="auto"/>
                      <w:kern w:val="0"/>
                      <w:szCs w:val="21"/>
                      <w:lang w:bidi="ar"/>
                    </w:rPr>
                    <w:t>/C</w:t>
                  </w:r>
                </w:p>
              </w:tc>
              <w:tc>
                <w:tcPr>
                  <w:tcW w:w="391" w:type="pct"/>
                  <w:vMerge w:val="restart"/>
                  <w:vAlign w:val="center"/>
                </w:tcPr>
                <w:p>
                  <w:pPr>
                    <w:topLinePunct/>
                    <w:adjustRightInd w:val="0"/>
                    <w:snapToGrid w:val="0"/>
                    <w:jc w:val="center"/>
                    <w:rPr>
                      <w:color w:val="auto"/>
                      <w:kern w:val="0"/>
                      <w:szCs w:val="21"/>
                    </w:rPr>
                  </w:pPr>
                  <w:r>
                    <w:rPr>
                      <w:color w:val="auto"/>
                      <w:szCs w:val="21"/>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67" w:type="pct"/>
                  <w:vAlign w:val="center"/>
                </w:tcPr>
                <w:p>
                  <w:pPr>
                    <w:topLinePunct/>
                    <w:adjustRightInd w:val="0"/>
                    <w:snapToGrid w:val="0"/>
                    <w:jc w:val="center"/>
                    <w:rPr>
                      <w:color w:val="auto"/>
                      <w:kern w:val="0"/>
                      <w:szCs w:val="21"/>
                      <w:lang w:bidi="ar"/>
                    </w:rPr>
                  </w:pPr>
                  <w:r>
                    <w:rPr>
                      <w:color w:val="auto"/>
                      <w:kern w:val="0"/>
                      <w:szCs w:val="21"/>
                    </w:rPr>
                    <w:t>2</w:t>
                  </w:r>
                </w:p>
              </w:tc>
              <w:tc>
                <w:tcPr>
                  <w:tcW w:w="436" w:type="pct"/>
                  <w:vAlign w:val="center"/>
                </w:tcPr>
                <w:p>
                  <w:pPr>
                    <w:widowControl/>
                    <w:jc w:val="center"/>
                    <w:textAlignment w:val="center"/>
                    <w:rPr>
                      <w:color w:val="auto"/>
                      <w:szCs w:val="21"/>
                    </w:rPr>
                  </w:pPr>
                  <w:r>
                    <w:rPr>
                      <w:rFonts w:hint="eastAsia"/>
                      <w:color w:val="auto"/>
                      <w:szCs w:val="21"/>
                    </w:rPr>
                    <w:t>陶化废渣（液）</w:t>
                  </w:r>
                </w:p>
              </w:tc>
              <w:tc>
                <w:tcPr>
                  <w:tcW w:w="396" w:type="pct"/>
                  <w:vAlign w:val="center"/>
                </w:tcPr>
                <w:p>
                  <w:pPr>
                    <w:widowControl/>
                    <w:jc w:val="center"/>
                    <w:textAlignment w:val="center"/>
                    <w:rPr>
                      <w:snapToGrid w:val="0"/>
                      <w:color w:val="auto"/>
                      <w:szCs w:val="21"/>
                    </w:rPr>
                  </w:pPr>
                  <w:r>
                    <w:rPr>
                      <w:color w:val="auto"/>
                      <w:kern w:val="0"/>
                      <w:szCs w:val="21"/>
                      <w:lang w:bidi="ar"/>
                    </w:rPr>
                    <w:t>HW17</w:t>
                  </w:r>
                </w:p>
              </w:tc>
              <w:tc>
                <w:tcPr>
                  <w:tcW w:w="507" w:type="pct"/>
                  <w:vAlign w:val="center"/>
                </w:tcPr>
                <w:p>
                  <w:pPr>
                    <w:widowControl/>
                    <w:jc w:val="center"/>
                    <w:textAlignment w:val="center"/>
                    <w:rPr>
                      <w:snapToGrid w:val="0"/>
                      <w:color w:val="auto"/>
                      <w:szCs w:val="21"/>
                    </w:rPr>
                  </w:pPr>
                  <w:r>
                    <w:rPr>
                      <w:color w:val="auto"/>
                      <w:kern w:val="0"/>
                      <w:szCs w:val="21"/>
                      <w:lang w:bidi="ar"/>
                    </w:rPr>
                    <w:t>336-064-17</w:t>
                  </w:r>
                </w:p>
              </w:tc>
              <w:tc>
                <w:tcPr>
                  <w:tcW w:w="356" w:type="pct"/>
                  <w:vAlign w:val="center"/>
                </w:tcPr>
                <w:p>
                  <w:pPr>
                    <w:widowControl/>
                    <w:jc w:val="center"/>
                    <w:textAlignment w:val="center"/>
                    <w:rPr>
                      <w:color w:val="auto"/>
                      <w:kern w:val="0"/>
                      <w:szCs w:val="21"/>
                    </w:rPr>
                  </w:pPr>
                  <w:r>
                    <w:rPr>
                      <w:rFonts w:hint="eastAsia"/>
                      <w:color w:val="auto"/>
                      <w:szCs w:val="21"/>
                    </w:rPr>
                    <w:t>2.5</w:t>
                  </w:r>
                </w:p>
              </w:tc>
              <w:tc>
                <w:tcPr>
                  <w:tcW w:w="666" w:type="pct"/>
                  <w:vAlign w:val="center"/>
                </w:tcPr>
                <w:p>
                  <w:pPr>
                    <w:widowControl/>
                    <w:jc w:val="center"/>
                    <w:textAlignment w:val="center"/>
                    <w:rPr>
                      <w:color w:val="auto"/>
                      <w:kern w:val="0"/>
                      <w:szCs w:val="21"/>
                    </w:rPr>
                  </w:pPr>
                  <w:r>
                    <w:rPr>
                      <w:rFonts w:hint="eastAsia"/>
                      <w:color w:val="auto"/>
                    </w:rPr>
                    <w:t>陶化工序</w:t>
                  </w:r>
                </w:p>
              </w:tc>
              <w:tc>
                <w:tcPr>
                  <w:tcW w:w="304" w:type="pct"/>
                  <w:vAlign w:val="center"/>
                </w:tcPr>
                <w:p>
                  <w:pPr>
                    <w:widowControl/>
                    <w:jc w:val="center"/>
                    <w:textAlignment w:val="center"/>
                    <w:rPr>
                      <w:color w:val="auto"/>
                      <w:kern w:val="0"/>
                      <w:szCs w:val="21"/>
                    </w:rPr>
                  </w:pPr>
                  <w:r>
                    <w:rPr>
                      <w:rFonts w:hint="eastAsia"/>
                      <w:color w:val="auto"/>
                    </w:rPr>
                    <w:t>液态</w:t>
                  </w:r>
                </w:p>
              </w:tc>
              <w:tc>
                <w:tcPr>
                  <w:tcW w:w="474" w:type="pct"/>
                  <w:vAlign w:val="center"/>
                </w:tcPr>
                <w:p>
                  <w:pPr>
                    <w:widowControl/>
                    <w:jc w:val="center"/>
                    <w:textAlignment w:val="center"/>
                    <w:rPr>
                      <w:color w:val="auto"/>
                      <w:kern w:val="0"/>
                      <w:szCs w:val="21"/>
                    </w:rPr>
                  </w:pPr>
                  <w:r>
                    <w:rPr>
                      <w:rFonts w:hint="eastAsia"/>
                      <w:color w:val="auto"/>
                    </w:rPr>
                    <w:t>无磷转化剂、硅烷转化剂</w:t>
                  </w:r>
                </w:p>
              </w:tc>
              <w:tc>
                <w:tcPr>
                  <w:tcW w:w="504" w:type="pct"/>
                  <w:vAlign w:val="center"/>
                </w:tcPr>
                <w:p>
                  <w:pPr>
                    <w:widowControl/>
                    <w:jc w:val="center"/>
                    <w:textAlignment w:val="center"/>
                    <w:rPr>
                      <w:color w:val="auto"/>
                      <w:szCs w:val="21"/>
                    </w:rPr>
                  </w:pPr>
                  <w:r>
                    <w:rPr>
                      <w:color w:val="auto"/>
                      <w:szCs w:val="21"/>
                    </w:rPr>
                    <w:t>无磷转化剂</w:t>
                  </w:r>
                  <w:r>
                    <w:rPr>
                      <w:rFonts w:hint="eastAsia"/>
                      <w:color w:val="auto"/>
                    </w:rPr>
                    <w:t>、硅烷转化剂</w:t>
                  </w:r>
                </w:p>
              </w:tc>
              <w:tc>
                <w:tcPr>
                  <w:tcW w:w="380" w:type="pct"/>
                  <w:vAlign w:val="center"/>
                </w:tcPr>
                <w:p>
                  <w:pPr>
                    <w:adjustRightInd w:val="0"/>
                    <w:snapToGrid w:val="0"/>
                    <w:jc w:val="center"/>
                    <w:rPr>
                      <w:color w:val="auto"/>
                      <w:kern w:val="0"/>
                      <w:szCs w:val="21"/>
                    </w:rPr>
                  </w:pPr>
                  <w:r>
                    <w:rPr>
                      <w:bCs/>
                      <w:color w:val="auto"/>
                    </w:rPr>
                    <w:t>每</w:t>
                  </w:r>
                  <w:r>
                    <w:rPr>
                      <w:rFonts w:hint="eastAsia"/>
                      <w:bCs/>
                      <w:color w:val="auto"/>
                    </w:rPr>
                    <w:t>20-50天</w:t>
                  </w:r>
                </w:p>
              </w:tc>
              <w:tc>
                <w:tcPr>
                  <w:tcW w:w="413" w:type="pct"/>
                  <w:vAlign w:val="center"/>
                </w:tcPr>
                <w:p>
                  <w:pPr>
                    <w:widowControl/>
                    <w:jc w:val="center"/>
                    <w:textAlignment w:val="center"/>
                    <w:rPr>
                      <w:snapToGrid w:val="0"/>
                      <w:color w:val="auto"/>
                      <w:szCs w:val="21"/>
                    </w:rPr>
                  </w:pPr>
                  <w:r>
                    <w:rPr>
                      <w:color w:val="auto"/>
                      <w:kern w:val="0"/>
                      <w:szCs w:val="21"/>
                      <w:lang w:bidi="ar"/>
                    </w:rPr>
                    <w:t>T</w:t>
                  </w:r>
                  <w:r>
                    <w:rPr>
                      <w:rFonts w:hint="eastAsia"/>
                      <w:color w:val="auto"/>
                      <w:kern w:val="0"/>
                      <w:szCs w:val="21"/>
                      <w:lang w:bidi="ar"/>
                    </w:rPr>
                    <w:t>/C</w:t>
                  </w:r>
                </w:p>
              </w:tc>
              <w:tc>
                <w:tcPr>
                  <w:tcW w:w="391" w:type="pct"/>
                  <w:vMerge w:val="continue"/>
                  <w:vAlign w:val="center"/>
                </w:tcPr>
                <w:p>
                  <w:pPr>
                    <w:topLinePunct/>
                    <w:adjustRightInd w:val="0"/>
                    <w:snapToGrid w:val="0"/>
                    <w:jc w:val="center"/>
                    <w:rPr>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 w:type="pct"/>
                  <w:vAlign w:val="center"/>
                </w:tcPr>
                <w:p>
                  <w:pPr>
                    <w:topLinePunct/>
                    <w:adjustRightInd w:val="0"/>
                    <w:snapToGrid w:val="0"/>
                    <w:jc w:val="center"/>
                    <w:rPr>
                      <w:color w:val="auto"/>
                      <w:kern w:val="0"/>
                      <w:szCs w:val="21"/>
                    </w:rPr>
                  </w:pPr>
                  <w:r>
                    <w:rPr>
                      <w:rFonts w:hint="eastAsia"/>
                      <w:color w:val="auto"/>
                      <w:kern w:val="0"/>
                      <w:szCs w:val="21"/>
                    </w:rPr>
                    <w:t>3</w:t>
                  </w:r>
                </w:p>
              </w:tc>
              <w:tc>
                <w:tcPr>
                  <w:tcW w:w="436" w:type="pct"/>
                  <w:vAlign w:val="center"/>
                </w:tcPr>
                <w:p>
                  <w:pPr>
                    <w:widowControl/>
                    <w:jc w:val="center"/>
                    <w:textAlignment w:val="center"/>
                    <w:rPr>
                      <w:color w:val="auto"/>
                      <w:szCs w:val="21"/>
                    </w:rPr>
                  </w:pPr>
                  <w:r>
                    <w:rPr>
                      <w:color w:val="auto"/>
                      <w:kern w:val="0"/>
                      <w:szCs w:val="21"/>
                      <w:lang w:bidi="ar"/>
                    </w:rPr>
                    <w:t>废包装桶</w:t>
                  </w:r>
                </w:p>
              </w:tc>
              <w:tc>
                <w:tcPr>
                  <w:tcW w:w="396" w:type="pct"/>
                  <w:vAlign w:val="center"/>
                </w:tcPr>
                <w:p>
                  <w:pPr>
                    <w:widowControl/>
                    <w:jc w:val="center"/>
                    <w:textAlignment w:val="center"/>
                    <w:rPr>
                      <w:color w:val="auto"/>
                      <w:szCs w:val="21"/>
                    </w:rPr>
                  </w:pPr>
                  <w:r>
                    <w:rPr>
                      <w:color w:val="auto"/>
                      <w:szCs w:val="21"/>
                    </w:rPr>
                    <w:t>HW49</w:t>
                  </w:r>
                </w:p>
              </w:tc>
              <w:tc>
                <w:tcPr>
                  <w:tcW w:w="507" w:type="pct"/>
                  <w:vAlign w:val="center"/>
                </w:tcPr>
                <w:p>
                  <w:pPr>
                    <w:widowControl/>
                    <w:jc w:val="center"/>
                    <w:textAlignment w:val="center"/>
                    <w:rPr>
                      <w:color w:val="auto"/>
                      <w:szCs w:val="21"/>
                    </w:rPr>
                  </w:pPr>
                  <w:r>
                    <w:rPr>
                      <w:color w:val="auto"/>
                      <w:szCs w:val="21"/>
                    </w:rPr>
                    <w:t>900-041-49</w:t>
                  </w:r>
                </w:p>
              </w:tc>
              <w:tc>
                <w:tcPr>
                  <w:tcW w:w="356" w:type="pct"/>
                  <w:vAlign w:val="center"/>
                </w:tcPr>
                <w:p>
                  <w:pPr>
                    <w:widowControl/>
                    <w:jc w:val="center"/>
                    <w:textAlignment w:val="center"/>
                    <w:rPr>
                      <w:color w:val="auto"/>
                      <w:kern w:val="0"/>
                      <w:szCs w:val="21"/>
                    </w:rPr>
                  </w:pPr>
                  <w:r>
                    <w:rPr>
                      <w:rFonts w:hint="eastAsia"/>
                      <w:color w:val="auto"/>
                      <w:szCs w:val="21"/>
                    </w:rPr>
                    <w:t>1</w:t>
                  </w:r>
                </w:p>
              </w:tc>
              <w:tc>
                <w:tcPr>
                  <w:tcW w:w="666" w:type="pct"/>
                  <w:vAlign w:val="center"/>
                </w:tcPr>
                <w:p>
                  <w:pPr>
                    <w:widowControl/>
                    <w:jc w:val="center"/>
                    <w:textAlignment w:val="center"/>
                    <w:rPr>
                      <w:color w:val="auto"/>
                      <w:kern w:val="0"/>
                      <w:szCs w:val="21"/>
                    </w:rPr>
                  </w:pPr>
                  <w:r>
                    <w:rPr>
                      <w:color w:val="auto"/>
                      <w:szCs w:val="21"/>
                    </w:rPr>
                    <w:t>脱脂剂、脱脂助剂、无磷转化液、硅烷化处理剂等使用过程会产生废包装桶</w:t>
                  </w:r>
                </w:p>
              </w:tc>
              <w:tc>
                <w:tcPr>
                  <w:tcW w:w="304" w:type="pct"/>
                  <w:vAlign w:val="center"/>
                </w:tcPr>
                <w:p>
                  <w:pPr>
                    <w:widowControl/>
                    <w:jc w:val="center"/>
                    <w:textAlignment w:val="center"/>
                    <w:rPr>
                      <w:color w:val="auto"/>
                      <w:kern w:val="0"/>
                      <w:szCs w:val="21"/>
                    </w:rPr>
                  </w:pPr>
                  <w:r>
                    <w:rPr>
                      <w:color w:val="auto"/>
                      <w:kern w:val="0"/>
                      <w:szCs w:val="21"/>
                      <w:lang w:bidi="ar"/>
                    </w:rPr>
                    <w:t>固态</w:t>
                  </w:r>
                </w:p>
              </w:tc>
              <w:tc>
                <w:tcPr>
                  <w:tcW w:w="474" w:type="pct"/>
                  <w:vAlign w:val="center"/>
                </w:tcPr>
                <w:p>
                  <w:pPr>
                    <w:widowControl/>
                    <w:jc w:val="center"/>
                    <w:textAlignment w:val="center"/>
                    <w:rPr>
                      <w:color w:val="auto"/>
                      <w:kern w:val="0"/>
                      <w:szCs w:val="21"/>
                    </w:rPr>
                  </w:pPr>
                  <w:r>
                    <w:rPr>
                      <w:color w:val="auto"/>
                      <w:szCs w:val="21"/>
                    </w:rPr>
                    <w:t>脂剂、脱脂助剂、无磷转化液、硅烷化处理剂等</w:t>
                  </w:r>
                </w:p>
              </w:tc>
              <w:tc>
                <w:tcPr>
                  <w:tcW w:w="504" w:type="pct"/>
                  <w:vAlign w:val="center"/>
                </w:tcPr>
                <w:p>
                  <w:pPr>
                    <w:widowControl/>
                    <w:jc w:val="center"/>
                    <w:textAlignment w:val="center"/>
                    <w:rPr>
                      <w:color w:val="auto"/>
                      <w:szCs w:val="21"/>
                    </w:rPr>
                  </w:pPr>
                  <w:r>
                    <w:rPr>
                      <w:color w:val="auto"/>
                      <w:szCs w:val="21"/>
                    </w:rPr>
                    <w:t>脂剂、脱脂助剂、无磷转化液、硅烷化处理剂等</w:t>
                  </w:r>
                </w:p>
              </w:tc>
              <w:tc>
                <w:tcPr>
                  <w:tcW w:w="380" w:type="pct"/>
                  <w:vAlign w:val="center"/>
                </w:tcPr>
                <w:p>
                  <w:pPr>
                    <w:adjustRightInd w:val="0"/>
                    <w:snapToGrid w:val="0"/>
                    <w:jc w:val="center"/>
                    <w:rPr>
                      <w:color w:val="auto"/>
                      <w:kern w:val="0"/>
                      <w:szCs w:val="21"/>
                    </w:rPr>
                  </w:pPr>
                  <w:r>
                    <w:rPr>
                      <w:bCs/>
                      <w:color w:val="auto"/>
                    </w:rPr>
                    <w:t>每月</w:t>
                  </w:r>
                </w:p>
              </w:tc>
              <w:tc>
                <w:tcPr>
                  <w:tcW w:w="413" w:type="pct"/>
                  <w:vAlign w:val="center"/>
                </w:tcPr>
                <w:p>
                  <w:pPr>
                    <w:widowControl/>
                    <w:jc w:val="center"/>
                    <w:textAlignment w:val="center"/>
                    <w:rPr>
                      <w:color w:val="auto"/>
                      <w:szCs w:val="21"/>
                    </w:rPr>
                  </w:pPr>
                  <w:r>
                    <w:rPr>
                      <w:color w:val="auto"/>
                      <w:kern w:val="0"/>
                      <w:szCs w:val="21"/>
                      <w:lang w:bidi="ar"/>
                    </w:rPr>
                    <w:t>T</w:t>
                  </w:r>
                  <w:r>
                    <w:rPr>
                      <w:rFonts w:hint="eastAsia"/>
                      <w:color w:val="auto"/>
                      <w:kern w:val="0"/>
                      <w:szCs w:val="21"/>
                      <w:lang w:bidi="ar"/>
                    </w:rPr>
                    <w:t>/C</w:t>
                  </w:r>
                </w:p>
              </w:tc>
              <w:tc>
                <w:tcPr>
                  <w:tcW w:w="391" w:type="pct"/>
                  <w:vMerge w:val="continue"/>
                  <w:vAlign w:val="center"/>
                </w:tcPr>
                <w:p>
                  <w:pPr>
                    <w:topLinePunct/>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 w:type="pct"/>
                  <w:vAlign w:val="center"/>
                </w:tcPr>
                <w:p>
                  <w:pPr>
                    <w:widowControl/>
                    <w:jc w:val="center"/>
                    <w:textAlignment w:val="center"/>
                    <w:rPr>
                      <w:color w:val="auto"/>
                      <w:kern w:val="0"/>
                      <w:szCs w:val="21"/>
                    </w:rPr>
                  </w:pPr>
                  <w:r>
                    <w:rPr>
                      <w:rFonts w:hint="eastAsia"/>
                      <w:color w:val="auto"/>
                      <w:kern w:val="0"/>
                      <w:szCs w:val="21"/>
                      <w:lang w:bidi="ar"/>
                    </w:rPr>
                    <w:t>4</w:t>
                  </w:r>
                </w:p>
              </w:tc>
              <w:tc>
                <w:tcPr>
                  <w:tcW w:w="436" w:type="pct"/>
                  <w:vAlign w:val="center"/>
                </w:tcPr>
                <w:p>
                  <w:pPr>
                    <w:widowControl/>
                    <w:jc w:val="center"/>
                    <w:textAlignment w:val="center"/>
                    <w:rPr>
                      <w:color w:val="auto"/>
                      <w:szCs w:val="21"/>
                    </w:rPr>
                  </w:pPr>
                  <w:r>
                    <w:rPr>
                      <w:color w:val="auto"/>
                      <w:szCs w:val="21"/>
                    </w:rPr>
                    <w:t>废活性炭</w:t>
                  </w:r>
                </w:p>
              </w:tc>
              <w:tc>
                <w:tcPr>
                  <w:tcW w:w="396" w:type="pct"/>
                  <w:vAlign w:val="center"/>
                </w:tcPr>
                <w:p>
                  <w:pPr>
                    <w:widowControl/>
                    <w:jc w:val="center"/>
                    <w:textAlignment w:val="center"/>
                    <w:rPr>
                      <w:color w:val="auto"/>
                      <w:szCs w:val="21"/>
                    </w:rPr>
                  </w:pPr>
                  <w:r>
                    <w:rPr>
                      <w:color w:val="auto"/>
                      <w:szCs w:val="21"/>
                    </w:rPr>
                    <w:t>HW49</w:t>
                  </w:r>
                </w:p>
              </w:tc>
              <w:tc>
                <w:tcPr>
                  <w:tcW w:w="507" w:type="pct"/>
                  <w:vAlign w:val="center"/>
                </w:tcPr>
                <w:p>
                  <w:pPr>
                    <w:widowControl/>
                    <w:jc w:val="center"/>
                    <w:textAlignment w:val="center"/>
                    <w:rPr>
                      <w:color w:val="auto"/>
                      <w:szCs w:val="21"/>
                    </w:rPr>
                  </w:pPr>
                  <w:r>
                    <w:rPr>
                      <w:color w:val="auto"/>
                      <w:szCs w:val="21"/>
                    </w:rPr>
                    <w:t>900-0</w:t>
                  </w:r>
                  <w:r>
                    <w:rPr>
                      <w:rFonts w:hint="eastAsia"/>
                      <w:color w:val="auto"/>
                      <w:szCs w:val="21"/>
                    </w:rPr>
                    <w:t>39</w:t>
                  </w:r>
                  <w:r>
                    <w:rPr>
                      <w:color w:val="auto"/>
                      <w:szCs w:val="21"/>
                    </w:rPr>
                    <w:t>-49</w:t>
                  </w:r>
                </w:p>
              </w:tc>
              <w:tc>
                <w:tcPr>
                  <w:tcW w:w="356" w:type="pct"/>
                  <w:vAlign w:val="center"/>
                </w:tcPr>
                <w:p>
                  <w:pPr>
                    <w:widowControl/>
                    <w:jc w:val="center"/>
                    <w:textAlignment w:val="center"/>
                    <w:rPr>
                      <w:color w:val="auto"/>
                      <w:kern w:val="0"/>
                      <w:szCs w:val="21"/>
                    </w:rPr>
                  </w:pPr>
                  <w:r>
                    <w:rPr>
                      <w:rFonts w:hint="eastAsia"/>
                      <w:color w:val="auto"/>
                      <w:kern w:val="0"/>
                      <w:szCs w:val="21"/>
                    </w:rPr>
                    <w:t>3.2617</w:t>
                  </w:r>
                </w:p>
              </w:tc>
              <w:tc>
                <w:tcPr>
                  <w:tcW w:w="666" w:type="pct"/>
                  <w:vAlign w:val="center"/>
                </w:tcPr>
                <w:p>
                  <w:pPr>
                    <w:widowControl/>
                    <w:jc w:val="center"/>
                    <w:textAlignment w:val="center"/>
                    <w:rPr>
                      <w:color w:val="auto"/>
                      <w:kern w:val="0"/>
                      <w:szCs w:val="21"/>
                    </w:rPr>
                  </w:pPr>
                  <w:r>
                    <w:rPr>
                      <w:color w:val="auto"/>
                      <w:szCs w:val="21"/>
                    </w:rPr>
                    <w:t>有机废气处理</w:t>
                  </w:r>
                </w:p>
              </w:tc>
              <w:tc>
                <w:tcPr>
                  <w:tcW w:w="304" w:type="pct"/>
                  <w:vAlign w:val="center"/>
                </w:tcPr>
                <w:p>
                  <w:pPr>
                    <w:widowControl/>
                    <w:jc w:val="center"/>
                    <w:textAlignment w:val="center"/>
                    <w:rPr>
                      <w:color w:val="auto"/>
                      <w:kern w:val="0"/>
                      <w:szCs w:val="21"/>
                    </w:rPr>
                  </w:pPr>
                  <w:r>
                    <w:rPr>
                      <w:color w:val="auto"/>
                      <w:kern w:val="0"/>
                      <w:szCs w:val="21"/>
                      <w:lang w:bidi="ar"/>
                    </w:rPr>
                    <w:t>固态</w:t>
                  </w:r>
                </w:p>
              </w:tc>
              <w:tc>
                <w:tcPr>
                  <w:tcW w:w="474" w:type="pct"/>
                  <w:vAlign w:val="center"/>
                </w:tcPr>
                <w:p>
                  <w:pPr>
                    <w:widowControl/>
                    <w:jc w:val="center"/>
                    <w:textAlignment w:val="center"/>
                    <w:rPr>
                      <w:color w:val="auto"/>
                      <w:szCs w:val="21"/>
                    </w:rPr>
                  </w:pPr>
                  <w:r>
                    <w:rPr>
                      <w:bCs/>
                      <w:color w:val="auto"/>
                      <w:szCs w:val="21"/>
                    </w:rPr>
                    <w:t>有机废气</w:t>
                  </w:r>
                </w:p>
              </w:tc>
              <w:tc>
                <w:tcPr>
                  <w:tcW w:w="504" w:type="pct"/>
                  <w:vAlign w:val="center"/>
                </w:tcPr>
                <w:p>
                  <w:pPr>
                    <w:widowControl/>
                    <w:jc w:val="center"/>
                    <w:textAlignment w:val="center"/>
                    <w:rPr>
                      <w:color w:val="auto"/>
                      <w:szCs w:val="21"/>
                    </w:rPr>
                  </w:pPr>
                  <w:r>
                    <w:rPr>
                      <w:bCs/>
                      <w:color w:val="auto"/>
                      <w:szCs w:val="21"/>
                    </w:rPr>
                    <w:t>有机废气</w:t>
                  </w:r>
                </w:p>
              </w:tc>
              <w:tc>
                <w:tcPr>
                  <w:tcW w:w="380" w:type="pct"/>
                  <w:vAlign w:val="center"/>
                </w:tcPr>
                <w:p>
                  <w:pPr>
                    <w:adjustRightInd w:val="0"/>
                    <w:snapToGrid w:val="0"/>
                    <w:jc w:val="center"/>
                    <w:rPr>
                      <w:color w:val="auto"/>
                      <w:kern w:val="0"/>
                      <w:szCs w:val="21"/>
                    </w:rPr>
                  </w:pPr>
                  <w:r>
                    <w:rPr>
                      <w:bCs/>
                      <w:color w:val="auto"/>
                    </w:rPr>
                    <w:t>每</w:t>
                  </w:r>
                  <w:r>
                    <w:rPr>
                      <w:rFonts w:hint="eastAsia"/>
                      <w:bCs/>
                      <w:color w:val="auto"/>
                    </w:rPr>
                    <w:t>季度</w:t>
                  </w:r>
                </w:p>
              </w:tc>
              <w:tc>
                <w:tcPr>
                  <w:tcW w:w="413" w:type="pct"/>
                  <w:vAlign w:val="center"/>
                </w:tcPr>
                <w:p>
                  <w:pPr>
                    <w:widowControl/>
                    <w:jc w:val="center"/>
                    <w:textAlignment w:val="center"/>
                    <w:rPr>
                      <w:color w:val="auto"/>
                      <w:szCs w:val="21"/>
                    </w:rPr>
                  </w:pPr>
                  <w:r>
                    <w:rPr>
                      <w:bCs/>
                      <w:color w:val="auto"/>
                      <w:szCs w:val="21"/>
                    </w:rPr>
                    <w:t>T</w:t>
                  </w:r>
                </w:p>
              </w:tc>
              <w:tc>
                <w:tcPr>
                  <w:tcW w:w="391" w:type="pct"/>
                  <w:vMerge w:val="continue"/>
                  <w:vAlign w:val="center"/>
                </w:tcPr>
                <w:p>
                  <w:pPr>
                    <w:topLinePunct/>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7" w:type="pct"/>
                  <w:vAlign w:val="center"/>
                </w:tcPr>
                <w:p>
                  <w:pPr>
                    <w:widowControl/>
                    <w:jc w:val="center"/>
                    <w:textAlignment w:val="center"/>
                    <w:rPr>
                      <w:color w:val="auto"/>
                      <w:kern w:val="0"/>
                      <w:szCs w:val="21"/>
                    </w:rPr>
                  </w:pPr>
                  <w:r>
                    <w:rPr>
                      <w:rFonts w:hint="eastAsia"/>
                      <w:color w:val="auto"/>
                      <w:kern w:val="0"/>
                      <w:szCs w:val="21"/>
                      <w:lang w:bidi="ar"/>
                    </w:rPr>
                    <w:t>5</w:t>
                  </w:r>
                </w:p>
              </w:tc>
              <w:tc>
                <w:tcPr>
                  <w:tcW w:w="436" w:type="pct"/>
                  <w:vAlign w:val="center"/>
                </w:tcPr>
                <w:p>
                  <w:pPr>
                    <w:widowControl/>
                    <w:jc w:val="center"/>
                    <w:textAlignment w:val="center"/>
                    <w:rPr>
                      <w:color w:val="auto"/>
                      <w:szCs w:val="21"/>
                    </w:rPr>
                  </w:pPr>
                  <w:r>
                    <w:rPr>
                      <w:color w:val="auto"/>
                      <w:kern w:val="0"/>
                      <w:szCs w:val="21"/>
                      <w:lang w:bidi="ar"/>
                    </w:rPr>
                    <w:t>废油</w:t>
                  </w:r>
                </w:p>
              </w:tc>
              <w:tc>
                <w:tcPr>
                  <w:tcW w:w="396" w:type="pct"/>
                  <w:vAlign w:val="center"/>
                </w:tcPr>
                <w:p>
                  <w:pPr>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HW08</w:t>
                  </w:r>
                </w:p>
              </w:tc>
              <w:tc>
                <w:tcPr>
                  <w:tcW w:w="507" w:type="pct"/>
                  <w:vAlign w:val="center"/>
                </w:tcPr>
                <w:p>
                  <w:pPr>
                    <w:jc w:val="center"/>
                    <w:textAlignment w:val="center"/>
                    <w:rPr>
                      <w:rFonts w:ascii="Times New Roman" w:hAnsi="Times New Roman" w:eastAsia="宋体" w:cs="Times New Roman"/>
                      <w:color w:val="auto"/>
                      <w:kern w:val="0"/>
                      <w:sz w:val="21"/>
                      <w:szCs w:val="21"/>
                      <w:lang w:val="en-US" w:eastAsia="zh-CN" w:bidi="ar"/>
                    </w:rPr>
                  </w:pPr>
                  <w:r>
                    <w:rPr>
                      <w:color w:val="auto"/>
                      <w:szCs w:val="21"/>
                      <w:shd w:val="clear" w:color="auto" w:fill="FFFFFF"/>
                    </w:rPr>
                    <w:t>900-2</w:t>
                  </w:r>
                  <w:r>
                    <w:rPr>
                      <w:rFonts w:hint="eastAsia"/>
                      <w:color w:val="auto"/>
                      <w:szCs w:val="21"/>
                      <w:shd w:val="clear" w:color="auto" w:fill="FFFFFF"/>
                      <w:lang w:val="en-US" w:eastAsia="zh-CN"/>
                    </w:rPr>
                    <w:t>49</w:t>
                  </w:r>
                  <w:r>
                    <w:rPr>
                      <w:color w:val="auto"/>
                      <w:szCs w:val="21"/>
                      <w:shd w:val="clear" w:color="auto" w:fill="FFFFFF"/>
                    </w:rPr>
                    <w:t>-08</w:t>
                  </w:r>
                </w:p>
              </w:tc>
              <w:tc>
                <w:tcPr>
                  <w:tcW w:w="356" w:type="pct"/>
                  <w:vAlign w:val="center"/>
                </w:tcPr>
                <w:p>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Cs w:val="21"/>
                      <w:lang w:bidi="ar"/>
                    </w:rPr>
                    <w:t>0.0</w:t>
                  </w:r>
                  <w:r>
                    <w:rPr>
                      <w:rFonts w:hint="eastAsia"/>
                      <w:color w:val="auto"/>
                      <w:kern w:val="0"/>
                      <w:szCs w:val="21"/>
                      <w:lang w:val="en-US" w:eastAsia="zh-CN" w:bidi="ar"/>
                    </w:rPr>
                    <w:t>6</w:t>
                  </w:r>
                </w:p>
              </w:tc>
              <w:tc>
                <w:tcPr>
                  <w:tcW w:w="666" w:type="pct"/>
                  <w:vAlign w:val="center"/>
                </w:tcPr>
                <w:p>
                  <w:pPr>
                    <w:widowControl/>
                    <w:jc w:val="center"/>
                    <w:textAlignment w:val="center"/>
                    <w:rPr>
                      <w:color w:val="auto"/>
                      <w:kern w:val="0"/>
                      <w:szCs w:val="21"/>
                    </w:rPr>
                  </w:pPr>
                  <w:r>
                    <w:rPr>
                      <w:color w:val="auto"/>
                      <w:szCs w:val="21"/>
                    </w:rPr>
                    <w:t>设备维护保养过程产生废液压油、废润滑油</w:t>
                  </w:r>
                </w:p>
              </w:tc>
              <w:tc>
                <w:tcPr>
                  <w:tcW w:w="304" w:type="pct"/>
                  <w:vAlign w:val="center"/>
                </w:tcPr>
                <w:p>
                  <w:pPr>
                    <w:widowControl/>
                    <w:jc w:val="center"/>
                    <w:textAlignment w:val="center"/>
                    <w:rPr>
                      <w:color w:val="auto"/>
                      <w:kern w:val="0"/>
                      <w:szCs w:val="21"/>
                    </w:rPr>
                  </w:pPr>
                  <w:r>
                    <w:rPr>
                      <w:color w:val="auto"/>
                      <w:kern w:val="0"/>
                      <w:szCs w:val="21"/>
                      <w:lang w:bidi="ar"/>
                    </w:rPr>
                    <w:t>液态</w:t>
                  </w:r>
                </w:p>
              </w:tc>
              <w:tc>
                <w:tcPr>
                  <w:tcW w:w="474" w:type="pct"/>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rFonts w:hint="eastAsia"/>
                      <w:color w:val="auto"/>
                      <w:kern w:val="0"/>
                      <w:szCs w:val="21"/>
                      <w:lang w:bidi="ar"/>
                    </w:rPr>
                    <w:t>油</w:t>
                  </w:r>
                </w:p>
              </w:tc>
              <w:tc>
                <w:tcPr>
                  <w:tcW w:w="504" w:type="pct"/>
                  <w:vAlign w:val="center"/>
                </w:tcPr>
                <w:p>
                  <w:pPr>
                    <w:jc w:val="center"/>
                    <w:textAlignment w:val="center"/>
                    <w:rPr>
                      <w:rFonts w:ascii="Times New Roman" w:hAnsi="Times New Roman" w:eastAsia="宋体" w:cs="Times New Roman"/>
                      <w:color w:val="auto"/>
                      <w:kern w:val="2"/>
                      <w:sz w:val="21"/>
                      <w:szCs w:val="24"/>
                      <w:lang w:val="en-US" w:eastAsia="zh-CN" w:bidi="ar-SA"/>
                    </w:rPr>
                  </w:pPr>
                  <w:r>
                    <w:rPr>
                      <w:color w:val="auto"/>
                      <w:kern w:val="0"/>
                      <w:szCs w:val="21"/>
                      <w:lang w:bidi="ar"/>
                    </w:rPr>
                    <w:t>油</w:t>
                  </w:r>
                </w:p>
              </w:tc>
              <w:tc>
                <w:tcPr>
                  <w:tcW w:w="380" w:type="pct"/>
                  <w:vAlign w:val="center"/>
                </w:tcPr>
                <w:p>
                  <w:pPr>
                    <w:adjustRightInd w:val="0"/>
                    <w:snapToGrid w:val="0"/>
                    <w:jc w:val="center"/>
                    <w:rPr>
                      <w:rFonts w:ascii="Times New Roman" w:hAnsi="Times New Roman" w:eastAsia="宋体" w:cs="Times New Roman"/>
                      <w:bCs/>
                      <w:color w:val="auto"/>
                      <w:kern w:val="2"/>
                      <w:sz w:val="21"/>
                      <w:szCs w:val="24"/>
                      <w:lang w:val="en-US" w:eastAsia="zh-CN" w:bidi="ar-SA"/>
                    </w:rPr>
                  </w:pPr>
                  <w:r>
                    <w:rPr>
                      <w:bCs/>
                      <w:color w:val="auto"/>
                    </w:rPr>
                    <w:t>每</w:t>
                  </w:r>
                  <w:r>
                    <w:rPr>
                      <w:rFonts w:hint="eastAsia"/>
                      <w:bCs/>
                      <w:color w:val="auto"/>
                    </w:rPr>
                    <w:t>年</w:t>
                  </w:r>
                </w:p>
              </w:tc>
              <w:tc>
                <w:tcPr>
                  <w:tcW w:w="413" w:type="pct"/>
                  <w:vAlign w:val="center"/>
                </w:tcPr>
                <w:p>
                  <w:pPr>
                    <w:widowControl/>
                    <w:jc w:val="center"/>
                    <w:textAlignment w:val="center"/>
                    <w:rPr>
                      <w:rFonts w:ascii="Times New Roman" w:hAnsi="Times New Roman" w:eastAsia="宋体" w:cs="Times New Roman"/>
                      <w:color w:val="auto"/>
                      <w:kern w:val="0"/>
                      <w:sz w:val="21"/>
                      <w:szCs w:val="21"/>
                      <w:lang w:val="en-US" w:eastAsia="zh-CN" w:bidi="ar"/>
                    </w:rPr>
                  </w:pPr>
                  <w:r>
                    <w:rPr>
                      <w:color w:val="auto"/>
                      <w:kern w:val="0"/>
                      <w:szCs w:val="21"/>
                      <w:lang w:bidi="ar"/>
                    </w:rPr>
                    <w:t>T，I</w:t>
                  </w:r>
                </w:p>
              </w:tc>
              <w:tc>
                <w:tcPr>
                  <w:tcW w:w="391" w:type="pct"/>
                  <w:vMerge w:val="continue"/>
                  <w:vAlign w:val="center"/>
                </w:tcPr>
                <w:p>
                  <w:pPr>
                    <w:topLinePunct/>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7" w:type="pct"/>
                  <w:vAlign w:val="center"/>
                </w:tcPr>
                <w:p>
                  <w:pPr>
                    <w:widowControl/>
                    <w:jc w:val="center"/>
                    <w:textAlignment w:val="center"/>
                    <w:rPr>
                      <w:color w:val="auto"/>
                      <w:kern w:val="0"/>
                      <w:szCs w:val="21"/>
                      <w:lang w:bidi="ar"/>
                    </w:rPr>
                  </w:pPr>
                  <w:r>
                    <w:rPr>
                      <w:rFonts w:hint="eastAsia"/>
                      <w:color w:val="auto"/>
                      <w:kern w:val="0"/>
                      <w:szCs w:val="21"/>
                      <w:lang w:bidi="ar"/>
                    </w:rPr>
                    <w:t>6</w:t>
                  </w:r>
                </w:p>
              </w:tc>
              <w:tc>
                <w:tcPr>
                  <w:tcW w:w="436" w:type="pct"/>
                  <w:vAlign w:val="center"/>
                </w:tcPr>
                <w:p>
                  <w:pPr>
                    <w:widowControl/>
                    <w:jc w:val="center"/>
                    <w:textAlignment w:val="center"/>
                    <w:rPr>
                      <w:color w:val="auto"/>
                      <w:szCs w:val="21"/>
                    </w:rPr>
                  </w:pPr>
                  <w:r>
                    <w:rPr>
                      <w:color w:val="auto"/>
                      <w:szCs w:val="21"/>
                    </w:rPr>
                    <w:t>含油废抹布手套</w:t>
                  </w:r>
                </w:p>
              </w:tc>
              <w:tc>
                <w:tcPr>
                  <w:tcW w:w="396" w:type="pct"/>
                  <w:vAlign w:val="center"/>
                </w:tcPr>
                <w:p>
                  <w:pPr>
                    <w:widowControl/>
                    <w:jc w:val="center"/>
                    <w:textAlignment w:val="center"/>
                    <w:rPr>
                      <w:color w:val="auto"/>
                      <w:szCs w:val="21"/>
                    </w:rPr>
                  </w:pPr>
                  <w:r>
                    <w:rPr>
                      <w:color w:val="auto"/>
                      <w:szCs w:val="21"/>
                    </w:rPr>
                    <w:t>HW49</w:t>
                  </w:r>
                </w:p>
              </w:tc>
              <w:tc>
                <w:tcPr>
                  <w:tcW w:w="507" w:type="pct"/>
                  <w:vAlign w:val="center"/>
                </w:tcPr>
                <w:p>
                  <w:pPr>
                    <w:widowControl/>
                    <w:jc w:val="center"/>
                    <w:textAlignment w:val="center"/>
                    <w:rPr>
                      <w:color w:val="auto"/>
                      <w:szCs w:val="21"/>
                    </w:rPr>
                  </w:pPr>
                  <w:r>
                    <w:rPr>
                      <w:color w:val="auto"/>
                      <w:szCs w:val="21"/>
                    </w:rPr>
                    <w:t>900-041-49</w:t>
                  </w:r>
                </w:p>
              </w:tc>
              <w:tc>
                <w:tcPr>
                  <w:tcW w:w="356" w:type="pct"/>
                  <w:vAlign w:val="center"/>
                </w:tcPr>
                <w:p>
                  <w:pPr>
                    <w:widowControl/>
                    <w:jc w:val="center"/>
                    <w:textAlignment w:val="center"/>
                    <w:rPr>
                      <w:color w:val="auto"/>
                      <w:kern w:val="0"/>
                      <w:szCs w:val="21"/>
                    </w:rPr>
                  </w:pPr>
                  <w:r>
                    <w:rPr>
                      <w:rFonts w:hint="eastAsia"/>
                      <w:color w:val="auto"/>
                      <w:kern w:val="0"/>
                      <w:szCs w:val="21"/>
                    </w:rPr>
                    <w:t>1</w:t>
                  </w:r>
                </w:p>
              </w:tc>
              <w:tc>
                <w:tcPr>
                  <w:tcW w:w="666" w:type="pct"/>
                  <w:vAlign w:val="center"/>
                </w:tcPr>
                <w:p>
                  <w:pPr>
                    <w:widowControl/>
                    <w:jc w:val="center"/>
                    <w:textAlignment w:val="center"/>
                    <w:rPr>
                      <w:color w:val="auto"/>
                      <w:kern w:val="0"/>
                      <w:szCs w:val="21"/>
                      <w:lang w:bidi="ar"/>
                    </w:rPr>
                  </w:pPr>
                  <w:r>
                    <w:rPr>
                      <w:color w:val="auto"/>
                      <w:kern w:val="0"/>
                      <w:szCs w:val="21"/>
                      <w:lang w:bidi="ar"/>
                    </w:rPr>
                    <w:t>生产过程、维护保养过程</w:t>
                  </w:r>
                </w:p>
              </w:tc>
              <w:tc>
                <w:tcPr>
                  <w:tcW w:w="304" w:type="pct"/>
                  <w:vAlign w:val="center"/>
                </w:tcPr>
                <w:p>
                  <w:pPr>
                    <w:widowControl/>
                    <w:jc w:val="center"/>
                    <w:textAlignment w:val="center"/>
                    <w:rPr>
                      <w:color w:val="auto"/>
                      <w:kern w:val="0"/>
                      <w:szCs w:val="21"/>
                      <w:lang w:bidi="ar"/>
                    </w:rPr>
                  </w:pPr>
                  <w:r>
                    <w:rPr>
                      <w:color w:val="auto"/>
                      <w:kern w:val="0"/>
                      <w:szCs w:val="21"/>
                      <w:lang w:bidi="ar"/>
                    </w:rPr>
                    <w:t>固态</w:t>
                  </w:r>
                </w:p>
              </w:tc>
              <w:tc>
                <w:tcPr>
                  <w:tcW w:w="474" w:type="pct"/>
                  <w:vAlign w:val="center"/>
                </w:tcPr>
                <w:p>
                  <w:pPr>
                    <w:widowControl/>
                    <w:jc w:val="center"/>
                    <w:textAlignment w:val="center"/>
                    <w:rPr>
                      <w:color w:val="auto"/>
                      <w:kern w:val="0"/>
                      <w:szCs w:val="21"/>
                      <w:lang w:bidi="ar"/>
                    </w:rPr>
                  </w:pPr>
                  <w:r>
                    <w:rPr>
                      <w:color w:val="auto"/>
                      <w:kern w:val="0"/>
                      <w:szCs w:val="21"/>
                      <w:lang w:bidi="ar"/>
                    </w:rPr>
                    <w:t>油</w:t>
                  </w:r>
                </w:p>
              </w:tc>
              <w:tc>
                <w:tcPr>
                  <w:tcW w:w="504" w:type="pct"/>
                  <w:vAlign w:val="center"/>
                </w:tcPr>
                <w:p>
                  <w:pPr>
                    <w:widowControl/>
                    <w:jc w:val="center"/>
                    <w:textAlignment w:val="center"/>
                    <w:rPr>
                      <w:color w:val="auto"/>
                      <w:szCs w:val="21"/>
                    </w:rPr>
                  </w:pPr>
                  <w:r>
                    <w:rPr>
                      <w:color w:val="auto"/>
                      <w:kern w:val="0"/>
                      <w:szCs w:val="21"/>
                      <w:lang w:bidi="ar"/>
                    </w:rPr>
                    <w:t>油</w:t>
                  </w:r>
                </w:p>
              </w:tc>
              <w:tc>
                <w:tcPr>
                  <w:tcW w:w="380" w:type="pct"/>
                  <w:vAlign w:val="center"/>
                </w:tcPr>
                <w:p>
                  <w:pPr>
                    <w:adjustRightInd w:val="0"/>
                    <w:snapToGrid w:val="0"/>
                    <w:jc w:val="center"/>
                    <w:rPr>
                      <w:bCs/>
                      <w:color w:val="auto"/>
                    </w:rPr>
                  </w:pPr>
                  <w:r>
                    <w:rPr>
                      <w:bCs/>
                      <w:color w:val="auto"/>
                    </w:rPr>
                    <w:t>每月</w:t>
                  </w:r>
                </w:p>
              </w:tc>
              <w:tc>
                <w:tcPr>
                  <w:tcW w:w="413" w:type="pct"/>
                  <w:vAlign w:val="center"/>
                </w:tcPr>
                <w:p>
                  <w:pPr>
                    <w:widowControl/>
                    <w:jc w:val="center"/>
                    <w:textAlignment w:val="center"/>
                    <w:rPr>
                      <w:bCs/>
                      <w:color w:val="auto"/>
                      <w:szCs w:val="21"/>
                    </w:rPr>
                  </w:pPr>
                  <w:r>
                    <w:rPr>
                      <w:bCs/>
                      <w:color w:val="auto"/>
                      <w:szCs w:val="21"/>
                    </w:rPr>
                    <w:t>T/In</w:t>
                  </w:r>
                </w:p>
              </w:tc>
              <w:tc>
                <w:tcPr>
                  <w:tcW w:w="391" w:type="pct"/>
                  <w:vMerge w:val="continue"/>
                  <w:vAlign w:val="center"/>
                </w:tcPr>
                <w:p>
                  <w:pPr>
                    <w:topLinePunct/>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7" w:type="pct"/>
                  <w:vAlign w:val="center"/>
                </w:tcPr>
                <w:p>
                  <w:pPr>
                    <w:widowControl/>
                    <w:jc w:val="center"/>
                    <w:textAlignment w:val="center"/>
                    <w:rPr>
                      <w:color w:val="auto"/>
                      <w:kern w:val="0"/>
                      <w:szCs w:val="21"/>
                    </w:rPr>
                  </w:pPr>
                  <w:r>
                    <w:rPr>
                      <w:rFonts w:hint="eastAsia"/>
                      <w:color w:val="auto"/>
                      <w:kern w:val="0"/>
                      <w:szCs w:val="21"/>
                      <w:lang w:bidi="ar"/>
                    </w:rPr>
                    <w:t>7</w:t>
                  </w:r>
                </w:p>
              </w:tc>
              <w:tc>
                <w:tcPr>
                  <w:tcW w:w="436" w:type="pct"/>
                  <w:vAlign w:val="center"/>
                </w:tcPr>
                <w:p>
                  <w:pPr>
                    <w:widowControl/>
                    <w:jc w:val="center"/>
                    <w:textAlignment w:val="center"/>
                    <w:rPr>
                      <w:color w:val="auto"/>
                      <w:szCs w:val="21"/>
                    </w:rPr>
                  </w:pPr>
                  <w:r>
                    <w:rPr>
                      <w:color w:val="auto"/>
                      <w:szCs w:val="21"/>
                    </w:rPr>
                    <w:t>废油类包装桶</w:t>
                  </w:r>
                </w:p>
              </w:tc>
              <w:tc>
                <w:tcPr>
                  <w:tcW w:w="396" w:type="pct"/>
                  <w:vAlign w:val="center"/>
                </w:tcPr>
                <w:p>
                  <w:pPr>
                    <w:widowControl/>
                    <w:jc w:val="center"/>
                    <w:textAlignment w:val="center"/>
                    <w:rPr>
                      <w:color w:val="auto"/>
                      <w:szCs w:val="21"/>
                    </w:rPr>
                  </w:pPr>
                  <w:r>
                    <w:rPr>
                      <w:color w:val="auto"/>
                      <w:kern w:val="0"/>
                      <w:szCs w:val="21"/>
                      <w:lang w:bidi="ar"/>
                    </w:rPr>
                    <w:t>HW08</w:t>
                  </w:r>
                </w:p>
              </w:tc>
              <w:tc>
                <w:tcPr>
                  <w:tcW w:w="507" w:type="pct"/>
                  <w:vAlign w:val="center"/>
                </w:tcPr>
                <w:p>
                  <w:pPr>
                    <w:widowControl/>
                    <w:jc w:val="center"/>
                    <w:textAlignment w:val="center"/>
                    <w:rPr>
                      <w:color w:val="auto"/>
                      <w:szCs w:val="21"/>
                    </w:rPr>
                  </w:pPr>
                  <w:r>
                    <w:rPr>
                      <w:color w:val="auto"/>
                      <w:kern w:val="0"/>
                      <w:szCs w:val="21"/>
                      <w:lang w:bidi="ar"/>
                    </w:rPr>
                    <w:t>900-249-08</w:t>
                  </w:r>
                </w:p>
              </w:tc>
              <w:tc>
                <w:tcPr>
                  <w:tcW w:w="356" w:type="pct"/>
                  <w:vAlign w:val="center"/>
                </w:tcPr>
                <w:p>
                  <w:pPr>
                    <w:widowControl/>
                    <w:jc w:val="center"/>
                    <w:textAlignment w:val="center"/>
                    <w:rPr>
                      <w:color w:val="auto"/>
                      <w:kern w:val="0"/>
                      <w:szCs w:val="21"/>
                    </w:rPr>
                  </w:pPr>
                  <w:r>
                    <w:rPr>
                      <w:rFonts w:hint="eastAsia"/>
                      <w:color w:val="auto"/>
                      <w:kern w:val="0"/>
                      <w:szCs w:val="21"/>
                    </w:rPr>
                    <w:t>1</w:t>
                  </w:r>
                </w:p>
              </w:tc>
              <w:tc>
                <w:tcPr>
                  <w:tcW w:w="666" w:type="pct"/>
                  <w:vAlign w:val="center"/>
                </w:tcPr>
                <w:p>
                  <w:pPr>
                    <w:widowControl/>
                    <w:jc w:val="center"/>
                    <w:textAlignment w:val="center"/>
                    <w:rPr>
                      <w:bCs/>
                      <w:color w:val="auto"/>
                      <w:szCs w:val="21"/>
                    </w:rPr>
                  </w:pPr>
                  <w:r>
                    <w:rPr>
                      <w:color w:val="auto"/>
                      <w:kern w:val="0"/>
                      <w:szCs w:val="21"/>
                      <w:lang w:bidi="ar"/>
                    </w:rPr>
                    <w:t>原料使用</w:t>
                  </w:r>
                </w:p>
              </w:tc>
              <w:tc>
                <w:tcPr>
                  <w:tcW w:w="304" w:type="pct"/>
                  <w:vAlign w:val="center"/>
                </w:tcPr>
                <w:p>
                  <w:pPr>
                    <w:widowControl/>
                    <w:jc w:val="center"/>
                    <w:textAlignment w:val="center"/>
                    <w:rPr>
                      <w:bCs/>
                      <w:color w:val="auto"/>
                      <w:szCs w:val="21"/>
                    </w:rPr>
                  </w:pPr>
                  <w:r>
                    <w:rPr>
                      <w:color w:val="auto"/>
                      <w:kern w:val="0"/>
                      <w:szCs w:val="21"/>
                      <w:lang w:bidi="ar"/>
                    </w:rPr>
                    <w:t>固态</w:t>
                  </w:r>
                </w:p>
              </w:tc>
              <w:tc>
                <w:tcPr>
                  <w:tcW w:w="474" w:type="pct"/>
                  <w:vAlign w:val="center"/>
                </w:tcPr>
                <w:p>
                  <w:pPr>
                    <w:widowControl/>
                    <w:jc w:val="center"/>
                    <w:textAlignment w:val="center"/>
                    <w:rPr>
                      <w:bCs/>
                      <w:color w:val="auto"/>
                      <w:szCs w:val="21"/>
                    </w:rPr>
                  </w:pPr>
                  <w:r>
                    <w:rPr>
                      <w:color w:val="auto"/>
                      <w:kern w:val="0"/>
                      <w:szCs w:val="21"/>
                      <w:lang w:bidi="ar"/>
                    </w:rPr>
                    <w:t>油</w:t>
                  </w:r>
                </w:p>
              </w:tc>
              <w:tc>
                <w:tcPr>
                  <w:tcW w:w="504" w:type="pct"/>
                  <w:vAlign w:val="center"/>
                </w:tcPr>
                <w:p>
                  <w:pPr>
                    <w:widowControl/>
                    <w:jc w:val="center"/>
                    <w:textAlignment w:val="center"/>
                    <w:rPr>
                      <w:color w:val="auto"/>
                      <w:szCs w:val="21"/>
                    </w:rPr>
                  </w:pPr>
                  <w:r>
                    <w:rPr>
                      <w:color w:val="auto"/>
                      <w:kern w:val="0"/>
                      <w:szCs w:val="21"/>
                      <w:lang w:bidi="ar"/>
                    </w:rPr>
                    <w:t>油</w:t>
                  </w:r>
                </w:p>
              </w:tc>
              <w:tc>
                <w:tcPr>
                  <w:tcW w:w="380" w:type="pct"/>
                  <w:vAlign w:val="center"/>
                </w:tcPr>
                <w:p>
                  <w:pPr>
                    <w:adjustRightInd w:val="0"/>
                    <w:snapToGrid w:val="0"/>
                    <w:jc w:val="center"/>
                    <w:rPr>
                      <w:color w:val="auto"/>
                      <w:kern w:val="0"/>
                      <w:szCs w:val="21"/>
                    </w:rPr>
                  </w:pPr>
                  <w:r>
                    <w:rPr>
                      <w:bCs/>
                      <w:color w:val="auto"/>
                    </w:rPr>
                    <w:t>每</w:t>
                  </w:r>
                  <w:r>
                    <w:rPr>
                      <w:rFonts w:hint="eastAsia"/>
                      <w:bCs/>
                      <w:color w:val="auto"/>
                    </w:rPr>
                    <w:t>季度</w:t>
                  </w:r>
                </w:p>
              </w:tc>
              <w:tc>
                <w:tcPr>
                  <w:tcW w:w="413" w:type="pct"/>
                  <w:vAlign w:val="center"/>
                </w:tcPr>
                <w:p>
                  <w:pPr>
                    <w:widowControl/>
                    <w:jc w:val="center"/>
                    <w:textAlignment w:val="center"/>
                    <w:rPr>
                      <w:color w:val="auto"/>
                      <w:szCs w:val="21"/>
                    </w:rPr>
                  </w:pPr>
                  <w:r>
                    <w:rPr>
                      <w:color w:val="auto"/>
                      <w:kern w:val="0"/>
                      <w:szCs w:val="21"/>
                      <w:lang w:bidi="ar"/>
                    </w:rPr>
                    <w:t>T，I</w:t>
                  </w:r>
                </w:p>
              </w:tc>
              <w:tc>
                <w:tcPr>
                  <w:tcW w:w="391" w:type="pct"/>
                  <w:vMerge w:val="continue"/>
                  <w:vAlign w:val="center"/>
                </w:tcPr>
                <w:p>
                  <w:pPr>
                    <w:topLinePunct/>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67" w:type="pct"/>
                  <w:vAlign w:val="center"/>
                </w:tcPr>
                <w:p>
                  <w:pPr>
                    <w:widowControl/>
                    <w:jc w:val="center"/>
                    <w:textAlignment w:val="center"/>
                    <w:rPr>
                      <w:color w:val="auto"/>
                      <w:kern w:val="0"/>
                      <w:szCs w:val="21"/>
                    </w:rPr>
                  </w:pPr>
                  <w:r>
                    <w:rPr>
                      <w:rFonts w:hint="eastAsia"/>
                      <w:color w:val="auto"/>
                      <w:kern w:val="0"/>
                      <w:szCs w:val="21"/>
                      <w:lang w:bidi="ar"/>
                    </w:rPr>
                    <w:t>8</w:t>
                  </w:r>
                </w:p>
              </w:tc>
              <w:tc>
                <w:tcPr>
                  <w:tcW w:w="436" w:type="pct"/>
                  <w:vAlign w:val="center"/>
                </w:tcPr>
                <w:p>
                  <w:pPr>
                    <w:widowControl/>
                    <w:jc w:val="center"/>
                    <w:textAlignment w:val="center"/>
                    <w:rPr>
                      <w:color w:val="auto"/>
                      <w:szCs w:val="21"/>
                    </w:rPr>
                  </w:pPr>
                  <w:r>
                    <w:rPr>
                      <w:color w:val="auto"/>
                      <w:szCs w:val="21"/>
                    </w:rPr>
                    <w:t>压滤污泥</w:t>
                  </w:r>
                </w:p>
              </w:tc>
              <w:tc>
                <w:tcPr>
                  <w:tcW w:w="396" w:type="pct"/>
                  <w:vAlign w:val="center"/>
                </w:tcPr>
                <w:p>
                  <w:pPr>
                    <w:widowControl/>
                    <w:jc w:val="center"/>
                    <w:textAlignment w:val="center"/>
                    <w:rPr>
                      <w:color w:val="auto"/>
                      <w:szCs w:val="21"/>
                    </w:rPr>
                  </w:pPr>
                  <w:r>
                    <w:rPr>
                      <w:color w:val="auto"/>
                      <w:kern w:val="0"/>
                      <w:szCs w:val="21"/>
                      <w:lang w:bidi="ar"/>
                    </w:rPr>
                    <w:t>HW17</w:t>
                  </w:r>
                </w:p>
              </w:tc>
              <w:tc>
                <w:tcPr>
                  <w:tcW w:w="507" w:type="pct"/>
                  <w:vAlign w:val="center"/>
                </w:tcPr>
                <w:p>
                  <w:pPr>
                    <w:widowControl/>
                    <w:jc w:val="center"/>
                    <w:textAlignment w:val="center"/>
                    <w:rPr>
                      <w:bCs/>
                      <w:color w:val="auto"/>
                      <w:szCs w:val="21"/>
                    </w:rPr>
                  </w:pPr>
                  <w:r>
                    <w:rPr>
                      <w:color w:val="auto"/>
                      <w:kern w:val="0"/>
                      <w:szCs w:val="21"/>
                      <w:lang w:bidi="ar"/>
                    </w:rPr>
                    <w:t>336-064-17</w:t>
                  </w:r>
                </w:p>
              </w:tc>
              <w:tc>
                <w:tcPr>
                  <w:tcW w:w="356" w:type="pct"/>
                  <w:vAlign w:val="center"/>
                </w:tcPr>
                <w:p>
                  <w:pPr>
                    <w:widowControl/>
                    <w:jc w:val="center"/>
                    <w:textAlignment w:val="center"/>
                    <w:rPr>
                      <w:color w:val="auto"/>
                      <w:szCs w:val="21"/>
                    </w:rPr>
                  </w:pPr>
                  <w:r>
                    <w:rPr>
                      <w:rFonts w:hint="eastAsia"/>
                      <w:color w:val="auto"/>
                      <w:szCs w:val="21"/>
                    </w:rPr>
                    <w:t>55</w:t>
                  </w:r>
                </w:p>
              </w:tc>
              <w:tc>
                <w:tcPr>
                  <w:tcW w:w="666" w:type="pct"/>
                  <w:vMerge w:val="restart"/>
                  <w:vAlign w:val="center"/>
                </w:tcPr>
                <w:p>
                  <w:pPr>
                    <w:widowControl/>
                    <w:jc w:val="center"/>
                    <w:textAlignment w:val="center"/>
                    <w:rPr>
                      <w:color w:val="auto"/>
                    </w:rPr>
                  </w:pPr>
                  <w:r>
                    <w:rPr>
                      <w:color w:val="auto"/>
                      <w:szCs w:val="21"/>
                    </w:rPr>
                    <w:t>污水处理过程</w:t>
                  </w:r>
                </w:p>
              </w:tc>
              <w:tc>
                <w:tcPr>
                  <w:tcW w:w="304" w:type="pct"/>
                  <w:vAlign w:val="center"/>
                </w:tcPr>
                <w:p>
                  <w:pPr>
                    <w:widowControl/>
                    <w:jc w:val="center"/>
                    <w:textAlignment w:val="center"/>
                    <w:rPr>
                      <w:color w:val="auto"/>
                    </w:rPr>
                  </w:pPr>
                  <w:r>
                    <w:rPr>
                      <w:color w:val="auto"/>
                      <w:szCs w:val="21"/>
                    </w:rPr>
                    <w:t>固态</w:t>
                  </w:r>
                </w:p>
              </w:tc>
              <w:tc>
                <w:tcPr>
                  <w:tcW w:w="474" w:type="pct"/>
                  <w:vMerge w:val="restart"/>
                  <w:vAlign w:val="center"/>
                </w:tcPr>
                <w:p>
                  <w:pPr>
                    <w:widowControl/>
                    <w:jc w:val="center"/>
                    <w:textAlignment w:val="center"/>
                    <w:rPr>
                      <w:color w:val="auto"/>
                      <w:szCs w:val="21"/>
                    </w:rPr>
                  </w:pPr>
                  <w:r>
                    <w:rPr>
                      <w:color w:val="auto"/>
                      <w:szCs w:val="21"/>
                    </w:rPr>
                    <w:t>脱脂剂、脱脂助剂、无磷转化剂、</w:t>
                  </w:r>
                  <w:r>
                    <w:rPr>
                      <w:bCs/>
                      <w:color w:val="auto"/>
                      <w:szCs w:val="21"/>
                    </w:rPr>
                    <w:t>硅烷转化剂</w:t>
                  </w:r>
                </w:p>
              </w:tc>
              <w:tc>
                <w:tcPr>
                  <w:tcW w:w="504" w:type="pct"/>
                  <w:vMerge w:val="restart"/>
                  <w:vAlign w:val="center"/>
                </w:tcPr>
                <w:p>
                  <w:pPr>
                    <w:widowControl/>
                    <w:jc w:val="center"/>
                    <w:textAlignment w:val="center"/>
                    <w:rPr>
                      <w:color w:val="auto"/>
                    </w:rPr>
                  </w:pPr>
                  <w:r>
                    <w:rPr>
                      <w:color w:val="auto"/>
                      <w:szCs w:val="21"/>
                    </w:rPr>
                    <w:t>脱脂剂、脱脂助剂、无磷转化剂、</w:t>
                  </w:r>
                  <w:r>
                    <w:rPr>
                      <w:bCs/>
                      <w:color w:val="auto"/>
                      <w:szCs w:val="21"/>
                    </w:rPr>
                    <w:t>硅烷转化剂</w:t>
                  </w:r>
                </w:p>
              </w:tc>
              <w:tc>
                <w:tcPr>
                  <w:tcW w:w="380" w:type="pct"/>
                  <w:vAlign w:val="center"/>
                </w:tcPr>
                <w:p>
                  <w:pPr>
                    <w:adjustRightInd w:val="0"/>
                    <w:snapToGrid w:val="0"/>
                    <w:jc w:val="center"/>
                    <w:rPr>
                      <w:bCs/>
                      <w:color w:val="auto"/>
                    </w:rPr>
                  </w:pPr>
                  <w:r>
                    <w:rPr>
                      <w:rFonts w:hint="eastAsia"/>
                      <w:bCs/>
                      <w:color w:val="auto"/>
                    </w:rPr>
                    <w:t>每月</w:t>
                  </w:r>
                </w:p>
              </w:tc>
              <w:tc>
                <w:tcPr>
                  <w:tcW w:w="413" w:type="pct"/>
                  <w:vAlign w:val="center"/>
                </w:tcPr>
                <w:p>
                  <w:pPr>
                    <w:widowControl/>
                    <w:jc w:val="center"/>
                    <w:textAlignment w:val="center"/>
                    <w:rPr>
                      <w:snapToGrid w:val="0"/>
                      <w:color w:val="auto"/>
                    </w:rPr>
                  </w:pPr>
                  <w:r>
                    <w:rPr>
                      <w:color w:val="auto"/>
                      <w:kern w:val="0"/>
                      <w:szCs w:val="21"/>
                      <w:lang w:bidi="ar"/>
                    </w:rPr>
                    <w:t>T</w:t>
                  </w:r>
                  <w:r>
                    <w:rPr>
                      <w:rFonts w:hint="eastAsia"/>
                      <w:color w:val="auto"/>
                      <w:kern w:val="0"/>
                      <w:szCs w:val="21"/>
                      <w:lang w:bidi="ar"/>
                    </w:rPr>
                    <w:t>/C</w:t>
                  </w:r>
                </w:p>
              </w:tc>
              <w:tc>
                <w:tcPr>
                  <w:tcW w:w="391" w:type="pct"/>
                  <w:vMerge w:val="continue"/>
                  <w:vAlign w:val="center"/>
                </w:tcPr>
                <w:p>
                  <w:pPr>
                    <w:topLinePunct/>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 w:type="pct"/>
                  <w:vAlign w:val="center"/>
                </w:tcPr>
                <w:p>
                  <w:pPr>
                    <w:widowControl/>
                    <w:jc w:val="center"/>
                    <w:textAlignment w:val="center"/>
                    <w:rPr>
                      <w:color w:val="auto"/>
                      <w:kern w:val="0"/>
                      <w:szCs w:val="21"/>
                    </w:rPr>
                  </w:pPr>
                  <w:r>
                    <w:rPr>
                      <w:rFonts w:hint="eastAsia"/>
                      <w:color w:val="auto"/>
                      <w:kern w:val="0"/>
                      <w:szCs w:val="21"/>
                      <w:lang w:bidi="ar"/>
                    </w:rPr>
                    <w:t>9</w:t>
                  </w:r>
                </w:p>
              </w:tc>
              <w:tc>
                <w:tcPr>
                  <w:tcW w:w="436" w:type="pct"/>
                  <w:vAlign w:val="center"/>
                </w:tcPr>
                <w:p>
                  <w:pPr>
                    <w:widowControl/>
                    <w:jc w:val="center"/>
                    <w:textAlignment w:val="center"/>
                    <w:rPr>
                      <w:color w:val="auto"/>
                      <w:szCs w:val="21"/>
                    </w:rPr>
                  </w:pPr>
                  <w:r>
                    <w:rPr>
                      <w:color w:val="auto"/>
                      <w:szCs w:val="21"/>
                    </w:rPr>
                    <w:t>浓缩蒸发液</w:t>
                  </w:r>
                </w:p>
              </w:tc>
              <w:tc>
                <w:tcPr>
                  <w:tcW w:w="396" w:type="pct"/>
                  <w:vAlign w:val="center"/>
                </w:tcPr>
                <w:p>
                  <w:pPr>
                    <w:widowControl/>
                    <w:jc w:val="center"/>
                    <w:textAlignment w:val="center"/>
                    <w:rPr>
                      <w:color w:val="auto"/>
                      <w:szCs w:val="21"/>
                    </w:rPr>
                  </w:pPr>
                  <w:r>
                    <w:rPr>
                      <w:color w:val="auto"/>
                      <w:szCs w:val="21"/>
                    </w:rPr>
                    <w:t>HW17</w:t>
                  </w:r>
                </w:p>
              </w:tc>
              <w:tc>
                <w:tcPr>
                  <w:tcW w:w="507" w:type="pct"/>
                  <w:vAlign w:val="center"/>
                </w:tcPr>
                <w:p>
                  <w:pPr>
                    <w:widowControl/>
                    <w:jc w:val="center"/>
                    <w:textAlignment w:val="center"/>
                    <w:rPr>
                      <w:bCs/>
                      <w:color w:val="auto"/>
                      <w:szCs w:val="21"/>
                    </w:rPr>
                  </w:pPr>
                  <w:r>
                    <w:rPr>
                      <w:color w:val="auto"/>
                      <w:szCs w:val="21"/>
                    </w:rPr>
                    <w:t>336-064-17</w:t>
                  </w:r>
                </w:p>
              </w:tc>
              <w:tc>
                <w:tcPr>
                  <w:tcW w:w="356" w:type="pct"/>
                  <w:vAlign w:val="center"/>
                </w:tcPr>
                <w:p>
                  <w:pPr>
                    <w:widowControl/>
                    <w:jc w:val="center"/>
                    <w:textAlignment w:val="center"/>
                    <w:rPr>
                      <w:color w:val="auto"/>
                      <w:szCs w:val="21"/>
                    </w:rPr>
                  </w:pPr>
                  <w:r>
                    <w:rPr>
                      <w:rFonts w:hint="eastAsia"/>
                      <w:color w:val="auto"/>
                      <w:szCs w:val="21"/>
                    </w:rPr>
                    <w:t>90.4</w:t>
                  </w:r>
                </w:p>
              </w:tc>
              <w:tc>
                <w:tcPr>
                  <w:tcW w:w="666" w:type="pct"/>
                  <w:vMerge w:val="continue"/>
                  <w:vAlign w:val="center"/>
                </w:tcPr>
                <w:p>
                  <w:pPr>
                    <w:widowControl/>
                    <w:jc w:val="center"/>
                    <w:textAlignment w:val="center"/>
                    <w:rPr>
                      <w:color w:val="auto"/>
                    </w:rPr>
                  </w:pPr>
                </w:p>
              </w:tc>
              <w:tc>
                <w:tcPr>
                  <w:tcW w:w="304" w:type="pct"/>
                  <w:vAlign w:val="center"/>
                </w:tcPr>
                <w:p>
                  <w:pPr>
                    <w:widowControl/>
                    <w:jc w:val="center"/>
                    <w:textAlignment w:val="center"/>
                    <w:rPr>
                      <w:color w:val="auto"/>
                    </w:rPr>
                  </w:pPr>
                  <w:r>
                    <w:rPr>
                      <w:color w:val="auto"/>
                      <w:szCs w:val="21"/>
                    </w:rPr>
                    <w:t>液态</w:t>
                  </w:r>
                </w:p>
              </w:tc>
              <w:tc>
                <w:tcPr>
                  <w:tcW w:w="474" w:type="pct"/>
                  <w:vMerge w:val="continue"/>
                  <w:vAlign w:val="center"/>
                </w:tcPr>
                <w:p>
                  <w:pPr>
                    <w:widowControl/>
                    <w:jc w:val="center"/>
                    <w:textAlignment w:val="center"/>
                    <w:rPr>
                      <w:color w:val="auto"/>
                      <w:szCs w:val="21"/>
                    </w:rPr>
                  </w:pPr>
                </w:p>
              </w:tc>
              <w:tc>
                <w:tcPr>
                  <w:tcW w:w="504" w:type="pct"/>
                  <w:vMerge w:val="continue"/>
                  <w:vAlign w:val="center"/>
                </w:tcPr>
                <w:p>
                  <w:pPr>
                    <w:widowControl/>
                    <w:jc w:val="center"/>
                    <w:textAlignment w:val="center"/>
                    <w:rPr>
                      <w:color w:val="auto"/>
                    </w:rPr>
                  </w:pPr>
                </w:p>
              </w:tc>
              <w:tc>
                <w:tcPr>
                  <w:tcW w:w="380" w:type="pct"/>
                  <w:vAlign w:val="center"/>
                </w:tcPr>
                <w:p>
                  <w:pPr>
                    <w:adjustRightInd w:val="0"/>
                    <w:snapToGrid w:val="0"/>
                    <w:jc w:val="center"/>
                    <w:rPr>
                      <w:bCs/>
                      <w:color w:val="auto"/>
                    </w:rPr>
                  </w:pPr>
                  <w:r>
                    <w:rPr>
                      <w:bCs/>
                      <w:color w:val="auto"/>
                    </w:rPr>
                    <w:t>每</w:t>
                  </w:r>
                  <w:r>
                    <w:rPr>
                      <w:rFonts w:hint="eastAsia"/>
                      <w:bCs/>
                      <w:color w:val="auto"/>
                    </w:rPr>
                    <w:t>月</w:t>
                  </w:r>
                </w:p>
              </w:tc>
              <w:tc>
                <w:tcPr>
                  <w:tcW w:w="413" w:type="pct"/>
                  <w:vAlign w:val="center"/>
                </w:tcPr>
                <w:p>
                  <w:pPr>
                    <w:widowControl/>
                    <w:jc w:val="center"/>
                    <w:textAlignment w:val="center"/>
                    <w:rPr>
                      <w:snapToGrid w:val="0"/>
                      <w:color w:val="auto"/>
                    </w:rPr>
                  </w:pPr>
                  <w:r>
                    <w:rPr>
                      <w:color w:val="auto"/>
                      <w:kern w:val="0"/>
                      <w:szCs w:val="21"/>
                      <w:lang w:bidi="ar"/>
                    </w:rPr>
                    <w:t>T</w:t>
                  </w:r>
                  <w:r>
                    <w:rPr>
                      <w:rFonts w:hint="eastAsia"/>
                      <w:color w:val="auto"/>
                      <w:kern w:val="0"/>
                      <w:szCs w:val="21"/>
                      <w:lang w:bidi="ar"/>
                    </w:rPr>
                    <w:t>/C</w:t>
                  </w:r>
                </w:p>
              </w:tc>
              <w:tc>
                <w:tcPr>
                  <w:tcW w:w="391" w:type="pct"/>
                  <w:vMerge w:val="continue"/>
                  <w:vAlign w:val="center"/>
                </w:tcPr>
                <w:p>
                  <w:pPr>
                    <w:topLinePunct/>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 w:type="pct"/>
                  <w:vAlign w:val="center"/>
                </w:tcPr>
                <w:p>
                  <w:pPr>
                    <w:widowControl/>
                    <w:jc w:val="center"/>
                    <w:textAlignment w:val="center"/>
                    <w:rPr>
                      <w:color w:val="auto"/>
                      <w:kern w:val="0"/>
                      <w:szCs w:val="21"/>
                    </w:rPr>
                  </w:pPr>
                  <w:r>
                    <w:rPr>
                      <w:color w:val="auto"/>
                      <w:kern w:val="0"/>
                      <w:szCs w:val="21"/>
                      <w:lang w:bidi="ar"/>
                    </w:rPr>
                    <w:t>1</w:t>
                  </w:r>
                  <w:r>
                    <w:rPr>
                      <w:rFonts w:hint="eastAsia"/>
                      <w:color w:val="auto"/>
                      <w:kern w:val="0"/>
                      <w:szCs w:val="21"/>
                      <w:lang w:bidi="ar"/>
                    </w:rPr>
                    <w:t>0</w:t>
                  </w:r>
                </w:p>
              </w:tc>
              <w:tc>
                <w:tcPr>
                  <w:tcW w:w="436" w:type="pct"/>
                  <w:vAlign w:val="center"/>
                </w:tcPr>
                <w:p>
                  <w:pPr>
                    <w:widowControl/>
                    <w:jc w:val="center"/>
                    <w:textAlignment w:val="center"/>
                    <w:rPr>
                      <w:color w:val="auto"/>
                      <w:kern w:val="0"/>
                      <w:szCs w:val="21"/>
                      <w:lang w:bidi="ar"/>
                    </w:rPr>
                  </w:pPr>
                  <w:r>
                    <w:rPr>
                      <w:rFonts w:hint="eastAsia"/>
                      <w:color w:val="auto"/>
                      <w:szCs w:val="21"/>
                    </w:rPr>
                    <w:t>废水过滤材料</w:t>
                  </w:r>
                </w:p>
              </w:tc>
              <w:tc>
                <w:tcPr>
                  <w:tcW w:w="396" w:type="pct"/>
                  <w:vAlign w:val="center"/>
                </w:tcPr>
                <w:p>
                  <w:pPr>
                    <w:widowControl/>
                    <w:jc w:val="center"/>
                    <w:textAlignment w:val="center"/>
                    <w:rPr>
                      <w:color w:val="auto"/>
                      <w:kern w:val="0"/>
                      <w:szCs w:val="21"/>
                      <w:lang w:bidi="ar"/>
                    </w:rPr>
                  </w:pPr>
                  <w:r>
                    <w:rPr>
                      <w:color w:val="auto"/>
                      <w:szCs w:val="21"/>
                    </w:rPr>
                    <w:t>HW49</w:t>
                  </w:r>
                </w:p>
              </w:tc>
              <w:tc>
                <w:tcPr>
                  <w:tcW w:w="507" w:type="pct"/>
                  <w:vAlign w:val="center"/>
                </w:tcPr>
                <w:p>
                  <w:pPr>
                    <w:widowControl/>
                    <w:jc w:val="center"/>
                    <w:textAlignment w:val="center"/>
                    <w:rPr>
                      <w:color w:val="auto"/>
                      <w:kern w:val="0"/>
                      <w:szCs w:val="21"/>
                      <w:lang w:bidi="ar"/>
                    </w:rPr>
                  </w:pPr>
                  <w:r>
                    <w:rPr>
                      <w:color w:val="auto"/>
                      <w:szCs w:val="21"/>
                    </w:rPr>
                    <w:t>900-041-49</w:t>
                  </w:r>
                </w:p>
              </w:tc>
              <w:tc>
                <w:tcPr>
                  <w:tcW w:w="356" w:type="pct"/>
                  <w:vAlign w:val="center"/>
                </w:tcPr>
                <w:p>
                  <w:pPr>
                    <w:widowControl/>
                    <w:jc w:val="center"/>
                    <w:textAlignment w:val="center"/>
                    <w:rPr>
                      <w:color w:val="auto"/>
                      <w:kern w:val="0"/>
                      <w:szCs w:val="21"/>
                      <w:lang w:bidi="ar"/>
                    </w:rPr>
                  </w:pPr>
                  <w:r>
                    <w:rPr>
                      <w:color w:val="auto"/>
                      <w:szCs w:val="21"/>
                    </w:rPr>
                    <w:t>0.0</w:t>
                  </w:r>
                  <w:r>
                    <w:rPr>
                      <w:rFonts w:hint="eastAsia"/>
                      <w:color w:val="auto"/>
                      <w:szCs w:val="21"/>
                    </w:rPr>
                    <w:t>1</w:t>
                  </w:r>
                </w:p>
              </w:tc>
              <w:tc>
                <w:tcPr>
                  <w:tcW w:w="666" w:type="pct"/>
                  <w:vMerge w:val="continue"/>
                  <w:vAlign w:val="center"/>
                </w:tcPr>
                <w:p>
                  <w:pPr>
                    <w:widowControl/>
                    <w:jc w:val="center"/>
                    <w:textAlignment w:val="center"/>
                    <w:rPr>
                      <w:color w:val="auto"/>
                      <w:kern w:val="0"/>
                      <w:sz w:val="22"/>
                      <w:szCs w:val="22"/>
                      <w:lang w:bidi="ar"/>
                    </w:rPr>
                  </w:pPr>
                </w:p>
              </w:tc>
              <w:tc>
                <w:tcPr>
                  <w:tcW w:w="304" w:type="pct"/>
                  <w:vAlign w:val="center"/>
                </w:tcPr>
                <w:p>
                  <w:pPr>
                    <w:widowControl/>
                    <w:jc w:val="center"/>
                    <w:textAlignment w:val="center"/>
                    <w:rPr>
                      <w:color w:val="auto"/>
                    </w:rPr>
                  </w:pPr>
                  <w:r>
                    <w:rPr>
                      <w:color w:val="auto"/>
                      <w:szCs w:val="21"/>
                    </w:rPr>
                    <w:t>固态</w:t>
                  </w:r>
                </w:p>
              </w:tc>
              <w:tc>
                <w:tcPr>
                  <w:tcW w:w="474" w:type="pct"/>
                  <w:vAlign w:val="center"/>
                </w:tcPr>
                <w:p>
                  <w:pPr>
                    <w:widowControl/>
                    <w:jc w:val="center"/>
                    <w:textAlignment w:val="center"/>
                    <w:rPr>
                      <w:color w:val="auto"/>
                      <w:kern w:val="0"/>
                      <w:szCs w:val="21"/>
                      <w:lang w:bidi="ar"/>
                    </w:rPr>
                  </w:pPr>
                  <w:r>
                    <w:rPr>
                      <w:color w:val="auto"/>
                      <w:szCs w:val="21"/>
                    </w:rPr>
                    <w:t>脱脂剂、脱脂助剂、无磷转化剂、</w:t>
                  </w:r>
                  <w:r>
                    <w:rPr>
                      <w:bCs/>
                      <w:color w:val="auto"/>
                      <w:szCs w:val="21"/>
                    </w:rPr>
                    <w:t>硅烷转化剂</w:t>
                  </w:r>
                </w:p>
              </w:tc>
              <w:tc>
                <w:tcPr>
                  <w:tcW w:w="504" w:type="pct"/>
                  <w:vAlign w:val="center"/>
                </w:tcPr>
                <w:p>
                  <w:pPr>
                    <w:widowControl/>
                    <w:jc w:val="center"/>
                    <w:textAlignment w:val="center"/>
                    <w:rPr>
                      <w:color w:val="auto"/>
                      <w:kern w:val="0"/>
                      <w:szCs w:val="21"/>
                      <w:lang w:bidi="ar"/>
                    </w:rPr>
                  </w:pPr>
                  <w:r>
                    <w:rPr>
                      <w:color w:val="auto"/>
                      <w:szCs w:val="21"/>
                    </w:rPr>
                    <w:t>脱脂剂、脱脂助剂、无磷转化剂、</w:t>
                  </w:r>
                  <w:r>
                    <w:rPr>
                      <w:bCs/>
                      <w:color w:val="auto"/>
                      <w:szCs w:val="21"/>
                    </w:rPr>
                    <w:t>硅烷转化剂</w:t>
                  </w:r>
                </w:p>
              </w:tc>
              <w:tc>
                <w:tcPr>
                  <w:tcW w:w="380" w:type="pct"/>
                  <w:vAlign w:val="center"/>
                </w:tcPr>
                <w:p>
                  <w:pPr>
                    <w:adjustRightInd w:val="0"/>
                    <w:snapToGrid w:val="0"/>
                    <w:jc w:val="center"/>
                    <w:rPr>
                      <w:bCs/>
                      <w:color w:val="auto"/>
                    </w:rPr>
                  </w:pPr>
                  <w:r>
                    <w:rPr>
                      <w:bCs/>
                      <w:color w:val="auto"/>
                    </w:rPr>
                    <w:t>每年</w:t>
                  </w:r>
                </w:p>
              </w:tc>
              <w:tc>
                <w:tcPr>
                  <w:tcW w:w="413" w:type="pct"/>
                  <w:vAlign w:val="center"/>
                </w:tcPr>
                <w:p>
                  <w:pPr>
                    <w:widowControl/>
                    <w:jc w:val="center"/>
                    <w:textAlignment w:val="center"/>
                    <w:rPr>
                      <w:color w:val="auto"/>
                      <w:kern w:val="0"/>
                      <w:szCs w:val="21"/>
                      <w:lang w:bidi="ar"/>
                    </w:rPr>
                  </w:pPr>
                  <w:r>
                    <w:rPr>
                      <w:bCs/>
                      <w:color w:val="auto"/>
                      <w:szCs w:val="21"/>
                    </w:rPr>
                    <w:t>T/In</w:t>
                  </w:r>
                </w:p>
              </w:tc>
              <w:tc>
                <w:tcPr>
                  <w:tcW w:w="391" w:type="pct"/>
                  <w:vMerge w:val="continue"/>
                  <w:vAlign w:val="center"/>
                </w:tcPr>
                <w:p>
                  <w:pPr>
                    <w:topLinePunct/>
                    <w:adjustRightInd w:val="0"/>
                    <w:snapToGrid w:val="0"/>
                    <w:jc w:val="center"/>
                    <w:rPr>
                      <w:color w:val="auto"/>
                      <w:szCs w:val="21"/>
                    </w:rPr>
                  </w:pPr>
                </w:p>
              </w:tc>
            </w:tr>
          </w:tbl>
          <w:p>
            <w:pPr>
              <w:numPr>
                <w:ilvl w:val="0"/>
                <w:numId w:val="21"/>
              </w:numPr>
              <w:adjustRightInd w:val="0"/>
              <w:snapToGrid w:val="0"/>
              <w:spacing w:before="159" w:beforeLines="50" w:line="360" w:lineRule="auto"/>
              <w:ind w:firstLine="480" w:firstLineChars="200"/>
              <w:rPr>
                <w:rFonts w:ascii="Calibri" w:hAnsi="Calibri" w:cs="Calibri"/>
                <w:b/>
                <w:bCs/>
                <w:color w:val="auto"/>
                <w:sz w:val="24"/>
              </w:rPr>
            </w:pPr>
            <w:r>
              <w:rPr>
                <w:rFonts w:ascii="Calibri" w:hAnsi="Calibri" w:cs="Calibri"/>
                <w:b/>
                <w:bCs/>
                <w:color w:val="auto"/>
                <w:sz w:val="24"/>
              </w:rPr>
              <w:t>固体废物贮存、处置利用情况</w:t>
            </w:r>
          </w:p>
          <w:p>
            <w:pPr>
              <w:adjustRightInd w:val="0"/>
              <w:snapToGrid w:val="0"/>
              <w:spacing w:line="360" w:lineRule="auto"/>
              <w:ind w:firstLine="480" w:firstLineChars="200"/>
              <w:rPr>
                <w:rFonts w:ascii="Calibri" w:hAnsi="Calibri" w:cs="Calibri"/>
                <w:color w:val="auto"/>
                <w:sz w:val="24"/>
              </w:rPr>
            </w:pPr>
            <w:r>
              <w:rPr>
                <w:rFonts w:ascii="Calibri" w:hAnsi="Calibri" w:cs="Calibri"/>
                <w:color w:val="auto"/>
                <w:sz w:val="24"/>
              </w:rPr>
              <w:t>本项目建成后，全厂固体废物贮存、利用处置方式见下表。</w:t>
            </w:r>
          </w:p>
          <w:p>
            <w:pPr>
              <w:pStyle w:val="6"/>
              <w:numPr>
                <w:ilvl w:val="0"/>
                <w:numId w:val="16"/>
              </w:numPr>
              <w:adjustRightInd w:val="0"/>
              <w:snapToGrid w:val="0"/>
              <w:ind w:firstLineChars="0"/>
              <w:jc w:val="center"/>
              <w:rPr>
                <w:rFonts w:ascii="Calibri" w:hAnsi="Calibri" w:cs="Calibri"/>
                <w:b/>
                <w:bCs/>
                <w:color w:val="auto"/>
                <w:sz w:val="24"/>
              </w:rPr>
            </w:pPr>
            <w:r>
              <w:rPr>
                <w:rFonts w:ascii="Calibri" w:hAnsi="Calibri" w:cs="Calibri"/>
                <w:b/>
                <w:bCs/>
                <w:color w:val="auto"/>
                <w:sz w:val="24"/>
              </w:rPr>
              <w:t>全厂固体废物贮存、利用处置方式一览表</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81"/>
              <w:gridCol w:w="1833"/>
              <w:gridCol w:w="2244"/>
              <w:gridCol w:w="1115"/>
              <w:gridCol w:w="1234"/>
              <w:gridCol w:w="1266"/>
              <w:gridCol w:w="929"/>
              <w:gridCol w:w="1091"/>
              <w:gridCol w:w="902"/>
              <w:gridCol w:w="1239"/>
              <w:gridCol w:w="116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tcBorders>
                    <w:tl2br w:val="nil"/>
                    <w:tr2bl w:val="nil"/>
                  </w:tcBorders>
                  <w:tcMar>
                    <w:top w:w="0" w:type="dxa"/>
                    <w:left w:w="0" w:type="dxa"/>
                    <w:bottom w:w="0" w:type="dxa"/>
                    <w:right w:w="0" w:type="dxa"/>
                  </w:tcMar>
                  <w:vAlign w:val="center"/>
                </w:tcPr>
                <w:p>
                  <w:pPr>
                    <w:pStyle w:val="45"/>
                    <w:rPr>
                      <w:b/>
                      <w:bCs/>
                      <w:color w:val="auto"/>
                    </w:rPr>
                  </w:pPr>
                  <w:r>
                    <w:rPr>
                      <w:b/>
                      <w:color w:val="auto"/>
                    </w:rPr>
                    <w:t>序号</w:t>
                  </w:r>
                </w:p>
              </w:tc>
              <w:tc>
                <w:tcPr>
                  <w:tcW w:w="679" w:type="pct"/>
                  <w:tcBorders>
                    <w:tl2br w:val="nil"/>
                    <w:tr2bl w:val="nil"/>
                  </w:tcBorders>
                  <w:tcMar>
                    <w:top w:w="0" w:type="dxa"/>
                    <w:left w:w="0" w:type="dxa"/>
                    <w:bottom w:w="0" w:type="dxa"/>
                    <w:right w:w="0" w:type="dxa"/>
                  </w:tcMar>
                  <w:vAlign w:val="center"/>
                </w:tcPr>
                <w:p>
                  <w:pPr>
                    <w:pStyle w:val="45"/>
                    <w:rPr>
                      <w:b/>
                      <w:bCs/>
                      <w:color w:val="auto"/>
                    </w:rPr>
                  </w:pPr>
                  <w:r>
                    <w:rPr>
                      <w:b/>
                      <w:color w:val="auto"/>
                    </w:rPr>
                    <w:t>固体废物名称</w:t>
                  </w:r>
                </w:p>
              </w:tc>
              <w:tc>
                <w:tcPr>
                  <w:tcW w:w="831" w:type="pct"/>
                  <w:tcBorders>
                    <w:tl2br w:val="nil"/>
                    <w:tr2bl w:val="nil"/>
                  </w:tcBorders>
                  <w:tcMar>
                    <w:top w:w="0" w:type="dxa"/>
                    <w:left w:w="0" w:type="dxa"/>
                    <w:bottom w:w="0" w:type="dxa"/>
                    <w:right w:w="0" w:type="dxa"/>
                  </w:tcMar>
                  <w:vAlign w:val="center"/>
                </w:tcPr>
                <w:p>
                  <w:pPr>
                    <w:pStyle w:val="45"/>
                    <w:rPr>
                      <w:b/>
                      <w:bCs/>
                      <w:color w:val="auto"/>
                    </w:rPr>
                  </w:pPr>
                  <w:r>
                    <w:rPr>
                      <w:b/>
                      <w:color w:val="auto"/>
                    </w:rPr>
                    <w:t>产生工序</w:t>
                  </w:r>
                </w:p>
              </w:tc>
              <w:tc>
                <w:tcPr>
                  <w:tcW w:w="413" w:type="pct"/>
                  <w:tcBorders>
                    <w:tl2br w:val="nil"/>
                    <w:tr2bl w:val="nil"/>
                  </w:tcBorders>
                  <w:tcMar>
                    <w:top w:w="0" w:type="dxa"/>
                    <w:left w:w="0" w:type="dxa"/>
                    <w:bottom w:w="0" w:type="dxa"/>
                    <w:right w:w="0" w:type="dxa"/>
                  </w:tcMar>
                  <w:vAlign w:val="center"/>
                </w:tcPr>
                <w:p>
                  <w:pPr>
                    <w:pStyle w:val="45"/>
                    <w:rPr>
                      <w:b/>
                      <w:bCs/>
                      <w:color w:val="auto"/>
                    </w:rPr>
                  </w:pPr>
                  <w:r>
                    <w:rPr>
                      <w:b/>
                      <w:color w:val="auto"/>
                    </w:rPr>
                    <w:t>属性</w:t>
                  </w:r>
                </w:p>
              </w:tc>
              <w:tc>
                <w:tcPr>
                  <w:tcW w:w="457" w:type="pct"/>
                  <w:tcBorders>
                    <w:right w:val="single" w:color="auto" w:sz="4" w:space="0"/>
                    <w:tl2br w:val="nil"/>
                    <w:tr2bl w:val="nil"/>
                  </w:tcBorders>
                  <w:tcMar>
                    <w:top w:w="0" w:type="dxa"/>
                    <w:left w:w="0" w:type="dxa"/>
                    <w:bottom w:w="0" w:type="dxa"/>
                    <w:right w:w="0" w:type="dxa"/>
                  </w:tcMar>
                  <w:vAlign w:val="center"/>
                </w:tcPr>
                <w:p>
                  <w:pPr>
                    <w:widowControl/>
                    <w:adjustRightInd w:val="0"/>
                    <w:snapToGrid w:val="0"/>
                    <w:jc w:val="center"/>
                    <w:textAlignment w:val="center"/>
                    <w:rPr>
                      <w:b/>
                      <w:color w:val="auto"/>
                      <w:szCs w:val="21"/>
                    </w:rPr>
                  </w:pPr>
                  <w:r>
                    <w:rPr>
                      <w:b/>
                      <w:color w:val="auto"/>
                      <w:kern w:val="0"/>
                      <w:szCs w:val="21"/>
                      <w:lang w:bidi="ar"/>
                    </w:rPr>
                    <w:t>废物类别</w:t>
                  </w:r>
                </w:p>
              </w:tc>
              <w:tc>
                <w:tcPr>
                  <w:tcW w:w="469" w:type="pct"/>
                  <w:tcBorders>
                    <w:left w:val="single" w:color="auto" w:sz="4" w:space="0"/>
                    <w:tl2br w:val="nil"/>
                    <w:tr2bl w:val="nil"/>
                  </w:tcBorders>
                  <w:tcMar>
                    <w:top w:w="0" w:type="dxa"/>
                    <w:left w:w="0" w:type="dxa"/>
                    <w:bottom w:w="0" w:type="dxa"/>
                    <w:right w:w="0" w:type="dxa"/>
                  </w:tcMar>
                  <w:vAlign w:val="center"/>
                </w:tcPr>
                <w:p>
                  <w:pPr>
                    <w:widowControl/>
                    <w:adjustRightInd w:val="0"/>
                    <w:snapToGrid w:val="0"/>
                    <w:jc w:val="center"/>
                    <w:textAlignment w:val="center"/>
                    <w:rPr>
                      <w:b/>
                      <w:color w:val="auto"/>
                      <w:szCs w:val="21"/>
                    </w:rPr>
                  </w:pPr>
                  <w:r>
                    <w:rPr>
                      <w:b/>
                      <w:color w:val="auto"/>
                      <w:kern w:val="0"/>
                      <w:szCs w:val="21"/>
                      <w:lang w:bidi="ar"/>
                    </w:rPr>
                    <w:t>废物代码</w:t>
                  </w:r>
                </w:p>
              </w:tc>
              <w:tc>
                <w:tcPr>
                  <w:tcW w:w="344" w:type="pct"/>
                  <w:tcBorders>
                    <w:tl2br w:val="nil"/>
                    <w:tr2bl w:val="nil"/>
                  </w:tcBorders>
                  <w:tcMar>
                    <w:top w:w="0" w:type="dxa"/>
                    <w:left w:w="0" w:type="dxa"/>
                    <w:bottom w:w="0" w:type="dxa"/>
                    <w:right w:w="0" w:type="dxa"/>
                  </w:tcMar>
                  <w:vAlign w:val="center"/>
                </w:tcPr>
                <w:p>
                  <w:pPr>
                    <w:pStyle w:val="45"/>
                    <w:rPr>
                      <w:b/>
                      <w:bCs/>
                      <w:color w:val="auto"/>
                    </w:rPr>
                  </w:pPr>
                  <w:r>
                    <w:rPr>
                      <w:b/>
                      <w:color w:val="auto"/>
                    </w:rPr>
                    <w:t>产生量（t/a）</w:t>
                  </w:r>
                </w:p>
              </w:tc>
              <w:tc>
                <w:tcPr>
                  <w:tcW w:w="404" w:type="pct"/>
                  <w:tcBorders>
                    <w:tl2br w:val="nil"/>
                    <w:tr2bl w:val="nil"/>
                  </w:tcBorders>
                  <w:tcMar>
                    <w:top w:w="0" w:type="dxa"/>
                    <w:left w:w="0" w:type="dxa"/>
                    <w:bottom w:w="0" w:type="dxa"/>
                    <w:right w:w="0" w:type="dxa"/>
                  </w:tcMar>
                  <w:vAlign w:val="center"/>
                </w:tcPr>
                <w:p>
                  <w:pPr>
                    <w:adjustRightInd w:val="0"/>
                    <w:snapToGrid w:val="0"/>
                    <w:jc w:val="center"/>
                    <w:rPr>
                      <w:b/>
                      <w:color w:val="auto"/>
                      <w:szCs w:val="21"/>
                    </w:rPr>
                  </w:pPr>
                  <w:r>
                    <w:rPr>
                      <w:b/>
                      <w:color w:val="auto"/>
                      <w:szCs w:val="21"/>
                    </w:rPr>
                    <w:t>贮存</w:t>
                  </w:r>
                </w:p>
                <w:p>
                  <w:pPr>
                    <w:adjustRightInd w:val="0"/>
                    <w:snapToGrid w:val="0"/>
                    <w:jc w:val="center"/>
                    <w:rPr>
                      <w:b/>
                      <w:color w:val="auto"/>
                      <w:szCs w:val="21"/>
                    </w:rPr>
                  </w:pPr>
                  <w:r>
                    <w:rPr>
                      <w:b/>
                      <w:color w:val="auto"/>
                      <w:szCs w:val="21"/>
                    </w:rPr>
                    <w:t>方式</w:t>
                  </w:r>
                </w:p>
              </w:tc>
              <w:tc>
                <w:tcPr>
                  <w:tcW w:w="334" w:type="pct"/>
                  <w:tcBorders>
                    <w:tl2br w:val="nil"/>
                    <w:tr2bl w:val="nil"/>
                  </w:tcBorders>
                  <w:tcMar>
                    <w:top w:w="0" w:type="dxa"/>
                    <w:left w:w="0" w:type="dxa"/>
                    <w:bottom w:w="0" w:type="dxa"/>
                    <w:right w:w="0" w:type="dxa"/>
                  </w:tcMar>
                  <w:vAlign w:val="center"/>
                </w:tcPr>
                <w:p>
                  <w:pPr>
                    <w:adjustRightInd w:val="0"/>
                    <w:snapToGrid w:val="0"/>
                    <w:jc w:val="center"/>
                    <w:rPr>
                      <w:b/>
                      <w:color w:val="auto"/>
                      <w:szCs w:val="21"/>
                    </w:rPr>
                  </w:pPr>
                  <w:r>
                    <w:rPr>
                      <w:b/>
                      <w:color w:val="auto"/>
                      <w:szCs w:val="21"/>
                    </w:rPr>
                    <w:t>贮存</w:t>
                  </w:r>
                </w:p>
                <w:p>
                  <w:pPr>
                    <w:adjustRightInd w:val="0"/>
                    <w:snapToGrid w:val="0"/>
                    <w:jc w:val="center"/>
                    <w:rPr>
                      <w:b/>
                      <w:color w:val="auto"/>
                      <w:szCs w:val="21"/>
                    </w:rPr>
                  </w:pPr>
                  <w:r>
                    <w:rPr>
                      <w:b/>
                      <w:color w:val="auto"/>
                      <w:szCs w:val="21"/>
                    </w:rPr>
                    <w:t>地点</w:t>
                  </w:r>
                </w:p>
              </w:tc>
              <w:tc>
                <w:tcPr>
                  <w:tcW w:w="459" w:type="pct"/>
                  <w:tcBorders>
                    <w:tl2br w:val="nil"/>
                    <w:tr2bl w:val="nil"/>
                  </w:tcBorders>
                  <w:tcMar>
                    <w:top w:w="0" w:type="dxa"/>
                    <w:left w:w="0" w:type="dxa"/>
                    <w:bottom w:w="0" w:type="dxa"/>
                    <w:right w:w="0" w:type="dxa"/>
                  </w:tcMar>
                  <w:vAlign w:val="center"/>
                </w:tcPr>
                <w:p>
                  <w:pPr>
                    <w:pStyle w:val="45"/>
                    <w:rPr>
                      <w:b/>
                      <w:color w:val="auto"/>
                    </w:rPr>
                  </w:pPr>
                  <w:r>
                    <w:rPr>
                      <w:b/>
                      <w:color w:val="auto"/>
                    </w:rPr>
                    <w:t>利用处</w:t>
                  </w:r>
                </w:p>
                <w:p>
                  <w:pPr>
                    <w:pStyle w:val="45"/>
                    <w:rPr>
                      <w:b/>
                      <w:bCs/>
                      <w:color w:val="auto"/>
                    </w:rPr>
                  </w:pPr>
                  <w:r>
                    <w:rPr>
                      <w:b/>
                      <w:color w:val="auto"/>
                    </w:rPr>
                    <w:t>置方式</w:t>
                  </w:r>
                </w:p>
              </w:tc>
              <w:tc>
                <w:tcPr>
                  <w:tcW w:w="430" w:type="pct"/>
                  <w:tcBorders>
                    <w:tl2br w:val="nil"/>
                    <w:tr2bl w:val="nil"/>
                  </w:tcBorders>
                  <w:tcMar>
                    <w:top w:w="0" w:type="dxa"/>
                    <w:left w:w="0" w:type="dxa"/>
                    <w:bottom w:w="0" w:type="dxa"/>
                    <w:right w:w="0" w:type="dxa"/>
                  </w:tcMar>
                  <w:vAlign w:val="center"/>
                </w:tcPr>
                <w:p>
                  <w:pPr>
                    <w:adjustRightInd w:val="0"/>
                    <w:snapToGrid w:val="0"/>
                    <w:jc w:val="center"/>
                    <w:rPr>
                      <w:b/>
                      <w:bCs/>
                      <w:color w:val="auto"/>
                      <w:szCs w:val="21"/>
                    </w:rPr>
                  </w:pPr>
                  <w:r>
                    <w:rPr>
                      <w:b/>
                      <w:bCs/>
                      <w:color w:val="auto"/>
                      <w:szCs w:val="21"/>
                    </w:rPr>
                    <w:t>利用处</w:t>
                  </w:r>
                </w:p>
                <w:p>
                  <w:pPr>
                    <w:adjustRightInd w:val="0"/>
                    <w:snapToGrid w:val="0"/>
                    <w:jc w:val="center"/>
                    <w:rPr>
                      <w:b/>
                      <w:bCs/>
                      <w:color w:val="auto"/>
                      <w:szCs w:val="21"/>
                    </w:rPr>
                  </w:pPr>
                  <w:r>
                    <w:rPr>
                      <w:b/>
                      <w:bCs/>
                      <w:color w:val="auto"/>
                      <w:szCs w:val="21"/>
                    </w:rPr>
                    <w:t>置单位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tcBorders>
                    <w:tl2br w:val="nil"/>
                    <w:tr2bl w:val="nil"/>
                  </w:tcBorders>
                  <w:tcMar>
                    <w:top w:w="0" w:type="dxa"/>
                    <w:left w:w="0" w:type="dxa"/>
                    <w:bottom w:w="0" w:type="dxa"/>
                    <w:right w:w="0" w:type="dxa"/>
                  </w:tcMar>
                  <w:vAlign w:val="center"/>
                </w:tcPr>
                <w:p>
                  <w:pPr>
                    <w:jc w:val="center"/>
                    <w:rPr>
                      <w:color w:val="auto"/>
                      <w:kern w:val="0"/>
                      <w:szCs w:val="21"/>
                    </w:rPr>
                  </w:pPr>
                  <w:r>
                    <w:rPr>
                      <w:color w:val="auto"/>
                      <w:szCs w:val="21"/>
                    </w:rPr>
                    <w:t>1</w:t>
                  </w:r>
                </w:p>
              </w:tc>
              <w:tc>
                <w:tcPr>
                  <w:tcW w:w="679"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lang w:bidi="ar"/>
                    </w:rPr>
                  </w:pPr>
                  <w:r>
                    <w:rPr>
                      <w:rFonts w:hint="eastAsia"/>
                      <w:color w:val="auto"/>
                      <w:kern w:val="0"/>
                      <w:szCs w:val="21"/>
                      <w:lang w:bidi="ar"/>
                    </w:rPr>
                    <w:t>脱脂废渣（液）</w:t>
                  </w:r>
                </w:p>
              </w:tc>
              <w:tc>
                <w:tcPr>
                  <w:tcW w:w="831" w:type="pct"/>
                  <w:tcBorders>
                    <w:tl2br w:val="nil"/>
                    <w:tr2bl w:val="nil"/>
                  </w:tcBorders>
                  <w:tcMar>
                    <w:top w:w="0" w:type="dxa"/>
                    <w:left w:w="0" w:type="dxa"/>
                    <w:bottom w:w="0" w:type="dxa"/>
                    <w:right w:w="0" w:type="dxa"/>
                  </w:tcMar>
                  <w:vAlign w:val="center"/>
                </w:tcPr>
                <w:p>
                  <w:pPr>
                    <w:widowControl/>
                    <w:jc w:val="center"/>
                    <w:textAlignment w:val="center"/>
                    <w:rPr>
                      <w:snapToGrid w:val="0"/>
                      <w:color w:val="auto"/>
                      <w:kern w:val="0"/>
                      <w:szCs w:val="21"/>
                    </w:rPr>
                  </w:pPr>
                  <w:r>
                    <w:rPr>
                      <w:color w:val="auto"/>
                      <w:kern w:val="0"/>
                      <w:szCs w:val="21"/>
                      <w:lang w:bidi="ar"/>
                    </w:rPr>
                    <w:t>预脱脂槽、脱脂槽</w:t>
                  </w:r>
                </w:p>
              </w:tc>
              <w:tc>
                <w:tcPr>
                  <w:tcW w:w="413"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危废</w:t>
                  </w:r>
                </w:p>
              </w:tc>
              <w:tc>
                <w:tcPr>
                  <w:tcW w:w="457"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highlight w:val="yellow"/>
                      <w:lang w:bidi="ar"/>
                    </w:rPr>
                  </w:pPr>
                  <w:r>
                    <w:rPr>
                      <w:color w:val="auto"/>
                      <w:kern w:val="0"/>
                      <w:szCs w:val="21"/>
                      <w:lang w:bidi="ar"/>
                    </w:rPr>
                    <w:t>HW17</w:t>
                  </w:r>
                </w:p>
              </w:tc>
              <w:tc>
                <w:tcPr>
                  <w:tcW w:w="469"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highlight w:val="yellow"/>
                      <w:lang w:bidi="ar"/>
                    </w:rPr>
                  </w:pPr>
                  <w:r>
                    <w:rPr>
                      <w:color w:val="auto"/>
                      <w:kern w:val="0"/>
                      <w:szCs w:val="21"/>
                      <w:lang w:bidi="ar"/>
                    </w:rPr>
                    <w:t>336-064-17</w:t>
                  </w:r>
                </w:p>
              </w:tc>
              <w:tc>
                <w:tcPr>
                  <w:tcW w:w="344"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lang w:bidi="ar"/>
                    </w:rPr>
                  </w:pPr>
                  <w:r>
                    <w:rPr>
                      <w:rFonts w:hint="eastAsia"/>
                      <w:color w:val="auto"/>
                      <w:szCs w:val="21"/>
                    </w:rPr>
                    <w:t>12.4</w:t>
                  </w:r>
                </w:p>
              </w:tc>
              <w:tc>
                <w:tcPr>
                  <w:tcW w:w="404" w:type="pct"/>
                  <w:tcBorders>
                    <w:top w:val="single" w:color="auto" w:sz="4" w:space="0"/>
                    <w:tl2br w:val="nil"/>
                    <w:tr2bl w:val="nil"/>
                  </w:tcBorders>
                  <w:tcMar>
                    <w:top w:w="0" w:type="dxa"/>
                    <w:left w:w="0" w:type="dxa"/>
                    <w:bottom w:w="0" w:type="dxa"/>
                    <w:right w:w="0" w:type="dxa"/>
                  </w:tcMar>
                  <w:vAlign w:val="center"/>
                </w:tcPr>
                <w:p>
                  <w:pPr>
                    <w:pStyle w:val="57"/>
                    <w:widowControl w:val="0"/>
                    <w:adjustRightInd w:val="0"/>
                    <w:snapToGrid w:val="0"/>
                    <w:spacing w:before="0" w:beforeAutospacing="0" w:after="0" w:afterAutospacing="0"/>
                    <w:rPr>
                      <w:rFonts w:ascii="Times New Roman" w:hAnsi="Times New Roman"/>
                      <w:bCs/>
                      <w:color w:val="auto"/>
                      <w:sz w:val="21"/>
                      <w:szCs w:val="21"/>
                    </w:rPr>
                  </w:pPr>
                  <w:r>
                    <w:rPr>
                      <w:rFonts w:ascii="Times New Roman" w:hAnsi="Times New Roman"/>
                      <w:bCs/>
                      <w:color w:val="auto"/>
                      <w:sz w:val="21"/>
                      <w:szCs w:val="21"/>
                    </w:rPr>
                    <w:t>桶装</w:t>
                  </w:r>
                </w:p>
              </w:tc>
              <w:tc>
                <w:tcPr>
                  <w:tcW w:w="334" w:type="pct"/>
                  <w:vMerge w:val="restart"/>
                  <w:tcBorders>
                    <w:top w:val="single" w:color="auto" w:sz="4" w:space="0"/>
                    <w:tl2br w:val="nil"/>
                    <w:tr2bl w:val="nil"/>
                  </w:tcBorders>
                  <w:tcMar>
                    <w:top w:w="0" w:type="dxa"/>
                    <w:left w:w="0" w:type="dxa"/>
                    <w:bottom w:w="0" w:type="dxa"/>
                    <w:right w:w="0" w:type="dxa"/>
                  </w:tcMar>
                  <w:vAlign w:val="center"/>
                </w:tcPr>
                <w:p>
                  <w:pPr>
                    <w:pStyle w:val="45"/>
                    <w:rPr>
                      <w:color w:val="auto"/>
                    </w:rPr>
                  </w:pPr>
                  <w:r>
                    <w:rPr>
                      <w:color w:val="auto"/>
                    </w:rPr>
                    <w:t>危废仓库</w:t>
                  </w:r>
                </w:p>
                <w:p>
                  <w:pPr>
                    <w:pStyle w:val="45"/>
                    <w:rPr>
                      <w:color w:val="auto"/>
                    </w:rPr>
                  </w:pPr>
                  <w:r>
                    <w:rPr>
                      <w:rFonts w:hint="eastAsia"/>
                      <w:color w:val="auto"/>
                    </w:rPr>
                    <w:t>30</w:t>
                  </w:r>
                  <w:r>
                    <w:rPr>
                      <w:color w:val="auto"/>
                    </w:rPr>
                    <w:t>m</w:t>
                  </w:r>
                  <w:r>
                    <w:rPr>
                      <w:color w:val="auto"/>
                      <w:vertAlign w:val="superscript"/>
                    </w:rPr>
                    <w:t>2</w:t>
                  </w:r>
                </w:p>
              </w:tc>
              <w:tc>
                <w:tcPr>
                  <w:tcW w:w="459" w:type="pct"/>
                  <w:vMerge w:val="restart"/>
                  <w:tcBorders>
                    <w:top w:val="single" w:color="auto" w:sz="4" w:space="0"/>
                    <w:tl2br w:val="nil"/>
                    <w:tr2bl w:val="nil"/>
                  </w:tcBorders>
                  <w:tcMar>
                    <w:top w:w="0" w:type="dxa"/>
                    <w:left w:w="0" w:type="dxa"/>
                    <w:bottom w:w="0" w:type="dxa"/>
                    <w:right w:w="0" w:type="dxa"/>
                  </w:tcMar>
                  <w:vAlign w:val="center"/>
                </w:tcPr>
                <w:p>
                  <w:pPr>
                    <w:pStyle w:val="45"/>
                    <w:rPr>
                      <w:color w:val="auto"/>
                    </w:rPr>
                  </w:pPr>
                  <w:r>
                    <w:rPr>
                      <w:color w:val="auto"/>
                    </w:rPr>
                    <w:t>委托有资质单位处理</w:t>
                  </w:r>
                </w:p>
              </w:tc>
              <w:tc>
                <w:tcPr>
                  <w:tcW w:w="430" w:type="pct"/>
                  <w:vMerge w:val="restart"/>
                  <w:tcBorders>
                    <w:top w:val="single" w:color="auto" w:sz="4" w:space="0"/>
                    <w:tl2br w:val="nil"/>
                    <w:tr2bl w:val="nil"/>
                  </w:tcBorders>
                  <w:tcMar>
                    <w:top w:w="0" w:type="dxa"/>
                    <w:left w:w="0" w:type="dxa"/>
                    <w:bottom w:w="0" w:type="dxa"/>
                    <w:right w:w="0" w:type="dxa"/>
                  </w:tcMar>
                  <w:vAlign w:val="center"/>
                </w:tcPr>
                <w:p>
                  <w:pPr>
                    <w:pStyle w:val="45"/>
                    <w:rPr>
                      <w:color w:val="auto"/>
                    </w:rPr>
                  </w:pPr>
                  <w:r>
                    <w:rPr>
                      <w:color w:val="auto"/>
                    </w:rPr>
                    <w:t>有资质单位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tcBorders>
                    <w:tl2br w:val="nil"/>
                    <w:tr2bl w:val="nil"/>
                  </w:tcBorders>
                  <w:tcMar>
                    <w:top w:w="0" w:type="dxa"/>
                    <w:left w:w="0" w:type="dxa"/>
                    <w:bottom w:w="0" w:type="dxa"/>
                    <w:right w:w="0" w:type="dxa"/>
                  </w:tcMar>
                  <w:vAlign w:val="center"/>
                </w:tcPr>
                <w:p>
                  <w:pPr>
                    <w:jc w:val="center"/>
                    <w:rPr>
                      <w:color w:val="auto"/>
                      <w:szCs w:val="21"/>
                    </w:rPr>
                  </w:pPr>
                  <w:r>
                    <w:rPr>
                      <w:rFonts w:hint="eastAsia"/>
                      <w:color w:val="auto"/>
                      <w:szCs w:val="21"/>
                    </w:rPr>
                    <w:t>2</w:t>
                  </w:r>
                </w:p>
              </w:tc>
              <w:tc>
                <w:tcPr>
                  <w:tcW w:w="679"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rFonts w:hint="eastAsia"/>
                      <w:color w:val="auto"/>
                      <w:szCs w:val="21"/>
                    </w:rPr>
                    <w:t>陶化废渣（液）</w:t>
                  </w:r>
                </w:p>
              </w:tc>
              <w:tc>
                <w:tcPr>
                  <w:tcW w:w="831"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rPr>
                  </w:pPr>
                  <w:r>
                    <w:rPr>
                      <w:color w:val="auto"/>
                      <w:kern w:val="0"/>
                      <w:szCs w:val="21"/>
                      <w:lang w:bidi="ar"/>
                    </w:rPr>
                    <w:t>陶化工序</w:t>
                  </w:r>
                </w:p>
              </w:tc>
              <w:tc>
                <w:tcPr>
                  <w:tcW w:w="413"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危废</w:t>
                  </w:r>
                </w:p>
              </w:tc>
              <w:tc>
                <w:tcPr>
                  <w:tcW w:w="457" w:type="pct"/>
                  <w:tcBorders>
                    <w:bottom w:val="single" w:color="auto" w:sz="4" w:space="0"/>
                    <w:tl2br w:val="nil"/>
                    <w:tr2bl w:val="nil"/>
                  </w:tcBorders>
                  <w:tcMar>
                    <w:top w:w="0" w:type="dxa"/>
                    <w:left w:w="0" w:type="dxa"/>
                    <w:bottom w:w="0" w:type="dxa"/>
                    <w:right w:w="0" w:type="dxa"/>
                  </w:tcMar>
                  <w:vAlign w:val="center"/>
                </w:tcPr>
                <w:p>
                  <w:pPr>
                    <w:widowControl/>
                    <w:jc w:val="center"/>
                    <w:textAlignment w:val="center"/>
                    <w:rPr>
                      <w:color w:val="auto"/>
                      <w:szCs w:val="21"/>
                      <w:highlight w:val="yellow"/>
                    </w:rPr>
                  </w:pPr>
                  <w:r>
                    <w:rPr>
                      <w:color w:val="auto"/>
                      <w:kern w:val="0"/>
                      <w:szCs w:val="21"/>
                      <w:lang w:bidi="ar"/>
                    </w:rPr>
                    <w:t>HW17</w:t>
                  </w:r>
                </w:p>
              </w:tc>
              <w:tc>
                <w:tcPr>
                  <w:tcW w:w="469" w:type="pct"/>
                  <w:tcBorders>
                    <w:bottom w:val="single" w:color="auto" w:sz="4" w:space="0"/>
                    <w:tl2br w:val="nil"/>
                    <w:tr2bl w:val="nil"/>
                  </w:tcBorders>
                  <w:tcMar>
                    <w:top w:w="0" w:type="dxa"/>
                    <w:left w:w="0" w:type="dxa"/>
                    <w:bottom w:w="0" w:type="dxa"/>
                    <w:right w:w="0" w:type="dxa"/>
                  </w:tcMar>
                  <w:vAlign w:val="center"/>
                </w:tcPr>
                <w:p>
                  <w:pPr>
                    <w:widowControl/>
                    <w:jc w:val="center"/>
                    <w:textAlignment w:val="center"/>
                    <w:rPr>
                      <w:color w:val="auto"/>
                      <w:szCs w:val="21"/>
                      <w:highlight w:val="yellow"/>
                    </w:rPr>
                  </w:pPr>
                  <w:r>
                    <w:rPr>
                      <w:color w:val="auto"/>
                      <w:kern w:val="0"/>
                      <w:szCs w:val="21"/>
                      <w:lang w:bidi="ar"/>
                    </w:rPr>
                    <w:t>336-064-17</w:t>
                  </w:r>
                </w:p>
              </w:tc>
              <w:tc>
                <w:tcPr>
                  <w:tcW w:w="344" w:type="pct"/>
                  <w:tcBorders>
                    <w:bottom w:val="single" w:color="auto" w:sz="4" w:space="0"/>
                    <w:tl2br w:val="nil"/>
                    <w:tr2bl w:val="nil"/>
                  </w:tcBorders>
                  <w:tcMar>
                    <w:top w:w="0" w:type="dxa"/>
                    <w:left w:w="0" w:type="dxa"/>
                    <w:bottom w:w="0" w:type="dxa"/>
                    <w:right w:w="0" w:type="dxa"/>
                  </w:tcMar>
                  <w:vAlign w:val="center"/>
                </w:tcPr>
                <w:p>
                  <w:pPr>
                    <w:widowControl/>
                    <w:jc w:val="center"/>
                    <w:textAlignment w:val="center"/>
                    <w:rPr>
                      <w:color w:val="auto"/>
                      <w:kern w:val="0"/>
                      <w:szCs w:val="21"/>
                    </w:rPr>
                  </w:pPr>
                  <w:r>
                    <w:rPr>
                      <w:rFonts w:hint="eastAsia"/>
                      <w:color w:val="auto"/>
                      <w:szCs w:val="21"/>
                    </w:rPr>
                    <w:t>2.5</w:t>
                  </w:r>
                </w:p>
              </w:tc>
              <w:tc>
                <w:tcPr>
                  <w:tcW w:w="404" w:type="pct"/>
                  <w:tcBorders>
                    <w:bottom w:val="single" w:color="auto" w:sz="4" w:space="0"/>
                    <w:tl2br w:val="nil"/>
                    <w:tr2bl w:val="nil"/>
                  </w:tcBorders>
                  <w:tcMar>
                    <w:top w:w="0" w:type="dxa"/>
                    <w:left w:w="0" w:type="dxa"/>
                    <w:bottom w:w="0" w:type="dxa"/>
                    <w:right w:w="0" w:type="dxa"/>
                  </w:tcMar>
                  <w:vAlign w:val="center"/>
                </w:tcPr>
                <w:p>
                  <w:pPr>
                    <w:pStyle w:val="57"/>
                    <w:widowControl w:val="0"/>
                    <w:adjustRightInd w:val="0"/>
                    <w:snapToGrid w:val="0"/>
                    <w:spacing w:before="0" w:beforeAutospacing="0" w:after="0" w:afterAutospacing="0"/>
                    <w:rPr>
                      <w:rFonts w:ascii="Times New Roman" w:hAnsi="Times New Roman"/>
                      <w:bCs/>
                      <w:color w:val="auto"/>
                      <w:sz w:val="21"/>
                      <w:szCs w:val="21"/>
                    </w:rPr>
                  </w:pPr>
                  <w:r>
                    <w:rPr>
                      <w:rFonts w:ascii="Times New Roman" w:hAnsi="Times New Roman"/>
                      <w:bCs/>
                      <w:color w:val="auto"/>
                      <w:sz w:val="21"/>
                      <w:szCs w:val="21"/>
                    </w:rPr>
                    <w:t>桶装</w:t>
                  </w:r>
                </w:p>
              </w:tc>
              <w:tc>
                <w:tcPr>
                  <w:tcW w:w="334" w:type="pct"/>
                  <w:vMerge w:val="continue"/>
                  <w:tcBorders>
                    <w:tl2br w:val="nil"/>
                    <w:tr2bl w:val="nil"/>
                  </w:tcBorders>
                  <w:tcMar>
                    <w:top w:w="0" w:type="dxa"/>
                    <w:left w:w="0" w:type="dxa"/>
                    <w:bottom w:w="0" w:type="dxa"/>
                    <w:right w:w="0" w:type="dxa"/>
                  </w:tcMar>
                  <w:vAlign w:val="center"/>
                </w:tcPr>
                <w:p>
                  <w:pPr>
                    <w:pStyle w:val="45"/>
                    <w:rPr>
                      <w:color w:val="auto"/>
                    </w:rPr>
                  </w:pPr>
                </w:p>
              </w:tc>
              <w:tc>
                <w:tcPr>
                  <w:tcW w:w="459" w:type="pct"/>
                  <w:vMerge w:val="continue"/>
                  <w:tcBorders>
                    <w:tl2br w:val="nil"/>
                    <w:tr2bl w:val="nil"/>
                  </w:tcBorders>
                  <w:tcMar>
                    <w:top w:w="0" w:type="dxa"/>
                    <w:left w:w="0" w:type="dxa"/>
                    <w:bottom w:w="0" w:type="dxa"/>
                    <w:right w:w="0" w:type="dxa"/>
                  </w:tcMar>
                  <w:vAlign w:val="center"/>
                </w:tcPr>
                <w:p>
                  <w:pPr>
                    <w:pStyle w:val="45"/>
                    <w:rPr>
                      <w:color w:val="auto"/>
                    </w:rPr>
                  </w:pPr>
                </w:p>
              </w:tc>
              <w:tc>
                <w:tcPr>
                  <w:tcW w:w="430" w:type="pct"/>
                  <w:vMerge w:val="continue"/>
                  <w:tcBorders>
                    <w:tl2br w:val="nil"/>
                    <w:tr2bl w:val="nil"/>
                  </w:tcBorders>
                  <w:tcMar>
                    <w:top w:w="0" w:type="dxa"/>
                    <w:left w:w="0" w:type="dxa"/>
                    <w:bottom w:w="0" w:type="dxa"/>
                    <w:right w:w="0" w:type="dxa"/>
                  </w:tcMar>
                  <w:vAlign w:val="center"/>
                </w:tcPr>
                <w:p>
                  <w:pPr>
                    <w:pStyle w:val="45"/>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tcBorders>
                    <w:tl2br w:val="nil"/>
                    <w:tr2bl w:val="nil"/>
                  </w:tcBorders>
                  <w:tcMar>
                    <w:top w:w="0" w:type="dxa"/>
                    <w:left w:w="0" w:type="dxa"/>
                    <w:bottom w:w="0" w:type="dxa"/>
                    <w:right w:w="0" w:type="dxa"/>
                  </w:tcMar>
                  <w:vAlign w:val="center"/>
                </w:tcPr>
                <w:p>
                  <w:pPr>
                    <w:jc w:val="center"/>
                    <w:rPr>
                      <w:color w:val="auto"/>
                      <w:kern w:val="0"/>
                      <w:szCs w:val="21"/>
                    </w:rPr>
                  </w:pPr>
                  <w:r>
                    <w:rPr>
                      <w:rFonts w:hint="eastAsia"/>
                      <w:color w:val="auto"/>
                      <w:szCs w:val="21"/>
                    </w:rPr>
                    <w:t>3</w:t>
                  </w:r>
                </w:p>
              </w:tc>
              <w:tc>
                <w:tcPr>
                  <w:tcW w:w="679"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color w:val="auto"/>
                      <w:kern w:val="0"/>
                      <w:szCs w:val="21"/>
                      <w:lang w:bidi="ar"/>
                    </w:rPr>
                    <w:t>废包装桶</w:t>
                  </w:r>
                </w:p>
              </w:tc>
              <w:tc>
                <w:tcPr>
                  <w:tcW w:w="831"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color w:val="auto"/>
                      <w:szCs w:val="21"/>
                    </w:rPr>
                    <w:t>脱脂剂、脱脂助剂、无磷转化液、硅烷化处理剂等使用过程会产生废包装桶</w:t>
                  </w:r>
                </w:p>
              </w:tc>
              <w:tc>
                <w:tcPr>
                  <w:tcW w:w="413"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危废</w:t>
                  </w:r>
                </w:p>
              </w:tc>
              <w:tc>
                <w:tcPr>
                  <w:tcW w:w="457" w:type="pct"/>
                  <w:tcBorders>
                    <w:tl2br w:val="nil"/>
                    <w:tr2bl w:val="nil"/>
                  </w:tcBorders>
                  <w:tcMar>
                    <w:top w:w="0" w:type="dxa"/>
                    <w:left w:w="0" w:type="dxa"/>
                    <w:bottom w:w="0" w:type="dxa"/>
                    <w:right w:w="0" w:type="dxa"/>
                  </w:tcMar>
                  <w:vAlign w:val="center"/>
                </w:tcPr>
                <w:p>
                  <w:pPr>
                    <w:widowControl/>
                    <w:jc w:val="center"/>
                    <w:textAlignment w:val="center"/>
                    <w:rPr>
                      <w:color w:val="auto"/>
                      <w:szCs w:val="21"/>
                      <w:highlight w:val="yellow"/>
                    </w:rPr>
                  </w:pPr>
                  <w:r>
                    <w:rPr>
                      <w:color w:val="auto"/>
                      <w:szCs w:val="21"/>
                    </w:rPr>
                    <w:t>HW49</w:t>
                  </w:r>
                </w:p>
              </w:tc>
              <w:tc>
                <w:tcPr>
                  <w:tcW w:w="469" w:type="pct"/>
                  <w:tcBorders>
                    <w:tl2br w:val="nil"/>
                    <w:tr2bl w:val="nil"/>
                  </w:tcBorders>
                  <w:tcMar>
                    <w:top w:w="0" w:type="dxa"/>
                    <w:left w:w="0" w:type="dxa"/>
                    <w:bottom w:w="0" w:type="dxa"/>
                    <w:right w:w="0" w:type="dxa"/>
                  </w:tcMar>
                  <w:vAlign w:val="center"/>
                </w:tcPr>
                <w:p>
                  <w:pPr>
                    <w:widowControl/>
                    <w:jc w:val="center"/>
                    <w:textAlignment w:val="center"/>
                    <w:rPr>
                      <w:color w:val="auto"/>
                      <w:szCs w:val="21"/>
                      <w:highlight w:val="yellow"/>
                    </w:rPr>
                  </w:pPr>
                  <w:r>
                    <w:rPr>
                      <w:color w:val="auto"/>
                      <w:szCs w:val="21"/>
                    </w:rPr>
                    <w:t>900-041-49</w:t>
                  </w:r>
                </w:p>
              </w:tc>
              <w:tc>
                <w:tcPr>
                  <w:tcW w:w="344"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rPr>
                  </w:pPr>
                  <w:r>
                    <w:rPr>
                      <w:rFonts w:hint="eastAsia"/>
                      <w:color w:val="auto"/>
                      <w:szCs w:val="21"/>
                    </w:rPr>
                    <w:t>1</w:t>
                  </w:r>
                </w:p>
              </w:tc>
              <w:tc>
                <w:tcPr>
                  <w:tcW w:w="404" w:type="pct"/>
                  <w:tcBorders>
                    <w:right w:val="single" w:color="auto" w:sz="4" w:space="0"/>
                    <w:tl2br w:val="nil"/>
                    <w:tr2bl w:val="nil"/>
                  </w:tcBorders>
                  <w:tcMar>
                    <w:top w:w="0" w:type="dxa"/>
                    <w:left w:w="0" w:type="dxa"/>
                    <w:bottom w:w="0" w:type="dxa"/>
                    <w:right w:w="0" w:type="dxa"/>
                  </w:tcMar>
                  <w:vAlign w:val="center"/>
                </w:tcPr>
                <w:p>
                  <w:pPr>
                    <w:pStyle w:val="57"/>
                    <w:widowControl w:val="0"/>
                    <w:adjustRightInd w:val="0"/>
                    <w:snapToGrid w:val="0"/>
                    <w:spacing w:before="0" w:beforeAutospacing="0" w:after="0" w:afterAutospacing="0"/>
                    <w:rPr>
                      <w:rFonts w:ascii="Times New Roman" w:hAnsi="Times New Roman"/>
                      <w:bCs/>
                      <w:color w:val="auto"/>
                      <w:sz w:val="21"/>
                      <w:szCs w:val="21"/>
                    </w:rPr>
                  </w:pPr>
                  <w:r>
                    <w:rPr>
                      <w:rFonts w:hint="eastAsia" w:ascii="Times New Roman" w:hAnsi="Times New Roman"/>
                      <w:bCs/>
                      <w:color w:val="auto"/>
                      <w:sz w:val="21"/>
                      <w:szCs w:val="21"/>
                    </w:rPr>
                    <w:t>堆放</w:t>
                  </w:r>
                </w:p>
              </w:tc>
              <w:tc>
                <w:tcPr>
                  <w:tcW w:w="334" w:type="pct"/>
                  <w:vMerge w:val="continue"/>
                  <w:tcBorders>
                    <w:tl2br w:val="nil"/>
                    <w:tr2bl w:val="nil"/>
                  </w:tcBorders>
                  <w:tcMar>
                    <w:top w:w="0" w:type="dxa"/>
                    <w:left w:w="0" w:type="dxa"/>
                    <w:bottom w:w="0" w:type="dxa"/>
                    <w:right w:w="0" w:type="dxa"/>
                  </w:tcMar>
                  <w:vAlign w:val="center"/>
                </w:tcPr>
                <w:p>
                  <w:pPr>
                    <w:pStyle w:val="45"/>
                    <w:rPr>
                      <w:color w:val="auto"/>
                    </w:rPr>
                  </w:pPr>
                </w:p>
              </w:tc>
              <w:tc>
                <w:tcPr>
                  <w:tcW w:w="459" w:type="pct"/>
                  <w:vMerge w:val="continue"/>
                  <w:tcBorders>
                    <w:tl2br w:val="nil"/>
                    <w:tr2bl w:val="nil"/>
                  </w:tcBorders>
                  <w:tcMar>
                    <w:top w:w="0" w:type="dxa"/>
                    <w:left w:w="0" w:type="dxa"/>
                    <w:bottom w:w="0" w:type="dxa"/>
                    <w:right w:w="0" w:type="dxa"/>
                  </w:tcMar>
                  <w:vAlign w:val="center"/>
                </w:tcPr>
                <w:p>
                  <w:pPr>
                    <w:pStyle w:val="45"/>
                    <w:rPr>
                      <w:color w:val="auto"/>
                    </w:rPr>
                  </w:pPr>
                </w:p>
              </w:tc>
              <w:tc>
                <w:tcPr>
                  <w:tcW w:w="430" w:type="pct"/>
                  <w:vMerge w:val="continue"/>
                  <w:tcBorders>
                    <w:tl2br w:val="nil"/>
                    <w:tr2bl w:val="nil"/>
                  </w:tcBorders>
                  <w:tcMar>
                    <w:top w:w="0" w:type="dxa"/>
                    <w:left w:w="0" w:type="dxa"/>
                    <w:bottom w:w="0" w:type="dxa"/>
                    <w:right w:w="0" w:type="dxa"/>
                  </w:tcMar>
                  <w:vAlign w:val="center"/>
                </w:tcPr>
                <w:p>
                  <w:pPr>
                    <w:pStyle w:val="45"/>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tcBorders>
                    <w:tl2br w:val="nil"/>
                    <w:tr2bl w:val="nil"/>
                  </w:tcBorders>
                  <w:tcMar>
                    <w:top w:w="0" w:type="dxa"/>
                    <w:left w:w="0" w:type="dxa"/>
                    <w:bottom w:w="0" w:type="dxa"/>
                    <w:right w:w="0" w:type="dxa"/>
                  </w:tcMar>
                  <w:vAlign w:val="center"/>
                </w:tcPr>
                <w:p>
                  <w:pPr>
                    <w:autoSpaceDN w:val="0"/>
                    <w:adjustRightInd w:val="0"/>
                    <w:snapToGrid w:val="0"/>
                    <w:jc w:val="center"/>
                    <w:rPr>
                      <w:color w:val="auto"/>
                      <w:szCs w:val="21"/>
                    </w:rPr>
                  </w:pPr>
                  <w:r>
                    <w:rPr>
                      <w:rFonts w:hint="eastAsia"/>
                      <w:color w:val="auto"/>
                      <w:szCs w:val="21"/>
                    </w:rPr>
                    <w:t>4</w:t>
                  </w:r>
                </w:p>
              </w:tc>
              <w:tc>
                <w:tcPr>
                  <w:tcW w:w="679"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color w:val="auto"/>
                      <w:szCs w:val="21"/>
                    </w:rPr>
                    <w:t>废活性炭</w:t>
                  </w:r>
                </w:p>
              </w:tc>
              <w:tc>
                <w:tcPr>
                  <w:tcW w:w="831"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color w:val="auto"/>
                      <w:szCs w:val="21"/>
                    </w:rPr>
                    <w:t>有机废气处理</w:t>
                  </w:r>
                </w:p>
              </w:tc>
              <w:tc>
                <w:tcPr>
                  <w:tcW w:w="413"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危废</w:t>
                  </w:r>
                </w:p>
              </w:tc>
              <w:tc>
                <w:tcPr>
                  <w:tcW w:w="457"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color w:val="auto"/>
                      <w:szCs w:val="21"/>
                    </w:rPr>
                    <w:t>HW49</w:t>
                  </w:r>
                </w:p>
              </w:tc>
              <w:tc>
                <w:tcPr>
                  <w:tcW w:w="469"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color w:val="auto"/>
                      <w:szCs w:val="21"/>
                    </w:rPr>
                    <w:t>900-0</w:t>
                  </w:r>
                  <w:r>
                    <w:rPr>
                      <w:rFonts w:hint="eastAsia"/>
                      <w:color w:val="auto"/>
                      <w:szCs w:val="21"/>
                    </w:rPr>
                    <w:t>39</w:t>
                  </w:r>
                  <w:r>
                    <w:rPr>
                      <w:color w:val="auto"/>
                      <w:szCs w:val="21"/>
                    </w:rPr>
                    <w:t>-49</w:t>
                  </w:r>
                </w:p>
              </w:tc>
              <w:tc>
                <w:tcPr>
                  <w:tcW w:w="344"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rPr>
                  </w:pPr>
                  <w:r>
                    <w:rPr>
                      <w:rFonts w:hint="eastAsia"/>
                      <w:color w:val="auto"/>
                      <w:szCs w:val="21"/>
                    </w:rPr>
                    <w:t>3.2617</w:t>
                  </w:r>
                </w:p>
              </w:tc>
              <w:tc>
                <w:tcPr>
                  <w:tcW w:w="404" w:type="pct"/>
                  <w:tcBorders>
                    <w:right w:val="single" w:color="auto" w:sz="4" w:space="0"/>
                    <w:tl2br w:val="nil"/>
                    <w:tr2bl w:val="nil"/>
                  </w:tcBorders>
                  <w:tcMar>
                    <w:top w:w="0" w:type="dxa"/>
                    <w:left w:w="0" w:type="dxa"/>
                    <w:bottom w:w="0" w:type="dxa"/>
                    <w:right w:w="0" w:type="dxa"/>
                  </w:tcMar>
                  <w:vAlign w:val="center"/>
                </w:tcPr>
                <w:p>
                  <w:pPr>
                    <w:adjustRightInd w:val="0"/>
                    <w:snapToGrid w:val="0"/>
                    <w:jc w:val="center"/>
                    <w:rPr>
                      <w:bCs/>
                      <w:color w:val="auto"/>
                      <w:kern w:val="0"/>
                      <w:szCs w:val="21"/>
                    </w:rPr>
                  </w:pPr>
                  <w:r>
                    <w:rPr>
                      <w:bCs/>
                      <w:color w:val="auto"/>
                      <w:kern w:val="0"/>
                      <w:szCs w:val="21"/>
                    </w:rPr>
                    <w:t>袋装</w:t>
                  </w:r>
                </w:p>
              </w:tc>
              <w:tc>
                <w:tcPr>
                  <w:tcW w:w="334" w:type="pct"/>
                  <w:vMerge w:val="continue"/>
                  <w:tcBorders>
                    <w:tl2br w:val="nil"/>
                    <w:tr2bl w:val="nil"/>
                  </w:tcBorders>
                  <w:tcMar>
                    <w:top w:w="0" w:type="dxa"/>
                    <w:left w:w="0" w:type="dxa"/>
                    <w:bottom w:w="0" w:type="dxa"/>
                    <w:right w:w="0" w:type="dxa"/>
                  </w:tcMar>
                  <w:vAlign w:val="center"/>
                </w:tcPr>
                <w:p>
                  <w:pPr>
                    <w:pStyle w:val="45"/>
                    <w:rPr>
                      <w:color w:val="auto"/>
                    </w:rPr>
                  </w:pPr>
                </w:p>
              </w:tc>
              <w:tc>
                <w:tcPr>
                  <w:tcW w:w="459" w:type="pct"/>
                  <w:vMerge w:val="continue"/>
                  <w:tcBorders>
                    <w:tl2br w:val="nil"/>
                    <w:tr2bl w:val="nil"/>
                  </w:tcBorders>
                  <w:tcMar>
                    <w:top w:w="0" w:type="dxa"/>
                    <w:left w:w="0" w:type="dxa"/>
                    <w:bottom w:w="0" w:type="dxa"/>
                    <w:right w:w="0" w:type="dxa"/>
                  </w:tcMar>
                  <w:vAlign w:val="center"/>
                </w:tcPr>
                <w:p>
                  <w:pPr>
                    <w:pStyle w:val="45"/>
                    <w:rPr>
                      <w:color w:val="auto"/>
                    </w:rPr>
                  </w:pPr>
                </w:p>
              </w:tc>
              <w:tc>
                <w:tcPr>
                  <w:tcW w:w="430" w:type="pct"/>
                  <w:vMerge w:val="continue"/>
                  <w:tcBorders>
                    <w:tl2br w:val="nil"/>
                    <w:tr2bl w:val="nil"/>
                  </w:tcBorders>
                  <w:tcMar>
                    <w:top w:w="0" w:type="dxa"/>
                    <w:left w:w="0" w:type="dxa"/>
                    <w:bottom w:w="0" w:type="dxa"/>
                    <w:right w:w="0" w:type="dxa"/>
                  </w:tcMar>
                  <w:vAlign w:val="center"/>
                </w:tcPr>
                <w:p>
                  <w:pPr>
                    <w:pStyle w:val="45"/>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6" w:hRule="atLeast"/>
                <w:jc w:val="center"/>
              </w:trPr>
              <w:tc>
                <w:tcPr>
                  <w:tcW w:w="178" w:type="pct"/>
                  <w:tcBorders>
                    <w:tl2br w:val="nil"/>
                    <w:tr2bl w:val="nil"/>
                  </w:tcBorders>
                  <w:tcMar>
                    <w:top w:w="0" w:type="dxa"/>
                    <w:left w:w="0" w:type="dxa"/>
                    <w:bottom w:w="0" w:type="dxa"/>
                    <w:right w:w="0" w:type="dxa"/>
                  </w:tcMar>
                  <w:vAlign w:val="center"/>
                </w:tcPr>
                <w:p>
                  <w:pPr>
                    <w:autoSpaceDN w:val="0"/>
                    <w:adjustRightInd w:val="0"/>
                    <w:snapToGrid w:val="0"/>
                    <w:jc w:val="center"/>
                    <w:rPr>
                      <w:color w:val="auto"/>
                      <w:kern w:val="0"/>
                      <w:szCs w:val="21"/>
                    </w:rPr>
                  </w:pPr>
                  <w:r>
                    <w:rPr>
                      <w:rFonts w:hint="eastAsia"/>
                      <w:color w:val="auto"/>
                      <w:szCs w:val="21"/>
                    </w:rPr>
                    <w:t>5</w:t>
                  </w:r>
                </w:p>
              </w:tc>
              <w:tc>
                <w:tcPr>
                  <w:tcW w:w="679" w:type="pct"/>
                  <w:tcBorders>
                    <w:tl2br w:val="nil"/>
                    <w:tr2bl w:val="nil"/>
                  </w:tcBorders>
                  <w:tcMar>
                    <w:top w:w="0" w:type="dxa"/>
                    <w:left w:w="0" w:type="dxa"/>
                    <w:bottom w:w="0" w:type="dxa"/>
                    <w:right w:w="0" w:type="dxa"/>
                  </w:tcMar>
                  <w:vAlign w:val="center"/>
                </w:tcPr>
                <w:p>
                  <w:pPr>
                    <w:widowControl/>
                    <w:jc w:val="center"/>
                    <w:textAlignment w:val="center"/>
                    <w:rPr>
                      <w:bCs/>
                      <w:color w:val="auto"/>
                      <w:szCs w:val="21"/>
                    </w:rPr>
                  </w:pPr>
                  <w:r>
                    <w:rPr>
                      <w:color w:val="auto"/>
                      <w:kern w:val="0"/>
                      <w:szCs w:val="21"/>
                      <w:lang w:bidi="ar"/>
                    </w:rPr>
                    <w:t>废油</w:t>
                  </w:r>
                </w:p>
              </w:tc>
              <w:tc>
                <w:tcPr>
                  <w:tcW w:w="831" w:type="pct"/>
                  <w:tcBorders>
                    <w:tl2br w:val="nil"/>
                    <w:tr2bl w:val="nil"/>
                  </w:tcBorders>
                  <w:tcMar>
                    <w:top w:w="0" w:type="dxa"/>
                    <w:left w:w="0" w:type="dxa"/>
                    <w:bottom w:w="0" w:type="dxa"/>
                    <w:right w:w="0" w:type="dxa"/>
                  </w:tcMar>
                  <w:vAlign w:val="center"/>
                </w:tcPr>
                <w:p>
                  <w:pPr>
                    <w:widowControl/>
                    <w:jc w:val="center"/>
                    <w:textAlignment w:val="center"/>
                    <w:rPr>
                      <w:bCs/>
                      <w:color w:val="auto"/>
                      <w:szCs w:val="21"/>
                    </w:rPr>
                  </w:pPr>
                  <w:r>
                    <w:rPr>
                      <w:color w:val="auto"/>
                      <w:szCs w:val="21"/>
                    </w:rPr>
                    <w:t>设备维护保养过程产生废液压油、废润滑油</w:t>
                  </w:r>
                </w:p>
              </w:tc>
              <w:tc>
                <w:tcPr>
                  <w:tcW w:w="413" w:type="pct"/>
                  <w:tcBorders>
                    <w:tl2br w:val="nil"/>
                    <w:tr2bl w:val="nil"/>
                  </w:tcBorders>
                  <w:tcMar>
                    <w:top w:w="0" w:type="dxa"/>
                    <w:left w:w="0" w:type="dxa"/>
                    <w:bottom w:w="0" w:type="dxa"/>
                    <w:right w:w="0" w:type="dxa"/>
                  </w:tcMar>
                  <w:vAlign w:val="center"/>
                </w:tcPr>
                <w:p>
                  <w:pPr>
                    <w:adjustRightInd w:val="0"/>
                    <w:snapToGrid w:val="0"/>
                    <w:jc w:val="center"/>
                    <w:rPr>
                      <w:snapToGrid w:val="0"/>
                      <w:color w:val="auto"/>
                      <w:szCs w:val="21"/>
                    </w:rPr>
                  </w:pPr>
                  <w:r>
                    <w:rPr>
                      <w:color w:val="auto"/>
                      <w:szCs w:val="21"/>
                    </w:rPr>
                    <w:t>危废</w:t>
                  </w:r>
                </w:p>
              </w:tc>
              <w:tc>
                <w:tcPr>
                  <w:tcW w:w="457" w:type="pct"/>
                  <w:tcBorders>
                    <w:bottom w:val="single" w:color="auto" w:sz="4" w:space="0"/>
                    <w:tl2br w:val="nil"/>
                    <w:tr2bl w:val="nil"/>
                  </w:tcBorders>
                  <w:tcMar>
                    <w:top w:w="0" w:type="dxa"/>
                    <w:left w:w="0" w:type="dxa"/>
                    <w:bottom w:w="0" w:type="dxa"/>
                    <w:right w:w="0" w:type="dxa"/>
                  </w:tcMar>
                  <w:vAlign w:val="center"/>
                </w:tcPr>
                <w:p>
                  <w:pPr>
                    <w:jc w:val="center"/>
                    <w:textAlignment w:val="center"/>
                    <w:rPr>
                      <w:rFonts w:ascii="Times New Roman" w:hAnsi="Times New Roman" w:eastAsia="宋体" w:cs="Times New Roman"/>
                      <w:color w:val="auto"/>
                      <w:kern w:val="2"/>
                      <w:sz w:val="21"/>
                      <w:szCs w:val="21"/>
                      <w:highlight w:val="yellow"/>
                      <w:lang w:val="en-US" w:eastAsia="zh-CN" w:bidi="ar-SA"/>
                    </w:rPr>
                  </w:pPr>
                  <w:r>
                    <w:rPr>
                      <w:color w:val="auto"/>
                      <w:kern w:val="0"/>
                      <w:szCs w:val="21"/>
                      <w:lang w:bidi="ar"/>
                    </w:rPr>
                    <w:t>HW08</w:t>
                  </w:r>
                </w:p>
              </w:tc>
              <w:tc>
                <w:tcPr>
                  <w:tcW w:w="469" w:type="pct"/>
                  <w:tcBorders>
                    <w:bottom w:val="single" w:color="auto" w:sz="4" w:space="0"/>
                    <w:tl2br w:val="nil"/>
                    <w:tr2bl w:val="nil"/>
                  </w:tcBorders>
                  <w:tcMar>
                    <w:top w:w="0" w:type="dxa"/>
                    <w:left w:w="0" w:type="dxa"/>
                    <w:bottom w:w="0" w:type="dxa"/>
                    <w:right w:w="0" w:type="dxa"/>
                  </w:tcMar>
                  <w:vAlign w:val="center"/>
                </w:tcPr>
                <w:p>
                  <w:pPr>
                    <w:jc w:val="center"/>
                    <w:textAlignment w:val="center"/>
                    <w:rPr>
                      <w:rFonts w:ascii="Times New Roman" w:hAnsi="Times New Roman" w:eastAsia="宋体" w:cs="Times New Roman"/>
                      <w:color w:val="auto"/>
                      <w:kern w:val="2"/>
                      <w:sz w:val="21"/>
                      <w:szCs w:val="21"/>
                      <w:highlight w:val="yellow"/>
                      <w:lang w:val="en-US" w:eastAsia="zh-CN" w:bidi="ar-SA"/>
                    </w:rPr>
                  </w:pPr>
                  <w:r>
                    <w:rPr>
                      <w:color w:val="auto"/>
                      <w:szCs w:val="21"/>
                      <w:shd w:val="clear" w:color="auto" w:fill="FFFFFF"/>
                    </w:rPr>
                    <w:t>900-2</w:t>
                  </w:r>
                  <w:r>
                    <w:rPr>
                      <w:rFonts w:hint="eastAsia"/>
                      <w:color w:val="auto"/>
                      <w:szCs w:val="21"/>
                      <w:shd w:val="clear" w:color="auto" w:fill="FFFFFF"/>
                      <w:lang w:val="en-US" w:eastAsia="zh-CN"/>
                    </w:rPr>
                    <w:t>49</w:t>
                  </w:r>
                  <w:r>
                    <w:rPr>
                      <w:color w:val="auto"/>
                      <w:szCs w:val="21"/>
                      <w:shd w:val="clear" w:color="auto" w:fill="FFFFFF"/>
                    </w:rPr>
                    <w:t>-08</w:t>
                  </w:r>
                </w:p>
              </w:tc>
              <w:tc>
                <w:tcPr>
                  <w:tcW w:w="344" w:type="pct"/>
                  <w:tcBorders>
                    <w:bottom w:val="single" w:color="auto" w:sz="4" w:space="0"/>
                    <w:tl2br w:val="nil"/>
                    <w:tr2bl w:val="nil"/>
                  </w:tcBorders>
                  <w:tcMar>
                    <w:top w:w="0" w:type="dxa"/>
                    <w:left w:w="0" w:type="dxa"/>
                    <w:bottom w:w="0" w:type="dxa"/>
                    <w:right w:w="0" w:type="dxa"/>
                  </w:tcMar>
                  <w:vAlign w:val="center"/>
                </w:tcPr>
                <w:p>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color w:val="auto"/>
                      <w:kern w:val="0"/>
                      <w:szCs w:val="21"/>
                      <w:lang w:bidi="ar"/>
                    </w:rPr>
                    <w:t>0.0</w:t>
                  </w:r>
                  <w:r>
                    <w:rPr>
                      <w:rFonts w:hint="eastAsia"/>
                      <w:color w:val="auto"/>
                      <w:kern w:val="0"/>
                      <w:szCs w:val="21"/>
                      <w:lang w:val="en-US" w:eastAsia="zh-CN" w:bidi="ar"/>
                    </w:rPr>
                    <w:t>6</w:t>
                  </w:r>
                </w:p>
              </w:tc>
              <w:tc>
                <w:tcPr>
                  <w:tcW w:w="404" w:type="pct"/>
                  <w:tcBorders>
                    <w:right w:val="single" w:color="auto" w:sz="4" w:space="0"/>
                    <w:tl2br w:val="nil"/>
                    <w:tr2bl w:val="nil"/>
                  </w:tcBorders>
                  <w:tcMar>
                    <w:top w:w="0" w:type="dxa"/>
                    <w:left w:w="0" w:type="dxa"/>
                    <w:bottom w:w="0" w:type="dxa"/>
                    <w:right w:w="0" w:type="dxa"/>
                  </w:tcMar>
                  <w:vAlign w:val="center"/>
                </w:tcPr>
                <w:p>
                  <w:pPr>
                    <w:adjustRightInd w:val="0"/>
                    <w:snapToGrid w:val="0"/>
                    <w:jc w:val="center"/>
                    <w:rPr>
                      <w:bCs/>
                      <w:color w:val="auto"/>
                      <w:szCs w:val="21"/>
                    </w:rPr>
                  </w:pPr>
                  <w:r>
                    <w:rPr>
                      <w:bCs/>
                      <w:color w:val="auto"/>
                      <w:szCs w:val="21"/>
                    </w:rPr>
                    <w:t>桶</w:t>
                  </w:r>
                  <w:r>
                    <w:rPr>
                      <w:bCs/>
                      <w:color w:val="auto"/>
                      <w:kern w:val="0"/>
                      <w:szCs w:val="21"/>
                    </w:rPr>
                    <w:t>装</w:t>
                  </w:r>
                </w:p>
              </w:tc>
              <w:tc>
                <w:tcPr>
                  <w:tcW w:w="334" w:type="pct"/>
                  <w:vMerge w:val="continue"/>
                  <w:tcBorders>
                    <w:tl2br w:val="nil"/>
                    <w:tr2bl w:val="nil"/>
                  </w:tcBorders>
                  <w:tcMar>
                    <w:top w:w="0" w:type="dxa"/>
                    <w:left w:w="0" w:type="dxa"/>
                    <w:bottom w:w="0" w:type="dxa"/>
                    <w:right w:w="0" w:type="dxa"/>
                  </w:tcMar>
                  <w:vAlign w:val="center"/>
                </w:tcPr>
                <w:p>
                  <w:pPr>
                    <w:pStyle w:val="45"/>
                    <w:rPr>
                      <w:color w:val="auto"/>
                    </w:rPr>
                  </w:pPr>
                </w:p>
              </w:tc>
              <w:tc>
                <w:tcPr>
                  <w:tcW w:w="459" w:type="pct"/>
                  <w:vMerge w:val="continue"/>
                  <w:tcBorders>
                    <w:tl2br w:val="nil"/>
                    <w:tr2bl w:val="nil"/>
                  </w:tcBorders>
                  <w:tcMar>
                    <w:top w:w="0" w:type="dxa"/>
                    <w:left w:w="0" w:type="dxa"/>
                    <w:bottom w:w="0" w:type="dxa"/>
                    <w:right w:w="0" w:type="dxa"/>
                  </w:tcMar>
                  <w:vAlign w:val="center"/>
                </w:tcPr>
                <w:p>
                  <w:pPr>
                    <w:pStyle w:val="45"/>
                    <w:rPr>
                      <w:color w:val="auto"/>
                    </w:rPr>
                  </w:pPr>
                </w:p>
              </w:tc>
              <w:tc>
                <w:tcPr>
                  <w:tcW w:w="430" w:type="pct"/>
                  <w:vMerge w:val="continue"/>
                  <w:tcBorders>
                    <w:tl2br w:val="nil"/>
                    <w:tr2bl w:val="nil"/>
                  </w:tcBorders>
                  <w:tcMar>
                    <w:top w:w="0" w:type="dxa"/>
                    <w:left w:w="0" w:type="dxa"/>
                    <w:bottom w:w="0" w:type="dxa"/>
                    <w:right w:w="0" w:type="dxa"/>
                  </w:tcMar>
                  <w:vAlign w:val="center"/>
                </w:tcPr>
                <w:p>
                  <w:pPr>
                    <w:pStyle w:val="45"/>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2" w:hRule="atLeast"/>
                <w:jc w:val="center"/>
              </w:trPr>
              <w:tc>
                <w:tcPr>
                  <w:tcW w:w="178" w:type="pct"/>
                  <w:tcBorders>
                    <w:tl2br w:val="nil"/>
                    <w:tr2bl w:val="nil"/>
                  </w:tcBorders>
                  <w:tcMar>
                    <w:top w:w="0" w:type="dxa"/>
                    <w:left w:w="0" w:type="dxa"/>
                    <w:bottom w:w="0" w:type="dxa"/>
                    <w:right w:w="0" w:type="dxa"/>
                  </w:tcMar>
                  <w:vAlign w:val="center"/>
                </w:tcPr>
                <w:p>
                  <w:pPr>
                    <w:autoSpaceDN w:val="0"/>
                    <w:adjustRightInd w:val="0"/>
                    <w:snapToGrid w:val="0"/>
                    <w:jc w:val="center"/>
                    <w:rPr>
                      <w:color w:val="auto"/>
                      <w:szCs w:val="21"/>
                    </w:rPr>
                  </w:pPr>
                  <w:r>
                    <w:rPr>
                      <w:rFonts w:hint="eastAsia"/>
                      <w:color w:val="auto"/>
                      <w:szCs w:val="21"/>
                    </w:rPr>
                    <w:t>6</w:t>
                  </w:r>
                </w:p>
              </w:tc>
              <w:tc>
                <w:tcPr>
                  <w:tcW w:w="679"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color w:val="auto"/>
                      <w:szCs w:val="21"/>
                    </w:rPr>
                    <w:t>含油废抹布手套</w:t>
                  </w:r>
                </w:p>
              </w:tc>
              <w:tc>
                <w:tcPr>
                  <w:tcW w:w="831"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color w:val="auto"/>
                      <w:kern w:val="0"/>
                      <w:szCs w:val="21"/>
                      <w:lang w:bidi="ar"/>
                    </w:rPr>
                    <w:t>生产过程、维护保养过程</w:t>
                  </w:r>
                </w:p>
              </w:tc>
              <w:tc>
                <w:tcPr>
                  <w:tcW w:w="413" w:type="pct"/>
                  <w:tcBorders>
                    <w:tl2br w:val="nil"/>
                    <w:tr2bl w:val="nil"/>
                  </w:tcBorders>
                  <w:tcMar>
                    <w:top w:w="0" w:type="dxa"/>
                    <w:left w:w="0" w:type="dxa"/>
                    <w:bottom w:w="0" w:type="dxa"/>
                    <w:right w:w="0" w:type="dxa"/>
                  </w:tcMar>
                  <w:vAlign w:val="center"/>
                </w:tcPr>
                <w:p>
                  <w:pPr>
                    <w:adjustRightInd w:val="0"/>
                    <w:snapToGrid w:val="0"/>
                    <w:jc w:val="center"/>
                    <w:rPr>
                      <w:snapToGrid w:val="0"/>
                      <w:color w:val="auto"/>
                      <w:szCs w:val="21"/>
                    </w:rPr>
                  </w:pPr>
                  <w:r>
                    <w:rPr>
                      <w:color w:val="auto"/>
                      <w:szCs w:val="21"/>
                    </w:rPr>
                    <w:t>危废</w:t>
                  </w:r>
                </w:p>
              </w:tc>
              <w:tc>
                <w:tcPr>
                  <w:tcW w:w="457" w:type="pct"/>
                  <w:tcBorders>
                    <w:tl2br w:val="nil"/>
                    <w:tr2bl w:val="nil"/>
                  </w:tcBorders>
                  <w:tcMar>
                    <w:top w:w="0" w:type="dxa"/>
                    <w:left w:w="0" w:type="dxa"/>
                    <w:bottom w:w="0" w:type="dxa"/>
                    <w:right w:w="0" w:type="dxa"/>
                  </w:tcMar>
                  <w:vAlign w:val="center"/>
                </w:tcPr>
                <w:p>
                  <w:pPr>
                    <w:widowControl/>
                    <w:jc w:val="center"/>
                    <w:textAlignment w:val="center"/>
                    <w:rPr>
                      <w:color w:val="auto"/>
                      <w:szCs w:val="21"/>
                      <w:highlight w:val="yellow"/>
                    </w:rPr>
                  </w:pPr>
                  <w:r>
                    <w:rPr>
                      <w:color w:val="auto"/>
                      <w:szCs w:val="21"/>
                    </w:rPr>
                    <w:t>HW49</w:t>
                  </w:r>
                </w:p>
              </w:tc>
              <w:tc>
                <w:tcPr>
                  <w:tcW w:w="469" w:type="pct"/>
                  <w:tcBorders>
                    <w:tl2br w:val="nil"/>
                    <w:tr2bl w:val="nil"/>
                  </w:tcBorders>
                  <w:tcMar>
                    <w:top w:w="0" w:type="dxa"/>
                    <w:left w:w="0" w:type="dxa"/>
                    <w:bottom w:w="0" w:type="dxa"/>
                    <w:right w:w="0" w:type="dxa"/>
                  </w:tcMar>
                  <w:vAlign w:val="center"/>
                </w:tcPr>
                <w:p>
                  <w:pPr>
                    <w:widowControl/>
                    <w:jc w:val="center"/>
                    <w:textAlignment w:val="center"/>
                    <w:rPr>
                      <w:bCs/>
                      <w:color w:val="auto"/>
                      <w:szCs w:val="21"/>
                      <w:highlight w:val="yellow"/>
                    </w:rPr>
                  </w:pPr>
                  <w:r>
                    <w:rPr>
                      <w:color w:val="auto"/>
                      <w:szCs w:val="21"/>
                    </w:rPr>
                    <w:t>900-041-49</w:t>
                  </w:r>
                </w:p>
              </w:tc>
              <w:tc>
                <w:tcPr>
                  <w:tcW w:w="344"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rFonts w:hint="eastAsia"/>
                      <w:color w:val="auto"/>
                      <w:szCs w:val="21"/>
                    </w:rPr>
                    <w:t>1</w:t>
                  </w:r>
                </w:p>
              </w:tc>
              <w:tc>
                <w:tcPr>
                  <w:tcW w:w="404" w:type="pct"/>
                  <w:tcBorders>
                    <w:right w:val="single" w:color="auto" w:sz="4" w:space="0"/>
                    <w:tl2br w:val="nil"/>
                    <w:tr2bl w:val="nil"/>
                  </w:tcBorders>
                  <w:tcMar>
                    <w:top w:w="0" w:type="dxa"/>
                    <w:left w:w="0" w:type="dxa"/>
                    <w:bottom w:w="0" w:type="dxa"/>
                    <w:right w:w="0" w:type="dxa"/>
                  </w:tcMar>
                  <w:vAlign w:val="center"/>
                </w:tcPr>
                <w:p>
                  <w:pPr>
                    <w:pStyle w:val="57"/>
                    <w:widowControl w:val="0"/>
                    <w:adjustRightInd w:val="0"/>
                    <w:snapToGrid w:val="0"/>
                    <w:spacing w:before="0" w:beforeAutospacing="0" w:after="0" w:afterAutospacing="0"/>
                    <w:rPr>
                      <w:rFonts w:ascii="Times New Roman" w:hAnsi="Times New Roman"/>
                      <w:bCs/>
                      <w:color w:val="auto"/>
                      <w:sz w:val="21"/>
                      <w:szCs w:val="21"/>
                    </w:rPr>
                  </w:pPr>
                  <w:r>
                    <w:rPr>
                      <w:bCs/>
                      <w:color w:val="auto"/>
                      <w:sz w:val="21"/>
                      <w:szCs w:val="21"/>
                    </w:rPr>
                    <w:t>袋装</w:t>
                  </w:r>
                </w:p>
              </w:tc>
              <w:tc>
                <w:tcPr>
                  <w:tcW w:w="334" w:type="pct"/>
                  <w:vMerge w:val="continue"/>
                  <w:tcBorders>
                    <w:tl2br w:val="nil"/>
                    <w:tr2bl w:val="nil"/>
                  </w:tcBorders>
                  <w:tcMar>
                    <w:top w:w="0" w:type="dxa"/>
                    <w:left w:w="0" w:type="dxa"/>
                    <w:bottom w:w="0" w:type="dxa"/>
                    <w:right w:w="0" w:type="dxa"/>
                  </w:tcMar>
                  <w:vAlign w:val="center"/>
                </w:tcPr>
                <w:p>
                  <w:pPr>
                    <w:pStyle w:val="45"/>
                    <w:rPr>
                      <w:color w:val="auto"/>
                    </w:rPr>
                  </w:pPr>
                </w:p>
              </w:tc>
              <w:tc>
                <w:tcPr>
                  <w:tcW w:w="459" w:type="pct"/>
                  <w:vMerge w:val="continue"/>
                  <w:tcBorders>
                    <w:tl2br w:val="nil"/>
                    <w:tr2bl w:val="nil"/>
                  </w:tcBorders>
                  <w:tcMar>
                    <w:top w:w="0" w:type="dxa"/>
                    <w:left w:w="0" w:type="dxa"/>
                    <w:bottom w:w="0" w:type="dxa"/>
                    <w:right w:w="0" w:type="dxa"/>
                  </w:tcMar>
                  <w:vAlign w:val="center"/>
                </w:tcPr>
                <w:p>
                  <w:pPr>
                    <w:pStyle w:val="45"/>
                    <w:rPr>
                      <w:color w:val="auto"/>
                    </w:rPr>
                  </w:pPr>
                </w:p>
              </w:tc>
              <w:tc>
                <w:tcPr>
                  <w:tcW w:w="430" w:type="pct"/>
                  <w:vMerge w:val="continue"/>
                  <w:tcBorders>
                    <w:tl2br w:val="nil"/>
                    <w:tr2bl w:val="nil"/>
                  </w:tcBorders>
                  <w:tcMar>
                    <w:top w:w="0" w:type="dxa"/>
                    <w:left w:w="0" w:type="dxa"/>
                    <w:bottom w:w="0" w:type="dxa"/>
                    <w:right w:w="0" w:type="dxa"/>
                  </w:tcMar>
                  <w:vAlign w:val="center"/>
                </w:tcPr>
                <w:p>
                  <w:pPr>
                    <w:pStyle w:val="45"/>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tcBorders>
                    <w:tl2br w:val="nil"/>
                    <w:tr2bl w:val="nil"/>
                  </w:tcBorders>
                  <w:tcMar>
                    <w:top w:w="0" w:type="dxa"/>
                    <w:left w:w="0" w:type="dxa"/>
                    <w:bottom w:w="0" w:type="dxa"/>
                    <w:right w:w="0" w:type="dxa"/>
                  </w:tcMar>
                  <w:vAlign w:val="center"/>
                </w:tcPr>
                <w:p>
                  <w:pPr>
                    <w:autoSpaceDN w:val="0"/>
                    <w:adjustRightInd w:val="0"/>
                    <w:snapToGrid w:val="0"/>
                    <w:jc w:val="center"/>
                    <w:rPr>
                      <w:color w:val="auto"/>
                      <w:szCs w:val="21"/>
                    </w:rPr>
                  </w:pPr>
                  <w:r>
                    <w:rPr>
                      <w:rFonts w:hint="eastAsia"/>
                      <w:color w:val="auto"/>
                      <w:szCs w:val="21"/>
                    </w:rPr>
                    <w:t>7</w:t>
                  </w:r>
                </w:p>
              </w:tc>
              <w:tc>
                <w:tcPr>
                  <w:tcW w:w="679"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lang w:bidi="ar"/>
                    </w:rPr>
                  </w:pPr>
                  <w:r>
                    <w:rPr>
                      <w:color w:val="auto"/>
                      <w:szCs w:val="21"/>
                    </w:rPr>
                    <w:t>废油类包装桶</w:t>
                  </w:r>
                </w:p>
              </w:tc>
              <w:tc>
                <w:tcPr>
                  <w:tcW w:w="831"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lang w:bidi="ar"/>
                    </w:rPr>
                  </w:pPr>
                  <w:r>
                    <w:rPr>
                      <w:color w:val="auto"/>
                      <w:kern w:val="0"/>
                      <w:szCs w:val="21"/>
                      <w:lang w:bidi="ar"/>
                    </w:rPr>
                    <w:t>原料使用</w:t>
                  </w:r>
                </w:p>
              </w:tc>
              <w:tc>
                <w:tcPr>
                  <w:tcW w:w="413" w:type="pct"/>
                  <w:tcBorders>
                    <w:tl2br w:val="nil"/>
                    <w:tr2bl w:val="nil"/>
                  </w:tcBorders>
                  <w:tcMar>
                    <w:top w:w="0" w:type="dxa"/>
                    <w:left w:w="0" w:type="dxa"/>
                    <w:bottom w:w="0" w:type="dxa"/>
                    <w:right w:w="0" w:type="dxa"/>
                  </w:tcMar>
                  <w:vAlign w:val="center"/>
                </w:tcPr>
                <w:p>
                  <w:pPr>
                    <w:adjustRightInd w:val="0"/>
                    <w:snapToGrid w:val="0"/>
                    <w:jc w:val="center"/>
                    <w:rPr>
                      <w:snapToGrid w:val="0"/>
                      <w:color w:val="auto"/>
                      <w:szCs w:val="21"/>
                    </w:rPr>
                  </w:pPr>
                  <w:r>
                    <w:rPr>
                      <w:rFonts w:hint="eastAsia"/>
                      <w:snapToGrid w:val="0"/>
                      <w:color w:val="auto"/>
                      <w:szCs w:val="21"/>
                    </w:rPr>
                    <w:t>危废</w:t>
                  </w:r>
                </w:p>
              </w:tc>
              <w:tc>
                <w:tcPr>
                  <w:tcW w:w="457" w:type="pct"/>
                  <w:tcBorders>
                    <w:tl2br w:val="nil"/>
                    <w:tr2bl w:val="nil"/>
                  </w:tcBorders>
                  <w:tcMar>
                    <w:top w:w="0" w:type="dxa"/>
                    <w:left w:w="0" w:type="dxa"/>
                    <w:bottom w:w="0" w:type="dxa"/>
                    <w:right w:w="0" w:type="dxa"/>
                  </w:tcMar>
                  <w:vAlign w:val="center"/>
                </w:tcPr>
                <w:p>
                  <w:pPr>
                    <w:widowControl/>
                    <w:jc w:val="center"/>
                    <w:textAlignment w:val="center"/>
                    <w:rPr>
                      <w:color w:val="auto"/>
                      <w:szCs w:val="21"/>
                      <w:highlight w:val="yellow"/>
                    </w:rPr>
                  </w:pPr>
                  <w:r>
                    <w:rPr>
                      <w:color w:val="auto"/>
                      <w:kern w:val="0"/>
                      <w:szCs w:val="21"/>
                      <w:lang w:bidi="ar"/>
                    </w:rPr>
                    <w:t>HW08</w:t>
                  </w:r>
                </w:p>
              </w:tc>
              <w:tc>
                <w:tcPr>
                  <w:tcW w:w="469" w:type="pct"/>
                  <w:tcBorders>
                    <w:tl2br w:val="nil"/>
                    <w:tr2bl w:val="nil"/>
                  </w:tcBorders>
                  <w:tcMar>
                    <w:top w:w="0" w:type="dxa"/>
                    <w:left w:w="0" w:type="dxa"/>
                    <w:bottom w:w="0" w:type="dxa"/>
                    <w:right w:w="0" w:type="dxa"/>
                  </w:tcMar>
                  <w:vAlign w:val="center"/>
                </w:tcPr>
                <w:p>
                  <w:pPr>
                    <w:widowControl/>
                    <w:jc w:val="center"/>
                    <w:textAlignment w:val="center"/>
                    <w:rPr>
                      <w:bCs/>
                      <w:color w:val="auto"/>
                      <w:szCs w:val="21"/>
                      <w:highlight w:val="yellow"/>
                    </w:rPr>
                  </w:pPr>
                  <w:r>
                    <w:rPr>
                      <w:color w:val="auto"/>
                      <w:kern w:val="0"/>
                      <w:szCs w:val="21"/>
                      <w:lang w:bidi="ar"/>
                    </w:rPr>
                    <w:t>900-249-08</w:t>
                  </w:r>
                </w:p>
              </w:tc>
              <w:tc>
                <w:tcPr>
                  <w:tcW w:w="344"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rFonts w:hint="eastAsia"/>
                      <w:color w:val="auto"/>
                      <w:szCs w:val="21"/>
                    </w:rPr>
                    <w:t>1</w:t>
                  </w:r>
                </w:p>
              </w:tc>
              <w:tc>
                <w:tcPr>
                  <w:tcW w:w="404" w:type="pct"/>
                  <w:tcBorders>
                    <w:right w:val="single" w:color="auto" w:sz="4" w:space="0"/>
                    <w:tl2br w:val="nil"/>
                    <w:tr2bl w:val="nil"/>
                  </w:tcBorders>
                  <w:tcMar>
                    <w:top w:w="0" w:type="dxa"/>
                    <w:left w:w="0" w:type="dxa"/>
                    <w:bottom w:w="0" w:type="dxa"/>
                    <w:right w:w="0" w:type="dxa"/>
                  </w:tcMar>
                  <w:vAlign w:val="center"/>
                </w:tcPr>
                <w:p>
                  <w:pPr>
                    <w:pStyle w:val="57"/>
                    <w:widowControl w:val="0"/>
                    <w:adjustRightInd w:val="0"/>
                    <w:snapToGrid w:val="0"/>
                    <w:spacing w:before="0" w:beforeAutospacing="0" w:after="0" w:afterAutospacing="0"/>
                    <w:rPr>
                      <w:rFonts w:ascii="Times New Roman" w:hAnsi="Times New Roman"/>
                      <w:bCs/>
                      <w:color w:val="auto"/>
                      <w:sz w:val="21"/>
                      <w:szCs w:val="21"/>
                    </w:rPr>
                  </w:pPr>
                  <w:r>
                    <w:rPr>
                      <w:rFonts w:ascii="Times New Roman" w:hAnsi="Times New Roman"/>
                      <w:bCs/>
                      <w:color w:val="auto"/>
                      <w:sz w:val="21"/>
                      <w:szCs w:val="21"/>
                    </w:rPr>
                    <w:t>桶装</w:t>
                  </w:r>
                </w:p>
              </w:tc>
              <w:tc>
                <w:tcPr>
                  <w:tcW w:w="334" w:type="pct"/>
                  <w:vMerge w:val="continue"/>
                  <w:tcBorders>
                    <w:tl2br w:val="nil"/>
                    <w:tr2bl w:val="nil"/>
                  </w:tcBorders>
                  <w:tcMar>
                    <w:top w:w="0" w:type="dxa"/>
                    <w:left w:w="0" w:type="dxa"/>
                    <w:bottom w:w="0" w:type="dxa"/>
                    <w:right w:w="0" w:type="dxa"/>
                  </w:tcMar>
                  <w:vAlign w:val="center"/>
                </w:tcPr>
                <w:p>
                  <w:pPr>
                    <w:pStyle w:val="45"/>
                    <w:rPr>
                      <w:color w:val="auto"/>
                    </w:rPr>
                  </w:pPr>
                </w:p>
              </w:tc>
              <w:tc>
                <w:tcPr>
                  <w:tcW w:w="459" w:type="pct"/>
                  <w:vMerge w:val="continue"/>
                  <w:tcBorders>
                    <w:tl2br w:val="nil"/>
                    <w:tr2bl w:val="nil"/>
                  </w:tcBorders>
                  <w:tcMar>
                    <w:top w:w="0" w:type="dxa"/>
                    <w:left w:w="0" w:type="dxa"/>
                    <w:bottom w:w="0" w:type="dxa"/>
                    <w:right w:w="0" w:type="dxa"/>
                  </w:tcMar>
                  <w:vAlign w:val="center"/>
                </w:tcPr>
                <w:p>
                  <w:pPr>
                    <w:pStyle w:val="45"/>
                    <w:rPr>
                      <w:color w:val="auto"/>
                    </w:rPr>
                  </w:pPr>
                </w:p>
              </w:tc>
              <w:tc>
                <w:tcPr>
                  <w:tcW w:w="430" w:type="pct"/>
                  <w:vMerge w:val="continue"/>
                  <w:tcBorders>
                    <w:tl2br w:val="nil"/>
                    <w:tr2bl w:val="nil"/>
                  </w:tcBorders>
                  <w:tcMar>
                    <w:top w:w="0" w:type="dxa"/>
                    <w:left w:w="0" w:type="dxa"/>
                    <w:bottom w:w="0" w:type="dxa"/>
                    <w:right w:w="0" w:type="dxa"/>
                  </w:tcMar>
                  <w:vAlign w:val="center"/>
                </w:tcPr>
                <w:p>
                  <w:pPr>
                    <w:pStyle w:val="45"/>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tcBorders>
                    <w:tl2br w:val="nil"/>
                    <w:tr2bl w:val="nil"/>
                  </w:tcBorders>
                  <w:tcMar>
                    <w:top w:w="0" w:type="dxa"/>
                    <w:left w:w="0" w:type="dxa"/>
                    <w:bottom w:w="0" w:type="dxa"/>
                    <w:right w:w="0" w:type="dxa"/>
                  </w:tcMar>
                  <w:vAlign w:val="center"/>
                </w:tcPr>
                <w:p>
                  <w:pPr>
                    <w:autoSpaceDN w:val="0"/>
                    <w:adjustRightInd w:val="0"/>
                    <w:snapToGrid w:val="0"/>
                    <w:jc w:val="center"/>
                    <w:rPr>
                      <w:color w:val="auto"/>
                      <w:szCs w:val="21"/>
                    </w:rPr>
                  </w:pPr>
                  <w:r>
                    <w:rPr>
                      <w:rFonts w:hint="eastAsia"/>
                      <w:color w:val="auto"/>
                      <w:szCs w:val="21"/>
                    </w:rPr>
                    <w:t>8</w:t>
                  </w:r>
                </w:p>
              </w:tc>
              <w:tc>
                <w:tcPr>
                  <w:tcW w:w="679"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color w:val="auto"/>
                      <w:szCs w:val="21"/>
                    </w:rPr>
                    <w:t>压滤污泥</w:t>
                  </w:r>
                </w:p>
              </w:tc>
              <w:tc>
                <w:tcPr>
                  <w:tcW w:w="831" w:type="pct"/>
                  <w:vMerge w:val="restar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color w:val="auto"/>
                      <w:szCs w:val="21"/>
                    </w:rPr>
                    <w:t>污水处理过程</w:t>
                  </w:r>
                </w:p>
              </w:tc>
              <w:tc>
                <w:tcPr>
                  <w:tcW w:w="413" w:type="pct"/>
                  <w:tcBorders>
                    <w:tl2br w:val="nil"/>
                    <w:tr2bl w:val="nil"/>
                  </w:tcBorders>
                  <w:tcMar>
                    <w:top w:w="0" w:type="dxa"/>
                    <w:left w:w="0" w:type="dxa"/>
                    <w:bottom w:w="0" w:type="dxa"/>
                    <w:right w:w="0" w:type="dxa"/>
                  </w:tcMar>
                  <w:vAlign w:val="center"/>
                </w:tcPr>
                <w:p>
                  <w:pPr>
                    <w:adjustRightInd w:val="0"/>
                    <w:snapToGrid w:val="0"/>
                    <w:jc w:val="center"/>
                    <w:rPr>
                      <w:snapToGrid w:val="0"/>
                      <w:color w:val="auto"/>
                      <w:szCs w:val="21"/>
                    </w:rPr>
                  </w:pPr>
                  <w:r>
                    <w:rPr>
                      <w:color w:val="auto"/>
                      <w:szCs w:val="21"/>
                    </w:rPr>
                    <w:t>危废</w:t>
                  </w:r>
                </w:p>
              </w:tc>
              <w:tc>
                <w:tcPr>
                  <w:tcW w:w="457" w:type="pct"/>
                  <w:tcBorders>
                    <w:tl2br w:val="nil"/>
                    <w:tr2bl w:val="nil"/>
                  </w:tcBorders>
                  <w:tcMar>
                    <w:top w:w="0" w:type="dxa"/>
                    <w:left w:w="0" w:type="dxa"/>
                    <w:bottom w:w="0" w:type="dxa"/>
                    <w:right w:w="0" w:type="dxa"/>
                  </w:tcMar>
                  <w:vAlign w:val="center"/>
                </w:tcPr>
                <w:p>
                  <w:pPr>
                    <w:widowControl/>
                    <w:jc w:val="center"/>
                    <w:textAlignment w:val="center"/>
                    <w:rPr>
                      <w:color w:val="auto"/>
                      <w:szCs w:val="21"/>
                      <w:highlight w:val="yellow"/>
                    </w:rPr>
                  </w:pPr>
                  <w:r>
                    <w:rPr>
                      <w:color w:val="auto"/>
                      <w:kern w:val="0"/>
                      <w:szCs w:val="21"/>
                      <w:lang w:bidi="ar"/>
                    </w:rPr>
                    <w:t>HW17</w:t>
                  </w:r>
                </w:p>
              </w:tc>
              <w:tc>
                <w:tcPr>
                  <w:tcW w:w="469" w:type="pct"/>
                  <w:tcBorders>
                    <w:tl2br w:val="nil"/>
                    <w:tr2bl w:val="nil"/>
                  </w:tcBorders>
                  <w:tcMar>
                    <w:top w:w="0" w:type="dxa"/>
                    <w:left w:w="0" w:type="dxa"/>
                    <w:bottom w:w="0" w:type="dxa"/>
                    <w:right w:w="0" w:type="dxa"/>
                  </w:tcMar>
                  <w:vAlign w:val="center"/>
                </w:tcPr>
                <w:p>
                  <w:pPr>
                    <w:widowControl/>
                    <w:jc w:val="center"/>
                    <w:textAlignment w:val="center"/>
                    <w:rPr>
                      <w:bCs/>
                      <w:color w:val="auto"/>
                      <w:szCs w:val="21"/>
                      <w:highlight w:val="yellow"/>
                    </w:rPr>
                  </w:pPr>
                  <w:r>
                    <w:rPr>
                      <w:color w:val="auto"/>
                      <w:kern w:val="0"/>
                      <w:szCs w:val="21"/>
                      <w:lang w:bidi="ar"/>
                    </w:rPr>
                    <w:t>336-064-17</w:t>
                  </w:r>
                </w:p>
              </w:tc>
              <w:tc>
                <w:tcPr>
                  <w:tcW w:w="344"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rFonts w:hint="eastAsia"/>
                      <w:color w:val="auto"/>
                      <w:szCs w:val="21"/>
                    </w:rPr>
                    <w:t>55</w:t>
                  </w:r>
                </w:p>
              </w:tc>
              <w:tc>
                <w:tcPr>
                  <w:tcW w:w="404" w:type="pct"/>
                  <w:tcBorders>
                    <w:right w:val="single" w:color="auto" w:sz="4" w:space="0"/>
                    <w:tl2br w:val="nil"/>
                    <w:tr2bl w:val="nil"/>
                  </w:tcBorders>
                  <w:tcMar>
                    <w:top w:w="0" w:type="dxa"/>
                    <w:left w:w="0" w:type="dxa"/>
                    <w:bottom w:w="0" w:type="dxa"/>
                    <w:right w:w="0" w:type="dxa"/>
                  </w:tcMar>
                  <w:vAlign w:val="center"/>
                </w:tcPr>
                <w:p>
                  <w:pPr>
                    <w:pStyle w:val="57"/>
                    <w:widowControl w:val="0"/>
                    <w:adjustRightInd w:val="0"/>
                    <w:snapToGrid w:val="0"/>
                    <w:spacing w:before="0" w:beforeAutospacing="0" w:after="0" w:afterAutospacing="0"/>
                    <w:rPr>
                      <w:rFonts w:ascii="Times New Roman" w:hAnsi="Times New Roman"/>
                      <w:bCs/>
                      <w:color w:val="auto"/>
                      <w:sz w:val="21"/>
                      <w:szCs w:val="21"/>
                    </w:rPr>
                  </w:pPr>
                  <w:r>
                    <w:rPr>
                      <w:rFonts w:ascii="Times New Roman" w:hAnsi="Times New Roman"/>
                      <w:bCs/>
                      <w:color w:val="auto"/>
                      <w:sz w:val="21"/>
                      <w:szCs w:val="21"/>
                    </w:rPr>
                    <w:t>袋装</w:t>
                  </w:r>
                </w:p>
              </w:tc>
              <w:tc>
                <w:tcPr>
                  <w:tcW w:w="334" w:type="pct"/>
                  <w:vMerge w:val="continue"/>
                  <w:tcBorders>
                    <w:tl2br w:val="nil"/>
                    <w:tr2bl w:val="nil"/>
                  </w:tcBorders>
                  <w:tcMar>
                    <w:top w:w="0" w:type="dxa"/>
                    <w:left w:w="0" w:type="dxa"/>
                    <w:bottom w:w="0" w:type="dxa"/>
                    <w:right w:w="0" w:type="dxa"/>
                  </w:tcMar>
                  <w:vAlign w:val="center"/>
                </w:tcPr>
                <w:p>
                  <w:pPr>
                    <w:pStyle w:val="45"/>
                    <w:rPr>
                      <w:color w:val="auto"/>
                    </w:rPr>
                  </w:pPr>
                </w:p>
              </w:tc>
              <w:tc>
                <w:tcPr>
                  <w:tcW w:w="459" w:type="pct"/>
                  <w:vMerge w:val="continue"/>
                  <w:tcBorders>
                    <w:tl2br w:val="nil"/>
                    <w:tr2bl w:val="nil"/>
                  </w:tcBorders>
                  <w:tcMar>
                    <w:top w:w="0" w:type="dxa"/>
                    <w:left w:w="0" w:type="dxa"/>
                    <w:bottom w:w="0" w:type="dxa"/>
                    <w:right w:w="0" w:type="dxa"/>
                  </w:tcMar>
                  <w:vAlign w:val="center"/>
                </w:tcPr>
                <w:p>
                  <w:pPr>
                    <w:pStyle w:val="45"/>
                    <w:rPr>
                      <w:color w:val="auto"/>
                    </w:rPr>
                  </w:pPr>
                </w:p>
              </w:tc>
              <w:tc>
                <w:tcPr>
                  <w:tcW w:w="430" w:type="pct"/>
                  <w:vMerge w:val="continue"/>
                  <w:tcBorders>
                    <w:tl2br w:val="nil"/>
                    <w:tr2bl w:val="nil"/>
                  </w:tcBorders>
                  <w:tcMar>
                    <w:top w:w="0" w:type="dxa"/>
                    <w:left w:w="0" w:type="dxa"/>
                    <w:bottom w:w="0" w:type="dxa"/>
                    <w:right w:w="0" w:type="dxa"/>
                  </w:tcMar>
                  <w:vAlign w:val="center"/>
                </w:tcPr>
                <w:p>
                  <w:pPr>
                    <w:pStyle w:val="45"/>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tcBorders>
                    <w:tl2br w:val="nil"/>
                    <w:tr2bl w:val="nil"/>
                  </w:tcBorders>
                  <w:tcMar>
                    <w:top w:w="0" w:type="dxa"/>
                    <w:left w:w="0" w:type="dxa"/>
                    <w:bottom w:w="0" w:type="dxa"/>
                    <w:right w:w="0" w:type="dxa"/>
                  </w:tcMar>
                  <w:vAlign w:val="center"/>
                </w:tcPr>
                <w:p>
                  <w:pPr>
                    <w:autoSpaceDN w:val="0"/>
                    <w:adjustRightInd w:val="0"/>
                    <w:snapToGrid w:val="0"/>
                    <w:jc w:val="center"/>
                    <w:rPr>
                      <w:color w:val="auto"/>
                      <w:szCs w:val="21"/>
                    </w:rPr>
                  </w:pPr>
                  <w:r>
                    <w:rPr>
                      <w:rFonts w:hint="eastAsia"/>
                      <w:color w:val="auto"/>
                      <w:szCs w:val="21"/>
                    </w:rPr>
                    <w:t>9</w:t>
                  </w:r>
                </w:p>
              </w:tc>
              <w:tc>
                <w:tcPr>
                  <w:tcW w:w="679"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color w:val="auto"/>
                      <w:szCs w:val="21"/>
                    </w:rPr>
                    <w:t>浓缩蒸发液</w:t>
                  </w:r>
                </w:p>
              </w:tc>
              <w:tc>
                <w:tcPr>
                  <w:tcW w:w="831" w:type="pct"/>
                  <w:vMerge w:val="continue"/>
                  <w:tcBorders>
                    <w:tl2br w:val="nil"/>
                    <w:tr2bl w:val="nil"/>
                  </w:tcBorders>
                  <w:tcMar>
                    <w:top w:w="0" w:type="dxa"/>
                    <w:left w:w="0" w:type="dxa"/>
                    <w:bottom w:w="0" w:type="dxa"/>
                    <w:right w:w="0" w:type="dxa"/>
                  </w:tcMar>
                  <w:vAlign w:val="center"/>
                </w:tcPr>
                <w:p>
                  <w:pPr>
                    <w:jc w:val="center"/>
                    <w:textAlignment w:val="center"/>
                    <w:rPr>
                      <w:color w:val="auto"/>
                      <w:szCs w:val="21"/>
                    </w:rPr>
                  </w:pPr>
                </w:p>
              </w:tc>
              <w:tc>
                <w:tcPr>
                  <w:tcW w:w="413" w:type="pct"/>
                  <w:tcBorders>
                    <w:tl2br w:val="nil"/>
                    <w:tr2bl w:val="nil"/>
                  </w:tcBorders>
                  <w:tcMar>
                    <w:top w:w="0" w:type="dxa"/>
                    <w:left w:w="0" w:type="dxa"/>
                    <w:bottom w:w="0" w:type="dxa"/>
                    <w:right w:w="0" w:type="dxa"/>
                  </w:tcMar>
                  <w:vAlign w:val="center"/>
                </w:tcPr>
                <w:p>
                  <w:pPr>
                    <w:adjustRightInd w:val="0"/>
                    <w:snapToGrid w:val="0"/>
                    <w:jc w:val="center"/>
                    <w:rPr>
                      <w:snapToGrid w:val="0"/>
                      <w:color w:val="auto"/>
                      <w:szCs w:val="21"/>
                    </w:rPr>
                  </w:pPr>
                  <w:r>
                    <w:rPr>
                      <w:color w:val="auto"/>
                      <w:szCs w:val="21"/>
                    </w:rPr>
                    <w:t>危废</w:t>
                  </w:r>
                </w:p>
              </w:tc>
              <w:tc>
                <w:tcPr>
                  <w:tcW w:w="457" w:type="pct"/>
                  <w:tcBorders>
                    <w:tl2br w:val="nil"/>
                    <w:tr2bl w:val="nil"/>
                  </w:tcBorders>
                  <w:tcMar>
                    <w:top w:w="0" w:type="dxa"/>
                    <w:left w:w="0" w:type="dxa"/>
                    <w:bottom w:w="0" w:type="dxa"/>
                    <w:right w:w="0" w:type="dxa"/>
                  </w:tcMar>
                  <w:vAlign w:val="center"/>
                </w:tcPr>
                <w:p>
                  <w:pPr>
                    <w:widowControl/>
                    <w:jc w:val="center"/>
                    <w:textAlignment w:val="center"/>
                    <w:rPr>
                      <w:color w:val="auto"/>
                      <w:szCs w:val="21"/>
                      <w:highlight w:val="yellow"/>
                    </w:rPr>
                  </w:pPr>
                  <w:r>
                    <w:rPr>
                      <w:color w:val="auto"/>
                      <w:szCs w:val="21"/>
                    </w:rPr>
                    <w:t>HW17</w:t>
                  </w:r>
                </w:p>
              </w:tc>
              <w:tc>
                <w:tcPr>
                  <w:tcW w:w="469" w:type="pct"/>
                  <w:tcBorders>
                    <w:tl2br w:val="nil"/>
                    <w:tr2bl w:val="nil"/>
                  </w:tcBorders>
                  <w:tcMar>
                    <w:top w:w="0" w:type="dxa"/>
                    <w:left w:w="0" w:type="dxa"/>
                    <w:bottom w:w="0" w:type="dxa"/>
                    <w:right w:w="0" w:type="dxa"/>
                  </w:tcMar>
                  <w:vAlign w:val="center"/>
                </w:tcPr>
                <w:p>
                  <w:pPr>
                    <w:widowControl/>
                    <w:jc w:val="center"/>
                    <w:textAlignment w:val="center"/>
                    <w:rPr>
                      <w:bCs/>
                      <w:color w:val="auto"/>
                      <w:szCs w:val="21"/>
                      <w:highlight w:val="yellow"/>
                    </w:rPr>
                  </w:pPr>
                  <w:r>
                    <w:rPr>
                      <w:color w:val="auto"/>
                      <w:szCs w:val="21"/>
                    </w:rPr>
                    <w:t>336-064-17</w:t>
                  </w:r>
                </w:p>
              </w:tc>
              <w:tc>
                <w:tcPr>
                  <w:tcW w:w="344"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rFonts w:hint="eastAsia"/>
                      <w:color w:val="auto"/>
                      <w:szCs w:val="21"/>
                    </w:rPr>
                    <w:t>90.4</w:t>
                  </w:r>
                </w:p>
              </w:tc>
              <w:tc>
                <w:tcPr>
                  <w:tcW w:w="404" w:type="pct"/>
                  <w:tcBorders>
                    <w:right w:val="single" w:color="auto" w:sz="4" w:space="0"/>
                    <w:tl2br w:val="nil"/>
                    <w:tr2bl w:val="nil"/>
                  </w:tcBorders>
                  <w:tcMar>
                    <w:top w:w="0" w:type="dxa"/>
                    <w:left w:w="0" w:type="dxa"/>
                    <w:bottom w:w="0" w:type="dxa"/>
                    <w:right w:w="0" w:type="dxa"/>
                  </w:tcMar>
                  <w:vAlign w:val="center"/>
                </w:tcPr>
                <w:p>
                  <w:pPr>
                    <w:pStyle w:val="57"/>
                    <w:widowControl w:val="0"/>
                    <w:adjustRightInd w:val="0"/>
                    <w:snapToGrid w:val="0"/>
                    <w:spacing w:before="0" w:beforeAutospacing="0" w:after="0" w:afterAutospacing="0"/>
                    <w:rPr>
                      <w:rFonts w:ascii="Times New Roman" w:hAnsi="Times New Roman"/>
                      <w:bCs/>
                      <w:color w:val="auto"/>
                      <w:sz w:val="21"/>
                      <w:szCs w:val="21"/>
                    </w:rPr>
                  </w:pPr>
                  <w:r>
                    <w:rPr>
                      <w:rFonts w:ascii="Times New Roman" w:hAnsi="Times New Roman"/>
                      <w:bCs/>
                      <w:color w:val="auto"/>
                      <w:sz w:val="21"/>
                      <w:szCs w:val="21"/>
                    </w:rPr>
                    <w:t>桶装</w:t>
                  </w:r>
                </w:p>
              </w:tc>
              <w:tc>
                <w:tcPr>
                  <w:tcW w:w="334" w:type="pct"/>
                  <w:vMerge w:val="continue"/>
                  <w:tcBorders>
                    <w:tl2br w:val="nil"/>
                    <w:tr2bl w:val="nil"/>
                  </w:tcBorders>
                  <w:tcMar>
                    <w:top w:w="0" w:type="dxa"/>
                    <w:left w:w="0" w:type="dxa"/>
                    <w:bottom w:w="0" w:type="dxa"/>
                    <w:right w:w="0" w:type="dxa"/>
                  </w:tcMar>
                  <w:vAlign w:val="center"/>
                </w:tcPr>
                <w:p>
                  <w:pPr>
                    <w:pStyle w:val="45"/>
                    <w:rPr>
                      <w:color w:val="auto"/>
                    </w:rPr>
                  </w:pPr>
                </w:p>
              </w:tc>
              <w:tc>
                <w:tcPr>
                  <w:tcW w:w="459" w:type="pct"/>
                  <w:vMerge w:val="continue"/>
                  <w:tcBorders>
                    <w:tl2br w:val="nil"/>
                    <w:tr2bl w:val="nil"/>
                  </w:tcBorders>
                  <w:tcMar>
                    <w:top w:w="0" w:type="dxa"/>
                    <w:left w:w="0" w:type="dxa"/>
                    <w:bottom w:w="0" w:type="dxa"/>
                    <w:right w:w="0" w:type="dxa"/>
                  </w:tcMar>
                  <w:vAlign w:val="center"/>
                </w:tcPr>
                <w:p>
                  <w:pPr>
                    <w:pStyle w:val="45"/>
                    <w:rPr>
                      <w:color w:val="auto"/>
                    </w:rPr>
                  </w:pPr>
                </w:p>
              </w:tc>
              <w:tc>
                <w:tcPr>
                  <w:tcW w:w="430" w:type="pct"/>
                  <w:vMerge w:val="continue"/>
                  <w:tcBorders>
                    <w:tl2br w:val="nil"/>
                    <w:tr2bl w:val="nil"/>
                  </w:tcBorders>
                  <w:tcMar>
                    <w:top w:w="0" w:type="dxa"/>
                    <w:left w:w="0" w:type="dxa"/>
                    <w:bottom w:w="0" w:type="dxa"/>
                    <w:right w:w="0" w:type="dxa"/>
                  </w:tcMar>
                  <w:vAlign w:val="center"/>
                </w:tcPr>
                <w:p>
                  <w:pPr>
                    <w:pStyle w:val="45"/>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1</w:t>
                  </w:r>
                  <w:r>
                    <w:rPr>
                      <w:rFonts w:hint="eastAsia"/>
                      <w:color w:val="auto"/>
                      <w:szCs w:val="21"/>
                    </w:rPr>
                    <w:t>0</w:t>
                  </w:r>
                </w:p>
              </w:tc>
              <w:tc>
                <w:tcPr>
                  <w:tcW w:w="679"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lang w:bidi="ar"/>
                    </w:rPr>
                  </w:pPr>
                  <w:r>
                    <w:rPr>
                      <w:rFonts w:hint="eastAsia"/>
                      <w:color w:val="auto"/>
                      <w:szCs w:val="21"/>
                    </w:rPr>
                    <w:t>废水过滤材料</w:t>
                  </w:r>
                </w:p>
              </w:tc>
              <w:tc>
                <w:tcPr>
                  <w:tcW w:w="831" w:type="pct"/>
                  <w:vMerge w:val="continue"/>
                  <w:tcBorders>
                    <w:tl2br w:val="nil"/>
                    <w:tr2bl w:val="nil"/>
                  </w:tcBorders>
                  <w:tcMar>
                    <w:top w:w="0" w:type="dxa"/>
                    <w:left w:w="0" w:type="dxa"/>
                    <w:bottom w:w="0" w:type="dxa"/>
                    <w:right w:w="0" w:type="dxa"/>
                  </w:tcMar>
                  <w:vAlign w:val="center"/>
                </w:tcPr>
                <w:p>
                  <w:pPr>
                    <w:widowControl/>
                    <w:jc w:val="center"/>
                    <w:textAlignment w:val="center"/>
                    <w:rPr>
                      <w:color w:val="auto"/>
                      <w:szCs w:val="21"/>
                    </w:rPr>
                  </w:pPr>
                </w:p>
              </w:tc>
              <w:tc>
                <w:tcPr>
                  <w:tcW w:w="413" w:type="pct"/>
                  <w:tcBorders>
                    <w:tl2br w:val="nil"/>
                    <w:tr2bl w:val="nil"/>
                  </w:tcBorders>
                  <w:tcMar>
                    <w:top w:w="0" w:type="dxa"/>
                    <w:left w:w="0" w:type="dxa"/>
                    <w:bottom w:w="0" w:type="dxa"/>
                    <w:right w:w="0" w:type="dxa"/>
                  </w:tcMar>
                  <w:vAlign w:val="center"/>
                </w:tcPr>
                <w:p>
                  <w:pPr>
                    <w:adjustRightInd w:val="0"/>
                    <w:snapToGrid w:val="0"/>
                    <w:jc w:val="center"/>
                    <w:rPr>
                      <w:snapToGrid w:val="0"/>
                      <w:color w:val="auto"/>
                      <w:szCs w:val="21"/>
                    </w:rPr>
                  </w:pPr>
                  <w:r>
                    <w:rPr>
                      <w:color w:val="auto"/>
                      <w:szCs w:val="21"/>
                    </w:rPr>
                    <w:t>危废</w:t>
                  </w:r>
                </w:p>
              </w:tc>
              <w:tc>
                <w:tcPr>
                  <w:tcW w:w="457" w:type="pct"/>
                  <w:tcBorders>
                    <w:tl2br w:val="nil"/>
                    <w:tr2bl w:val="nil"/>
                  </w:tcBorders>
                  <w:tcMar>
                    <w:top w:w="0" w:type="dxa"/>
                    <w:left w:w="0" w:type="dxa"/>
                    <w:bottom w:w="0" w:type="dxa"/>
                    <w:right w:w="0" w:type="dxa"/>
                  </w:tcMar>
                  <w:vAlign w:val="center"/>
                </w:tcPr>
                <w:p>
                  <w:pPr>
                    <w:widowControl/>
                    <w:jc w:val="center"/>
                    <w:textAlignment w:val="center"/>
                    <w:rPr>
                      <w:snapToGrid w:val="0"/>
                      <w:color w:val="auto"/>
                      <w:szCs w:val="21"/>
                      <w:highlight w:val="yellow"/>
                    </w:rPr>
                  </w:pPr>
                  <w:r>
                    <w:rPr>
                      <w:color w:val="auto"/>
                      <w:szCs w:val="21"/>
                    </w:rPr>
                    <w:t>HW49</w:t>
                  </w:r>
                </w:p>
              </w:tc>
              <w:tc>
                <w:tcPr>
                  <w:tcW w:w="469" w:type="pct"/>
                  <w:tcBorders>
                    <w:tl2br w:val="nil"/>
                    <w:tr2bl w:val="nil"/>
                  </w:tcBorders>
                  <w:tcMar>
                    <w:top w:w="0" w:type="dxa"/>
                    <w:left w:w="0" w:type="dxa"/>
                    <w:bottom w:w="0" w:type="dxa"/>
                    <w:right w:w="0" w:type="dxa"/>
                  </w:tcMar>
                  <w:vAlign w:val="center"/>
                </w:tcPr>
                <w:p>
                  <w:pPr>
                    <w:widowControl/>
                    <w:jc w:val="center"/>
                    <w:textAlignment w:val="center"/>
                    <w:rPr>
                      <w:snapToGrid w:val="0"/>
                      <w:color w:val="auto"/>
                      <w:szCs w:val="21"/>
                      <w:highlight w:val="yellow"/>
                    </w:rPr>
                  </w:pPr>
                  <w:r>
                    <w:rPr>
                      <w:color w:val="auto"/>
                      <w:szCs w:val="21"/>
                    </w:rPr>
                    <w:t>900-041-49</w:t>
                  </w:r>
                </w:p>
              </w:tc>
              <w:tc>
                <w:tcPr>
                  <w:tcW w:w="344"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lang w:bidi="ar"/>
                    </w:rPr>
                  </w:pPr>
                  <w:r>
                    <w:rPr>
                      <w:rFonts w:hint="eastAsia"/>
                      <w:color w:val="auto"/>
                      <w:szCs w:val="21"/>
                    </w:rPr>
                    <w:t>0.01</w:t>
                  </w:r>
                </w:p>
              </w:tc>
              <w:tc>
                <w:tcPr>
                  <w:tcW w:w="404" w:type="pct"/>
                  <w:tcBorders>
                    <w:right w:val="single" w:color="auto" w:sz="4" w:space="0"/>
                    <w:tl2br w:val="nil"/>
                    <w:tr2bl w:val="nil"/>
                  </w:tcBorders>
                  <w:tcMar>
                    <w:top w:w="0" w:type="dxa"/>
                    <w:left w:w="0" w:type="dxa"/>
                    <w:bottom w:w="0" w:type="dxa"/>
                    <w:right w:w="0" w:type="dxa"/>
                  </w:tcMar>
                  <w:vAlign w:val="center"/>
                </w:tcPr>
                <w:p>
                  <w:pPr>
                    <w:adjustRightInd w:val="0"/>
                    <w:snapToGrid w:val="0"/>
                    <w:jc w:val="center"/>
                    <w:rPr>
                      <w:bCs/>
                      <w:color w:val="auto"/>
                      <w:kern w:val="0"/>
                      <w:szCs w:val="21"/>
                    </w:rPr>
                  </w:pPr>
                  <w:r>
                    <w:rPr>
                      <w:rFonts w:hint="eastAsia"/>
                      <w:bCs/>
                      <w:color w:val="auto"/>
                      <w:kern w:val="0"/>
                      <w:szCs w:val="21"/>
                    </w:rPr>
                    <w:t xml:space="preserve">袋装 </w:t>
                  </w:r>
                </w:p>
              </w:tc>
              <w:tc>
                <w:tcPr>
                  <w:tcW w:w="334" w:type="pct"/>
                  <w:vMerge w:val="continue"/>
                  <w:tcBorders>
                    <w:bottom w:val="single" w:color="auto" w:sz="4" w:space="0"/>
                    <w:tl2br w:val="nil"/>
                    <w:tr2bl w:val="nil"/>
                  </w:tcBorders>
                  <w:tcMar>
                    <w:top w:w="0" w:type="dxa"/>
                    <w:left w:w="0" w:type="dxa"/>
                    <w:bottom w:w="0" w:type="dxa"/>
                    <w:right w:w="0" w:type="dxa"/>
                  </w:tcMar>
                  <w:vAlign w:val="center"/>
                </w:tcPr>
                <w:p>
                  <w:pPr>
                    <w:pStyle w:val="45"/>
                    <w:rPr>
                      <w:color w:val="auto"/>
                    </w:rPr>
                  </w:pPr>
                </w:p>
              </w:tc>
              <w:tc>
                <w:tcPr>
                  <w:tcW w:w="459" w:type="pct"/>
                  <w:vMerge w:val="continue"/>
                  <w:tcBorders>
                    <w:bottom w:val="single" w:color="auto" w:sz="4" w:space="0"/>
                    <w:tl2br w:val="nil"/>
                    <w:tr2bl w:val="nil"/>
                  </w:tcBorders>
                  <w:tcMar>
                    <w:top w:w="0" w:type="dxa"/>
                    <w:left w:w="0" w:type="dxa"/>
                    <w:bottom w:w="0" w:type="dxa"/>
                    <w:right w:w="0" w:type="dxa"/>
                  </w:tcMar>
                  <w:vAlign w:val="center"/>
                </w:tcPr>
                <w:p>
                  <w:pPr>
                    <w:pStyle w:val="45"/>
                    <w:rPr>
                      <w:color w:val="auto"/>
                    </w:rPr>
                  </w:pPr>
                </w:p>
              </w:tc>
              <w:tc>
                <w:tcPr>
                  <w:tcW w:w="430" w:type="pct"/>
                  <w:vMerge w:val="continue"/>
                  <w:tcBorders>
                    <w:bottom w:val="single" w:color="auto" w:sz="4" w:space="0"/>
                    <w:tl2br w:val="nil"/>
                    <w:tr2bl w:val="nil"/>
                  </w:tcBorders>
                  <w:tcMar>
                    <w:top w:w="0" w:type="dxa"/>
                    <w:left w:w="0" w:type="dxa"/>
                    <w:bottom w:w="0" w:type="dxa"/>
                    <w:right w:w="0" w:type="dxa"/>
                  </w:tcMar>
                  <w:vAlign w:val="center"/>
                </w:tcPr>
                <w:p>
                  <w:pPr>
                    <w:pStyle w:val="45"/>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color w:val="auto"/>
                      <w:szCs w:val="21"/>
                    </w:rPr>
                    <w:t>1</w:t>
                  </w:r>
                  <w:r>
                    <w:rPr>
                      <w:rFonts w:hint="eastAsia"/>
                      <w:color w:val="auto"/>
                      <w:szCs w:val="21"/>
                    </w:rPr>
                    <w:t>1</w:t>
                  </w:r>
                </w:p>
              </w:tc>
              <w:tc>
                <w:tcPr>
                  <w:tcW w:w="679" w:type="pct"/>
                  <w:tcBorders>
                    <w:tl2br w:val="nil"/>
                    <w:tr2bl w:val="nil"/>
                  </w:tcBorders>
                  <w:tcMar>
                    <w:top w:w="0" w:type="dxa"/>
                    <w:left w:w="0" w:type="dxa"/>
                    <w:bottom w:w="0" w:type="dxa"/>
                    <w:right w:w="0" w:type="dxa"/>
                  </w:tcMar>
                </w:tcPr>
                <w:p>
                  <w:pPr>
                    <w:widowControl/>
                    <w:jc w:val="center"/>
                    <w:textAlignment w:val="center"/>
                    <w:rPr>
                      <w:color w:val="auto"/>
                      <w:kern w:val="0"/>
                      <w:szCs w:val="21"/>
                    </w:rPr>
                  </w:pPr>
                  <w:r>
                    <w:rPr>
                      <w:rFonts w:hint="eastAsia"/>
                      <w:color w:val="auto"/>
                    </w:rPr>
                    <w:t>打磨毛刺</w:t>
                  </w:r>
                </w:p>
              </w:tc>
              <w:tc>
                <w:tcPr>
                  <w:tcW w:w="831"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rPr>
                  </w:pPr>
                  <w:r>
                    <w:rPr>
                      <w:color w:val="auto"/>
                      <w:kern w:val="0"/>
                      <w:szCs w:val="21"/>
                      <w:lang w:bidi="ar"/>
                    </w:rPr>
                    <w:t>冲压件生产检验</w:t>
                  </w:r>
                </w:p>
              </w:tc>
              <w:tc>
                <w:tcPr>
                  <w:tcW w:w="413" w:type="pct"/>
                  <w:tcBorders>
                    <w:tl2br w:val="nil"/>
                    <w:tr2bl w:val="nil"/>
                  </w:tcBorders>
                  <w:tcMar>
                    <w:top w:w="0" w:type="dxa"/>
                    <w:left w:w="0" w:type="dxa"/>
                    <w:bottom w:w="0" w:type="dxa"/>
                    <w:right w:w="0" w:type="dxa"/>
                  </w:tcMar>
                  <w:vAlign w:val="center"/>
                </w:tcPr>
                <w:p>
                  <w:pPr>
                    <w:adjustRightInd w:val="0"/>
                    <w:snapToGrid w:val="0"/>
                    <w:jc w:val="center"/>
                    <w:rPr>
                      <w:snapToGrid w:val="0"/>
                      <w:color w:val="auto"/>
                      <w:szCs w:val="21"/>
                    </w:rPr>
                  </w:pPr>
                  <w:r>
                    <w:rPr>
                      <w:snapToGrid w:val="0"/>
                      <w:color w:val="auto"/>
                      <w:szCs w:val="21"/>
                    </w:rPr>
                    <w:t>一般固废</w:t>
                  </w:r>
                </w:p>
              </w:tc>
              <w:tc>
                <w:tcPr>
                  <w:tcW w:w="457" w:type="pct"/>
                  <w:tcBorders>
                    <w:tl2br w:val="nil"/>
                    <w:tr2bl w:val="nil"/>
                  </w:tcBorders>
                  <w:tcMar>
                    <w:top w:w="0" w:type="dxa"/>
                    <w:left w:w="0" w:type="dxa"/>
                    <w:bottom w:w="0" w:type="dxa"/>
                    <w:right w:w="0" w:type="dxa"/>
                  </w:tcMar>
                  <w:vAlign w:val="center"/>
                </w:tcPr>
                <w:p>
                  <w:pPr>
                    <w:widowControl/>
                    <w:jc w:val="center"/>
                    <w:textAlignment w:val="center"/>
                    <w:rPr>
                      <w:rFonts w:hint="default" w:eastAsia="宋体"/>
                      <w:snapToGrid w:val="0"/>
                      <w:color w:val="auto"/>
                      <w:szCs w:val="21"/>
                      <w:lang w:val="en-US" w:eastAsia="zh-CN"/>
                    </w:rPr>
                  </w:pPr>
                  <w:r>
                    <w:rPr>
                      <w:rFonts w:hint="eastAsia"/>
                      <w:color w:val="auto"/>
                      <w:szCs w:val="21"/>
                      <w:lang w:val="en-US" w:eastAsia="zh-CN"/>
                    </w:rPr>
                    <w:t>09</w:t>
                  </w:r>
                </w:p>
              </w:tc>
              <w:tc>
                <w:tcPr>
                  <w:tcW w:w="469" w:type="pct"/>
                  <w:tcBorders>
                    <w:tl2br w:val="nil"/>
                    <w:tr2bl w:val="nil"/>
                  </w:tcBorders>
                  <w:tcMar>
                    <w:top w:w="0" w:type="dxa"/>
                    <w:left w:w="0" w:type="dxa"/>
                    <w:bottom w:w="0" w:type="dxa"/>
                    <w:right w:w="0" w:type="dxa"/>
                  </w:tcMar>
                  <w:vAlign w:val="center"/>
                </w:tcPr>
                <w:p>
                  <w:pPr>
                    <w:widowControl/>
                    <w:jc w:val="center"/>
                    <w:textAlignment w:val="center"/>
                    <w:rPr>
                      <w:rFonts w:hint="default" w:eastAsia="宋体"/>
                      <w:snapToGrid w:val="0"/>
                      <w:color w:val="auto"/>
                      <w:szCs w:val="21"/>
                      <w:lang w:val="en-US" w:eastAsia="zh-CN"/>
                    </w:rPr>
                  </w:pPr>
                  <w:r>
                    <w:rPr>
                      <w:rFonts w:hint="eastAsia"/>
                      <w:bCs/>
                      <w:color w:val="auto"/>
                      <w:szCs w:val="21"/>
                    </w:rPr>
                    <w:t>331-999-</w:t>
                  </w:r>
                  <w:r>
                    <w:rPr>
                      <w:rFonts w:hint="eastAsia"/>
                      <w:bCs/>
                      <w:color w:val="auto"/>
                      <w:szCs w:val="21"/>
                      <w:lang w:val="en-US" w:eastAsia="zh-CN"/>
                    </w:rPr>
                    <w:t>09</w:t>
                  </w:r>
                </w:p>
              </w:tc>
              <w:tc>
                <w:tcPr>
                  <w:tcW w:w="344"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rPr>
                  </w:pPr>
                  <w:r>
                    <w:rPr>
                      <w:rFonts w:hint="eastAsia"/>
                      <w:color w:val="auto"/>
                      <w:szCs w:val="21"/>
                    </w:rPr>
                    <w:t>0.1</w:t>
                  </w:r>
                </w:p>
              </w:tc>
              <w:tc>
                <w:tcPr>
                  <w:tcW w:w="404" w:type="pct"/>
                  <w:tcBorders>
                    <w:right w:val="single" w:color="auto" w:sz="4" w:space="0"/>
                    <w:tl2br w:val="nil"/>
                    <w:tr2bl w:val="nil"/>
                  </w:tcBorders>
                  <w:tcMar>
                    <w:top w:w="0" w:type="dxa"/>
                    <w:left w:w="0" w:type="dxa"/>
                    <w:bottom w:w="0" w:type="dxa"/>
                    <w:right w:w="0" w:type="dxa"/>
                  </w:tcMar>
                  <w:vAlign w:val="center"/>
                </w:tcPr>
                <w:p>
                  <w:pPr>
                    <w:adjustRightInd w:val="0"/>
                    <w:snapToGrid w:val="0"/>
                    <w:jc w:val="center"/>
                    <w:rPr>
                      <w:bCs/>
                      <w:color w:val="auto"/>
                      <w:szCs w:val="21"/>
                    </w:rPr>
                  </w:pPr>
                  <w:r>
                    <w:rPr>
                      <w:bCs/>
                      <w:color w:val="auto"/>
                      <w:kern w:val="0"/>
                      <w:szCs w:val="21"/>
                    </w:rPr>
                    <w:t>袋装</w:t>
                  </w:r>
                </w:p>
              </w:tc>
              <w:tc>
                <w:tcPr>
                  <w:tcW w:w="334" w:type="pct"/>
                  <w:vMerge w:val="restart"/>
                  <w:tcBorders>
                    <w:top w:val="single" w:color="auto" w:sz="4" w:space="0"/>
                    <w:tl2br w:val="nil"/>
                    <w:tr2bl w:val="nil"/>
                  </w:tcBorders>
                  <w:tcMar>
                    <w:top w:w="0" w:type="dxa"/>
                    <w:left w:w="0" w:type="dxa"/>
                    <w:bottom w:w="0" w:type="dxa"/>
                    <w:right w:w="0" w:type="dxa"/>
                  </w:tcMar>
                  <w:vAlign w:val="center"/>
                </w:tcPr>
                <w:p>
                  <w:pPr>
                    <w:pStyle w:val="45"/>
                    <w:rPr>
                      <w:color w:val="auto"/>
                    </w:rPr>
                  </w:pPr>
                  <w:r>
                    <w:rPr>
                      <w:color w:val="auto"/>
                    </w:rPr>
                    <w:t>一般固废堆场</w:t>
                  </w:r>
                  <w:r>
                    <w:rPr>
                      <w:rFonts w:hint="eastAsia"/>
                      <w:color w:val="auto"/>
                    </w:rPr>
                    <w:t>300</w:t>
                  </w:r>
                  <w:r>
                    <w:rPr>
                      <w:color w:val="auto"/>
                    </w:rPr>
                    <w:t>m</w:t>
                  </w:r>
                  <w:r>
                    <w:rPr>
                      <w:color w:val="auto"/>
                      <w:vertAlign w:val="superscript"/>
                    </w:rPr>
                    <w:t>2</w:t>
                  </w:r>
                </w:p>
              </w:tc>
              <w:tc>
                <w:tcPr>
                  <w:tcW w:w="459" w:type="pct"/>
                  <w:vMerge w:val="restart"/>
                  <w:tcBorders>
                    <w:top w:val="single" w:color="auto" w:sz="4" w:space="0"/>
                    <w:tl2br w:val="nil"/>
                    <w:tr2bl w:val="nil"/>
                  </w:tcBorders>
                  <w:tcMar>
                    <w:top w:w="0" w:type="dxa"/>
                    <w:left w:w="0" w:type="dxa"/>
                    <w:bottom w:w="0" w:type="dxa"/>
                    <w:right w:w="0" w:type="dxa"/>
                  </w:tcMar>
                  <w:vAlign w:val="center"/>
                </w:tcPr>
                <w:p>
                  <w:pPr>
                    <w:pStyle w:val="45"/>
                    <w:rPr>
                      <w:color w:val="auto"/>
                    </w:rPr>
                  </w:pPr>
                  <w:r>
                    <w:rPr>
                      <w:color w:val="auto"/>
                    </w:rPr>
                    <w:t>外售资源回收</w:t>
                  </w:r>
                </w:p>
              </w:tc>
              <w:tc>
                <w:tcPr>
                  <w:tcW w:w="430" w:type="pct"/>
                  <w:vMerge w:val="restart"/>
                  <w:tcBorders>
                    <w:top w:val="single" w:color="auto" w:sz="4" w:space="0"/>
                    <w:tl2br w:val="nil"/>
                    <w:tr2bl w:val="nil"/>
                  </w:tcBorders>
                  <w:tcMar>
                    <w:top w:w="0" w:type="dxa"/>
                    <w:left w:w="0" w:type="dxa"/>
                    <w:bottom w:w="0" w:type="dxa"/>
                    <w:right w:w="0" w:type="dxa"/>
                  </w:tcMar>
                  <w:vAlign w:val="center"/>
                </w:tcPr>
                <w:p>
                  <w:pPr>
                    <w:pStyle w:val="45"/>
                    <w:rPr>
                      <w:color w:val="auto"/>
                    </w:rPr>
                  </w:pPr>
                  <w:r>
                    <w:rPr>
                      <w:color w:val="auto"/>
                    </w:rPr>
                    <w:t>资源回收单位</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rFonts w:hint="eastAsia"/>
                      <w:color w:val="auto"/>
                      <w:szCs w:val="21"/>
                    </w:rPr>
                    <w:t>12</w:t>
                  </w:r>
                </w:p>
              </w:tc>
              <w:tc>
                <w:tcPr>
                  <w:tcW w:w="679" w:type="pct"/>
                  <w:tcBorders>
                    <w:tl2br w:val="nil"/>
                    <w:tr2bl w:val="nil"/>
                  </w:tcBorders>
                  <w:tcMar>
                    <w:top w:w="0" w:type="dxa"/>
                    <w:left w:w="0" w:type="dxa"/>
                    <w:bottom w:w="0" w:type="dxa"/>
                    <w:right w:w="0" w:type="dxa"/>
                  </w:tcMar>
                </w:tcPr>
                <w:p>
                  <w:pPr>
                    <w:widowControl/>
                    <w:jc w:val="center"/>
                    <w:textAlignment w:val="center"/>
                    <w:rPr>
                      <w:bCs/>
                      <w:color w:val="auto"/>
                      <w:szCs w:val="21"/>
                    </w:rPr>
                  </w:pPr>
                  <w:r>
                    <w:rPr>
                      <w:rFonts w:hint="eastAsia"/>
                      <w:color w:val="auto"/>
                    </w:rPr>
                    <w:t>废边角料</w:t>
                  </w:r>
                </w:p>
              </w:tc>
              <w:tc>
                <w:tcPr>
                  <w:tcW w:w="831" w:type="pct"/>
                  <w:tcBorders>
                    <w:bottom w:val="single" w:color="auto" w:sz="4" w:space="0"/>
                    <w:tl2br w:val="nil"/>
                    <w:tr2bl w:val="nil"/>
                  </w:tcBorders>
                  <w:tcMar>
                    <w:top w:w="0" w:type="dxa"/>
                    <w:left w:w="0" w:type="dxa"/>
                    <w:bottom w:w="0" w:type="dxa"/>
                    <w:right w:w="0" w:type="dxa"/>
                  </w:tcMar>
                  <w:vAlign w:val="center"/>
                </w:tcPr>
                <w:p>
                  <w:pPr>
                    <w:widowControl/>
                    <w:jc w:val="center"/>
                    <w:textAlignment w:val="center"/>
                    <w:rPr>
                      <w:color w:val="auto"/>
                      <w:kern w:val="0"/>
                      <w:szCs w:val="21"/>
                    </w:rPr>
                  </w:pPr>
                  <w:r>
                    <w:rPr>
                      <w:color w:val="auto"/>
                      <w:szCs w:val="21"/>
                    </w:rPr>
                    <w:t>冲压件工艺过程</w:t>
                  </w:r>
                </w:p>
              </w:tc>
              <w:tc>
                <w:tcPr>
                  <w:tcW w:w="413" w:type="pct"/>
                  <w:tcBorders>
                    <w:tl2br w:val="nil"/>
                    <w:tr2bl w:val="nil"/>
                  </w:tcBorders>
                  <w:tcMar>
                    <w:top w:w="0" w:type="dxa"/>
                    <w:left w:w="0" w:type="dxa"/>
                    <w:bottom w:w="0" w:type="dxa"/>
                    <w:right w:w="0" w:type="dxa"/>
                  </w:tcMar>
                  <w:vAlign w:val="center"/>
                </w:tcPr>
                <w:p>
                  <w:pPr>
                    <w:adjustRightInd w:val="0"/>
                    <w:snapToGrid w:val="0"/>
                    <w:jc w:val="center"/>
                    <w:rPr>
                      <w:snapToGrid w:val="0"/>
                      <w:color w:val="auto"/>
                      <w:szCs w:val="21"/>
                    </w:rPr>
                  </w:pPr>
                  <w:r>
                    <w:rPr>
                      <w:snapToGrid w:val="0"/>
                      <w:color w:val="auto"/>
                      <w:szCs w:val="21"/>
                    </w:rPr>
                    <w:t>一般固废</w:t>
                  </w:r>
                </w:p>
              </w:tc>
              <w:tc>
                <w:tcPr>
                  <w:tcW w:w="457" w:type="pct"/>
                  <w:tcBorders>
                    <w:tl2br w:val="nil"/>
                    <w:tr2bl w:val="nil"/>
                  </w:tcBorders>
                  <w:tcMar>
                    <w:top w:w="0" w:type="dxa"/>
                    <w:left w:w="0" w:type="dxa"/>
                    <w:bottom w:w="0" w:type="dxa"/>
                    <w:right w:w="0" w:type="dxa"/>
                  </w:tcMar>
                  <w:vAlign w:val="center"/>
                </w:tcPr>
                <w:p>
                  <w:pPr>
                    <w:widowControl/>
                    <w:jc w:val="center"/>
                    <w:textAlignment w:val="center"/>
                    <w:rPr>
                      <w:rFonts w:hint="default" w:eastAsia="宋体"/>
                      <w:snapToGrid w:val="0"/>
                      <w:color w:val="auto"/>
                      <w:szCs w:val="21"/>
                      <w:highlight w:val="yellow"/>
                      <w:lang w:val="en-US" w:eastAsia="zh-CN"/>
                    </w:rPr>
                  </w:pPr>
                  <w:r>
                    <w:rPr>
                      <w:rFonts w:hint="eastAsia"/>
                      <w:color w:val="auto"/>
                      <w:szCs w:val="21"/>
                      <w:lang w:val="en-US" w:eastAsia="zh-CN"/>
                    </w:rPr>
                    <w:t>09</w:t>
                  </w:r>
                </w:p>
              </w:tc>
              <w:tc>
                <w:tcPr>
                  <w:tcW w:w="469" w:type="pct"/>
                  <w:tcBorders>
                    <w:tl2br w:val="nil"/>
                    <w:tr2bl w:val="nil"/>
                  </w:tcBorders>
                  <w:tcMar>
                    <w:top w:w="0" w:type="dxa"/>
                    <w:left w:w="0" w:type="dxa"/>
                    <w:bottom w:w="0" w:type="dxa"/>
                    <w:right w:w="0" w:type="dxa"/>
                  </w:tcMar>
                  <w:vAlign w:val="center"/>
                </w:tcPr>
                <w:p>
                  <w:pPr>
                    <w:widowControl/>
                    <w:jc w:val="center"/>
                    <w:textAlignment w:val="center"/>
                    <w:rPr>
                      <w:rFonts w:hint="default" w:eastAsia="宋体"/>
                      <w:snapToGrid w:val="0"/>
                      <w:color w:val="auto"/>
                      <w:szCs w:val="21"/>
                      <w:highlight w:val="yellow"/>
                      <w:lang w:val="en-US" w:eastAsia="zh-CN"/>
                    </w:rPr>
                  </w:pPr>
                  <w:r>
                    <w:rPr>
                      <w:rFonts w:hint="eastAsia"/>
                      <w:color w:val="auto"/>
                      <w:szCs w:val="21"/>
                    </w:rPr>
                    <w:t>331-999-</w:t>
                  </w:r>
                  <w:r>
                    <w:rPr>
                      <w:rFonts w:hint="eastAsia"/>
                      <w:color w:val="auto"/>
                      <w:szCs w:val="21"/>
                      <w:lang w:val="en-US" w:eastAsia="zh-CN"/>
                    </w:rPr>
                    <w:t>09</w:t>
                  </w:r>
                </w:p>
              </w:tc>
              <w:tc>
                <w:tcPr>
                  <w:tcW w:w="344"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rPr>
                  </w:pPr>
                  <w:r>
                    <w:rPr>
                      <w:color w:val="auto"/>
                      <w:szCs w:val="21"/>
                    </w:rPr>
                    <w:t>25</w:t>
                  </w:r>
                </w:p>
              </w:tc>
              <w:tc>
                <w:tcPr>
                  <w:tcW w:w="404" w:type="pct"/>
                  <w:tcBorders>
                    <w:right w:val="single" w:color="auto" w:sz="4" w:space="0"/>
                    <w:tl2br w:val="nil"/>
                    <w:tr2bl w:val="nil"/>
                  </w:tcBorders>
                  <w:tcMar>
                    <w:top w:w="0" w:type="dxa"/>
                    <w:left w:w="0" w:type="dxa"/>
                    <w:bottom w:w="0" w:type="dxa"/>
                    <w:right w:w="0" w:type="dxa"/>
                  </w:tcMar>
                  <w:vAlign w:val="center"/>
                </w:tcPr>
                <w:p>
                  <w:pPr>
                    <w:adjustRightInd w:val="0"/>
                    <w:snapToGrid w:val="0"/>
                    <w:jc w:val="center"/>
                    <w:rPr>
                      <w:bCs/>
                      <w:color w:val="auto"/>
                      <w:szCs w:val="21"/>
                    </w:rPr>
                  </w:pPr>
                  <w:r>
                    <w:rPr>
                      <w:bCs/>
                      <w:color w:val="auto"/>
                      <w:kern w:val="0"/>
                      <w:szCs w:val="21"/>
                    </w:rPr>
                    <w:t>袋装</w:t>
                  </w:r>
                </w:p>
              </w:tc>
              <w:tc>
                <w:tcPr>
                  <w:tcW w:w="334" w:type="pct"/>
                  <w:vMerge w:val="continue"/>
                  <w:tcBorders>
                    <w:tl2br w:val="nil"/>
                    <w:tr2bl w:val="nil"/>
                  </w:tcBorders>
                  <w:tcMar>
                    <w:top w:w="0" w:type="dxa"/>
                    <w:left w:w="0" w:type="dxa"/>
                    <w:bottom w:w="0" w:type="dxa"/>
                    <w:right w:w="0" w:type="dxa"/>
                  </w:tcMar>
                  <w:vAlign w:val="center"/>
                </w:tcPr>
                <w:p>
                  <w:pPr>
                    <w:pStyle w:val="45"/>
                    <w:rPr>
                      <w:color w:val="auto"/>
                    </w:rPr>
                  </w:pPr>
                </w:p>
              </w:tc>
              <w:tc>
                <w:tcPr>
                  <w:tcW w:w="459" w:type="pct"/>
                  <w:vMerge w:val="continue"/>
                  <w:tcBorders>
                    <w:tl2br w:val="nil"/>
                    <w:tr2bl w:val="nil"/>
                  </w:tcBorders>
                  <w:tcMar>
                    <w:top w:w="0" w:type="dxa"/>
                    <w:left w:w="0" w:type="dxa"/>
                    <w:bottom w:w="0" w:type="dxa"/>
                    <w:right w:w="0" w:type="dxa"/>
                  </w:tcMar>
                  <w:vAlign w:val="center"/>
                </w:tcPr>
                <w:p>
                  <w:pPr>
                    <w:pStyle w:val="57"/>
                    <w:widowControl w:val="0"/>
                    <w:adjustRightInd w:val="0"/>
                    <w:snapToGrid w:val="0"/>
                    <w:spacing w:before="0" w:beforeAutospacing="0" w:after="0" w:afterAutospacing="0"/>
                    <w:rPr>
                      <w:rFonts w:ascii="Times New Roman" w:hAnsi="Times New Roman"/>
                      <w:color w:val="auto"/>
                      <w:sz w:val="21"/>
                      <w:szCs w:val="21"/>
                    </w:rPr>
                  </w:pPr>
                </w:p>
              </w:tc>
              <w:tc>
                <w:tcPr>
                  <w:tcW w:w="430" w:type="pct"/>
                  <w:vMerge w:val="continue"/>
                  <w:tcBorders>
                    <w:tl2br w:val="nil"/>
                    <w:tr2bl w:val="nil"/>
                  </w:tcBorders>
                  <w:tcMar>
                    <w:top w:w="0" w:type="dxa"/>
                    <w:left w:w="0" w:type="dxa"/>
                    <w:bottom w:w="0" w:type="dxa"/>
                    <w:right w:w="0"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vMerge w:val="restar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rFonts w:hint="eastAsia"/>
                      <w:color w:val="auto"/>
                      <w:szCs w:val="21"/>
                    </w:rPr>
                    <w:t>13</w:t>
                  </w:r>
                </w:p>
              </w:tc>
              <w:tc>
                <w:tcPr>
                  <w:tcW w:w="679" w:type="pct"/>
                  <w:vMerge w:val="restar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color w:val="auto"/>
                      <w:szCs w:val="21"/>
                    </w:rPr>
                    <w:t>不合格品</w:t>
                  </w:r>
                </w:p>
              </w:tc>
              <w:tc>
                <w:tcPr>
                  <w:tcW w:w="831" w:type="pct"/>
                  <w:tcBorders>
                    <w:top w:val="single" w:color="auto" w:sz="4" w:space="0"/>
                    <w:tl2br w:val="nil"/>
                    <w:tr2bl w:val="nil"/>
                  </w:tcBorders>
                  <w:tcMar>
                    <w:top w:w="0" w:type="dxa"/>
                    <w:left w:w="0" w:type="dxa"/>
                    <w:bottom w:w="0" w:type="dxa"/>
                    <w:right w:w="0" w:type="dxa"/>
                  </w:tcMar>
                  <w:vAlign w:val="center"/>
                </w:tcPr>
                <w:p>
                  <w:pPr>
                    <w:jc w:val="center"/>
                    <w:textAlignment w:val="center"/>
                    <w:rPr>
                      <w:color w:val="auto"/>
                      <w:kern w:val="0"/>
                      <w:szCs w:val="21"/>
                    </w:rPr>
                  </w:pPr>
                  <w:r>
                    <w:rPr>
                      <w:color w:val="auto"/>
                      <w:szCs w:val="21"/>
                    </w:rPr>
                    <w:t>冲压件工艺过程</w:t>
                  </w:r>
                </w:p>
              </w:tc>
              <w:tc>
                <w:tcPr>
                  <w:tcW w:w="413" w:type="pct"/>
                  <w:vMerge w:val="restar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snapToGrid w:val="0"/>
                      <w:color w:val="auto"/>
                      <w:szCs w:val="21"/>
                    </w:rPr>
                    <w:t>一般固废</w:t>
                  </w:r>
                </w:p>
              </w:tc>
              <w:tc>
                <w:tcPr>
                  <w:tcW w:w="457" w:type="pct"/>
                  <w:vMerge w:val="restar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rFonts w:hint="eastAsia"/>
                      <w:color w:val="auto"/>
                      <w:szCs w:val="21"/>
                    </w:rPr>
                    <w:t>09</w:t>
                  </w:r>
                </w:p>
              </w:tc>
              <w:tc>
                <w:tcPr>
                  <w:tcW w:w="469" w:type="pct"/>
                  <w:vMerge w:val="restart"/>
                  <w:tcBorders>
                    <w:tl2br w:val="nil"/>
                    <w:tr2bl w:val="nil"/>
                  </w:tcBorders>
                  <w:tcMar>
                    <w:top w:w="0" w:type="dxa"/>
                    <w:left w:w="0" w:type="dxa"/>
                    <w:bottom w:w="0" w:type="dxa"/>
                    <w:right w:w="0" w:type="dxa"/>
                  </w:tcMar>
                  <w:vAlign w:val="center"/>
                </w:tcPr>
                <w:p>
                  <w:pPr>
                    <w:widowControl/>
                    <w:jc w:val="center"/>
                    <w:textAlignment w:val="center"/>
                    <w:rPr>
                      <w:rFonts w:hint="eastAsia" w:eastAsia="宋体"/>
                      <w:color w:val="auto"/>
                      <w:szCs w:val="21"/>
                      <w:lang w:eastAsia="zh-CN"/>
                    </w:rPr>
                  </w:pPr>
                  <w:r>
                    <w:rPr>
                      <w:rFonts w:hint="eastAsia"/>
                      <w:color w:val="auto"/>
                      <w:szCs w:val="21"/>
                      <w:lang w:val="en-US" w:eastAsia="zh-CN"/>
                    </w:rPr>
                    <w:t>331</w:t>
                  </w:r>
                  <w:r>
                    <w:rPr>
                      <w:rFonts w:hint="eastAsia"/>
                      <w:color w:val="auto"/>
                      <w:szCs w:val="21"/>
                    </w:rPr>
                    <w:t>-999-09</w:t>
                  </w:r>
                  <w:r>
                    <w:rPr>
                      <w:rFonts w:hint="eastAsia"/>
                      <w:color w:val="auto"/>
                      <w:szCs w:val="21"/>
                      <w:lang w:eastAsia="zh-CN"/>
                    </w:rPr>
                    <w:t>、</w:t>
                  </w:r>
                  <w:r>
                    <w:rPr>
                      <w:rFonts w:hint="eastAsia"/>
                      <w:color w:val="auto"/>
                      <w:szCs w:val="21"/>
                      <w:lang w:val="en-US" w:eastAsia="zh-CN"/>
                    </w:rPr>
                    <w:t>352</w:t>
                  </w:r>
                  <w:r>
                    <w:rPr>
                      <w:rFonts w:hint="eastAsia"/>
                      <w:color w:val="auto"/>
                      <w:szCs w:val="21"/>
                    </w:rPr>
                    <w:t>-999-</w:t>
                  </w:r>
                  <w:r>
                    <w:rPr>
                      <w:rFonts w:hint="eastAsia"/>
                      <w:color w:val="auto"/>
                      <w:szCs w:val="21"/>
                      <w:lang w:val="en-US" w:eastAsia="zh-CN"/>
                    </w:rPr>
                    <w:t>09</w:t>
                  </w:r>
                </w:p>
              </w:tc>
              <w:tc>
                <w:tcPr>
                  <w:tcW w:w="344" w:type="pct"/>
                  <w:vMerge w:val="restart"/>
                  <w:tcBorders>
                    <w:tl2br w:val="nil"/>
                    <w:tr2bl w:val="nil"/>
                  </w:tcBorders>
                  <w:tcMar>
                    <w:top w:w="0" w:type="dxa"/>
                    <w:left w:w="0" w:type="dxa"/>
                    <w:bottom w:w="0" w:type="dxa"/>
                    <w:right w:w="0" w:type="dxa"/>
                  </w:tcMar>
                  <w:vAlign w:val="center"/>
                </w:tcPr>
                <w:p>
                  <w:pPr>
                    <w:widowControl/>
                    <w:jc w:val="center"/>
                    <w:textAlignment w:val="center"/>
                    <w:rPr>
                      <w:rFonts w:hint="default" w:eastAsia="宋体"/>
                      <w:color w:val="auto"/>
                      <w:kern w:val="0"/>
                      <w:szCs w:val="21"/>
                      <w:lang w:val="en-US" w:eastAsia="zh-CN"/>
                    </w:rPr>
                  </w:pPr>
                  <w:r>
                    <w:rPr>
                      <w:rFonts w:hint="eastAsia"/>
                      <w:color w:val="auto"/>
                      <w:kern w:val="0"/>
                      <w:szCs w:val="21"/>
                      <w:lang w:val="en-US" w:eastAsia="zh-CN"/>
                    </w:rPr>
                    <w:t>21.75</w:t>
                  </w:r>
                </w:p>
              </w:tc>
              <w:tc>
                <w:tcPr>
                  <w:tcW w:w="404" w:type="pct"/>
                  <w:vMerge w:val="restart"/>
                  <w:tcBorders>
                    <w:right w:val="single" w:color="auto" w:sz="4" w:space="0"/>
                    <w:tl2br w:val="nil"/>
                    <w:tr2bl w:val="nil"/>
                  </w:tcBorders>
                  <w:tcMar>
                    <w:top w:w="0" w:type="dxa"/>
                    <w:left w:w="0" w:type="dxa"/>
                    <w:bottom w:w="0" w:type="dxa"/>
                    <w:right w:w="0" w:type="dxa"/>
                  </w:tcMar>
                  <w:vAlign w:val="center"/>
                </w:tcPr>
                <w:p>
                  <w:pPr>
                    <w:adjustRightInd w:val="0"/>
                    <w:snapToGrid w:val="0"/>
                    <w:jc w:val="center"/>
                    <w:rPr>
                      <w:bCs/>
                      <w:color w:val="auto"/>
                      <w:kern w:val="0"/>
                      <w:szCs w:val="21"/>
                    </w:rPr>
                  </w:pPr>
                  <w:r>
                    <w:rPr>
                      <w:rFonts w:hint="eastAsia"/>
                      <w:bCs/>
                      <w:color w:val="auto"/>
                      <w:kern w:val="0"/>
                      <w:szCs w:val="21"/>
                    </w:rPr>
                    <w:t>堆放</w:t>
                  </w:r>
                </w:p>
              </w:tc>
              <w:tc>
                <w:tcPr>
                  <w:tcW w:w="334" w:type="pct"/>
                  <w:vMerge w:val="continue"/>
                  <w:tcBorders>
                    <w:tl2br w:val="nil"/>
                    <w:tr2bl w:val="nil"/>
                  </w:tcBorders>
                  <w:tcMar>
                    <w:top w:w="0" w:type="dxa"/>
                    <w:left w:w="0" w:type="dxa"/>
                    <w:bottom w:w="0" w:type="dxa"/>
                    <w:right w:w="0" w:type="dxa"/>
                  </w:tcMar>
                  <w:vAlign w:val="center"/>
                </w:tcPr>
                <w:p>
                  <w:pPr>
                    <w:pStyle w:val="45"/>
                    <w:rPr>
                      <w:color w:val="auto"/>
                    </w:rPr>
                  </w:pPr>
                </w:p>
              </w:tc>
              <w:tc>
                <w:tcPr>
                  <w:tcW w:w="459" w:type="pct"/>
                  <w:vMerge w:val="continue"/>
                  <w:tcBorders>
                    <w:tl2br w:val="nil"/>
                    <w:tr2bl w:val="nil"/>
                  </w:tcBorders>
                  <w:tcMar>
                    <w:top w:w="0" w:type="dxa"/>
                    <w:left w:w="0" w:type="dxa"/>
                    <w:bottom w:w="0" w:type="dxa"/>
                    <w:right w:w="0" w:type="dxa"/>
                  </w:tcMar>
                  <w:vAlign w:val="center"/>
                </w:tcPr>
                <w:p>
                  <w:pPr>
                    <w:pStyle w:val="57"/>
                    <w:widowControl w:val="0"/>
                    <w:adjustRightInd w:val="0"/>
                    <w:snapToGrid w:val="0"/>
                    <w:spacing w:before="0" w:beforeAutospacing="0" w:after="0" w:afterAutospacing="0"/>
                    <w:rPr>
                      <w:rFonts w:ascii="Times New Roman" w:hAnsi="Times New Roman"/>
                      <w:color w:val="auto"/>
                      <w:sz w:val="21"/>
                      <w:szCs w:val="21"/>
                    </w:rPr>
                  </w:pPr>
                </w:p>
              </w:tc>
              <w:tc>
                <w:tcPr>
                  <w:tcW w:w="430" w:type="pct"/>
                  <w:vMerge w:val="continue"/>
                  <w:tcBorders>
                    <w:tl2br w:val="nil"/>
                    <w:tr2bl w:val="nil"/>
                  </w:tcBorders>
                  <w:tcMar>
                    <w:top w:w="0" w:type="dxa"/>
                    <w:left w:w="0" w:type="dxa"/>
                    <w:bottom w:w="0" w:type="dxa"/>
                    <w:right w:w="0" w:type="dxa"/>
                  </w:tcMar>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vMerge w:val="continue"/>
                  <w:tcBorders>
                    <w:tl2br w:val="nil"/>
                    <w:tr2bl w:val="nil"/>
                  </w:tcBorders>
                  <w:tcMar>
                    <w:top w:w="0" w:type="dxa"/>
                    <w:left w:w="0" w:type="dxa"/>
                    <w:bottom w:w="0" w:type="dxa"/>
                    <w:right w:w="0" w:type="dxa"/>
                  </w:tcMar>
                  <w:vAlign w:val="center"/>
                </w:tcPr>
                <w:p>
                  <w:pPr>
                    <w:adjustRightInd w:val="0"/>
                    <w:snapToGrid w:val="0"/>
                    <w:jc w:val="center"/>
                    <w:rPr>
                      <w:color w:val="auto"/>
                      <w:szCs w:val="21"/>
                    </w:rPr>
                  </w:pPr>
                </w:p>
              </w:tc>
              <w:tc>
                <w:tcPr>
                  <w:tcW w:w="679" w:type="pct"/>
                  <w:vMerge w:val="continue"/>
                  <w:tcBorders>
                    <w:tl2br w:val="nil"/>
                    <w:tr2bl w:val="nil"/>
                  </w:tcBorders>
                  <w:tcMar>
                    <w:top w:w="0" w:type="dxa"/>
                    <w:left w:w="0" w:type="dxa"/>
                    <w:bottom w:w="0" w:type="dxa"/>
                    <w:right w:w="0" w:type="dxa"/>
                  </w:tcMar>
                  <w:vAlign w:val="center"/>
                </w:tcPr>
                <w:p>
                  <w:pPr>
                    <w:widowControl/>
                    <w:jc w:val="center"/>
                    <w:textAlignment w:val="center"/>
                    <w:rPr>
                      <w:color w:val="auto"/>
                      <w:szCs w:val="21"/>
                    </w:rPr>
                  </w:pPr>
                </w:p>
              </w:tc>
              <w:tc>
                <w:tcPr>
                  <w:tcW w:w="831"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rPr>
                  </w:pPr>
                  <w:r>
                    <w:rPr>
                      <w:color w:val="auto"/>
                      <w:kern w:val="0"/>
                      <w:szCs w:val="21"/>
                      <w:lang w:bidi="ar"/>
                    </w:rPr>
                    <w:t>喷粉工艺过程</w:t>
                  </w:r>
                </w:p>
              </w:tc>
              <w:tc>
                <w:tcPr>
                  <w:tcW w:w="413" w:type="pct"/>
                  <w:vMerge w:val="continue"/>
                  <w:tcBorders>
                    <w:tl2br w:val="nil"/>
                    <w:tr2bl w:val="nil"/>
                  </w:tcBorders>
                  <w:tcMar>
                    <w:top w:w="0" w:type="dxa"/>
                    <w:left w:w="0" w:type="dxa"/>
                    <w:bottom w:w="0" w:type="dxa"/>
                    <w:right w:w="0" w:type="dxa"/>
                  </w:tcMar>
                  <w:vAlign w:val="center"/>
                </w:tcPr>
                <w:p>
                  <w:pPr>
                    <w:adjustRightInd w:val="0"/>
                    <w:snapToGrid w:val="0"/>
                    <w:jc w:val="center"/>
                    <w:rPr>
                      <w:color w:val="auto"/>
                      <w:szCs w:val="21"/>
                    </w:rPr>
                  </w:pPr>
                </w:p>
              </w:tc>
              <w:tc>
                <w:tcPr>
                  <w:tcW w:w="457" w:type="pct"/>
                  <w:vMerge w:val="continue"/>
                  <w:tcBorders>
                    <w:tl2br w:val="nil"/>
                    <w:tr2bl w:val="nil"/>
                  </w:tcBorders>
                  <w:tcMar>
                    <w:top w:w="0" w:type="dxa"/>
                    <w:left w:w="0" w:type="dxa"/>
                    <w:bottom w:w="0" w:type="dxa"/>
                    <w:right w:w="0" w:type="dxa"/>
                  </w:tcMar>
                  <w:vAlign w:val="center"/>
                </w:tcPr>
                <w:p>
                  <w:pPr>
                    <w:widowControl/>
                    <w:jc w:val="center"/>
                    <w:textAlignment w:val="center"/>
                    <w:rPr>
                      <w:color w:val="auto"/>
                      <w:szCs w:val="21"/>
                      <w:highlight w:val="yellow"/>
                    </w:rPr>
                  </w:pPr>
                </w:p>
              </w:tc>
              <w:tc>
                <w:tcPr>
                  <w:tcW w:w="469" w:type="pct"/>
                  <w:vMerge w:val="continue"/>
                  <w:tcBorders>
                    <w:tl2br w:val="nil"/>
                    <w:tr2bl w:val="nil"/>
                  </w:tcBorders>
                  <w:tcMar>
                    <w:top w:w="0" w:type="dxa"/>
                    <w:left w:w="0" w:type="dxa"/>
                    <w:bottom w:w="0" w:type="dxa"/>
                    <w:right w:w="0" w:type="dxa"/>
                  </w:tcMar>
                  <w:vAlign w:val="center"/>
                </w:tcPr>
                <w:p>
                  <w:pPr>
                    <w:widowControl/>
                    <w:jc w:val="center"/>
                    <w:textAlignment w:val="center"/>
                    <w:rPr>
                      <w:rFonts w:hint="default" w:eastAsia="宋体"/>
                      <w:color w:val="auto"/>
                      <w:szCs w:val="21"/>
                      <w:highlight w:val="yellow"/>
                      <w:lang w:val="en-US" w:eastAsia="zh-CN"/>
                    </w:rPr>
                  </w:pPr>
                </w:p>
              </w:tc>
              <w:tc>
                <w:tcPr>
                  <w:tcW w:w="344" w:type="pct"/>
                  <w:vMerge w:val="continue"/>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rPr>
                  </w:pPr>
                </w:p>
              </w:tc>
              <w:tc>
                <w:tcPr>
                  <w:tcW w:w="404" w:type="pct"/>
                  <w:vMerge w:val="continue"/>
                  <w:tcBorders>
                    <w:right w:val="single" w:color="auto" w:sz="4" w:space="0"/>
                    <w:tl2br w:val="nil"/>
                    <w:tr2bl w:val="nil"/>
                  </w:tcBorders>
                  <w:tcMar>
                    <w:top w:w="0" w:type="dxa"/>
                    <w:left w:w="0" w:type="dxa"/>
                    <w:bottom w:w="0" w:type="dxa"/>
                    <w:right w:w="0" w:type="dxa"/>
                  </w:tcMar>
                  <w:vAlign w:val="center"/>
                </w:tcPr>
                <w:p>
                  <w:pPr>
                    <w:adjustRightInd w:val="0"/>
                    <w:snapToGrid w:val="0"/>
                    <w:jc w:val="center"/>
                    <w:rPr>
                      <w:bCs/>
                      <w:color w:val="auto"/>
                      <w:kern w:val="0"/>
                      <w:szCs w:val="21"/>
                    </w:rPr>
                  </w:pPr>
                </w:p>
              </w:tc>
              <w:tc>
                <w:tcPr>
                  <w:tcW w:w="334" w:type="pct"/>
                  <w:vMerge w:val="continue"/>
                  <w:tcBorders>
                    <w:tl2br w:val="nil"/>
                    <w:tr2bl w:val="nil"/>
                  </w:tcBorders>
                  <w:tcMar>
                    <w:top w:w="0" w:type="dxa"/>
                    <w:left w:w="0" w:type="dxa"/>
                    <w:bottom w:w="0" w:type="dxa"/>
                    <w:right w:w="0" w:type="dxa"/>
                  </w:tcMar>
                  <w:vAlign w:val="center"/>
                </w:tcPr>
                <w:p>
                  <w:pPr>
                    <w:pStyle w:val="45"/>
                    <w:rPr>
                      <w:color w:val="auto"/>
                    </w:rPr>
                  </w:pPr>
                </w:p>
              </w:tc>
              <w:tc>
                <w:tcPr>
                  <w:tcW w:w="459" w:type="pct"/>
                  <w:vMerge w:val="continue"/>
                  <w:tcBorders>
                    <w:tl2br w:val="nil"/>
                    <w:tr2bl w:val="nil"/>
                  </w:tcBorders>
                  <w:tcMar>
                    <w:top w:w="0" w:type="dxa"/>
                    <w:left w:w="0" w:type="dxa"/>
                    <w:bottom w:w="0" w:type="dxa"/>
                    <w:right w:w="0" w:type="dxa"/>
                  </w:tcMar>
                  <w:vAlign w:val="center"/>
                </w:tcPr>
                <w:p>
                  <w:pPr>
                    <w:pStyle w:val="45"/>
                    <w:rPr>
                      <w:color w:val="auto"/>
                    </w:rPr>
                  </w:pPr>
                </w:p>
              </w:tc>
              <w:tc>
                <w:tcPr>
                  <w:tcW w:w="430" w:type="pct"/>
                  <w:vMerge w:val="continue"/>
                  <w:tcBorders>
                    <w:tl2br w:val="nil"/>
                    <w:tr2bl w:val="nil"/>
                  </w:tcBorders>
                  <w:tcMar>
                    <w:top w:w="0" w:type="dxa"/>
                    <w:left w:w="0" w:type="dxa"/>
                    <w:bottom w:w="0" w:type="dxa"/>
                    <w:right w:w="0" w:type="dxa"/>
                  </w:tcMar>
                  <w:vAlign w:val="center"/>
                </w:tcPr>
                <w:p>
                  <w:pPr>
                    <w:pStyle w:val="45"/>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vMerge w:val="continue"/>
                  <w:tcBorders>
                    <w:tl2br w:val="nil"/>
                    <w:tr2bl w:val="nil"/>
                  </w:tcBorders>
                  <w:tcMar>
                    <w:top w:w="0" w:type="dxa"/>
                    <w:left w:w="0" w:type="dxa"/>
                    <w:bottom w:w="0" w:type="dxa"/>
                    <w:right w:w="0" w:type="dxa"/>
                  </w:tcMar>
                  <w:vAlign w:val="center"/>
                </w:tcPr>
                <w:p>
                  <w:pPr>
                    <w:adjustRightInd w:val="0"/>
                    <w:snapToGrid w:val="0"/>
                    <w:jc w:val="center"/>
                    <w:rPr>
                      <w:color w:val="auto"/>
                      <w:szCs w:val="21"/>
                    </w:rPr>
                  </w:pPr>
                </w:p>
              </w:tc>
              <w:tc>
                <w:tcPr>
                  <w:tcW w:w="679" w:type="pct"/>
                  <w:vMerge w:val="continue"/>
                  <w:tcBorders>
                    <w:tl2br w:val="nil"/>
                    <w:tr2bl w:val="nil"/>
                  </w:tcBorders>
                  <w:tcMar>
                    <w:top w:w="0" w:type="dxa"/>
                    <w:left w:w="0" w:type="dxa"/>
                    <w:bottom w:w="0" w:type="dxa"/>
                    <w:right w:w="0" w:type="dxa"/>
                  </w:tcMar>
                  <w:vAlign w:val="center"/>
                </w:tcPr>
                <w:p>
                  <w:pPr>
                    <w:widowControl/>
                    <w:jc w:val="center"/>
                    <w:textAlignment w:val="center"/>
                    <w:rPr>
                      <w:color w:val="auto"/>
                      <w:szCs w:val="21"/>
                    </w:rPr>
                  </w:pPr>
                </w:p>
              </w:tc>
              <w:tc>
                <w:tcPr>
                  <w:tcW w:w="831"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rPr>
                  </w:pPr>
                  <w:r>
                    <w:rPr>
                      <w:color w:val="auto"/>
                      <w:kern w:val="0"/>
                      <w:szCs w:val="21"/>
                      <w:lang w:bidi="ar"/>
                    </w:rPr>
                    <w:t>模具生产</w:t>
                  </w:r>
                </w:p>
              </w:tc>
              <w:tc>
                <w:tcPr>
                  <w:tcW w:w="413" w:type="pct"/>
                  <w:vMerge w:val="continue"/>
                  <w:tcBorders>
                    <w:tl2br w:val="nil"/>
                    <w:tr2bl w:val="nil"/>
                  </w:tcBorders>
                  <w:tcMar>
                    <w:top w:w="0" w:type="dxa"/>
                    <w:left w:w="0" w:type="dxa"/>
                    <w:bottom w:w="0" w:type="dxa"/>
                    <w:right w:w="0" w:type="dxa"/>
                  </w:tcMar>
                  <w:vAlign w:val="center"/>
                </w:tcPr>
                <w:p>
                  <w:pPr>
                    <w:adjustRightInd w:val="0"/>
                    <w:snapToGrid w:val="0"/>
                    <w:jc w:val="center"/>
                    <w:rPr>
                      <w:color w:val="auto"/>
                      <w:szCs w:val="21"/>
                    </w:rPr>
                  </w:pPr>
                </w:p>
              </w:tc>
              <w:tc>
                <w:tcPr>
                  <w:tcW w:w="457" w:type="pct"/>
                  <w:vMerge w:val="continue"/>
                  <w:tcBorders>
                    <w:tl2br w:val="nil"/>
                    <w:tr2bl w:val="nil"/>
                  </w:tcBorders>
                  <w:tcMar>
                    <w:top w:w="0" w:type="dxa"/>
                    <w:left w:w="0" w:type="dxa"/>
                    <w:bottom w:w="0" w:type="dxa"/>
                    <w:right w:w="0" w:type="dxa"/>
                  </w:tcMar>
                  <w:vAlign w:val="center"/>
                </w:tcPr>
                <w:p>
                  <w:pPr>
                    <w:widowControl/>
                    <w:jc w:val="center"/>
                    <w:textAlignment w:val="center"/>
                    <w:rPr>
                      <w:color w:val="auto"/>
                      <w:szCs w:val="21"/>
                    </w:rPr>
                  </w:pPr>
                </w:p>
              </w:tc>
              <w:tc>
                <w:tcPr>
                  <w:tcW w:w="469" w:type="pct"/>
                  <w:vMerge w:val="continue"/>
                  <w:tcBorders>
                    <w:tl2br w:val="nil"/>
                    <w:tr2bl w:val="nil"/>
                  </w:tcBorders>
                  <w:tcMar>
                    <w:top w:w="0" w:type="dxa"/>
                    <w:left w:w="0" w:type="dxa"/>
                    <w:bottom w:w="0" w:type="dxa"/>
                    <w:right w:w="0" w:type="dxa"/>
                  </w:tcMar>
                  <w:vAlign w:val="center"/>
                </w:tcPr>
                <w:p>
                  <w:pPr>
                    <w:widowControl/>
                    <w:jc w:val="center"/>
                    <w:textAlignment w:val="center"/>
                    <w:rPr>
                      <w:rFonts w:hint="eastAsia" w:eastAsia="宋体"/>
                      <w:color w:val="auto"/>
                      <w:szCs w:val="21"/>
                      <w:lang w:eastAsia="zh-CN"/>
                    </w:rPr>
                  </w:pPr>
                </w:p>
              </w:tc>
              <w:tc>
                <w:tcPr>
                  <w:tcW w:w="344" w:type="pct"/>
                  <w:vMerge w:val="continue"/>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rPr>
                  </w:pPr>
                </w:p>
              </w:tc>
              <w:tc>
                <w:tcPr>
                  <w:tcW w:w="404" w:type="pct"/>
                  <w:vMerge w:val="continue"/>
                  <w:tcBorders>
                    <w:right w:val="single" w:color="auto" w:sz="4" w:space="0"/>
                    <w:tl2br w:val="nil"/>
                    <w:tr2bl w:val="nil"/>
                  </w:tcBorders>
                  <w:tcMar>
                    <w:top w:w="0" w:type="dxa"/>
                    <w:left w:w="0" w:type="dxa"/>
                    <w:bottom w:w="0" w:type="dxa"/>
                    <w:right w:w="0" w:type="dxa"/>
                  </w:tcMar>
                  <w:vAlign w:val="center"/>
                </w:tcPr>
                <w:p>
                  <w:pPr>
                    <w:adjustRightInd w:val="0"/>
                    <w:snapToGrid w:val="0"/>
                    <w:jc w:val="center"/>
                    <w:rPr>
                      <w:bCs/>
                      <w:color w:val="auto"/>
                      <w:kern w:val="0"/>
                      <w:szCs w:val="21"/>
                    </w:rPr>
                  </w:pPr>
                </w:p>
              </w:tc>
              <w:tc>
                <w:tcPr>
                  <w:tcW w:w="334" w:type="pct"/>
                  <w:vMerge w:val="continue"/>
                  <w:tcBorders>
                    <w:tl2br w:val="nil"/>
                    <w:tr2bl w:val="nil"/>
                  </w:tcBorders>
                  <w:tcMar>
                    <w:top w:w="0" w:type="dxa"/>
                    <w:left w:w="0" w:type="dxa"/>
                    <w:bottom w:w="0" w:type="dxa"/>
                    <w:right w:w="0" w:type="dxa"/>
                  </w:tcMar>
                  <w:vAlign w:val="center"/>
                </w:tcPr>
                <w:p>
                  <w:pPr>
                    <w:pStyle w:val="45"/>
                    <w:rPr>
                      <w:color w:val="auto"/>
                    </w:rPr>
                  </w:pPr>
                </w:p>
              </w:tc>
              <w:tc>
                <w:tcPr>
                  <w:tcW w:w="459" w:type="pct"/>
                  <w:vMerge w:val="continue"/>
                  <w:tcBorders>
                    <w:tl2br w:val="nil"/>
                    <w:tr2bl w:val="nil"/>
                  </w:tcBorders>
                  <w:tcMar>
                    <w:top w:w="0" w:type="dxa"/>
                    <w:left w:w="0" w:type="dxa"/>
                    <w:bottom w:w="0" w:type="dxa"/>
                    <w:right w:w="0" w:type="dxa"/>
                  </w:tcMar>
                  <w:vAlign w:val="center"/>
                </w:tcPr>
                <w:p>
                  <w:pPr>
                    <w:pStyle w:val="45"/>
                    <w:rPr>
                      <w:color w:val="auto"/>
                    </w:rPr>
                  </w:pPr>
                </w:p>
              </w:tc>
              <w:tc>
                <w:tcPr>
                  <w:tcW w:w="430" w:type="pct"/>
                  <w:vMerge w:val="continue"/>
                  <w:tcBorders>
                    <w:tl2br w:val="nil"/>
                    <w:tr2bl w:val="nil"/>
                  </w:tcBorders>
                  <w:tcMar>
                    <w:top w:w="0" w:type="dxa"/>
                    <w:left w:w="0" w:type="dxa"/>
                    <w:bottom w:w="0" w:type="dxa"/>
                    <w:right w:w="0" w:type="dxa"/>
                  </w:tcMar>
                  <w:vAlign w:val="center"/>
                </w:tcPr>
                <w:p>
                  <w:pPr>
                    <w:pStyle w:val="45"/>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rFonts w:hint="eastAsia"/>
                      <w:color w:val="auto"/>
                      <w:szCs w:val="21"/>
                    </w:rPr>
                    <w:t>14</w:t>
                  </w:r>
                </w:p>
              </w:tc>
              <w:tc>
                <w:tcPr>
                  <w:tcW w:w="679" w:type="pct"/>
                  <w:tcBorders>
                    <w:tl2br w:val="nil"/>
                    <w:tr2bl w:val="nil"/>
                  </w:tcBorders>
                  <w:tcMar>
                    <w:top w:w="0" w:type="dxa"/>
                    <w:left w:w="0" w:type="dxa"/>
                    <w:bottom w:w="0" w:type="dxa"/>
                    <w:right w:w="0" w:type="dxa"/>
                  </w:tcMar>
                  <w:vAlign w:val="center"/>
                </w:tcPr>
                <w:p>
                  <w:pPr>
                    <w:widowControl/>
                    <w:jc w:val="center"/>
                    <w:textAlignment w:val="center"/>
                    <w:rPr>
                      <w:rFonts w:hint="eastAsia" w:eastAsia="宋体"/>
                      <w:color w:val="auto"/>
                      <w:szCs w:val="21"/>
                      <w:lang w:eastAsia="zh-CN"/>
                    </w:rPr>
                  </w:pPr>
                  <w:r>
                    <w:rPr>
                      <w:rFonts w:hint="eastAsia"/>
                      <w:color w:val="auto"/>
                      <w:szCs w:val="21"/>
                      <w:lang w:val="en-US" w:eastAsia="zh-CN"/>
                    </w:rPr>
                    <w:t>钢屑</w:t>
                  </w:r>
                </w:p>
              </w:tc>
              <w:tc>
                <w:tcPr>
                  <w:tcW w:w="831"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rPr>
                  </w:pPr>
                  <w:r>
                    <w:rPr>
                      <w:color w:val="auto"/>
                      <w:kern w:val="0"/>
                      <w:szCs w:val="21"/>
                      <w:lang w:bidi="ar"/>
                    </w:rPr>
                    <w:t>模</w:t>
                  </w:r>
                  <w:r>
                    <w:rPr>
                      <w:rFonts w:hint="eastAsia"/>
                      <w:color w:val="auto"/>
                      <w:szCs w:val="21"/>
                    </w:rPr>
                    <w:t>具生产</w:t>
                  </w:r>
                </w:p>
              </w:tc>
              <w:tc>
                <w:tcPr>
                  <w:tcW w:w="413"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snapToGrid w:val="0"/>
                      <w:color w:val="auto"/>
                      <w:szCs w:val="21"/>
                    </w:rPr>
                    <w:t>一般固废</w:t>
                  </w:r>
                </w:p>
              </w:tc>
              <w:tc>
                <w:tcPr>
                  <w:tcW w:w="457"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rFonts w:hint="eastAsia"/>
                      <w:color w:val="auto"/>
                      <w:szCs w:val="21"/>
                    </w:rPr>
                    <w:t>09</w:t>
                  </w:r>
                </w:p>
              </w:tc>
              <w:tc>
                <w:tcPr>
                  <w:tcW w:w="469"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rFonts w:hint="eastAsia"/>
                      <w:color w:val="auto"/>
                      <w:szCs w:val="21"/>
                    </w:rPr>
                    <w:t>352-999-09</w:t>
                  </w:r>
                </w:p>
              </w:tc>
              <w:tc>
                <w:tcPr>
                  <w:tcW w:w="344"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rPr>
                  </w:pPr>
                  <w:r>
                    <w:rPr>
                      <w:color w:val="auto"/>
                      <w:szCs w:val="21"/>
                    </w:rPr>
                    <w:t>0.5</w:t>
                  </w:r>
                </w:p>
              </w:tc>
              <w:tc>
                <w:tcPr>
                  <w:tcW w:w="404" w:type="pct"/>
                  <w:tcBorders>
                    <w:right w:val="single" w:color="auto" w:sz="4" w:space="0"/>
                    <w:tl2br w:val="nil"/>
                    <w:tr2bl w:val="nil"/>
                  </w:tcBorders>
                  <w:tcMar>
                    <w:top w:w="0" w:type="dxa"/>
                    <w:left w:w="0" w:type="dxa"/>
                    <w:bottom w:w="0" w:type="dxa"/>
                    <w:right w:w="0" w:type="dxa"/>
                  </w:tcMar>
                  <w:vAlign w:val="center"/>
                </w:tcPr>
                <w:p>
                  <w:pPr>
                    <w:adjustRightInd w:val="0"/>
                    <w:snapToGrid w:val="0"/>
                    <w:jc w:val="center"/>
                    <w:rPr>
                      <w:bCs/>
                      <w:color w:val="auto"/>
                      <w:kern w:val="0"/>
                      <w:szCs w:val="21"/>
                    </w:rPr>
                  </w:pPr>
                  <w:r>
                    <w:rPr>
                      <w:bCs/>
                      <w:color w:val="auto"/>
                      <w:kern w:val="0"/>
                      <w:szCs w:val="21"/>
                    </w:rPr>
                    <w:t>袋装</w:t>
                  </w:r>
                </w:p>
              </w:tc>
              <w:tc>
                <w:tcPr>
                  <w:tcW w:w="334" w:type="pct"/>
                  <w:vMerge w:val="continue"/>
                  <w:tcBorders>
                    <w:tl2br w:val="nil"/>
                    <w:tr2bl w:val="nil"/>
                  </w:tcBorders>
                  <w:tcMar>
                    <w:top w:w="0" w:type="dxa"/>
                    <w:left w:w="0" w:type="dxa"/>
                    <w:bottom w:w="0" w:type="dxa"/>
                    <w:right w:w="0" w:type="dxa"/>
                  </w:tcMar>
                  <w:vAlign w:val="center"/>
                </w:tcPr>
                <w:p>
                  <w:pPr>
                    <w:pStyle w:val="45"/>
                    <w:rPr>
                      <w:color w:val="auto"/>
                    </w:rPr>
                  </w:pPr>
                </w:p>
              </w:tc>
              <w:tc>
                <w:tcPr>
                  <w:tcW w:w="459" w:type="pct"/>
                  <w:vMerge w:val="continue"/>
                  <w:tcBorders>
                    <w:tl2br w:val="nil"/>
                    <w:tr2bl w:val="nil"/>
                  </w:tcBorders>
                  <w:tcMar>
                    <w:top w:w="0" w:type="dxa"/>
                    <w:left w:w="0" w:type="dxa"/>
                    <w:bottom w:w="0" w:type="dxa"/>
                    <w:right w:w="0" w:type="dxa"/>
                  </w:tcMar>
                  <w:vAlign w:val="center"/>
                </w:tcPr>
                <w:p>
                  <w:pPr>
                    <w:pStyle w:val="45"/>
                    <w:rPr>
                      <w:color w:val="auto"/>
                    </w:rPr>
                  </w:pPr>
                </w:p>
              </w:tc>
              <w:tc>
                <w:tcPr>
                  <w:tcW w:w="430" w:type="pct"/>
                  <w:vMerge w:val="continue"/>
                  <w:tcBorders>
                    <w:tl2br w:val="nil"/>
                    <w:tr2bl w:val="nil"/>
                  </w:tcBorders>
                  <w:tcMar>
                    <w:top w:w="0" w:type="dxa"/>
                    <w:left w:w="0" w:type="dxa"/>
                    <w:bottom w:w="0" w:type="dxa"/>
                    <w:right w:w="0" w:type="dxa"/>
                  </w:tcMar>
                  <w:vAlign w:val="center"/>
                </w:tcPr>
                <w:p>
                  <w:pPr>
                    <w:pStyle w:val="45"/>
                    <w:rPr>
                      <w:color w:val="auto"/>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rFonts w:hint="eastAsia"/>
                      <w:color w:val="auto"/>
                      <w:szCs w:val="21"/>
                    </w:rPr>
                    <w:t>15</w:t>
                  </w:r>
                </w:p>
              </w:tc>
              <w:tc>
                <w:tcPr>
                  <w:tcW w:w="679" w:type="pct"/>
                  <w:tcBorders>
                    <w:tl2br w:val="nil"/>
                    <w:tr2bl w:val="nil"/>
                  </w:tcBorders>
                  <w:tcMar>
                    <w:top w:w="0" w:type="dxa"/>
                    <w:left w:w="0" w:type="dxa"/>
                    <w:bottom w:w="0" w:type="dxa"/>
                    <w:right w:w="0" w:type="dxa"/>
                  </w:tcMar>
                  <w:vAlign w:val="center"/>
                </w:tcPr>
                <w:p>
                  <w:pPr>
                    <w:widowControl/>
                    <w:jc w:val="center"/>
                    <w:textAlignment w:val="center"/>
                    <w:rPr>
                      <w:bCs/>
                      <w:color w:val="auto"/>
                      <w:szCs w:val="21"/>
                    </w:rPr>
                  </w:pPr>
                  <w:r>
                    <w:rPr>
                      <w:color w:val="auto"/>
                      <w:kern w:val="0"/>
                      <w:szCs w:val="21"/>
                      <w:lang w:bidi="ar"/>
                    </w:rPr>
                    <w:t>废塑粉</w:t>
                  </w:r>
                </w:p>
              </w:tc>
              <w:tc>
                <w:tcPr>
                  <w:tcW w:w="831" w:type="pct"/>
                  <w:tcBorders>
                    <w:bottom w:val="single" w:color="auto" w:sz="4" w:space="0"/>
                    <w:tl2br w:val="nil"/>
                    <w:tr2bl w:val="nil"/>
                  </w:tcBorders>
                  <w:tcMar>
                    <w:top w:w="0" w:type="dxa"/>
                    <w:left w:w="0" w:type="dxa"/>
                    <w:bottom w:w="0" w:type="dxa"/>
                    <w:right w:w="0" w:type="dxa"/>
                  </w:tcMar>
                  <w:vAlign w:val="center"/>
                </w:tcPr>
                <w:p>
                  <w:pPr>
                    <w:widowControl/>
                    <w:jc w:val="center"/>
                    <w:textAlignment w:val="center"/>
                    <w:rPr>
                      <w:color w:val="auto"/>
                      <w:kern w:val="0"/>
                      <w:szCs w:val="21"/>
                    </w:rPr>
                  </w:pPr>
                  <w:r>
                    <w:rPr>
                      <w:rFonts w:hint="eastAsia"/>
                      <w:color w:val="auto"/>
                      <w:kern w:val="0"/>
                      <w:szCs w:val="21"/>
                    </w:rPr>
                    <w:t>喷粉工艺</w:t>
                  </w:r>
                </w:p>
              </w:tc>
              <w:tc>
                <w:tcPr>
                  <w:tcW w:w="413"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snapToGrid w:val="0"/>
                      <w:color w:val="auto"/>
                      <w:szCs w:val="21"/>
                    </w:rPr>
                    <w:t>一般固废</w:t>
                  </w:r>
                </w:p>
              </w:tc>
              <w:tc>
                <w:tcPr>
                  <w:tcW w:w="457"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rFonts w:hint="eastAsia"/>
                      <w:color w:val="auto"/>
                      <w:szCs w:val="21"/>
                    </w:rPr>
                    <w:t>66</w:t>
                  </w:r>
                </w:p>
              </w:tc>
              <w:tc>
                <w:tcPr>
                  <w:tcW w:w="469"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rFonts w:hint="eastAsia"/>
                      <w:color w:val="auto"/>
                      <w:szCs w:val="21"/>
                    </w:rPr>
                    <w:t>900-999-66</w:t>
                  </w:r>
                </w:p>
              </w:tc>
              <w:tc>
                <w:tcPr>
                  <w:tcW w:w="344"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rPr>
                  </w:pPr>
                  <w:r>
                    <w:rPr>
                      <w:rFonts w:hint="eastAsia"/>
                      <w:color w:val="auto"/>
                      <w:szCs w:val="21"/>
                    </w:rPr>
                    <w:t>4</w:t>
                  </w:r>
                </w:p>
              </w:tc>
              <w:tc>
                <w:tcPr>
                  <w:tcW w:w="404" w:type="pct"/>
                  <w:tcBorders>
                    <w:tl2br w:val="nil"/>
                    <w:tr2bl w:val="nil"/>
                  </w:tcBorders>
                  <w:tcMar>
                    <w:top w:w="0" w:type="dxa"/>
                    <w:left w:w="0" w:type="dxa"/>
                    <w:bottom w:w="0" w:type="dxa"/>
                    <w:right w:w="0" w:type="dxa"/>
                  </w:tcMar>
                  <w:vAlign w:val="center"/>
                </w:tcPr>
                <w:p>
                  <w:pPr>
                    <w:adjustRightInd w:val="0"/>
                    <w:snapToGrid w:val="0"/>
                    <w:jc w:val="center"/>
                    <w:rPr>
                      <w:bCs/>
                      <w:color w:val="auto"/>
                      <w:szCs w:val="21"/>
                    </w:rPr>
                  </w:pPr>
                  <w:r>
                    <w:rPr>
                      <w:bCs/>
                      <w:color w:val="auto"/>
                      <w:kern w:val="0"/>
                      <w:szCs w:val="21"/>
                    </w:rPr>
                    <w:t>袋装</w:t>
                  </w:r>
                </w:p>
              </w:tc>
              <w:tc>
                <w:tcPr>
                  <w:tcW w:w="334" w:type="pct"/>
                  <w:vMerge w:val="continue"/>
                  <w:tcBorders>
                    <w:tl2br w:val="nil"/>
                    <w:tr2bl w:val="nil"/>
                  </w:tcBorders>
                  <w:tcMar>
                    <w:top w:w="0" w:type="dxa"/>
                    <w:left w:w="0" w:type="dxa"/>
                    <w:bottom w:w="0" w:type="dxa"/>
                    <w:right w:w="0" w:type="dxa"/>
                  </w:tcMar>
                  <w:vAlign w:val="center"/>
                </w:tcPr>
                <w:p>
                  <w:pPr>
                    <w:snapToGrid w:val="0"/>
                    <w:jc w:val="center"/>
                    <w:rPr>
                      <w:color w:val="auto"/>
                      <w:szCs w:val="21"/>
                    </w:rPr>
                  </w:pPr>
                </w:p>
              </w:tc>
              <w:tc>
                <w:tcPr>
                  <w:tcW w:w="459" w:type="pct"/>
                  <w:vMerge w:val="continue"/>
                  <w:tcBorders>
                    <w:tl2br w:val="nil"/>
                    <w:tr2bl w:val="nil"/>
                  </w:tcBorders>
                  <w:tcMar>
                    <w:top w:w="0" w:type="dxa"/>
                    <w:left w:w="0" w:type="dxa"/>
                    <w:bottom w:w="0" w:type="dxa"/>
                    <w:right w:w="0" w:type="dxa"/>
                  </w:tcMar>
                  <w:vAlign w:val="center"/>
                </w:tcPr>
                <w:p>
                  <w:pPr>
                    <w:snapToGrid w:val="0"/>
                    <w:jc w:val="center"/>
                    <w:rPr>
                      <w:color w:val="auto"/>
                      <w:szCs w:val="21"/>
                    </w:rPr>
                  </w:pPr>
                </w:p>
              </w:tc>
              <w:tc>
                <w:tcPr>
                  <w:tcW w:w="430" w:type="pct"/>
                  <w:vMerge w:val="continue"/>
                  <w:tcBorders>
                    <w:tl2br w:val="nil"/>
                    <w:tr2bl w:val="nil"/>
                  </w:tcBorders>
                  <w:tcMar>
                    <w:top w:w="0" w:type="dxa"/>
                    <w:left w:w="0" w:type="dxa"/>
                    <w:bottom w:w="0" w:type="dxa"/>
                    <w:right w:w="0" w:type="dxa"/>
                  </w:tcMar>
                  <w:vAlign w:val="center"/>
                </w:tcPr>
                <w:p>
                  <w:pPr>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rFonts w:hint="eastAsia"/>
                      <w:color w:val="auto"/>
                      <w:szCs w:val="21"/>
                    </w:rPr>
                    <w:t>16</w:t>
                  </w:r>
                </w:p>
              </w:tc>
              <w:tc>
                <w:tcPr>
                  <w:tcW w:w="679" w:type="pct"/>
                  <w:tcBorders>
                    <w:tl2br w:val="nil"/>
                    <w:tr2bl w:val="nil"/>
                  </w:tcBorders>
                  <w:tcMar>
                    <w:top w:w="0" w:type="dxa"/>
                    <w:left w:w="0" w:type="dxa"/>
                    <w:bottom w:w="0" w:type="dxa"/>
                    <w:right w:w="0" w:type="dxa"/>
                  </w:tcMar>
                  <w:vAlign w:val="center"/>
                </w:tcPr>
                <w:p>
                  <w:pPr>
                    <w:widowControl/>
                    <w:jc w:val="center"/>
                    <w:textAlignment w:val="center"/>
                    <w:rPr>
                      <w:color w:val="auto"/>
                      <w:kern w:val="21"/>
                      <w:szCs w:val="21"/>
                    </w:rPr>
                  </w:pPr>
                  <w:r>
                    <w:rPr>
                      <w:color w:val="auto"/>
                      <w:szCs w:val="21"/>
                    </w:rPr>
                    <w:t>废包装材料</w:t>
                  </w:r>
                </w:p>
              </w:tc>
              <w:tc>
                <w:tcPr>
                  <w:tcW w:w="831" w:type="pct"/>
                  <w:tcBorders>
                    <w:top w:val="single" w:color="auto" w:sz="4" w:space="0"/>
                    <w:tl2br w:val="nil"/>
                    <w:tr2bl w:val="nil"/>
                  </w:tcBorders>
                  <w:tcMar>
                    <w:top w:w="0" w:type="dxa"/>
                    <w:left w:w="0" w:type="dxa"/>
                    <w:bottom w:w="0" w:type="dxa"/>
                    <w:right w:w="0" w:type="dxa"/>
                  </w:tcMar>
                  <w:vAlign w:val="center"/>
                </w:tcPr>
                <w:p>
                  <w:pPr>
                    <w:jc w:val="center"/>
                    <w:textAlignment w:val="center"/>
                    <w:rPr>
                      <w:color w:val="auto"/>
                      <w:szCs w:val="21"/>
                    </w:rPr>
                  </w:pPr>
                  <w:r>
                    <w:rPr>
                      <w:color w:val="auto"/>
                      <w:kern w:val="0"/>
                      <w:szCs w:val="21"/>
                      <w:lang w:bidi="ar"/>
                    </w:rPr>
                    <w:t>塑粉包装物</w:t>
                  </w:r>
                </w:p>
              </w:tc>
              <w:tc>
                <w:tcPr>
                  <w:tcW w:w="413"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snapToGrid w:val="0"/>
                      <w:color w:val="auto"/>
                      <w:szCs w:val="21"/>
                    </w:rPr>
                    <w:t>一般固废</w:t>
                  </w:r>
                </w:p>
              </w:tc>
              <w:tc>
                <w:tcPr>
                  <w:tcW w:w="457" w:type="pct"/>
                  <w:tcBorders>
                    <w:tl2br w:val="nil"/>
                    <w:tr2bl w:val="nil"/>
                  </w:tcBorders>
                  <w:tcMar>
                    <w:top w:w="0" w:type="dxa"/>
                    <w:left w:w="0" w:type="dxa"/>
                    <w:bottom w:w="0" w:type="dxa"/>
                    <w:right w:w="0" w:type="dxa"/>
                  </w:tcMar>
                  <w:vAlign w:val="center"/>
                </w:tcPr>
                <w:p>
                  <w:pPr>
                    <w:widowControl/>
                    <w:jc w:val="center"/>
                    <w:textAlignment w:val="center"/>
                    <w:rPr>
                      <w:bCs/>
                      <w:color w:val="auto"/>
                      <w:szCs w:val="21"/>
                    </w:rPr>
                  </w:pPr>
                  <w:r>
                    <w:rPr>
                      <w:color w:val="auto"/>
                      <w:kern w:val="0"/>
                      <w:szCs w:val="21"/>
                      <w:lang w:bidi="ar"/>
                    </w:rPr>
                    <w:t>07</w:t>
                  </w:r>
                </w:p>
              </w:tc>
              <w:tc>
                <w:tcPr>
                  <w:tcW w:w="469" w:type="pct"/>
                  <w:tcBorders>
                    <w:tl2br w:val="nil"/>
                    <w:tr2bl w:val="nil"/>
                  </w:tcBorders>
                  <w:tcMar>
                    <w:top w:w="0" w:type="dxa"/>
                    <w:left w:w="0" w:type="dxa"/>
                    <w:bottom w:w="0" w:type="dxa"/>
                    <w:right w:w="0" w:type="dxa"/>
                  </w:tcMar>
                  <w:vAlign w:val="center"/>
                </w:tcPr>
                <w:p>
                  <w:pPr>
                    <w:widowControl/>
                    <w:jc w:val="center"/>
                    <w:textAlignment w:val="center"/>
                    <w:rPr>
                      <w:bCs/>
                      <w:color w:val="auto"/>
                      <w:szCs w:val="21"/>
                    </w:rPr>
                  </w:pPr>
                  <w:r>
                    <w:rPr>
                      <w:rFonts w:hint="eastAsia"/>
                      <w:bCs/>
                      <w:color w:val="auto"/>
                      <w:szCs w:val="21"/>
                    </w:rPr>
                    <w:t>900</w:t>
                  </w:r>
                  <w:r>
                    <w:rPr>
                      <w:bCs/>
                      <w:color w:val="auto"/>
                      <w:szCs w:val="21"/>
                    </w:rPr>
                    <w:t>-999-07</w:t>
                  </w:r>
                </w:p>
              </w:tc>
              <w:tc>
                <w:tcPr>
                  <w:tcW w:w="344"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rFonts w:hint="eastAsia"/>
                      <w:color w:val="auto"/>
                      <w:szCs w:val="21"/>
                    </w:rPr>
                    <w:t>0.8</w:t>
                  </w:r>
                </w:p>
              </w:tc>
              <w:tc>
                <w:tcPr>
                  <w:tcW w:w="404"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rFonts w:hint="eastAsia"/>
                      <w:bCs/>
                      <w:color w:val="auto"/>
                      <w:kern w:val="0"/>
                      <w:szCs w:val="21"/>
                    </w:rPr>
                    <w:t>堆放</w:t>
                  </w:r>
                </w:p>
              </w:tc>
              <w:tc>
                <w:tcPr>
                  <w:tcW w:w="334" w:type="pct"/>
                  <w:vMerge w:val="continue"/>
                  <w:tcBorders>
                    <w:tl2br w:val="nil"/>
                    <w:tr2bl w:val="nil"/>
                  </w:tcBorders>
                  <w:tcMar>
                    <w:top w:w="0" w:type="dxa"/>
                    <w:left w:w="0" w:type="dxa"/>
                    <w:bottom w:w="0" w:type="dxa"/>
                    <w:right w:w="0" w:type="dxa"/>
                  </w:tcMar>
                  <w:vAlign w:val="center"/>
                </w:tcPr>
                <w:p>
                  <w:pPr>
                    <w:snapToGrid w:val="0"/>
                    <w:jc w:val="center"/>
                    <w:rPr>
                      <w:color w:val="auto"/>
                      <w:szCs w:val="21"/>
                    </w:rPr>
                  </w:pPr>
                </w:p>
              </w:tc>
              <w:tc>
                <w:tcPr>
                  <w:tcW w:w="459" w:type="pct"/>
                  <w:vMerge w:val="continue"/>
                  <w:tcBorders>
                    <w:tl2br w:val="nil"/>
                    <w:tr2bl w:val="nil"/>
                  </w:tcBorders>
                  <w:tcMar>
                    <w:top w:w="0" w:type="dxa"/>
                    <w:left w:w="0" w:type="dxa"/>
                    <w:bottom w:w="0" w:type="dxa"/>
                    <w:right w:w="0" w:type="dxa"/>
                  </w:tcMar>
                  <w:vAlign w:val="center"/>
                </w:tcPr>
                <w:p>
                  <w:pPr>
                    <w:snapToGrid w:val="0"/>
                    <w:jc w:val="center"/>
                    <w:rPr>
                      <w:color w:val="auto"/>
                      <w:szCs w:val="21"/>
                    </w:rPr>
                  </w:pPr>
                </w:p>
              </w:tc>
              <w:tc>
                <w:tcPr>
                  <w:tcW w:w="430" w:type="pct"/>
                  <w:vMerge w:val="continue"/>
                  <w:tcBorders>
                    <w:tl2br w:val="nil"/>
                    <w:tr2bl w:val="nil"/>
                  </w:tcBorders>
                  <w:tcMar>
                    <w:top w:w="0" w:type="dxa"/>
                    <w:left w:w="0" w:type="dxa"/>
                    <w:bottom w:w="0" w:type="dxa"/>
                    <w:right w:w="0" w:type="dxa"/>
                  </w:tcMar>
                  <w:vAlign w:val="center"/>
                </w:tcPr>
                <w:p>
                  <w:pPr>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rFonts w:hint="eastAsia"/>
                      <w:color w:val="auto"/>
                      <w:szCs w:val="21"/>
                    </w:rPr>
                    <w:t>17</w:t>
                  </w:r>
                </w:p>
              </w:tc>
              <w:tc>
                <w:tcPr>
                  <w:tcW w:w="679" w:type="pct"/>
                  <w:tcBorders>
                    <w:tl2br w:val="nil"/>
                    <w:tr2bl w:val="nil"/>
                  </w:tcBorders>
                  <w:tcMar>
                    <w:top w:w="0" w:type="dxa"/>
                    <w:left w:w="0" w:type="dxa"/>
                    <w:bottom w:w="0" w:type="dxa"/>
                    <w:right w:w="0" w:type="dxa"/>
                  </w:tcMar>
                  <w:vAlign w:val="center"/>
                </w:tcPr>
                <w:p>
                  <w:pPr>
                    <w:widowControl/>
                    <w:jc w:val="center"/>
                    <w:textAlignment w:val="center"/>
                    <w:rPr>
                      <w:rFonts w:hint="default" w:eastAsia="宋体"/>
                      <w:color w:val="auto"/>
                      <w:kern w:val="21"/>
                      <w:szCs w:val="21"/>
                      <w:lang w:val="en-US" w:eastAsia="zh-CN"/>
                    </w:rPr>
                  </w:pPr>
                  <w:r>
                    <w:rPr>
                      <w:rFonts w:hint="eastAsia"/>
                      <w:color w:val="auto"/>
                      <w:kern w:val="0"/>
                      <w:szCs w:val="21"/>
                      <w:lang w:val="en-US" w:eastAsia="zh-CN" w:bidi="ar"/>
                    </w:rPr>
                    <w:t>纯水制备废过滤材料</w:t>
                  </w:r>
                </w:p>
              </w:tc>
              <w:tc>
                <w:tcPr>
                  <w:tcW w:w="831"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color w:val="auto"/>
                      <w:kern w:val="0"/>
                      <w:szCs w:val="21"/>
                      <w:lang w:bidi="ar"/>
                    </w:rPr>
                    <w:t>纯水制备</w:t>
                  </w:r>
                </w:p>
              </w:tc>
              <w:tc>
                <w:tcPr>
                  <w:tcW w:w="413"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snapToGrid w:val="0"/>
                      <w:color w:val="auto"/>
                      <w:szCs w:val="21"/>
                    </w:rPr>
                    <w:t>一般固废</w:t>
                  </w:r>
                </w:p>
              </w:tc>
              <w:tc>
                <w:tcPr>
                  <w:tcW w:w="457" w:type="pct"/>
                  <w:tcBorders>
                    <w:tl2br w:val="nil"/>
                    <w:tr2bl w:val="nil"/>
                  </w:tcBorders>
                  <w:tcMar>
                    <w:top w:w="0" w:type="dxa"/>
                    <w:left w:w="0" w:type="dxa"/>
                    <w:bottom w:w="0" w:type="dxa"/>
                    <w:right w:w="0" w:type="dxa"/>
                  </w:tcMar>
                  <w:vAlign w:val="center"/>
                </w:tcPr>
                <w:p>
                  <w:pPr>
                    <w:widowControl/>
                    <w:jc w:val="center"/>
                    <w:textAlignment w:val="center"/>
                    <w:rPr>
                      <w:bCs/>
                      <w:color w:val="auto"/>
                      <w:szCs w:val="21"/>
                    </w:rPr>
                  </w:pPr>
                  <w:r>
                    <w:rPr>
                      <w:rFonts w:hint="eastAsia"/>
                      <w:color w:val="auto"/>
                      <w:szCs w:val="21"/>
                    </w:rPr>
                    <w:t>99</w:t>
                  </w:r>
                </w:p>
              </w:tc>
              <w:tc>
                <w:tcPr>
                  <w:tcW w:w="469" w:type="pct"/>
                  <w:tcBorders>
                    <w:tl2br w:val="nil"/>
                    <w:tr2bl w:val="nil"/>
                  </w:tcBorders>
                  <w:tcMar>
                    <w:top w:w="0" w:type="dxa"/>
                    <w:left w:w="0" w:type="dxa"/>
                    <w:bottom w:w="0" w:type="dxa"/>
                    <w:right w:w="0" w:type="dxa"/>
                  </w:tcMar>
                  <w:vAlign w:val="center"/>
                </w:tcPr>
                <w:p>
                  <w:pPr>
                    <w:widowControl/>
                    <w:jc w:val="center"/>
                    <w:textAlignment w:val="center"/>
                    <w:rPr>
                      <w:bCs/>
                      <w:color w:val="auto"/>
                      <w:szCs w:val="21"/>
                    </w:rPr>
                  </w:pPr>
                  <w:r>
                    <w:rPr>
                      <w:bCs/>
                      <w:color w:val="auto"/>
                      <w:szCs w:val="21"/>
                    </w:rPr>
                    <w:t>900-999-99</w:t>
                  </w:r>
                </w:p>
              </w:tc>
              <w:tc>
                <w:tcPr>
                  <w:tcW w:w="344" w:type="pct"/>
                  <w:tcBorders>
                    <w:tl2br w:val="nil"/>
                    <w:tr2bl w:val="nil"/>
                  </w:tcBorders>
                  <w:tcMar>
                    <w:top w:w="0" w:type="dxa"/>
                    <w:left w:w="0" w:type="dxa"/>
                    <w:bottom w:w="0" w:type="dxa"/>
                    <w:right w:w="0" w:type="dxa"/>
                  </w:tcMar>
                  <w:vAlign w:val="center"/>
                </w:tcPr>
                <w:p>
                  <w:pPr>
                    <w:widowControl/>
                    <w:jc w:val="center"/>
                    <w:textAlignment w:val="center"/>
                    <w:rPr>
                      <w:rFonts w:hint="eastAsia" w:eastAsia="宋体"/>
                      <w:color w:val="auto"/>
                      <w:szCs w:val="21"/>
                      <w:lang w:eastAsia="zh-CN"/>
                    </w:rPr>
                  </w:pPr>
                  <w:r>
                    <w:rPr>
                      <w:color w:val="auto"/>
                      <w:szCs w:val="21"/>
                    </w:rPr>
                    <w:t>0.</w:t>
                  </w:r>
                  <w:r>
                    <w:rPr>
                      <w:rFonts w:hint="eastAsia"/>
                      <w:color w:val="auto"/>
                      <w:szCs w:val="21"/>
                      <w:lang w:val="en-US" w:eastAsia="zh-CN"/>
                    </w:rPr>
                    <w:t>6</w:t>
                  </w:r>
                </w:p>
              </w:tc>
              <w:tc>
                <w:tcPr>
                  <w:tcW w:w="404" w:type="pct"/>
                  <w:tcBorders>
                    <w:tl2br w:val="nil"/>
                    <w:tr2bl w:val="nil"/>
                  </w:tcBorders>
                  <w:tcMar>
                    <w:top w:w="0" w:type="dxa"/>
                    <w:left w:w="0" w:type="dxa"/>
                    <w:bottom w:w="0" w:type="dxa"/>
                    <w:right w:w="0" w:type="dxa"/>
                  </w:tcMar>
                  <w:vAlign w:val="center"/>
                </w:tcPr>
                <w:p>
                  <w:pPr>
                    <w:adjustRightInd w:val="0"/>
                    <w:snapToGrid w:val="0"/>
                    <w:jc w:val="center"/>
                    <w:rPr>
                      <w:color w:val="auto"/>
                      <w:szCs w:val="21"/>
                    </w:rPr>
                  </w:pPr>
                  <w:r>
                    <w:rPr>
                      <w:bCs/>
                      <w:color w:val="auto"/>
                      <w:kern w:val="0"/>
                      <w:szCs w:val="21"/>
                    </w:rPr>
                    <w:t>袋装</w:t>
                  </w:r>
                </w:p>
              </w:tc>
              <w:tc>
                <w:tcPr>
                  <w:tcW w:w="334" w:type="pct"/>
                  <w:vMerge w:val="continue"/>
                  <w:tcBorders>
                    <w:tl2br w:val="nil"/>
                    <w:tr2bl w:val="nil"/>
                  </w:tcBorders>
                  <w:tcMar>
                    <w:top w:w="0" w:type="dxa"/>
                    <w:left w:w="0" w:type="dxa"/>
                    <w:bottom w:w="0" w:type="dxa"/>
                    <w:right w:w="0" w:type="dxa"/>
                  </w:tcMar>
                  <w:vAlign w:val="center"/>
                </w:tcPr>
                <w:p>
                  <w:pPr>
                    <w:snapToGrid w:val="0"/>
                    <w:jc w:val="center"/>
                    <w:rPr>
                      <w:color w:val="auto"/>
                      <w:szCs w:val="21"/>
                    </w:rPr>
                  </w:pPr>
                </w:p>
              </w:tc>
              <w:tc>
                <w:tcPr>
                  <w:tcW w:w="459" w:type="pct"/>
                  <w:vMerge w:val="continue"/>
                  <w:tcBorders>
                    <w:tl2br w:val="nil"/>
                    <w:tr2bl w:val="nil"/>
                  </w:tcBorders>
                  <w:tcMar>
                    <w:top w:w="0" w:type="dxa"/>
                    <w:left w:w="0" w:type="dxa"/>
                    <w:bottom w:w="0" w:type="dxa"/>
                    <w:right w:w="0" w:type="dxa"/>
                  </w:tcMar>
                  <w:vAlign w:val="center"/>
                </w:tcPr>
                <w:p>
                  <w:pPr>
                    <w:snapToGrid w:val="0"/>
                    <w:jc w:val="center"/>
                    <w:rPr>
                      <w:color w:val="auto"/>
                      <w:szCs w:val="21"/>
                    </w:rPr>
                  </w:pPr>
                </w:p>
              </w:tc>
              <w:tc>
                <w:tcPr>
                  <w:tcW w:w="430" w:type="pct"/>
                  <w:vMerge w:val="continue"/>
                  <w:tcBorders>
                    <w:tl2br w:val="nil"/>
                    <w:tr2bl w:val="nil"/>
                  </w:tcBorders>
                  <w:tcMar>
                    <w:top w:w="0" w:type="dxa"/>
                    <w:left w:w="0" w:type="dxa"/>
                    <w:bottom w:w="0" w:type="dxa"/>
                    <w:right w:w="0" w:type="dxa"/>
                  </w:tcMar>
                  <w:vAlign w:val="center"/>
                </w:tcPr>
                <w:p>
                  <w:pPr>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tcBorders>
                    <w:tl2br w:val="nil"/>
                    <w:tr2bl w:val="nil"/>
                  </w:tcBorders>
                  <w:tcMar>
                    <w:top w:w="0" w:type="dxa"/>
                    <w:left w:w="0" w:type="dxa"/>
                    <w:bottom w:w="0" w:type="dxa"/>
                    <w:right w:w="0" w:type="dxa"/>
                  </w:tcMar>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18</w:t>
                  </w:r>
                </w:p>
              </w:tc>
              <w:tc>
                <w:tcPr>
                  <w:tcW w:w="679"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lang w:bidi="ar"/>
                    </w:rPr>
                  </w:pPr>
                  <w:r>
                    <w:rPr>
                      <w:color w:val="auto"/>
                      <w:szCs w:val="21"/>
                    </w:rPr>
                    <w:t>生活污水沉淀捞渣</w:t>
                  </w:r>
                </w:p>
              </w:tc>
              <w:tc>
                <w:tcPr>
                  <w:tcW w:w="831" w:type="pct"/>
                  <w:tcBorders>
                    <w:top w:val="single" w:color="auto" w:sz="4" w:space="0"/>
                    <w:bottom w:val="single" w:color="auto" w:sz="4" w:space="0"/>
                    <w:tl2br w:val="nil"/>
                    <w:tr2bl w:val="nil"/>
                  </w:tcBorders>
                  <w:tcMar>
                    <w:top w:w="0" w:type="dxa"/>
                    <w:left w:w="0" w:type="dxa"/>
                    <w:bottom w:w="0" w:type="dxa"/>
                    <w:right w:w="0" w:type="dxa"/>
                  </w:tcMar>
                  <w:vAlign w:val="center"/>
                </w:tcPr>
                <w:p>
                  <w:pPr>
                    <w:jc w:val="center"/>
                    <w:textAlignment w:val="center"/>
                    <w:rPr>
                      <w:color w:val="auto"/>
                      <w:kern w:val="0"/>
                      <w:szCs w:val="21"/>
                      <w:lang w:bidi="ar"/>
                    </w:rPr>
                  </w:pPr>
                  <w:r>
                    <w:rPr>
                      <w:color w:val="auto"/>
                      <w:szCs w:val="21"/>
                    </w:rPr>
                    <w:t>化粪池沉淀捞渣</w:t>
                  </w:r>
                </w:p>
              </w:tc>
              <w:tc>
                <w:tcPr>
                  <w:tcW w:w="413" w:type="pct"/>
                  <w:tcBorders>
                    <w:tl2br w:val="nil"/>
                    <w:tr2bl w:val="nil"/>
                  </w:tcBorders>
                  <w:tcMar>
                    <w:top w:w="0" w:type="dxa"/>
                    <w:left w:w="0" w:type="dxa"/>
                    <w:bottom w:w="0" w:type="dxa"/>
                    <w:right w:w="0" w:type="dxa"/>
                  </w:tcMar>
                  <w:vAlign w:val="center"/>
                </w:tcPr>
                <w:p>
                  <w:pPr>
                    <w:adjustRightInd w:val="0"/>
                    <w:snapToGrid w:val="0"/>
                    <w:jc w:val="center"/>
                    <w:rPr>
                      <w:snapToGrid w:val="0"/>
                      <w:color w:val="auto"/>
                      <w:szCs w:val="21"/>
                    </w:rPr>
                  </w:pPr>
                  <w:r>
                    <w:rPr>
                      <w:snapToGrid w:val="0"/>
                      <w:color w:val="auto"/>
                      <w:szCs w:val="21"/>
                    </w:rPr>
                    <w:t>一般固废</w:t>
                  </w:r>
                </w:p>
              </w:tc>
              <w:tc>
                <w:tcPr>
                  <w:tcW w:w="457" w:type="pct"/>
                  <w:tcBorders>
                    <w:tl2br w:val="nil"/>
                    <w:tr2bl w:val="nil"/>
                  </w:tcBorders>
                  <w:tcMar>
                    <w:top w:w="0" w:type="dxa"/>
                    <w:left w:w="0" w:type="dxa"/>
                    <w:bottom w:w="0" w:type="dxa"/>
                    <w:right w:w="0" w:type="dxa"/>
                  </w:tcMar>
                  <w:vAlign w:val="center"/>
                </w:tcPr>
                <w:p>
                  <w:pPr>
                    <w:widowControl/>
                    <w:jc w:val="center"/>
                    <w:textAlignment w:val="center"/>
                    <w:rPr>
                      <w:bCs/>
                      <w:color w:val="auto"/>
                      <w:szCs w:val="21"/>
                    </w:rPr>
                  </w:pPr>
                  <w:r>
                    <w:rPr>
                      <w:bCs/>
                      <w:color w:val="auto"/>
                      <w:szCs w:val="21"/>
                    </w:rPr>
                    <w:t>99</w:t>
                  </w:r>
                </w:p>
              </w:tc>
              <w:tc>
                <w:tcPr>
                  <w:tcW w:w="469" w:type="pct"/>
                  <w:tcBorders>
                    <w:tl2br w:val="nil"/>
                    <w:tr2bl w:val="nil"/>
                  </w:tcBorders>
                  <w:tcMar>
                    <w:top w:w="0" w:type="dxa"/>
                    <w:left w:w="0" w:type="dxa"/>
                    <w:bottom w:w="0" w:type="dxa"/>
                    <w:right w:w="0" w:type="dxa"/>
                  </w:tcMar>
                  <w:vAlign w:val="center"/>
                </w:tcPr>
                <w:p>
                  <w:pPr>
                    <w:widowControl/>
                    <w:jc w:val="center"/>
                    <w:textAlignment w:val="center"/>
                    <w:rPr>
                      <w:bCs/>
                      <w:color w:val="auto"/>
                      <w:szCs w:val="21"/>
                    </w:rPr>
                  </w:pPr>
                  <w:r>
                    <w:rPr>
                      <w:bCs/>
                      <w:color w:val="auto"/>
                      <w:szCs w:val="21"/>
                    </w:rPr>
                    <w:t>900-999-99</w:t>
                  </w:r>
                </w:p>
              </w:tc>
              <w:tc>
                <w:tcPr>
                  <w:tcW w:w="344"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lang w:bidi="ar"/>
                    </w:rPr>
                  </w:pPr>
                  <w:r>
                    <w:rPr>
                      <w:rFonts w:hint="eastAsia"/>
                      <w:color w:val="auto"/>
                      <w:kern w:val="0"/>
                      <w:szCs w:val="21"/>
                      <w:lang w:bidi="ar"/>
                    </w:rPr>
                    <w:t>12</w:t>
                  </w:r>
                </w:p>
              </w:tc>
              <w:tc>
                <w:tcPr>
                  <w:tcW w:w="404" w:type="pct"/>
                  <w:tcBorders>
                    <w:tl2br w:val="nil"/>
                    <w:tr2bl w:val="nil"/>
                  </w:tcBorders>
                  <w:tcMar>
                    <w:top w:w="0" w:type="dxa"/>
                    <w:left w:w="0" w:type="dxa"/>
                    <w:bottom w:w="0" w:type="dxa"/>
                    <w:right w:w="0" w:type="dxa"/>
                  </w:tcMar>
                  <w:vAlign w:val="center"/>
                </w:tcPr>
                <w:p>
                  <w:pPr>
                    <w:adjustRightInd w:val="0"/>
                    <w:snapToGrid w:val="0"/>
                    <w:jc w:val="center"/>
                    <w:rPr>
                      <w:bCs/>
                      <w:color w:val="auto"/>
                      <w:kern w:val="0"/>
                      <w:szCs w:val="21"/>
                    </w:rPr>
                  </w:pPr>
                  <w:r>
                    <w:rPr>
                      <w:bCs/>
                      <w:color w:val="auto"/>
                      <w:kern w:val="0"/>
                      <w:szCs w:val="21"/>
                    </w:rPr>
                    <w:t>袋装</w:t>
                  </w:r>
                </w:p>
              </w:tc>
              <w:tc>
                <w:tcPr>
                  <w:tcW w:w="334" w:type="pct"/>
                  <w:vMerge w:val="continue"/>
                  <w:tcBorders>
                    <w:tl2br w:val="nil"/>
                    <w:tr2bl w:val="nil"/>
                  </w:tcBorders>
                  <w:tcMar>
                    <w:top w:w="0" w:type="dxa"/>
                    <w:left w:w="0" w:type="dxa"/>
                    <w:bottom w:w="0" w:type="dxa"/>
                    <w:right w:w="0" w:type="dxa"/>
                  </w:tcMar>
                  <w:vAlign w:val="center"/>
                </w:tcPr>
                <w:p>
                  <w:pPr>
                    <w:snapToGrid w:val="0"/>
                    <w:jc w:val="center"/>
                    <w:rPr>
                      <w:color w:val="auto"/>
                      <w:szCs w:val="21"/>
                    </w:rPr>
                  </w:pPr>
                </w:p>
              </w:tc>
              <w:tc>
                <w:tcPr>
                  <w:tcW w:w="459" w:type="pct"/>
                  <w:vMerge w:val="continue"/>
                  <w:tcBorders>
                    <w:tl2br w:val="nil"/>
                    <w:tr2bl w:val="nil"/>
                  </w:tcBorders>
                  <w:tcMar>
                    <w:top w:w="0" w:type="dxa"/>
                    <w:left w:w="0" w:type="dxa"/>
                    <w:bottom w:w="0" w:type="dxa"/>
                    <w:right w:w="0" w:type="dxa"/>
                  </w:tcMar>
                  <w:vAlign w:val="center"/>
                </w:tcPr>
                <w:p>
                  <w:pPr>
                    <w:snapToGrid w:val="0"/>
                    <w:jc w:val="center"/>
                    <w:rPr>
                      <w:color w:val="auto"/>
                      <w:szCs w:val="21"/>
                    </w:rPr>
                  </w:pPr>
                </w:p>
              </w:tc>
              <w:tc>
                <w:tcPr>
                  <w:tcW w:w="430" w:type="pct"/>
                  <w:vMerge w:val="continue"/>
                  <w:tcBorders>
                    <w:tl2br w:val="nil"/>
                    <w:tr2bl w:val="nil"/>
                  </w:tcBorders>
                  <w:tcMar>
                    <w:top w:w="0" w:type="dxa"/>
                    <w:left w:w="0" w:type="dxa"/>
                    <w:bottom w:w="0" w:type="dxa"/>
                    <w:right w:w="0" w:type="dxa"/>
                  </w:tcMar>
                  <w:vAlign w:val="center"/>
                </w:tcPr>
                <w:p>
                  <w:pPr>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 w:type="pct"/>
                  <w:tcBorders>
                    <w:tl2br w:val="nil"/>
                    <w:tr2bl w:val="nil"/>
                  </w:tcBorders>
                  <w:tcMar>
                    <w:top w:w="0" w:type="dxa"/>
                    <w:left w:w="0" w:type="dxa"/>
                    <w:bottom w:w="0" w:type="dxa"/>
                    <w:right w:w="0" w:type="dxa"/>
                  </w:tcMar>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19</w:t>
                  </w:r>
                </w:p>
              </w:tc>
              <w:tc>
                <w:tcPr>
                  <w:tcW w:w="679" w:type="pct"/>
                  <w:tcBorders>
                    <w:tl2br w:val="nil"/>
                    <w:tr2bl w:val="nil"/>
                  </w:tcBorders>
                  <w:tcMar>
                    <w:top w:w="0" w:type="dxa"/>
                    <w:left w:w="0" w:type="dxa"/>
                    <w:bottom w:w="0" w:type="dxa"/>
                    <w:right w:w="0" w:type="dxa"/>
                  </w:tcMar>
                  <w:vAlign w:val="center"/>
                </w:tcPr>
                <w:p>
                  <w:pPr>
                    <w:widowControl/>
                    <w:jc w:val="center"/>
                    <w:textAlignment w:val="center"/>
                    <w:rPr>
                      <w:color w:val="auto"/>
                      <w:szCs w:val="21"/>
                    </w:rPr>
                  </w:pPr>
                  <w:r>
                    <w:rPr>
                      <w:rFonts w:hint="eastAsia"/>
                      <w:color w:val="auto"/>
                      <w:szCs w:val="21"/>
                    </w:rPr>
                    <w:t>生活垃圾</w:t>
                  </w:r>
                </w:p>
              </w:tc>
              <w:tc>
                <w:tcPr>
                  <w:tcW w:w="831" w:type="pct"/>
                  <w:tcBorders>
                    <w:top w:val="single" w:color="auto" w:sz="4" w:space="0"/>
                    <w:tl2br w:val="nil"/>
                    <w:tr2bl w:val="nil"/>
                  </w:tcBorders>
                  <w:tcMar>
                    <w:top w:w="0" w:type="dxa"/>
                    <w:left w:w="0" w:type="dxa"/>
                    <w:bottom w:w="0" w:type="dxa"/>
                    <w:right w:w="0" w:type="dxa"/>
                  </w:tcMar>
                  <w:vAlign w:val="center"/>
                </w:tcPr>
                <w:p>
                  <w:pPr>
                    <w:jc w:val="center"/>
                    <w:textAlignment w:val="center"/>
                    <w:rPr>
                      <w:color w:val="auto"/>
                      <w:szCs w:val="21"/>
                    </w:rPr>
                  </w:pPr>
                  <w:r>
                    <w:rPr>
                      <w:rFonts w:hint="eastAsia"/>
                      <w:color w:val="auto"/>
                      <w:szCs w:val="21"/>
                    </w:rPr>
                    <w:t>办公生活</w:t>
                  </w:r>
                </w:p>
              </w:tc>
              <w:tc>
                <w:tcPr>
                  <w:tcW w:w="413" w:type="pct"/>
                  <w:tcBorders>
                    <w:tl2br w:val="nil"/>
                    <w:tr2bl w:val="nil"/>
                  </w:tcBorders>
                  <w:tcMar>
                    <w:top w:w="0" w:type="dxa"/>
                    <w:left w:w="0" w:type="dxa"/>
                    <w:bottom w:w="0" w:type="dxa"/>
                    <w:right w:w="0" w:type="dxa"/>
                  </w:tcMar>
                  <w:vAlign w:val="center"/>
                </w:tcPr>
                <w:p>
                  <w:pPr>
                    <w:adjustRightInd w:val="0"/>
                    <w:snapToGrid w:val="0"/>
                    <w:jc w:val="center"/>
                    <w:rPr>
                      <w:snapToGrid w:val="0"/>
                      <w:color w:val="auto"/>
                      <w:szCs w:val="21"/>
                    </w:rPr>
                  </w:pPr>
                  <w:r>
                    <w:rPr>
                      <w:snapToGrid w:val="0"/>
                      <w:color w:val="auto"/>
                      <w:szCs w:val="21"/>
                    </w:rPr>
                    <w:t>一般固废</w:t>
                  </w:r>
                </w:p>
              </w:tc>
              <w:tc>
                <w:tcPr>
                  <w:tcW w:w="457" w:type="pct"/>
                  <w:tcBorders>
                    <w:tl2br w:val="nil"/>
                    <w:tr2bl w:val="nil"/>
                  </w:tcBorders>
                  <w:tcMar>
                    <w:top w:w="0" w:type="dxa"/>
                    <w:left w:w="0" w:type="dxa"/>
                    <w:bottom w:w="0" w:type="dxa"/>
                    <w:right w:w="0" w:type="dxa"/>
                  </w:tcMar>
                  <w:vAlign w:val="center"/>
                </w:tcPr>
                <w:p>
                  <w:pPr>
                    <w:adjustRightInd w:val="0"/>
                    <w:snapToGrid w:val="0"/>
                    <w:jc w:val="center"/>
                    <w:rPr>
                      <w:snapToGrid w:val="0"/>
                      <w:color w:val="auto"/>
                      <w:szCs w:val="21"/>
                    </w:rPr>
                  </w:pPr>
                  <w:r>
                    <w:rPr>
                      <w:color w:val="auto"/>
                      <w:kern w:val="0"/>
                      <w:szCs w:val="21"/>
                      <w:lang w:bidi="ar"/>
                    </w:rPr>
                    <w:t>99</w:t>
                  </w:r>
                </w:p>
              </w:tc>
              <w:tc>
                <w:tcPr>
                  <w:tcW w:w="469" w:type="pct"/>
                  <w:tcBorders>
                    <w:tl2br w:val="nil"/>
                    <w:tr2bl w:val="nil"/>
                  </w:tcBorders>
                  <w:tcMar>
                    <w:top w:w="0" w:type="dxa"/>
                    <w:left w:w="0" w:type="dxa"/>
                    <w:bottom w:w="0" w:type="dxa"/>
                    <w:right w:w="0" w:type="dxa"/>
                  </w:tcMar>
                  <w:vAlign w:val="center"/>
                </w:tcPr>
                <w:p>
                  <w:pPr>
                    <w:adjustRightInd w:val="0"/>
                    <w:snapToGrid w:val="0"/>
                    <w:jc w:val="center"/>
                    <w:rPr>
                      <w:snapToGrid w:val="0"/>
                      <w:color w:val="auto"/>
                      <w:szCs w:val="21"/>
                    </w:rPr>
                  </w:pPr>
                  <w:r>
                    <w:rPr>
                      <w:rFonts w:hint="eastAsia"/>
                      <w:color w:val="auto"/>
                      <w:szCs w:val="21"/>
                      <w:lang w:val="en-US" w:eastAsia="zh-CN"/>
                    </w:rPr>
                    <w:t>900</w:t>
                  </w:r>
                  <w:r>
                    <w:rPr>
                      <w:color w:val="auto"/>
                      <w:szCs w:val="21"/>
                    </w:rPr>
                    <w:t>-999-99</w:t>
                  </w:r>
                </w:p>
              </w:tc>
              <w:tc>
                <w:tcPr>
                  <w:tcW w:w="344" w:type="pct"/>
                  <w:tcBorders>
                    <w:tl2br w:val="nil"/>
                    <w:tr2bl w:val="nil"/>
                  </w:tcBorders>
                  <w:tcMar>
                    <w:top w:w="0" w:type="dxa"/>
                    <w:left w:w="0" w:type="dxa"/>
                    <w:bottom w:w="0" w:type="dxa"/>
                    <w:right w:w="0" w:type="dxa"/>
                  </w:tcMar>
                  <w:vAlign w:val="center"/>
                </w:tcPr>
                <w:p>
                  <w:pPr>
                    <w:widowControl/>
                    <w:jc w:val="center"/>
                    <w:textAlignment w:val="center"/>
                    <w:rPr>
                      <w:color w:val="auto"/>
                      <w:kern w:val="0"/>
                      <w:szCs w:val="21"/>
                      <w:lang w:bidi="ar"/>
                    </w:rPr>
                  </w:pPr>
                  <w:r>
                    <w:rPr>
                      <w:rFonts w:hint="eastAsia"/>
                      <w:color w:val="auto"/>
                      <w:kern w:val="0"/>
                      <w:szCs w:val="21"/>
                      <w:lang w:bidi="ar"/>
                    </w:rPr>
                    <w:t>21</w:t>
                  </w:r>
                </w:p>
              </w:tc>
              <w:tc>
                <w:tcPr>
                  <w:tcW w:w="404" w:type="pct"/>
                  <w:tcBorders>
                    <w:tl2br w:val="nil"/>
                    <w:tr2bl w:val="nil"/>
                  </w:tcBorders>
                  <w:tcMar>
                    <w:top w:w="0" w:type="dxa"/>
                    <w:left w:w="0" w:type="dxa"/>
                    <w:bottom w:w="0" w:type="dxa"/>
                    <w:right w:w="0" w:type="dxa"/>
                  </w:tcMar>
                  <w:vAlign w:val="center"/>
                </w:tcPr>
                <w:p>
                  <w:pPr>
                    <w:adjustRightInd w:val="0"/>
                    <w:snapToGrid w:val="0"/>
                    <w:jc w:val="center"/>
                    <w:rPr>
                      <w:bCs/>
                      <w:color w:val="auto"/>
                      <w:kern w:val="0"/>
                      <w:szCs w:val="21"/>
                    </w:rPr>
                  </w:pPr>
                  <w:r>
                    <w:rPr>
                      <w:bCs/>
                      <w:color w:val="auto"/>
                      <w:kern w:val="0"/>
                      <w:szCs w:val="21"/>
                    </w:rPr>
                    <w:t>袋装</w:t>
                  </w:r>
                </w:p>
              </w:tc>
              <w:tc>
                <w:tcPr>
                  <w:tcW w:w="334" w:type="pct"/>
                  <w:vMerge w:val="continue"/>
                  <w:tcBorders>
                    <w:bottom w:val="single" w:color="auto" w:sz="4" w:space="0"/>
                    <w:tl2br w:val="nil"/>
                    <w:tr2bl w:val="nil"/>
                  </w:tcBorders>
                  <w:tcMar>
                    <w:top w:w="0" w:type="dxa"/>
                    <w:left w:w="0" w:type="dxa"/>
                    <w:bottom w:w="0" w:type="dxa"/>
                    <w:right w:w="0" w:type="dxa"/>
                  </w:tcMar>
                  <w:vAlign w:val="center"/>
                </w:tcPr>
                <w:p>
                  <w:pPr>
                    <w:snapToGrid w:val="0"/>
                    <w:jc w:val="center"/>
                    <w:rPr>
                      <w:color w:val="auto"/>
                      <w:szCs w:val="21"/>
                    </w:rPr>
                  </w:pPr>
                </w:p>
              </w:tc>
              <w:tc>
                <w:tcPr>
                  <w:tcW w:w="459" w:type="pct"/>
                  <w:vMerge w:val="continue"/>
                  <w:tcBorders>
                    <w:bottom w:val="single" w:color="auto" w:sz="4" w:space="0"/>
                    <w:tl2br w:val="nil"/>
                    <w:tr2bl w:val="nil"/>
                  </w:tcBorders>
                  <w:tcMar>
                    <w:top w:w="0" w:type="dxa"/>
                    <w:left w:w="0" w:type="dxa"/>
                    <w:bottom w:w="0" w:type="dxa"/>
                    <w:right w:w="0" w:type="dxa"/>
                  </w:tcMar>
                  <w:vAlign w:val="center"/>
                </w:tcPr>
                <w:p>
                  <w:pPr>
                    <w:snapToGrid w:val="0"/>
                    <w:jc w:val="center"/>
                    <w:rPr>
                      <w:color w:val="auto"/>
                      <w:szCs w:val="21"/>
                    </w:rPr>
                  </w:pPr>
                </w:p>
              </w:tc>
              <w:tc>
                <w:tcPr>
                  <w:tcW w:w="430" w:type="pct"/>
                  <w:vMerge w:val="continue"/>
                  <w:tcBorders>
                    <w:bottom w:val="single" w:color="auto" w:sz="4" w:space="0"/>
                    <w:tl2br w:val="nil"/>
                    <w:tr2bl w:val="nil"/>
                  </w:tcBorders>
                  <w:tcMar>
                    <w:top w:w="0" w:type="dxa"/>
                    <w:left w:w="0" w:type="dxa"/>
                    <w:bottom w:w="0" w:type="dxa"/>
                    <w:right w:w="0" w:type="dxa"/>
                  </w:tcMar>
                  <w:vAlign w:val="center"/>
                </w:tcPr>
                <w:p>
                  <w:pPr>
                    <w:snapToGrid w:val="0"/>
                    <w:jc w:val="center"/>
                    <w:rPr>
                      <w:color w:val="auto"/>
                      <w:szCs w:val="21"/>
                    </w:rPr>
                  </w:pPr>
                </w:p>
              </w:tc>
            </w:tr>
          </w:tbl>
          <w:p>
            <w:pPr>
              <w:topLinePunct/>
              <w:adjustRightInd w:val="0"/>
              <w:snapToGrid w:val="0"/>
              <w:spacing w:before="159" w:beforeLines="50" w:line="360" w:lineRule="auto"/>
              <w:ind w:firstLine="480" w:firstLineChars="200"/>
              <w:outlineLvl w:val="2"/>
              <w:rPr>
                <w:rFonts w:ascii="Calibri" w:hAnsi="Calibri" w:eastAsia="Times New Roman" w:cs="Calibri"/>
                <w:color w:val="auto"/>
                <w:sz w:val="24"/>
              </w:rPr>
            </w:pPr>
            <w:r>
              <w:rPr>
                <w:rFonts w:ascii="Calibri" w:hAnsi="Calibri" w:eastAsia="Times New Roman" w:cs="Calibri"/>
                <w:color w:val="auto"/>
                <w:sz w:val="24"/>
              </w:rPr>
              <w:t>由上表可见，项目建成后全厂固废按其性质分类分区收集和暂存，并均能得到有效利用或妥善处置。在严格管理下，本项目的固体废物对周围环境不会产生二次污染。</w:t>
            </w:r>
          </w:p>
          <w:p>
            <w:pPr>
              <w:numPr>
                <w:ilvl w:val="0"/>
                <w:numId w:val="21"/>
              </w:numPr>
              <w:adjustRightInd w:val="0"/>
              <w:snapToGrid w:val="0"/>
              <w:spacing w:line="360" w:lineRule="auto"/>
              <w:ind w:firstLine="480" w:firstLineChars="200"/>
              <w:rPr>
                <w:rFonts w:ascii="Calibri" w:hAnsi="Calibri" w:cs="Calibri"/>
                <w:b/>
                <w:bCs/>
                <w:color w:val="auto"/>
                <w:sz w:val="24"/>
              </w:rPr>
            </w:pPr>
            <w:r>
              <w:rPr>
                <w:rFonts w:ascii="Calibri" w:hAnsi="Calibri" w:cs="Calibri"/>
                <w:b/>
                <w:bCs/>
                <w:color w:val="auto"/>
                <w:sz w:val="24"/>
              </w:rPr>
              <w:t>环境管理</w:t>
            </w:r>
          </w:p>
          <w:p>
            <w:pPr>
              <w:adjustRightInd w:val="0"/>
              <w:snapToGrid w:val="0"/>
              <w:spacing w:line="360" w:lineRule="auto"/>
              <w:ind w:firstLine="480" w:firstLineChars="200"/>
              <w:rPr>
                <w:rFonts w:ascii="Calibri" w:hAnsi="Calibri" w:cs="Calibri"/>
                <w:color w:val="auto"/>
                <w:sz w:val="24"/>
              </w:rPr>
            </w:pPr>
            <w:r>
              <w:rPr>
                <w:rFonts w:ascii="Calibri" w:hAnsi="Calibri" w:cs="Calibri"/>
                <w:color w:val="auto"/>
                <w:sz w:val="24"/>
              </w:rPr>
              <w:t>针对本项目正常运行阶段所产生的危险废物的日常管理提出要求：</w:t>
            </w:r>
          </w:p>
          <w:p>
            <w:pPr>
              <w:numPr>
                <w:ilvl w:val="0"/>
                <w:numId w:val="22"/>
              </w:numPr>
              <w:adjustRightInd w:val="0"/>
              <w:snapToGrid w:val="0"/>
              <w:spacing w:line="360" w:lineRule="auto"/>
              <w:ind w:firstLine="480" w:firstLineChars="200"/>
              <w:rPr>
                <w:rFonts w:ascii="Calibri" w:hAnsi="Calibri" w:cs="Calibri"/>
                <w:color w:val="auto"/>
                <w:sz w:val="24"/>
              </w:rPr>
            </w:pPr>
            <w:r>
              <w:rPr>
                <w:rFonts w:ascii="Calibri" w:hAnsi="Calibri" w:cs="Calibri"/>
                <w:color w:val="auto"/>
                <w:sz w:val="24"/>
              </w:rPr>
              <w:t>建设单位应按照要求做好一般工业固体废物和危险废物环境管理台账记录，如实记录产生工业固体废物的种类、数量、流向、贮存、利用、处置等信息，台账记录应符合生态环境部规定的台账相关标准及管理文件要求。</w:t>
            </w:r>
          </w:p>
          <w:p>
            <w:pPr>
              <w:adjustRightInd w:val="0"/>
              <w:snapToGrid w:val="0"/>
              <w:spacing w:line="360" w:lineRule="auto"/>
              <w:ind w:firstLine="480" w:firstLineChars="200"/>
              <w:rPr>
                <w:rFonts w:ascii="Calibri" w:hAnsi="Calibri" w:cs="Calibri"/>
                <w:color w:val="auto"/>
                <w:sz w:val="24"/>
              </w:rPr>
            </w:pPr>
            <w:r>
              <w:rPr>
                <w:rFonts w:ascii="Calibri" w:hAnsi="Calibri" w:cs="Calibri"/>
                <w:color w:val="auto"/>
                <w:sz w:val="24"/>
              </w:rPr>
              <w:t>2）建设单位如委托他人运输、利用、处置工业固体废物的，应当对受委托方的主体资格和技术能力进行核实，依法签订书面合同，并在合同中约定污染防治要求。</w:t>
            </w:r>
          </w:p>
          <w:p>
            <w:pPr>
              <w:adjustRightInd w:val="0"/>
              <w:snapToGrid w:val="0"/>
              <w:spacing w:line="360" w:lineRule="auto"/>
              <w:ind w:firstLine="480" w:firstLineChars="200"/>
              <w:rPr>
                <w:rFonts w:ascii="Calibri" w:hAnsi="Calibri" w:cs="Calibri"/>
                <w:color w:val="auto"/>
                <w:sz w:val="24"/>
              </w:rPr>
            </w:pPr>
            <w:r>
              <w:rPr>
                <w:rFonts w:ascii="Calibri" w:hAnsi="Calibri" w:cs="Calibri"/>
                <w:color w:val="auto"/>
                <w:sz w:val="24"/>
              </w:rPr>
              <w:t>3）建设单位转移危险废物时，应按照要求填写危险废物转移联单。</w:t>
            </w:r>
          </w:p>
          <w:p>
            <w:pPr>
              <w:adjustRightInd w:val="0"/>
              <w:snapToGrid w:val="0"/>
              <w:spacing w:line="360" w:lineRule="auto"/>
              <w:ind w:firstLine="480" w:firstLineChars="200"/>
              <w:rPr>
                <w:rFonts w:ascii="Calibri" w:hAnsi="Calibri" w:cs="Calibri"/>
                <w:color w:val="auto"/>
                <w:sz w:val="24"/>
              </w:rPr>
            </w:pPr>
            <w:r>
              <w:rPr>
                <w:rFonts w:ascii="Calibri" w:hAnsi="Calibri" w:cs="Calibri"/>
                <w:color w:val="auto"/>
                <w:sz w:val="24"/>
              </w:rPr>
              <w:t>4）定期对暂存的危险废物包装容器及贮存设施进行检查，及早发现破损，及时采取措施清理更换；</w:t>
            </w:r>
          </w:p>
          <w:p>
            <w:pPr>
              <w:adjustRightInd w:val="0"/>
              <w:snapToGrid w:val="0"/>
              <w:spacing w:line="360" w:lineRule="auto"/>
              <w:ind w:firstLine="480" w:firstLineChars="200"/>
              <w:rPr>
                <w:rFonts w:ascii="Calibri" w:hAnsi="Calibri" w:cs="Calibri"/>
                <w:color w:val="auto"/>
                <w:sz w:val="24"/>
              </w:rPr>
            </w:pPr>
            <w:r>
              <w:rPr>
                <w:rFonts w:ascii="Calibri" w:hAnsi="Calibri" w:cs="Calibri"/>
                <w:color w:val="auto"/>
                <w:sz w:val="24"/>
              </w:rPr>
              <w:t>5）危险废物的收集、运输按照《危险废物收集、贮存、运输技术规范》（HJ2025-2012）的要求进行。在运输过程中，按照《江苏省固体废物污染环境防治条例》中对危险废物的包装、运输的有关标准、技术规范和要求进行，有效防止危险废物转移过程中污染环境。项目需处理的危险废物采用专门的车辆，密闭运输，严格禁止抛洒滴漏，杜绝在运输过程中造成环境的二次污染。在危险废物的运输中执行《危险废物转移联单管理办法》中有关的规定和要求。建设单位须针对此对员工进行培训，加强安全生产及防止污染的意识，培训通过后方可上岗。</w:t>
            </w:r>
          </w:p>
          <w:p>
            <w:pPr>
              <w:adjustRightInd w:val="0"/>
              <w:snapToGrid w:val="0"/>
              <w:spacing w:line="360" w:lineRule="auto"/>
              <w:ind w:left="420" w:leftChars="200"/>
              <w:rPr>
                <w:rFonts w:ascii="Calibri" w:hAnsi="Calibri" w:cs="Calibri"/>
                <w:color w:val="auto"/>
                <w:sz w:val="24"/>
              </w:rPr>
            </w:pPr>
            <w:r>
              <w:rPr>
                <w:rFonts w:ascii="Calibri" w:hAnsi="Calibri" w:cs="Calibri"/>
                <w:color w:val="auto"/>
                <w:sz w:val="24"/>
              </w:rPr>
              <w:t>6）固废贮存（处置）场所规范化设置。</w:t>
            </w:r>
          </w:p>
          <w:p>
            <w:pPr>
              <w:adjustRightInd w:val="0"/>
              <w:snapToGrid w:val="0"/>
              <w:spacing w:line="360" w:lineRule="auto"/>
              <w:ind w:firstLine="480" w:firstLineChars="200"/>
              <w:rPr>
                <w:rFonts w:ascii="Calibri" w:hAnsi="Calibri" w:cs="Calibri"/>
                <w:color w:val="auto"/>
                <w:sz w:val="24"/>
              </w:rPr>
            </w:pPr>
            <w:r>
              <w:rPr>
                <w:rFonts w:ascii="Calibri" w:hAnsi="Calibri" w:cs="Calibri"/>
                <w:color w:val="auto"/>
                <w:sz w:val="24"/>
              </w:rPr>
              <w:t>①固废贮存场所合理性分析</w:t>
            </w:r>
          </w:p>
          <w:p>
            <w:pPr>
              <w:topLinePunct/>
              <w:autoSpaceDE w:val="0"/>
              <w:adjustRightInd w:val="0"/>
              <w:snapToGrid w:val="0"/>
              <w:spacing w:line="360" w:lineRule="auto"/>
              <w:ind w:firstLine="480" w:firstLineChars="200"/>
              <w:rPr>
                <w:rFonts w:ascii="Calibri" w:hAnsi="Calibri" w:cs="Calibri"/>
                <w:color w:val="auto"/>
                <w:sz w:val="24"/>
              </w:rPr>
            </w:pPr>
            <w:r>
              <w:rPr>
                <w:rFonts w:ascii="Calibri" w:hAnsi="Calibri" w:cs="Calibri"/>
                <w:color w:val="auto"/>
                <w:sz w:val="24"/>
              </w:rPr>
              <w:t>建设项目固废贮存场所（设施）基本情况样表见下表：</w:t>
            </w:r>
          </w:p>
          <w:p>
            <w:pPr>
              <w:pStyle w:val="6"/>
              <w:numPr>
                <w:ilvl w:val="0"/>
                <w:numId w:val="16"/>
              </w:numPr>
              <w:adjustRightInd w:val="0"/>
              <w:snapToGrid w:val="0"/>
              <w:ind w:firstLineChars="0"/>
              <w:jc w:val="center"/>
              <w:rPr>
                <w:rFonts w:ascii="Calibri" w:hAnsi="Calibri" w:cs="Calibri"/>
                <w:b/>
                <w:bCs/>
                <w:color w:val="auto"/>
                <w:sz w:val="24"/>
              </w:rPr>
            </w:pPr>
            <w:r>
              <w:rPr>
                <w:rFonts w:ascii="Calibri" w:hAnsi="Calibri" w:cs="Calibri"/>
                <w:b/>
                <w:bCs/>
                <w:color w:val="auto"/>
                <w:sz w:val="24"/>
              </w:rPr>
              <w:t>本项目危险废物贮存场所基本情况样表</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1"/>
              <w:gridCol w:w="972"/>
              <w:gridCol w:w="1438"/>
              <w:gridCol w:w="2216"/>
              <w:gridCol w:w="1111"/>
              <w:gridCol w:w="1511"/>
              <w:gridCol w:w="1038"/>
              <w:gridCol w:w="1073"/>
              <w:gridCol w:w="1165"/>
              <w:gridCol w:w="1181"/>
              <w:gridCol w:w="11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widowControl/>
                    <w:adjustRightInd w:val="0"/>
                    <w:snapToGrid w:val="0"/>
                    <w:jc w:val="center"/>
                    <w:rPr>
                      <w:b/>
                      <w:bCs/>
                      <w:color w:val="auto"/>
                      <w:szCs w:val="21"/>
                    </w:rPr>
                  </w:pPr>
                  <w:r>
                    <w:rPr>
                      <w:b/>
                      <w:bCs/>
                      <w:color w:val="auto"/>
                      <w:szCs w:val="21"/>
                    </w:rPr>
                    <w:t>序号</w:t>
                  </w:r>
                </w:p>
              </w:tc>
              <w:tc>
                <w:tcPr>
                  <w:tcW w:w="360" w:type="pct"/>
                  <w:tcBorders>
                    <w:tl2br w:val="nil"/>
                    <w:tr2bl w:val="nil"/>
                  </w:tcBorders>
                  <w:vAlign w:val="center"/>
                </w:tcPr>
                <w:p>
                  <w:pPr>
                    <w:widowControl/>
                    <w:adjustRightInd w:val="0"/>
                    <w:snapToGrid w:val="0"/>
                    <w:jc w:val="center"/>
                    <w:rPr>
                      <w:b/>
                      <w:bCs/>
                      <w:color w:val="auto"/>
                      <w:szCs w:val="21"/>
                    </w:rPr>
                  </w:pPr>
                  <w:r>
                    <w:rPr>
                      <w:b/>
                      <w:bCs/>
                      <w:color w:val="auto"/>
                      <w:szCs w:val="21"/>
                    </w:rPr>
                    <w:t>贮存场所名称</w:t>
                  </w:r>
                </w:p>
              </w:tc>
              <w:tc>
                <w:tcPr>
                  <w:tcW w:w="532" w:type="pct"/>
                  <w:tcBorders>
                    <w:tl2br w:val="nil"/>
                    <w:tr2bl w:val="nil"/>
                  </w:tcBorders>
                  <w:vAlign w:val="center"/>
                </w:tcPr>
                <w:p>
                  <w:pPr>
                    <w:widowControl/>
                    <w:adjustRightInd w:val="0"/>
                    <w:snapToGrid w:val="0"/>
                    <w:jc w:val="center"/>
                    <w:rPr>
                      <w:b/>
                      <w:bCs/>
                      <w:color w:val="auto"/>
                      <w:szCs w:val="21"/>
                    </w:rPr>
                  </w:pPr>
                  <w:r>
                    <w:rPr>
                      <w:b/>
                      <w:bCs/>
                      <w:color w:val="auto"/>
                      <w:szCs w:val="21"/>
                    </w:rPr>
                    <w:t>地理坐标</w:t>
                  </w:r>
                </w:p>
              </w:tc>
              <w:tc>
                <w:tcPr>
                  <w:tcW w:w="820" w:type="pct"/>
                  <w:tcBorders>
                    <w:tl2br w:val="nil"/>
                    <w:tr2bl w:val="nil"/>
                  </w:tcBorders>
                  <w:vAlign w:val="center"/>
                </w:tcPr>
                <w:p>
                  <w:pPr>
                    <w:widowControl/>
                    <w:adjustRightInd w:val="0"/>
                    <w:snapToGrid w:val="0"/>
                    <w:jc w:val="center"/>
                    <w:rPr>
                      <w:b/>
                      <w:bCs/>
                      <w:color w:val="auto"/>
                      <w:szCs w:val="21"/>
                    </w:rPr>
                  </w:pPr>
                  <w:r>
                    <w:rPr>
                      <w:b/>
                      <w:bCs/>
                      <w:color w:val="auto"/>
                      <w:szCs w:val="21"/>
                    </w:rPr>
                    <w:t>危险废物名称</w:t>
                  </w:r>
                </w:p>
              </w:tc>
              <w:tc>
                <w:tcPr>
                  <w:tcW w:w="411" w:type="pct"/>
                  <w:tcBorders>
                    <w:tl2br w:val="nil"/>
                    <w:tr2bl w:val="nil"/>
                  </w:tcBorders>
                  <w:vAlign w:val="center"/>
                </w:tcPr>
                <w:p>
                  <w:pPr>
                    <w:widowControl/>
                    <w:adjustRightInd w:val="0"/>
                    <w:snapToGrid w:val="0"/>
                    <w:jc w:val="center"/>
                    <w:rPr>
                      <w:b/>
                      <w:bCs/>
                      <w:color w:val="auto"/>
                      <w:szCs w:val="21"/>
                    </w:rPr>
                  </w:pPr>
                  <w:r>
                    <w:rPr>
                      <w:b/>
                      <w:bCs/>
                      <w:color w:val="auto"/>
                      <w:szCs w:val="21"/>
                    </w:rPr>
                    <w:t>废物类别</w:t>
                  </w:r>
                </w:p>
              </w:tc>
              <w:tc>
                <w:tcPr>
                  <w:tcW w:w="559" w:type="pct"/>
                  <w:tcBorders>
                    <w:tl2br w:val="nil"/>
                    <w:tr2bl w:val="nil"/>
                  </w:tcBorders>
                  <w:vAlign w:val="center"/>
                </w:tcPr>
                <w:p>
                  <w:pPr>
                    <w:widowControl/>
                    <w:adjustRightInd w:val="0"/>
                    <w:snapToGrid w:val="0"/>
                    <w:jc w:val="center"/>
                    <w:rPr>
                      <w:b/>
                      <w:bCs/>
                      <w:color w:val="auto"/>
                      <w:szCs w:val="21"/>
                    </w:rPr>
                  </w:pPr>
                  <w:r>
                    <w:rPr>
                      <w:b/>
                      <w:bCs/>
                      <w:color w:val="auto"/>
                      <w:szCs w:val="21"/>
                    </w:rPr>
                    <w:t>废物代码</w:t>
                  </w:r>
                </w:p>
              </w:tc>
              <w:tc>
                <w:tcPr>
                  <w:tcW w:w="384" w:type="pct"/>
                  <w:tcBorders>
                    <w:tl2br w:val="nil"/>
                    <w:tr2bl w:val="nil"/>
                  </w:tcBorders>
                  <w:vAlign w:val="center"/>
                </w:tcPr>
                <w:p>
                  <w:pPr>
                    <w:widowControl/>
                    <w:adjustRightInd w:val="0"/>
                    <w:snapToGrid w:val="0"/>
                    <w:jc w:val="center"/>
                    <w:rPr>
                      <w:b/>
                      <w:bCs/>
                      <w:color w:val="auto"/>
                      <w:szCs w:val="21"/>
                    </w:rPr>
                  </w:pPr>
                  <w:r>
                    <w:rPr>
                      <w:b/>
                      <w:bCs/>
                      <w:color w:val="auto"/>
                      <w:szCs w:val="21"/>
                    </w:rPr>
                    <w:t>位置</w:t>
                  </w:r>
                </w:p>
              </w:tc>
              <w:tc>
                <w:tcPr>
                  <w:tcW w:w="397" w:type="pct"/>
                  <w:tcBorders>
                    <w:tl2br w:val="nil"/>
                    <w:tr2bl w:val="nil"/>
                  </w:tcBorders>
                  <w:vAlign w:val="center"/>
                </w:tcPr>
                <w:p>
                  <w:pPr>
                    <w:widowControl/>
                    <w:adjustRightInd w:val="0"/>
                    <w:snapToGrid w:val="0"/>
                    <w:jc w:val="center"/>
                    <w:rPr>
                      <w:b/>
                      <w:bCs/>
                      <w:color w:val="auto"/>
                      <w:szCs w:val="21"/>
                    </w:rPr>
                  </w:pPr>
                  <w:r>
                    <w:rPr>
                      <w:b/>
                      <w:bCs/>
                      <w:color w:val="auto"/>
                      <w:szCs w:val="21"/>
                    </w:rPr>
                    <w:t>占地面积</w:t>
                  </w:r>
                </w:p>
              </w:tc>
              <w:tc>
                <w:tcPr>
                  <w:tcW w:w="431" w:type="pct"/>
                  <w:tcBorders>
                    <w:tl2br w:val="nil"/>
                    <w:tr2bl w:val="nil"/>
                  </w:tcBorders>
                  <w:vAlign w:val="center"/>
                </w:tcPr>
                <w:p>
                  <w:pPr>
                    <w:widowControl/>
                    <w:adjustRightInd w:val="0"/>
                    <w:snapToGrid w:val="0"/>
                    <w:jc w:val="center"/>
                    <w:rPr>
                      <w:b/>
                      <w:bCs/>
                      <w:color w:val="auto"/>
                      <w:szCs w:val="21"/>
                    </w:rPr>
                  </w:pPr>
                  <w:r>
                    <w:rPr>
                      <w:b/>
                      <w:bCs/>
                      <w:color w:val="auto"/>
                      <w:szCs w:val="21"/>
                    </w:rPr>
                    <w:t>贮存方式</w:t>
                  </w:r>
                </w:p>
              </w:tc>
              <w:tc>
                <w:tcPr>
                  <w:tcW w:w="437" w:type="pct"/>
                  <w:tcBorders>
                    <w:tl2br w:val="nil"/>
                    <w:tr2bl w:val="nil"/>
                  </w:tcBorders>
                  <w:vAlign w:val="center"/>
                </w:tcPr>
                <w:p>
                  <w:pPr>
                    <w:widowControl/>
                    <w:adjustRightInd w:val="0"/>
                    <w:snapToGrid w:val="0"/>
                    <w:jc w:val="center"/>
                    <w:rPr>
                      <w:b/>
                      <w:bCs/>
                      <w:color w:val="auto"/>
                      <w:szCs w:val="21"/>
                    </w:rPr>
                  </w:pPr>
                  <w:r>
                    <w:rPr>
                      <w:b/>
                      <w:bCs/>
                      <w:color w:val="auto"/>
                      <w:szCs w:val="21"/>
                    </w:rPr>
                    <w:t>贮存能力</w:t>
                  </w:r>
                </w:p>
              </w:tc>
              <w:tc>
                <w:tcPr>
                  <w:tcW w:w="433" w:type="pct"/>
                  <w:tcBorders>
                    <w:tl2br w:val="nil"/>
                    <w:tr2bl w:val="nil"/>
                  </w:tcBorders>
                  <w:vAlign w:val="center"/>
                </w:tcPr>
                <w:p>
                  <w:pPr>
                    <w:widowControl/>
                    <w:adjustRightInd w:val="0"/>
                    <w:snapToGrid w:val="0"/>
                    <w:jc w:val="center"/>
                    <w:rPr>
                      <w:b/>
                      <w:bCs/>
                      <w:color w:val="auto"/>
                      <w:szCs w:val="21"/>
                    </w:rPr>
                  </w:pPr>
                  <w:r>
                    <w:rPr>
                      <w:b/>
                      <w:bCs/>
                      <w:color w:val="auto"/>
                      <w:szCs w:val="21"/>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adjustRightInd w:val="0"/>
                    <w:snapToGrid w:val="0"/>
                    <w:jc w:val="center"/>
                    <w:rPr>
                      <w:color w:val="auto"/>
                      <w:szCs w:val="21"/>
                    </w:rPr>
                  </w:pPr>
                  <w:r>
                    <w:rPr>
                      <w:color w:val="auto"/>
                      <w:kern w:val="0"/>
                      <w:szCs w:val="21"/>
                    </w:rPr>
                    <w:t>1</w:t>
                  </w:r>
                </w:p>
              </w:tc>
              <w:tc>
                <w:tcPr>
                  <w:tcW w:w="360" w:type="pct"/>
                  <w:vMerge w:val="restart"/>
                  <w:tcBorders>
                    <w:tl2br w:val="nil"/>
                    <w:tr2bl w:val="nil"/>
                  </w:tcBorders>
                  <w:vAlign w:val="center"/>
                </w:tcPr>
                <w:p>
                  <w:pPr>
                    <w:topLinePunct/>
                    <w:adjustRightInd w:val="0"/>
                    <w:snapToGrid w:val="0"/>
                    <w:jc w:val="center"/>
                    <w:rPr>
                      <w:color w:val="auto"/>
                      <w:kern w:val="0"/>
                      <w:szCs w:val="21"/>
                    </w:rPr>
                  </w:pPr>
                  <w:r>
                    <w:rPr>
                      <w:color w:val="auto"/>
                      <w:kern w:val="0"/>
                      <w:szCs w:val="21"/>
                    </w:rPr>
                    <w:t>危废</w:t>
                  </w:r>
                </w:p>
                <w:p>
                  <w:pPr>
                    <w:topLinePunct/>
                    <w:adjustRightInd w:val="0"/>
                    <w:snapToGrid w:val="0"/>
                    <w:jc w:val="center"/>
                    <w:rPr>
                      <w:color w:val="auto"/>
                      <w:kern w:val="0"/>
                      <w:szCs w:val="21"/>
                    </w:rPr>
                  </w:pPr>
                  <w:r>
                    <w:rPr>
                      <w:color w:val="auto"/>
                      <w:kern w:val="0"/>
                      <w:szCs w:val="21"/>
                    </w:rPr>
                    <w:t>仓库</w:t>
                  </w:r>
                </w:p>
              </w:tc>
              <w:tc>
                <w:tcPr>
                  <w:tcW w:w="532" w:type="pct"/>
                  <w:vMerge w:val="restart"/>
                  <w:tcBorders>
                    <w:tl2br w:val="nil"/>
                    <w:tr2bl w:val="nil"/>
                  </w:tcBorders>
                  <w:vAlign w:val="center"/>
                </w:tcPr>
                <w:p>
                  <w:pPr>
                    <w:adjustRightInd w:val="0"/>
                    <w:snapToGrid w:val="0"/>
                    <w:jc w:val="center"/>
                    <w:rPr>
                      <w:color w:val="auto"/>
                      <w:szCs w:val="21"/>
                    </w:rPr>
                  </w:pPr>
                  <w:r>
                    <w:rPr>
                      <w:color w:val="auto"/>
                      <w:szCs w:val="21"/>
                    </w:rPr>
                    <w:t>120.</w:t>
                  </w:r>
                  <w:r>
                    <w:rPr>
                      <w:rFonts w:hint="eastAsia"/>
                      <w:color w:val="auto"/>
                      <w:szCs w:val="21"/>
                    </w:rPr>
                    <w:t>411921</w:t>
                  </w:r>
                  <w:r>
                    <w:rPr>
                      <w:color w:val="auto"/>
                      <w:szCs w:val="21"/>
                    </w:rPr>
                    <w:t>，</w:t>
                  </w:r>
                </w:p>
                <w:p>
                  <w:pPr>
                    <w:adjustRightInd w:val="0"/>
                    <w:snapToGrid w:val="0"/>
                    <w:jc w:val="center"/>
                    <w:rPr>
                      <w:color w:val="auto"/>
                      <w:szCs w:val="21"/>
                    </w:rPr>
                  </w:pPr>
                  <w:r>
                    <w:rPr>
                      <w:color w:val="auto"/>
                      <w:szCs w:val="21"/>
                    </w:rPr>
                    <w:t>31.</w:t>
                  </w:r>
                  <w:r>
                    <w:rPr>
                      <w:rFonts w:hint="eastAsia"/>
                      <w:color w:val="auto"/>
                      <w:szCs w:val="21"/>
                    </w:rPr>
                    <w:t>575466</w:t>
                  </w:r>
                </w:p>
              </w:tc>
              <w:tc>
                <w:tcPr>
                  <w:tcW w:w="820" w:type="pct"/>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脱脂废渣（液）</w:t>
                  </w:r>
                </w:p>
              </w:tc>
              <w:tc>
                <w:tcPr>
                  <w:tcW w:w="411"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HW17</w:t>
                  </w:r>
                </w:p>
              </w:tc>
              <w:tc>
                <w:tcPr>
                  <w:tcW w:w="559"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336-064-17</w:t>
                  </w:r>
                </w:p>
              </w:tc>
              <w:tc>
                <w:tcPr>
                  <w:tcW w:w="384" w:type="pct"/>
                  <w:vMerge w:val="restart"/>
                  <w:tcBorders>
                    <w:tl2br w:val="nil"/>
                    <w:tr2bl w:val="nil"/>
                  </w:tcBorders>
                  <w:vAlign w:val="center"/>
                </w:tcPr>
                <w:p>
                  <w:pPr>
                    <w:widowControl/>
                    <w:adjustRightInd w:val="0"/>
                    <w:snapToGrid w:val="0"/>
                    <w:jc w:val="center"/>
                    <w:rPr>
                      <w:color w:val="auto"/>
                      <w:szCs w:val="21"/>
                    </w:rPr>
                  </w:pPr>
                  <w:r>
                    <w:rPr>
                      <w:color w:val="auto"/>
                      <w:kern w:val="0"/>
                      <w:szCs w:val="21"/>
                    </w:rPr>
                    <w:t>厂区</w:t>
                  </w:r>
                  <w:r>
                    <w:rPr>
                      <w:rFonts w:hint="eastAsia"/>
                      <w:color w:val="auto"/>
                      <w:kern w:val="0"/>
                      <w:szCs w:val="21"/>
                    </w:rPr>
                    <w:t>西北</w:t>
                  </w:r>
                  <w:r>
                    <w:rPr>
                      <w:color w:val="auto"/>
                      <w:kern w:val="0"/>
                      <w:szCs w:val="21"/>
                    </w:rPr>
                    <w:t>侧</w:t>
                  </w:r>
                </w:p>
                <w:p>
                  <w:pPr>
                    <w:topLinePunct/>
                    <w:adjustRightInd w:val="0"/>
                    <w:snapToGrid w:val="0"/>
                    <w:jc w:val="center"/>
                    <w:rPr>
                      <w:color w:val="auto"/>
                      <w:szCs w:val="21"/>
                    </w:rPr>
                  </w:pPr>
                </w:p>
              </w:tc>
              <w:tc>
                <w:tcPr>
                  <w:tcW w:w="397" w:type="pct"/>
                  <w:vMerge w:val="restart"/>
                  <w:tcBorders>
                    <w:tl2br w:val="nil"/>
                    <w:tr2bl w:val="nil"/>
                  </w:tcBorders>
                  <w:vAlign w:val="center"/>
                </w:tcPr>
                <w:p>
                  <w:pPr>
                    <w:widowControl/>
                    <w:adjustRightInd w:val="0"/>
                    <w:snapToGrid w:val="0"/>
                    <w:jc w:val="center"/>
                    <w:rPr>
                      <w:color w:val="auto"/>
                      <w:szCs w:val="21"/>
                    </w:rPr>
                  </w:pPr>
                  <w:r>
                    <w:rPr>
                      <w:rFonts w:hint="eastAsia"/>
                      <w:color w:val="auto"/>
                      <w:kern w:val="0"/>
                      <w:szCs w:val="21"/>
                    </w:rPr>
                    <w:t>30</w:t>
                  </w:r>
                  <w:r>
                    <w:rPr>
                      <w:color w:val="auto"/>
                      <w:szCs w:val="21"/>
                    </w:rPr>
                    <w:t>m</w:t>
                  </w:r>
                  <w:r>
                    <w:rPr>
                      <w:color w:val="auto"/>
                      <w:szCs w:val="21"/>
                      <w:vertAlign w:val="superscript"/>
                    </w:rPr>
                    <w:t>2</w:t>
                  </w:r>
                </w:p>
              </w:tc>
              <w:tc>
                <w:tcPr>
                  <w:tcW w:w="431" w:type="pct"/>
                  <w:tcBorders>
                    <w:tl2br w:val="nil"/>
                    <w:tr2bl w:val="nil"/>
                  </w:tcBorders>
                  <w:vAlign w:val="center"/>
                </w:tcPr>
                <w:p>
                  <w:pPr>
                    <w:pStyle w:val="57"/>
                    <w:widowControl w:val="0"/>
                    <w:adjustRightInd w:val="0"/>
                    <w:snapToGrid w:val="0"/>
                    <w:spacing w:before="0" w:beforeAutospacing="0" w:after="0" w:afterAutospacing="0"/>
                    <w:rPr>
                      <w:rFonts w:ascii="Times New Roman" w:hAnsi="Times New Roman"/>
                      <w:bCs/>
                      <w:color w:val="auto"/>
                      <w:sz w:val="21"/>
                      <w:szCs w:val="21"/>
                    </w:rPr>
                  </w:pPr>
                  <w:r>
                    <w:rPr>
                      <w:rFonts w:ascii="Times New Roman" w:hAnsi="Times New Roman"/>
                      <w:bCs/>
                      <w:color w:val="auto"/>
                      <w:sz w:val="21"/>
                      <w:szCs w:val="21"/>
                    </w:rPr>
                    <w:t>桶装</w:t>
                  </w:r>
                </w:p>
              </w:tc>
              <w:tc>
                <w:tcPr>
                  <w:tcW w:w="437" w:type="pct"/>
                  <w:vMerge w:val="restart"/>
                  <w:tcBorders>
                    <w:tl2br w:val="nil"/>
                    <w:tr2bl w:val="nil"/>
                  </w:tcBorders>
                  <w:vAlign w:val="center"/>
                </w:tcPr>
                <w:p>
                  <w:pPr>
                    <w:widowControl/>
                    <w:adjustRightInd w:val="0"/>
                    <w:snapToGrid w:val="0"/>
                    <w:jc w:val="center"/>
                    <w:rPr>
                      <w:color w:val="auto"/>
                      <w:szCs w:val="21"/>
                    </w:rPr>
                  </w:pPr>
                  <w:r>
                    <w:rPr>
                      <w:rFonts w:hint="eastAsia"/>
                      <w:color w:val="auto"/>
                      <w:kern w:val="0"/>
                      <w:szCs w:val="21"/>
                    </w:rPr>
                    <w:t>30</w:t>
                  </w:r>
                  <w:r>
                    <w:rPr>
                      <w:color w:val="auto"/>
                      <w:kern w:val="0"/>
                      <w:szCs w:val="21"/>
                    </w:rPr>
                    <w:t>m</w:t>
                  </w:r>
                  <w:r>
                    <w:rPr>
                      <w:color w:val="auto"/>
                      <w:kern w:val="0"/>
                      <w:szCs w:val="21"/>
                      <w:vertAlign w:val="superscript"/>
                    </w:rPr>
                    <w:t>2</w:t>
                  </w:r>
                </w:p>
              </w:tc>
              <w:tc>
                <w:tcPr>
                  <w:tcW w:w="433" w:type="pct"/>
                  <w:tcBorders>
                    <w:tl2br w:val="nil"/>
                    <w:tr2bl w:val="nil"/>
                  </w:tcBorders>
                  <w:vAlign w:val="center"/>
                </w:tcPr>
                <w:p>
                  <w:pPr>
                    <w:adjustRightInd w:val="0"/>
                    <w:snapToGrid w:val="0"/>
                    <w:jc w:val="center"/>
                    <w:rPr>
                      <w:color w:val="auto"/>
                      <w:kern w:val="0"/>
                      <w:szCs w:val="21"/>
                    </w:rPr>
                  </w:pPr>
                  <w:r>
                    <w:rPr>
                      <w:bCs/>
                      <w:color w:val="auto"/>
                    </w:rPr>
                    <w:t>每</w:t>
                  </w:r>
                  <w:r>
                    <w:rPr>
                      <w:rFonts w:hint="eastAsia"/>
                      <w:bCs/>
                      <w:color w:val="auto"/>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adjustRightInd w:val="0"/>
                    <w:snapToGrid w:val="0"/>
                    <w:jc w:val="center"/>
                    <w:rPr>
                      <w:color w:val="auto"/>
                      <w:kern w:val="0"/>
                      <w:szCs w:val="21"/>
                    </w:rPr>
                  </w:pPr>
                  <w:r>
                    <w:rPr>
                      <w:color w:val="auto"/>
                      <w:kern w:val="0"/>
                      <w:szCs w:val="21"/>
                    </w:rPr>
                    <w:t>2</w:t>
                  </w:r>
                </w:p>
              </w:tc>
              <w:tc>
                <w:tcPr>
                  <w:tcW w:w="360" w:type="pct"/>
                  <w:vMerge w:val="continue"/>
                  <w:tcBorders>
                    <w:tl2br w:val="nil"/>
                    <w:tr2bl w:val="nil"/>
                  </w:tcBorders>
                  <w:vAlign w:val="center"/>
                </w:tcPr>
                <w:p>
                  <w:pPr>
                    <w:topLinePunct/>
                    <w:adjustRightInd w:val="0"/>
                    <w:snapToGrid w:val="0"/>
                    <w:jc w:val="center"/>
                    <w:rPr>
                      <w:color w:val="auto"/>
                      <w:kern w:val="0"/>
                      <w:szCs w:val="21"/>
                    </w:rPr>
                  </w:pPr>
                </w:p>
              </w:tc>
              <w:tc>
                <w:tcPr>
                  <w:tcW w:w="532" w:type="pct"/>
                  <w:vMerge w:val="continue"/>
                  <w:tcBorders>
                    <w:tl2br w:val="nil"/>
                    <w:tr2bl w:val="nil"/>
                  </w:tcBorders>
                  <w:vAlign w:val="center"/>
                </w:tcPr>
                <w:p>
                  <w:pPr>
                    <w:adjustRightInd w:val="0"/>
                    <w:snapToGrid w:val="0"/>
                    <w:jc w:val="center"/>
                    <w:rPr>
                      <w:color w:val="auto"/>
                      <w:szCs w:val="21"/>
                    </w:rPr>
                  </w:pPr>
                </w:p>
              </w:tc>
              <w:tc>
                <w:tcPr>
                  <w:tcW w:w="820" w:type="pct"/>
                  <w:tcBorders>
                    <w:tl2br w:val="nil"/>
                    <w:tr2bl w:val="nil"/>
                  </w:tcBorders>
                  <w:vAlign w:val="center"/>
                </w:tcPr>
                <w:p>
                  <w:pPr>
                    <w:widowControl/>
                    <w:jc w:val="center"/>
                    <w:textAlignment w:val="center"/>
                    <w:rPr>
                      <w:color w:val="auto"/>
                      <w:kern w:val="0"/>
                      <w:szCs w:val="21"/>
                    </w:rPr>
                  </w:pPr>
                  <w:r>
                    <w:rPr>
                      <w:rFonts w:hint="eastAsia"/>
                      <w:color w:val="auto"/>
                      <w:szCs w:val="21"/>
                    </w:rPr>
                    <w:t>陶化废渣（液）</w:t>
                  </w:r>
                </w:p>
              </w:tc>
              <w:tc>
                <w:tcPr>
                  <w:tcW w:w="411" w:type="pct"/>
                  <w:tcBorders>
                    <w:tl2br w:val="nil"/>
                    <w:tr2bl w:val="nil"/>
                  </w:tcBorders>
                  <w:vAlign w:val="center"/>
                </w:tcPr>
                <w:p>
                  <w:pPr>
                    <w:widowControl/>
                    <w:jc w:val="center"/>
                    <w:textAlignment w:val="center"/>
                    <w:rPr>
                      <w:color w:val="auto"/>
                      <w:szCs w:val="21"/>
                    </w:rPr>
                  </w:pPr>
                  <w:r>
                    <w:rPr>
                      <w:color w:val="auto"/>
                      <w:kern w:val="0"/>
                      <w:szCs w:val="21"/>
                      <w:lang w:bidi="ar"/>
                    </w:rPr>
                    <w:t>HW17</w:t>
                  </w:r>
                </w:p>
              </w:tc>
              <w:tc>
                <w:tcPr>
                  <w:tcW w:w="559" w:type="pct"/>
                  <w:tcBorders>
                    <w:tl2br w:val="nil"/>
                    <w:tr2bl w:val="nil"/>
                  </w:tcBorders>
                  <w:vAlign w:val="center"/>
                </w:tcPr>
                <w:p>
                  <w:pPr>
                    <w:widowControl/>
                    <w:jc w:val="center"/>
                    <w:textAlignment w:val="center"/>
                    <w:rPr>
                      <w:color w:val="auto"/>
                      <w:szCs w:val="21"/>
                    </w:rPr>
                  </w:pPr>
                  <w:r>
                    <w:rPr>
                      <w:color w:val="auto"/>
                      <w:kern w:val="0"/>
                      <w:szCs w:val="21"/>
                      <w:lang w:bidi="ar"/>
                    </w:rPr>
                    <w:t>336-064-17</w:t>
                  </w:r>
                </w:p>
              </w:tc>
              <w:tc>
                <w:tcPr>
                  <w:tcW w:w="384" w:type="pct"/>
                  <w:vMerge w:val="continue"/>
                  <w:tcBorders>
                    <w:tl2br w:val="nil"/>
                    <w:tr2bl w:val="nil"/>
                  </w:tcBorders>
                  <w:vAlign w:val="center"/>
                </w:tcPr>
                <w:p>
                  <w:pPr>
                    <w:topLinePunct/>
                    <w:adjustRightInd w:val="0"/>
                    <w:snapToGrid w:val="0"/>
                    <w:jc w:val="center"/>
                    <w:rPr>
                      <w:color w:val="auto"/>
                      <w:szCs w:val="21"/>
                    </w:rPr>
                  </w:pPr>
                </w:p>
              </w:tc>
              <w:tc>
                <w:tcPr>
                  <w:tcW w:w="397" w:type="pct"/>
                  <w:vMerge w:val="continue"/>
                  <w:tcBorders>
                    <w:tl2br w:val="nil"/>
                    <w:tr2bl w:val="nil"/>
                  </w:tcBorders>
                  <w:vAlign w:val="center"/>
                </w:tcPr>
                <w:p>
                  <w:pPr>
                    <w:widowControl/>
                    <w:adjustRightInd w:val="0"/>
                    <w:snapToGrid w:val="0"/>
                    <w:jc w:val="center"/>
                    <w:rPr>
                      <w:color w:val="auto"/>
                      <w:szCs w:val="21"/>
                    </w:rPr>
                  </w:pPr>
                </w:p>
              </w:tc>
              <w:tc>
                <w:tcPr>
                  <w:tcW w:w="431" w:type="pct"/>
                  <w:tcBorders>
                    <w:tl2br w:val="nil"/>
                    <w:tr2bl w:val="nil"/>
                  </w:tcBorders>
                  <w:vAlign w:val="center"/>
                </w:tcPr>
                <w:p>
                  <w:pPr>
                    <w:pStyle w:val="57"/>
                    <w:widowControl w:val="0"/>
                    <w:adjustRightInd w:val="0"/>
                    <w:snapToGrid w:val="0"/>
                    <w:spacing w:before="0" w:beforeAutospacing="0" w:after="0" w:afterAutospacing="0"/>
                    <w:rPr>
                      <w:rFonts w:ascii="Times New Roman" w:hAnsi="Times New Roman"/>
                      <w:color w:val="auto"/>
                      <w:sz w:val="21"/>
                      <w:szCs w:val="21"/>
                    </w:rPr>
                  </w:pPr>
                  <w:r>
                    <w:rPr>
                      <w:rFonts w:ascii="Times New Roman" w:hAnsi="Times New Roman"/>
                      <w:bCs/>
                      <w:color w:val="auto"/>
                      <w:sz w:val="21"/>
                      <w:szCs w:val="21"/>
                    </w:rPr>
                    <w:t>桶装</w:t>
                  </w:r>
                </w:p>
              </w:tc>
              <w:tc>
                <w:tcPr>
                  <w:tcW w:w="437" w:type="pct"/>
                  <w:vMerge w:val="continue"/>
                  <w:tcBorders>
                    <w:tl2br w:val="nil"/>
                    <w:tr2bl w:val="nil"/>
                  </w:tcBorders>
                  <w:vAlign w:val="center"/>
                </w:tcPr>
                <w:p>
                  <w:pPr>
                    <w:widowControl/>
                    <w:adjustRightInd w:val="0"/>
                    <w:snapToGrid w:val="0"/>
                    <w:jc w:val="center"/>
                    <w:rPr>
                      <w:color w:val="auto"/>
                      <w:szCs w:val="21"/>
                    </w:rPr>
                  </w:pPr>
                </w:p>
              </w:tc>
              <w:tc>
                <w:tcPr>
                  <w:tcW w:w="433" w:type="pct"/>
                  <w:tcBorders>
                    <w:tl2br w:val="nil"/>
                    <w:tr2bl w:val="nil"/>
                  </w:tcBorders>
                  <w:vAlign w:val="center"/>
                </w:tcPr>
                <w:p>
                  <w:pPr>
                    <w:adjustRightInd w:val="0"/>
                    <w:snapToGrid w:val="0"/>
                    <w:jc w:val="center"/>
                    <w:rPr>
                      <w:color w:val="auto"/>
                      <w:szCs w:val="21"/>
                    </w:rPr>
                  </w:pPr>
                  <w:r>
                    <w:rPr>
                      <w:bCs/>
                      <w:color w:val="auto"/>
                    </w:rPr>
                    <w:t>每</w:t>
                  </w:r>
                  <w:r>
                    <w:rPr>
                      <w:rFonts w:hint="eastAsia"/>
                      <w:bCs/>
                      <w:color w:val="auto"/>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adjustRightInd w:val="0"/>
                    <w:snapToGrid w:val="0"/>
                    <w:jc w:val="center"/>
                    <w:rPr>
                      <w:color w:val="auto"/>
                      <w:kern w:val="0"/>
                      <w:szCs w:val="21"/>
                    </w:rPr>
                  </w:pPr>
                  <w:r>
                    <w:rPr>
                      <w:rFonts w:hint="eastAsia"/>
                      <w:color w:val="auto"/>
                      <w:kern w:val="0"/>
                      <w:szCs w:val="21"/>
                    </w:rPr>
                    <w:t>3</w:t>
                  </w:r>
                </w:p>
              </w:tc>
              <w:tc>
                <w:tcPr>
                  <w:tcW w:w="360" w:type="pct"/>
                  <w:vMerge w:val="continue"/>
                  <w:tcBorders>
                    <w:tl2br w:val="nil"/>
                    <w:tr2bl w:val="nil"/>
                  </w:tcBorders>
                  <w:vAlign w:val="center"/>
                </w:tcPr>
                <w:p>
                  <w:pPr>
                    <w:topLinePunct/>
                    <w:adjustRightInd w:val="0"/>
                    <w:snapToGrid w:val="0"/>
                    <w:jc w:val="center"/>
                    <w:rPr>
                      <w:color w:val="auto"/>
                      <w:szCs w:val="21"/>
                    </w:rPr>
                  </w:pPr>
                </w:p>
              </w:tc>
              <w:tc>
                <w:tcPr>
                  <w:tcW w:w="532" w:type="pct"/>
                  <w:vMerge w:val="continue"/>
                  <w:tcBorders>
                    <w:tl2br w:val="nil"/>
                    <w:tr2bl w:val="nil"/>
                  </w:tcBorders>
                  <w:vAlign w:val="center"/>
                </w:tcPr>
                <w:p>
                  <w:pPr>
                    <w:adjustRightInd w:val="0"/>
                    <w:snapToGrid w:val="0"/>
                    <w:jc w:val="center"/>
                    <w:rPr>
                      <w:color w:val="auto"/>
                      <w:szCs w:val="21"/>
                    </w:rPr>
                  </w:pPr>
                </w:p>
              </w:tc>
              <w:tc>
                <w:tcPr>
                  <w:tcW w:w="820" w:type="pct"/>
                  <w:tcBorders>
                    <w:tl2br w:val="nil"/>
                    <w:tr2bl w:val="nil"/>
                  </w:tcBorders>
                  <w:vAlign w:val="center"/>
                </w:tcPr>
                <w:p>
                  <w:pPr>
                    <w:widowControl/>
                    <w:jc w:val="center"/>
                    <w:textAlignment w:val="center"/>
                    <w:rPr>
                      <w:color w:val="auto"/>
                      <w:szCs w:val="21"/>
                    </w:rPr>
                  </w:pPr>
                  <w:r>
                    <w:rPr>
                      <w:color w:val="auto"/>
                      <w:kern w:val="0"/>
                      <w:szCs w:val="21"/>
                      <w:lang w:bidi="ar"/>
                    </w:rPr>
                    <w:t>废包装桶</w:t>
                  </w:r>
                </w:p>
              </w:tc>
              <w:tc>
                <w:tcPr>
                  <w:tcW w:w="411" w:type="pct"/>
                  <w:tcBorders>
                    <w:tl2br w:val="nil"/>
                    <w:tr2bl w:val="nil"/>
                  </w:tcBorders>
                  <w:vAlign w:val="center"/>
                </w:tcPr>
                <w:p>
                  <w:pPr>
                    <w:widowControl/>
                    <w:jc w:val="center"/>
                    <w:textAlignment w:val="center"/>
                    <w:rPr>
                      <w:color w:val="auto"/>
                      <w:szCs w:val="21"/>
                    </w:rPr>
                  </w:pPr>
                  <w:r>
                    <w:rPr>
                      <w:color w:val="auto"/>
                      <w:szCs w:val="21"/>
                    </w:rPr>
                    <w:t>HW49</w:t>
                  </w:r>
                </w:p>
              </w:tc>
              <w:tc>
                <w:tcPr>
                  <w:tcW w:w="559" w:type="pct"/>
                  <w:tcBorders>
                    <w:tl2br w:val="nil"/>
                    <w:tr2bl w:val="nil"/>
                  </w:tcBorders>
                  <w:vAlign w:val="center"/>
                </w:tcPr>
                <w:p>
                  <w:pPr>
                    <w:widowControl/>
                    <w:jc w:val="center"/>
                    <w:textAlignment w:val="center"/>
                    <w:rPr>
                      <w:color w:val="auto"/>
                      <w:szCs w:val="21"/>
                    </w:rPr>
                  </w:pPr>
                  <w:r>
                    <w:rPr>
                      <w:color w:val="auto"/>
                      <w:szCs w:val="21"/>
                    </w:rPr>
                    <w:t>900-041-49</w:t>
                  </w:r>
                </w:p>
              </w:tc>
              <w:tc>
                <w:tcPr>
                  <w:tcW w:w="384" w:type="pct"/>
                  <w:vMerge w:val="continue"/>
                  <w:tcBorders>
                    <w:tl2br w:val="nil"/>
                    <w:tr2bl w:val="nil"/>
                  </w:tcBorders>
                  <w:vAlign w:val="center"/>
                </w:tcPr>
                <w:p>
                  <w:pPr>
                    <w:widowControl/>
                    <w:adjustRightInd w:val="0"/>
                    <w:snapToGrid w:val="0"/>
                    <w:jc w:val="center"/>
                    <w:rPr>
                      <w:color w:val="auto"/>
                      <w:szCs w:val="21"/>
                    </w:rPr>
                  </w:pPr>
                </w:p>
              </w:tc>
              <w:tc>
                <w:tcPr>
                  <w:tcW w:w="397" w:type="pct"/>
                  <w:vMerge w:val="continue"/>
                  <w:tcBorders>
                    <w:tl2br w:val="nil"/>
                    <w:tr2bl w:val="nil"/>
                  </w:tcBorders>
                  <w:vAlign w:val="center"/>
                </w:tcPr>
                <w:p>
                  <w:pPr>
                    <w:widowControl/>
                    <w:adjustRightInd w:val="0"/>
                    <w:snapToGrid w:val="0"/>
                    <w:jc w:val="center"/>
                    <w:rPr>
                      <w:color w:val="auto"/>
                      <w:szCs w:val="21"/>
                    </w:rPr>
                  </w:pPr>
                </w:p>
              </w:tc>
              <w:tc>
                <w:tcPr>
                  <w:tcW w:w="431" w:type="pct"/>
                  <w:tcBorders>
                    <w:tl2br w:val="nil"/>
                    <w:tr2bl w:val="nil"/>
                  </w:tcBorders>
                  <w:vAlign w:val="center"/>
                </w:tcPr>
                <w:p>
                  <w:pPr>
                    <w:pStyle w:val="57"/>
                    <w:widowControl w:val="0"/>
                    <w:adjustRightInd w:val="0"/>
                    <w:snapToGrid w:val="0"/>
                    <w:spacing w:before="0" w:beforeAutospacing="0" w:after="0" w:afterAutospacing="0"/>
                    <w:rPr>
                      <w:rFonts w:ascii="Times New Roman" w:hAnsi="Times New Roman"/>
                      <w:color w:val="auto"/>
                      <w:sz w:val="21"/>
                      <w:szCs w:val="21"/>
                    </w:rPr>
                  </w:pPr>
                  <w:r>
                    <w:rPr>
                      <w:rFonts w:hint="eastAsia" w:ascii="Times New Roman" w:hAnsi="Times New Roman"/>
                      <w:bCs/>
                      <w:color w:val="auto"/>
                      <w:sz w:val="21"/>
                      <w:szCs w:val="21"/>
                    </w:rPr>
                    <w:t>堆放</w:t>
                  </w:r>
                </w:p>
              </w:tc>
              <w:tc>
                <w:tcPr>
                  <w:tcW w:w="437" w:type="pct"/>
                  <w:vMerge w:val="continue"/>
                  <w:tcBorders>
                    <w:tl2br w:val="nil"/>
                    <w:tr2bl w:val="nil"/>
                  </w:tcBorders>
                  <w:vAlign w:val="center"/>
                </w:tcPr>
                <w:p>
                  <w:pPr>
                    <w:widowControl/>
                    <w:adjustRightInd w:val="0"/>
                    <w:snapToGrid w:val="0"/>
                    <w:jc w:val="center"/>
                    <w:rPr>
                      <w:color w:val="auto"/>
                      <w:szCs w:val="21"/>
                    </w:rPr>
                  </w:pPr>
                </w:p>
              </w:tc>
              <w:tc>
                <w:tcPr>
                  <w:tcW w:w="433" w:type="pct"/>
                  <w:tcBorders>
                    <w:tl2br w:val="nil"/>
                    <w:tr2bl w:val="nil"/>
                  </w:tcBorders>
                  <w:vAlign w:val="center"/>
                </w:tcPr>
                <w:p>
                  <w:pPr>
                    <w:adjustRightInd w:val="0"/>
                    <w:snapToGrid w:val="0"/>
                    <w:jc w:val="center"/>
                    <w:rPr>
                      <w:color w:val="auto"/>
                      <w:szCs w:val="21"/>
                    </w:rPr>
                  </w:pPr>
                  <w:r>
                    <w:rPr>
                      <w:bCs/>
                      <w:color w:val="auto"/>
                    </w:rPr>
                    <w:t>每</w:t>
                  </w:r>
                  <w:r>
                    <w:rPr>
                      <w:rFonts w:hint="eastAsia"/>
                      <w:bCs/>
                      <w:color w:val="auto"/>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adjustRightInd w:val="0"/>
                    <w:snapToGrid w:val="0"/>
                    <w:jc w:val="center"/>
                    <w:rPr>
                      <w:color w:val="auto"/>
                      <w:kern w:val="0"/>
                      <w:szCs w:val="21"/>
                    </w:rPr>
                  </w:pPr>
                  <w:r>
                    <w:rPr>
                      <w:rFonts w:hint="eastAsia"/>
                      <w:color w:val="auto"/>
                      <w:kern w:val="0"/>
                      <w:szCs w:val="21"/>
                    </w:rPr>
                    <w:t>4</w:t>
                  </w:r>
                </w:p>
              </w:tc>
              <w:tc>
                <w:tcPr>
                  <w:tcW w:w="360" w:type="pct"/>
                  <w:vMerge w:val="continue"/>
                  <w:tcBorders>
                    <w:tl2br w:val="nil"/>
                    <w:tr2bl w:val="nil"/>
                  </w:tcBorders>
                  <w:vAlign w:val="center"/>
                </w:tcPr>
                <w:p>
                  <w:pPr>
                    <w:topLinePunct/>
                    <w:adjustRightInd w:val="0"/>
                    <w:snapToGrid w:val="0"/>
                    <w:jc w:val="center"/>
                    <w:rPr>
                      <w:color w:val="auto"/>
                      <w:szCs w:val="21"/>
                    </w:rPr>
                  </w:pPr>
                </w:p>
              </w:tc>
              <w:tc>
                <w:tcPr>
                  <w:tcW w:w="532" w:type="pct"/>
                  <w:vMerge w:val="continue"/>
                  <w:tcBorders>
                    <w:tl2br w:val="nil"/>
                    <w:tr2bl w:val="nil"/>
                  </w:tcBorders>
                  <w:vAlign w:val="center"/>
                </w:tcPr>
                <w:p>
                  <w:pPr>
                    <w:adjustRightInd w:val="0"/>
                    <w:snapToGrid w:val="0"/>
                    <w:jc w:val="center"/>
                    <w:rPr>
                      <w:color w:val="auto"/>
                      <w:szCs w:val="21"/>
                    </w:rPr>
                  </w:pPr>
                </w:p>
              </w:tc>
              <w:tc>
                <w:tcPr>
                  <w:tcW w:w="820" w:type="pct"/>
                  <w:tcBorders>
                    <w:tl2br w:val="nil"/>
                    <w:tr2bl w:val="nil"/>
                  </w:tcBorders>
                  <w:vAlign w:val="center"/>
                </w:tcPr>
                <w:p>
                  <w:pPr>
                    <w:widowControl/>
                    <w:jc w:val="center"/>
                    <w:textAlignment w:val="center"/>
                    <w:rPr>
                      <w:color w:val="auto"/>
                      <w:szCs w:val="21"/>
                    </w:rPr>
                  </w:pPr>
                  <w:r>
                    <w:rPr>
                      <w:color w:val="auto"/>
                      <w:szCs w:val="21"/>
                    </w:rPr>
                    <w:t>废活性炭</w:t>
                  </w:r>
                </w:p>
              </w:tc>
              <w:tc>
                <w:tcPr>
                  <w:tcW w:w="411" w:type="pct"/>
                  <w:tcBorders>
                    <w:tl2br w:val="nil"/>
                    <w:tr2bl w:val="nil"/>
                  </w:tcBorders>
                  <w:vAlign w:val="center"/>
                </w:tcPr>
                <w:p>
                  <w:pPr>
                    <w:widowControl/>
                    <w:jc w:val="center"/>
                    <w:textAlignment w:val="center"/>
                    <w:rPr>
                      <w:color w:val="auto"/>
                      <w:szCs w:val="21"/>
                    </w:rPr>
                  </w:pPr>
                  <w:r>
                    <w:rPr>
                      <w:color w:val="auto"/>
                      <w:szCs w:val="21"/>
                    </w:rPr>
                    <w:t>HW49</w:t>
                  </w:r>
                </w:p>
              </w:tc>
              <w:tc>
                <w:tcPr>
                  <w:tcW w:w="559" w:type="pct"/>
                  <w:tcBorders>
                    <w:tl2br w:val="nil"/>
                    <w:tr2bl w:val="nil"/>
                  </w:tcBorders>
                  <w:vAlign w:val="center"/>
                </w:tcPr>
                <w:p>
                  <w:pPr>
                    <w:widowControl/>
                    <w:jc w:val="center"/>
                    <w:textAlignment w:val="center"/>
                    <w:rPr>
                      <w:color w:val="auto"/>
                      <w:szCs w:val="21"/>
                    </w:rPr>
                  </w:pPr>
                  <w:r>
                    <w:rPr>
                      <w:color w:val="auto"/>
                      <w:szCs w:val="21"/>
                    </w:rPr>
                    <w:t>900-0</w:t>
                  </w:r>
                  <w:r>
                    <w:rPr>
                      <w:rFonts w:hint="eastAsia"/>
                      <w:color w:val="auto"/>
                      <w:szCs w:val="21"/>
                    </w:rPr>
                    <w:t>39</w:t>
                  </w:r>
                  <w:r>
                    <w:rPr>
                      <w:color w:val="auto"/>
                      <w:szCs w:val="21"/>
                    </w:rPr>
                    <w:t>-49</w:t>
                  </w:r>
                </w:p>
              </w:tc>
              <w:tc>
                <w:tcPr>
                  <w:tcW w:w="384" w:type="pct"/>
                  <w:vMerge w:val="continue"/>
                  <w:tcBorders>
                    <w:tl2br w:val="nil"/>
                    <w:tr2bl w:val="nil"/>
                  </w:tcBorders>
                  <w:vAlign w:val="center"/>
                </w:tcPr>
                <w:p>
                  <w:pPr>
                    <w:widowControl/>
                    <w:adjustRightInd w:val="0"/>
                    <w:snapToGrid w:val="0"/>
                    <w:jc w:val="center"/>
                    <w:rPr>
                      <w:color w:val="auto"/>
                      <w:szCs w:val="21"/>
                    </w:rPr>
                  </w:pPr>
                </w:p>
              </w:tc>
              <w:tc>
                <w:tcPr>
                  <w:tcW w:w="397" w:type="pct"/>
                  <w:vMerge w:val="continue"/>
                  <w:tcBorders>
                    <w:tl2br w:val="nil"/>
                    <w:tr2bl w:val="nil"/>
                  </w:tcBorders>
                  <w:vAlign w:val="center"/>
                </w:tcPr>
                <w:p>
                  <w:pPr>
                    <w:widowControl/>
                    <w:adjustRightInd w:val="0"/>
                    <w:snapToGrid w:val="0"/>
                    <w:jc w:val="center"/>
                    <w:rPr>
                      <w:color w:val="auto"/>
                      <w:szCs w:val="21"/>
                    </w:rPr>
                  </w:pPr>
                </w:p>
              </w:tc>
              <w:tc>
                <w:tcPr>
                  <w:tcW w:w="431" w:type="pct"/>
                  <w:tcBorders>
                    <w:tl2br w:val="nil"/>
                    <w:tr2bl w:val="nil"/>
                  </w:tcBorders>
                  <w:vAlign w:val="center"/>
                </w:tcPr>
                <w:p>
                  <w:pPr>
                    <w:adjustRightInd w:val="0"/>
                    <w:snapToGrid w:val="0"/>
                    <w:jc w:val="center"/>
                    <w:rPr>
                      <w:color w:val="auto"/>
                      <w:kern w:val="0"/>
                      <w:szCs w:val="21"/>
                    </w:rPr>
                  </w:pPr>
                  <w:r>
                    <w:rPr>
                      <w:bCs/>
                      <w:color w:val="auto"/>
                      <w:kern w:val="0"/>
                      <w:szCs w:val="21"/>
                    </w:rPr>
                    <w:t>袋装</w:t>
                  </w:r>
                </w:p>
              </w:tc>
              <w:tc>
                <w:tcPr>
                  <w:tcW w:w="437" w:type="pct"/>
                  <w:vMerge w:val="continue"/>
                  <w:tcBorders>
                    <w:tl2br w:val="nil"/>
                    <w:tr2bl w:val="nil"/>
                  </w:tcBorders>
                  <w:vAlign w:val="center"/>
                </w:tcPr>
                <w:p>
                  <w:pPr>
                    <w:widowControl/>
                    <w:adjustRightInd w:val="0"/>
                    <w:snapToGrid w:val="0"/>
                    <w:jc w:val="center"/>
                    <w:rPr>
                      <w:color w:val="auto"/>
                      <w:szCs w:val="21"/>
                    </w:rPr>
                  </w:pPr>
                </w:p>
              </w:tc>
              <w:tc>
                <w:tcPr>
                  <w:tcW w:w="433" w:type="pct"/>
                  <w:tcBorders>
                    <w:tl2br w:val="nil"/>
                    <w:tr2bl w:val="nil"/>
                  </w:tcBorders>
                  <w:vAlign w:val="center"/>
                </w:tcPr>
                <w:p>
                  <w:pPr>
                    <w:adjustRightInd w:val="0"/>
                    <w:snapToGrid w:val="0"/>
                    <w:jc w:val="center"/>
                    <w:rPr>
                      <w:color w:val="auto"/>
                      <w:szCs w:val="21"/>
                    </w:rPr>
                  </w:pPr>
                  <w:r>
                    <w:rPr>
                      <w:bCs/>
                      <w:color w:val="auto"/>
                    </w:rPr>
                    <w:t>每年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adjustRightInd w:val="0"/>
                    <w:snapToGrid w:val="0"/>
                    <w:jc w:val="center"/>
                    <w:rPr>
                      <w:color w:val="auto"/>
                      <w:szCs w:val="21"/>
                    </w:rPr>
                  </w:pPr>
                  <w:r>
                    <w:rPr>
                      <w:rFonts w:hint="eastAsia"/>
                      <w:color w:val="auto"/>
                      <w:szCs w:val="21"/>
                    </w:rPr>
                    <w:t>5</w:t>
                  </w:r>
                </w:p>
              </w:tc>
              <w:tc>
                <w:tcPr>
                  <w:tcW w:w="360" w:type="pct"/>
                  <w:vMerge w:val="continue"/>
                  <w:tcBorders>
                    <w:tl2br w:val="nil"/>
                    <w:tr2bl w:val="nil"/>
                  </w:tcBorders>
                  <w:vAlign w:val="center"/>
                </w:tcPr>
                <w:p>
                  <w:pPr>
                    <w:topLinePunct/>
                    <w:adjustRightInd w:val="0"/>
                    <w:snapToGrid w:val="0"/>
                    <w:jc w:val="center"/>
                    <w:rPr>
                      <w:color w:val="auto"/>
                      <w:szCs w:val="21"/>
                    </w:rPr>
                  </w:pPr>
                </w:p>
              </w:tc>
              <w:tc>
                <w:tcPr>
                  <w:tcW w:w="532" w:type="pct"/>
                  <w:vMerge w:val="continue"/>
                  <w:tcBorders>
                    <w:tl2br w:val="nil"/>
                    <w:tr2bl w:val="nil"/>
                  </w:tcBorders>
                  <w:vAlign w:val="center"/>
                </w:tcPr>
                <w:p>
                  <w:pPr>
                    <w:adjustRightInd w:val="0"/>
                    <w:snapToGrid w:val="0"/>
                    <w:jc w:val="center"/>
                    <w:rPr>
                      <w:color w:val="auto"/>
                      <w:szCs w:val="21"/>
                    </w:rPr>
                  </w:pPr>
                </w:p>
              </w:tc>
              <w:tc>
                <w:tcPr>
                  <w:tcW w:w="820"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废油</w:t>
                  </w:r>
                </w:p>
              </w:tc>
              <w:tc>
                <w:tcPr>
                  <w:tcW w:w="411" w:type="pct"/>
                  <w:tcBorders>
                    <w:tl2br w:val="nil"/>
                    <w:tr2bl w:val="nil"/>
                  </w:tcBorders>
                  <w:vAlign w:val="center"/>
                </w:tcPr>
                <w:p>
                  <w:pPr>
                    <w:jc w:val="center"/>
                    <w:textAlignment w:val="center"/>
                    <w:rPr>
                      <w:color w:val="auto"/>
                      <w:szCs w:val="21"/>
                    </w:rPr>
                  </w:pPr>
                  <w:r>
                    <w:rPr>
                      <w:color w:val="auto"/>
                      <w:kern w:val="0"/>
                      <w:szCs w:val="21"/>
                      <w:lang w:bidi="ar"/>
                    </w:rPr>
                    <w:t>HW08</w:t>
                  </w:r>
                </w:p>
              </w:tc>
              <w:tc>
                <w:tcPr>
                  <w:tcW w:w="559" w:type="pct"/>
                  <w:tcBorders>
                    <w:tl2br w:val="nil"/>
                    <w:tr2bl w:val="nil"/>
                  </w:tcBorders>
                  <w:vAlign w:val="center"/>
                </w:tcPr>
                <w:p>
                  <w:pPr>
                    <w:jc w:val="center"/>
                    <w:textAlignment w:val="center"/>
                    <w:rPr>
                      <w:color w:val="auto"/>
                      <w:szCs w:val="21"/>
                    </w:rPr>
                  </w:pPr>
                  <w:r>
                    <w:rPr>
                      <w:color w:val="auto"/>
                      <w:szCs w:val="21"/>
                      <w:shd w:val="clear" w:color="auto" w:fill="FFFFFF"/>
                    </w:rPr>
                    <w:t>900-</w:t>
                  </w:r>
                  <w:r>
                    <w:rPr>
                      <w:rFonts w:hint="eastAsia"/>
                      <w:color w:val="auto"/>
                      <w:szCs w:val="21"/>
                      <w:shd w:val="clear" w:color="auto" w:fill="FFFFFF"/>
                      <w:lang w:val="en-US" w:eastAsia="zh-CN"/>
                    </w:rPr>
                    <w:t>249</w:t>
                  </w:r>
                  <w:r>
                    <w:rPr>
                      <w:color w:val="auto"/>
                      <w:szCs w:val="21"/>
                      <w:shd w:val="clear" w:color="auto" w:fill="FFFFFF"/>
                    </w:rPr>
                    <w:t>-08</w:t>
                  </w:r>
                </w:p>
              </w:tc>
              <w:tc>
                <w:tcPr>
                  <w:tcW w:w="384" w:type="pct"/>
                  <w:vMerge w:val="continue"/>
                  <w:tcBorders>
                    <w:tl2br w:val="nil"/>
                    <w:tr2bl w:val="nil"/>
                  </w:tcBorders>
                  <w:vAlign w:val="center"/>
                </w:tcPr>
                <w:p>
                  <w:pPr>
                    <w:widowControl/>
                    <w:adjustRightInd w:val="0"/>
                    <w:snapToGrid w:val="0"/>
                    <w:jc w:val="center"/>
                    <w:rPr>
                      <w:color w:val="auto"/>
                      <w:szCs w:val="21"/>
                    </w:rPr>
                  </w:pPr>
                </w:p>
              </w:tc>
              <w:tc>
                <w:tcPr>
                  <w:tcW w:w="397" w:type="pct"/>
                  <w:vMerge w:val="continue"/>
                  <w:tcBorders>
                    <w:tl2br w:val="nil"/>
                    <w:tr2bl w:val="nil"/>
                  </w:tcBorders>
                  <w:vAlign w:val="center"/>
                </w:tcPr>
                <w:p>
                  <w:pPr>
                    <w:widowControl/>
                    <w:adjustRightInd w:val="0"/>
                    <w:snapToGrid w:val="0"/>
                    <w:jc w:val="center"/>
                    <w:rPr>
                      <w:color w:val="auto"/>
                      <w:szCs w:val="21"/>
                    </w:rPr>
                  </w:pPr>
                </w:p>
              </w:tc>
              <w:tc>
                <w:tcPr>
                  <w:tcW w:w="431" w:type="pct"/>
                  <w:tcBorders>
                    <w:tl2br w:val="nil"/>
                    <w:tr2bl w:val="nil"/>
                  </w:tcBorders>
                  <w:vAlign w:val="center"/>
                </w:tcPr>
                <w:p>
                  <w:pPr>
                    <w:adjustRightInd w:val="0"/>
                    <w:snapToGrid w:val="0"/>
                    <w:jc w:val="center"/>
                    <w:rPr>
                      <w:color w:val="auto"/>
                      <w:szCs w:val="21"/>
                    </w:rPr>
                  </w:pPr>
                  <w:r>
                    <w:rPr>
                      <w:bCs/>
                      <w:color w:val="auto"/>
                      <w:szCs w:val="21"/>
                    </w:rPr>
                    <w:t>桶装</w:t>
                  </w:r>
                </w:p>
              </w:tc>
              <w:tc>
                <w:tcPr>
                  <w:tcW w:w="437" w:type="pct"/>
                  <w:vMerge w:val="continue"/>
                  <w:tcBorders>
                    <w:tl2br w:val="nil"/>
                    <w:tr2bl w:val="nil"/>
                  </w:tcBorders>
                  <w:vAlign w:val="center"/>
                </w:tcPr>
                <w:p>
                  <w:pPr>
                    <w:widowControl/>
                    <w:adjustRightInd w:val="0"/>
                    <w:snapToGrid w:val="0"/>
                    <w:jc w:val="center"/>
                    <w:rPr>
                      <w:color w:val="auto"/>
                      <w:szCs w:val="21"/>
                    </w:rPr>
                  </w:pPr>
                </w:p>
              </w:tc>
              <w:tc>
                <w:tcPr>
                  <w:tcW w:w="433" w:type="pct"/>
                  <w:tcBorders>
                    <w:tl2br w:val="nil"/>
                    <w:tr2bl w:val="nil"/>
                  </w:tcBorders>
                  <w:vAlign w:val="center"/>
                </w:tcPr>
                <w:p>
                  <w:pPr>
                    <w:adjustRightInd w:val="0"/>
                    <w:snapToGrid w:val="0"/>
                    <w:jc w:val="center"/>
                    <w:rPr>
                      <w:color w:val="auto"/>
                      <w:szCs w:val="21"/>
                    </w:rPr>
                  </w:pPr>
                  <w:r>
                    <w:rPr>
                      <w:bCs/>
                      <w:color w:val="auto"/>
                    </w:rPr>
                    <w:t>每</w:t>
                  </w:r>
                  <w:r>
                    <w:rPr>
                      <w:rFonts w:hint="eastAsia"/>
                      <w:bCs/>
                      <w:color w:val="auto"/>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widowControl/>
                    <w:jc w:val="center"/>
                    <w:textAlignment w:val="center"/>
                    <w:rPr>
                      <w:color w:val="auto"/>
                      <w:szCs w:val="21"/>
                    </w:rPr>
                  </w:pPr>
                  <w:r>
                    <w:rPr>
                      <w:rFonts w:hint="eastAsia"/>
                      <w:color w:val="auto"/>
                      <w:szCs w:val="21"/>
                    </w:rPr>
                    <w:t>6</w:t>
                  </w:r>
                </w:p>
              </w:tc>
              <w:tc>
                <w:tcPr>
                  <w:tcW w:w="360" w:type="pct"/>
                  <w:vMerge w:val="continue"/>
                  <w:tcBorders>
                    <w:tl2br w:val="nil"/>
                    <w:tr2bl w:val="nil"/>
                  </w:tcBorders>
                  <w:vAlign w:val="center"/>
                </w:tcPr>
                <w:p>
                  <w:pPr>
                    <w:topLinePunct/>
                    <w:adjustRightInd w:val="0"/>
                    <w:snapToGrid w:val="0"/>
                    <w:jc w:val="center"/>
                    <w:rPr>
                      <w:color w:val="auto"/>
                      <w:kern w:val="0"/>
                      <w:szCs w:val="21"/>
                    </w:rPr>
                  </w:pPr>
                </w:p>
              </w:tc>
              <w:tc>
                <w:tcPr>
                  <w:tcW w:w="532" w:type="pct"/>
                  <w:vMerge w:val="continue"/>
                  <w:tcBorders>
                    <w:tl2br w:val="nil"/>
                    <w:tr2bl w:val="nil"/>
                  </w:tcBorders>
                  <w:vAlign w:val="center"/>
                </w:tcPr>
                <w:p>
                  <w:pPr>
                    <w:adjustRightInd w:val="0"/>
                    <w:snapToGrid w:val="0"/>
                    <w:jc w:val="center"/>
                    <w:rPr>
                      <w:color w:val="auto"/>
                      <w:szCs w:val="21"/>
                    </w:rPr>
                  </w:pPr>
                </w:p>
              </w:tc>
              <w:tc>
                <w:tcPr>
                  <w:tcW w:w="820" w:type="pct"/>
                  <w:tcBorders>
                    <w:tl2br w:val="nil"/>
                    <w:tr2bl w:val="nil"/>
                  </w:tcBorders>
                  <w:vAlign w:val="center"/>
                </w:tcPr>
                <w:p>
                  <w:pPr>
                    <w:widowControl/>
                    <w:jc w:val="center"/>
                    <w:textAlignment w:val="center"/>
                    <w:rPr>
                      <w:color w:val="auto"/>
                      <w:szCs w:val="21"/>
                    </w:rPr>
                  </w:pPr>
                  <w:r>
                    <w:rPr>
                      <w:color w:val="auto"/>
                      <w:szCs w:val="21"/>
                    </w:rPr>
                    <w:t>含油废抹布手套</w:t>
                  </w:r>
                </w:p>
              </w:tc>
              <w:tc>
                <w:tcPr>
                  <w:tcW w:w="411" w:type="pct"/>
                  <w:tcBorders>
                    <w:tl2br w:val="nil"/>
                    <w:tr2bl w:val="nil"/>
                  </w:tcBorders>
                  <w:vAlign w:val="center"/>
                </w:tcPr>
                <w:p>
                  <w:pPr>
                    <w:widowControl/>
                    <w:jc w:val="center"/>
                    <w:textAlignment w:val="center"/>
                    <w:rPr>
                      <w:color w:val="auto"/>
                      <w:szCs w:val="21"/>
                    </w:rPr>
                  </w:pPr>
                  <w:r>
                    <w:rPr>
                      <w:color w:val="auto"/>
                      <w:szCs w:val="21"/>
                    </w:rPr>
                    <w:t>HW49</w:t>
                  </w:r>
                </w:p>
              </w:tc>
              <w:tc>
                <w:tcPr>
                  <w:tcW w:w="559" w:type="pct"/>
                  <w:tcBorders>
                    <w:tl2br w:val="nil"/>
                    <w:tr2bl w:val="nil"/>
                  </w:tcBorders>
                  <w:vAlign w:val="center"/>
                </w:tcPr>
                <w:p>
                  <w:pPr>
                    <w:widowControl/>
                    <w:jc w:val="center"/>
                    <w:textAlignment w:val="center"/>
                    <w:rPr>
                      <w:bCs/>
                      <w:color w:val="auto"/>
                      <w:szCs w:val="21"/>
                    </w:rPr>
                  </w:pPr>
                  <w:r>
                    <w:rPr>
                      <w:color w:val="auto"/>
                      <w:szCs w:val="21"/>
                    </w:rPr>
                    <w:t>900-041-49</w:t>
                  </w:r>
                </w:p>
              </w:tc>
              <w:tc>
                <w:tcPr>
                  <w:tcW w:w="384" w:type="pct"/>
                  <w:vMerge w:val="continue"/>
                  <w:tcBorders>
                    <w:tl2br w:val="nil"/>
                    <w:tr2bl w:val="nil"/>
                  </w:tcBorders>
                  <w:vAlign w:val="center"/>
                </w:tcPr>
                <w:p>
                  <w:pPr>
                    <w:widowControl/>
                    <w:adjustRightInd w:val="0"/>
                    <w:snapToGrid w:val="0"/>
                    <w:jc w:val="center"/>
                    <w:rPr>
                      <w:color w:val="auto"/>
                      <w:szCs w:val="21"/>
                    </w:rPr>
                  </w:pPr>
                </w:p>
              </w:tc>
              <w:tc>
                <w:tcPr>
                  <w:tcW w:w="397" w:type="pct"/>
                  <w:vMerge w:val="continue"/>
                  <w:tcBorders>
                    <w:tl2br w:val="nil"/>
                    <w:tr2bl w:val="nil"/>
                  </w:tcBorders>
                  <w:vAlign w:val="center"/>
                </w:tcPr>
                <w:p>
                  <w:pPr>
                    <w:widowControl/>
                    <w:adjustRightInd w:val="0"/>
                    <w:snapToGrid w:val="0"/>
                    <w:jc w:val="center"/>
                    <w:rPr>
                      <w:color w:val="auto"/>
                      <w:szCs w:val="21"/>
                    </w:rPr>
                  </w:pPr>
                </w:p>
              </w:tc>
              <w:tc>
                <w:tcPr>
                  <w:tcW w:w="431" w:type="pct"/>
                  <w:tcBorders>
                    <w:tl2br w:val="nil"/>
                    <w:tr2bl w:val="nil"/>
                  </w:tcBorders>
                  <w:vAlign w:val="center"/>
                </w:tcPr>
                <w:p>
                  <w:pPr>
                    <w:adjustRightInd w:val="0"/>
                    <w:snapToGrid w:val="0"/>
                    <w:jc w:val="center"/>
                    <w:rPr>
                      <w:color w:val="auto"/>
                      <w:kern w:val="0"/>
                      <w:szCs w:val="21"/>
                    </w:rPr>
                  </w:pPr>
                  <w:r>
                    <w:rPr>
                      <w:rFonts w:hint="eastAsia"/>
                      <w:bCs/>
                      <w:color w:val="auto"/>
                      <w:kern w:val="0"/>
                      <w:szCs w:val="21"/>
                    </w:rPr>
                    <w:t>袋装</w:t>
                  </w:r>
                </w:p>
              </w:tc>
              <w:tc>
                <w:tcPr>
                  <w:tcW w:w="437" w:type="pct"/>
                  <w:vMerge w:val="continue"/>
                  <w:tcBorders>
                    <w:tl2br w:val="nil"/>
                    <w:tr2bl w:val="nil"/>
                  </w:tcBorders>
                  <w:vAlign w:val="center"/>
                </w:tcPr>
                <w:p>
                  <w:pPr>
                    <w:widowControl/>
                    <w:adjustRightInd w:val="0"/>
                    <w:snapToGrid w:val="0"/>
                    <w:jc w:val="center"/>
                    <w:rPr>
                      <w:color w:val="auto"/>
                      <w:szCs w:val="21"/>
                    </w:rPr>
                  </w:pPr>
                </w:p>
              </w:tc>
              <w:tc>
                <w:tcPr>
                  <w:tcW w:w="433" w:type="pct"/>
                  <w:tcBorders>
                    <w:tl2br w:val="nil"/>
                    <w:tr2bl w:val="nil"/>
                  </w:tcBorders>
                  <w:vAlign w:val="center"/>
                </w:tcPr>
                <w:p>
                  <w:pPr>
                    <w:adjustRightInd w:val="0"/>
                    <w:snapToGrid w:val="0"/>
                    <w:jc w:val="center"/>
                    <w:rPr>
                      <w:color w:val="auto"/>
                      <w:szCs w:val="21"/>
                    </w:rPr>
                  </w:pPr>
                  <w:r>
                    <w:rPr>
                      <w:bCs/>
                      <w:color w:val="auto"/>
                    </w:rPr>
                    <w:t>每</w:t>
                  </w:r>
                  <w:r>
                    <w:rPr>
                      <w:rFonts w:hint="eastAsia"/>
                      <w:bCs/>
                      <w:color w:val="auto"/>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widowControl/>
                    <w:jc w:val="center"/>
                    <w:textAlignment w:val="center"/>
                    <w:rPr>
                      <w:color w:val="auto"/>
                      <w:szCs w:val="21"/>
                    </w:rPr>
                  </w:pPr>
                  <w:r>
                    <w:rPr>
                      <w:rFonts w:hint="eastAsia"/>
                      <w:color w:val="auto"/>
                      <w:szCs w:val="21"/>
                    </w:rPr>
                    <w:t>7</w:t>
                  </w:r>
                </w:p>
              </w:tc>
              <w:tc>
                <w:tcPr>
                  <w:tcW w:w="360" w:type="pct"/>
                  <w:vMerge w:val="continue"/>
                  <w:tcBorders>
                    <w:tl2br w:val="nil"/>
                    <w:tr2bl w:val="nil"/>
                  </w:tcBorders>
                  <w:vAlign w:val="center"/>
                </w:tcPr>
                <w:p>
                  <w:pPr>
                    <w:topLinePunct/>
                    <w:adjustRightInd w:val="0"/>
                    <w:snapToGrid w:val="0"/>
                    <w:jc w:val="center"/>
                    <w:rPr>
                      <w:color w:val="auto"/>
                      <w:szCs w:val="21"/>
                    </w:rPr>
                  </w:pPr>
                </w:p>
              </w:tc>
              <w:tc>
                <w:tcPr>
                  <w:tcW w:w="532" w:type="pct"/>
                  <w:vMerge w:val="continue"/>
                  <w:tcBorders>
                    <w:tl2br w:val="nil"/>
                    <w:tr2bl w:val="nil"/>
                  </w:tcBorders>
                  <w:vAlign w:val="center"/>
                </w:tcPr>
                <w:p>
                  <w:pPr>
                    <w:adjustRightInd w:val="0"/>
                    <w:snapToGrid w:val="0"/>
                    <w:jc w:val="center"/>
                    <w:rPr>
                      <w:color w:val="auto"/>
                      <w:szCs w:val="21"/>
                    </w:rPr>
                  </w:pPr>
                </w:p>
              </w:tc>
              <w:tc>
                <w:tcPr>
                  <w:tcW w:w="820" w:type="pct"/>
                  <w:tcBorders>
                    <w:tl2br w:val="nil"/>
                    <w:tr2bl w:val="nil"/>
                  </w:tcBorders>
                  <w:vAlign w:val="center"/>
                </w:tcPr>
                <w:p>
                  <w:pPr>
                    <w:widowControl/>
                    <w:jc w:val="center"/>
                    <w:textAlignment w:val="center"/>
                    <w:rPr>
                      <w:color w:val="auto"/>
                      <w:szCs w:val="21"/>
                    </w:rPr>
                  </w:pPr>
                  <w:r>
                    <w:rPr>
                      <w:color w:val="auto"/>
                      <w:szCs w:val="21"/>
                    </w:rPr>
                    <w:t>废油类包装桶</w:t>
                  </w:r>
                </w:p>
              </w:tc>
              <w:tc>
                <w:tcPr>
                  <w:tcW w:w="411" w:type="pct"/>
                  <w:tcBorders>
                    <w:tl2br w:val="nil"/>
                    <w:tr2bl w:val="nil"/>
                  </w:tcBorders>
                  <w:vAlign w:val="center"/>
                </w:tcPr>
                <w:p>
                  <w:pPr>
                    <w:widowControl/>
                    <w:jc w:val="center"/>
                    <w:textAlignment w:val="center"/>
                    <w:rPr>
                      <w:color w:val="auto"/>
                      <w:szCs w:val="21"/>
                    </w:rPr>
                  </w:pPr>
                  <w:r>
                    <w:rPr>
                      <w:color w:val="auto"/>
                      <w:kern w:val="0"/>
                      <w:szCs w:val="21"/>
                      <w:lang w:bidi="ar"/>
                    </w:rPr>
                    <w:t>HW08</w:t>
                  </w:r>
                </w:p>
              </w:tc>
              <w:tc>
                <w:tcPr>
                  <w:tcW w:w="559" w:type="pct"/>
                  <w:tcBorders>
                    <w:tl2br w:val="nil"/>
                    <w:tr2bl w:val="nil"/>
                  </w:tcBorders>
                  <w:vAlign w:val="center"/>
                </w:tcPr>
                <w:p>
                  <w:pPr>
                    <w:widowControl/>
                    <w:jc w:val="center"/>
                    <w:textAlignment w:val="center"/>
                    <w:rPr>
                      <w:bCs/>
                      <w:color w:val="auto"/>
                      <w:szCs w:val="21"/>
                    </w:rPr>
                  </w:pPr>
                  <w:r>
                    <w:rPr>
                      <w:color w:val="auto"/>
                      <w:kern w:val="0"/>
                      <w:szCs w:val="21"/>
                      <w:lang w:bidi="ar"/>
                    </w:rPr>
                    <w:t>900-249-08</w:t>
                  </w:r>
                </w:p>
              </w:tc>
              <w:tc>
                <w:tcPr>
                  <w:tcW w:w="384" w:type="pct"/>
                  <w:vMerge w:val="continue"/>
                  <w:tcBorders>
                    <w:tl2br w:val="nil"/>
                    <w:tr2bl w:val="nil"/>
                  </w:tcBorders>
                  <w:vAlign w:val="center"/>
                </w:tcPr>
                <w:p>
                  <w:pPr>
                    <w:widowControl/>
                    <w:adjustRightInd w:val="0"/>
                    <w:snapToGrid w:val="0"/>
                    <w:jc w:val="center"/>
                    <w:rPr>
                      <w:color w:val="auto"/>
                      <w:szCs w:val="21"/>
                    </w:rPr>
                  </w:pPr>
                </w:p>
              </w:tc>
              <w:tc>
                <w:tcPr>
                  <w:tcW w:w="397" w:type="pct"/>
                  <w:vMerge w:val="continue"/>
                  <w:tcBorders>
                    <w:tl2br w:val="nil"/>
                    <w:tr2bl w:val="nil"/>
                  </w:tcBorders>
                  <w:vAlign w:val="center"/>
                </w:tcPr>
                <w:p>
                  <w:pPr>
                    <w:widowControl/>
                    <w:adjustRightInd w:val="0"/>
                    <w:snapToGrid w:val="0"/>
                    <w:jc w:val="center"/>
                    <w:rPr>
                      <w:color w:val="auto"/>
                      <w:szCs w:val="21"/>
                    </w:rPr>
                  </w:pPr>
                </w:p>
              </w:tc>
              <w:tc>
                <w:tcPr>
                  <w:tcW w:w="431" w:type="pct"/>
                  <w:tcBorders>
                    <w:tl2br w:val="nil"/>
                    <w:tr2bl w:val="nil"/>
                  </w:tcBorders>
                  <w:vAlign w:val="center"/>
                </w:tcPr>
                <w:p>
                  <w:pPr>
                    <w:adjustRightInd w:val="0"/>
                    <w:snapToGrid w:val="0"/>
                    <w:jc w:val="center"/>
                    <w:rPr>
                      <w:color w:val="auto"/>
                      <w:szCs w:val="21"/>
                    </w:rPr>
                  </w:pPr>
                  <w:r>
                    <w:rPr>
                      <w:rFonts w:hint="eastAsia"/>
                      <w:bCs/>
                      <w:color w:val="auto"/>
                      <w:kern w:val="0"/>
                      <w:szCs w:val="21"/>
                    </w:rPr>
                    <w:t>堆放</w:t>
                  </w:r>
                </w:p>
              </w:tc>
              <w:tc>
                <w:tcPr>
                  <w:tcW w:w="437" w:type="pct"/>
                  <w:vMerge w:val="continue"/>
                  <w:tcBorders>
                    <w:tl2br w:val="nil"/>
                    <w:tr2bl w:val="nil"/>
                  </w:tcBorders>
                  <w:vAlign w:val="center"/>
                </w:tcPr>
                <w:p>
                  <w:pPr>
                    <w:widowControl/>
                    <w:adjustRightInd w:val="0"/>
                    <w:snapToGrid w:val="0"/>
                    <w:jc w:val="center"/>
                    <w:rPr>
                      <w:color w:val="auto"/>
                      <w:szCs w:val="21"/>
                    </w:rPr>
                  </w:pPr>
                </w:p>
              </w:tc>
              <w:tc>
                <w:tcPr>
                  <w:tcW w:w="433" w:type="pct"/>
                  <w:tcBorders>
                    <w:tl2br w:val="nil"/>
                    <w:tr2bl w:val="nil"/>
                  </w:tcBorders>
                  <w:vAlign w:val="center"/>
                </w:tcPr>
                <w:p>
                  <w:pPr>
                    <w:adjustRightInd w:val="0"/>
                    <w:snapToGrid w:val="0"/>
                    <w:jc w:val="center"/>
                    <w:rPr>
                      <w:color w:val="auto"/>
                      <w:szCs w:val="21"/>
                    </w:rPr>
                  </w:pPr>
                  <w:r>
                    <w:rPr>
                      <w:bCs/>
                      <w:color w:val="auto"/>
                    </w:rPr>
                    <w:t>每</w:t>
                  </w:r>
                  <w:r>
                    <w:rPr>
                      <w:rFonts w:hint="eastAsia"/>
                      <w:bCs/>
                      <w:color w:val="auto"/>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widowControl/>
                    <w:jc w:val="center"/>
                    <w:textAlignment w:val="center"/>
                    <w:rPr>
                      <w:color w:val="auto"/>
                      <w:szCs w:val="21"/>
                    </w:rPr>
                  </w:pPr>
                  <w:r>
                    <w:rPr>
                      <w:rFonts w:hint="eastAsia"/>
                      <w:color w:val="auto"/>
                      <w:szCs w:val="21"/>
                    </w:rPr>
                    <w:t>8</w:t>
                  </w:r>
                </w:p>
              </w:tc>
              <w:tc>
                <w:tcPr>
                  <w:tcW w:w="360" w:type="pct"/>
                  <w:vMerge w:val="continue"/>
                  <w:tcBorders>
                    <w:tl2br w:val="nil"/>
                    <w:tr2bl w:val="nil"/>
                  </w:tcBorders>
                  <w:vAlign w:val="center"/>
                </w:tcPr>
                <w:p>
                  <w:pPr>
                    <w:topLinePunct/>
                    <w:adjustRightInd w:val="0"/>
                    <w:snapToGrid w:val="0"/>
                    <w:jc w:val="center"/>
                    <w:rPr>
                      <w:color w:val="auto"/>
                      <w:szCs w:val="21"/>
                    </w:rPr>
                  </w:pPr>
                </w:p>
              </w:tc>
              <w:tc>
                <w:tcPr>
                  <w:tcW w:w="532" w:type="pct"/>
                  <w:vMerge w:val="continue"/>
                  <w:tcBorders>
                    <w:tl2br w:val="nil"/>
                    <w:tr2bl w:val="nil"/>
                  </w:tcBorders>
                  <w:vAlign w:val="center"/>
                </w:tcPr>
                <w:p>
                  <w:pPr>
                    <w:adjustRightInd w:val="0"/>
                    <w:snapToGrid w:val="0"/>
                    <w:jc w:val="center"/>
                    <w:rPr>
                      <w:color w:val="auto"/>
                      <w:szCs w:val="21"/>
                    </w:rPr>
                  </w:pPr>
                </w:p>
              </w:tc>
              <w:tc>
                <w:tcPr>
                  <w:tcW w:w="820" w:type="pct"/>
                  <w:tcBorders>
                    <w:tl2br w:val="nil"/>
                    <w:tr2bl w:val="nil"/>
                  </w:tcBorders>
                  <w:vAlign w:val="center"/>
                </w:tcPr>
                <w:p>
                  <w:pPr>
                    <w:widowControl/>
                    <w:jc w:val="center"/>
                    <w:textAlignment w:val="center"/>
                    <w:rPr>
                      <w:color w:val="auto"/>
                      <w:kern w:val="0"/>
                      <w:szCs w:val="21"/>
                      <w:lang w:bidi="ar"/>
                    </w:rPr>
                  </w:pPr>
                  <w:r>
                    <w:rPr>
                      <w:color w:val="auto"/>
                      <w:szCs w:val="21"/>
                    </w:rPr>
                    <w:t>压滤污泥</w:t>
                  </w:r>
                </w:p>
              </w:tc>
              <w:tc>
                <w:tcPr>
                  <w:tcW w:w="411"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HW17</w:t>
                  </w:r>
                </w:p>
              </w:tc>
              <w:tc>
                <w:tcPr>
                  <w:tcW w:w="559"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336-064-17</w:t>
                  </w:r>
                </w:p>
              </w:tc>
              <w:tc>
                <w:tcPr>
                  <w:tcW w:w="384" w:type="pct"/>
                  <w:vMerge w:val="continue"/>
                  <w:tcBorders>
                    <w:tl2br w:val="nil"/>
                    <w:tr2bl w:val="nil"/>
                  </w:tcBorders>
                  <w:vAlign w:val="center"/>
                </w:tcPr>
                <w:p>
                  <w:pPr>
                    <w:widowControl/>
                    <w:adjustRightInd w:val="0"/>
                    <w:snapToGrid w:val="0"/>
                    <w:jc w:val="center"/>
                    <w:rPr>
                      <w:color w:val="auto"/>
                      <w:szCs w:val="21"/>
                    </w:rPr>
                  </w:pPr>
                </w:p>
              </w:tc>
              <w:tc>
                <w:tcPr>
                  <w:tcW w:w="397" w:type="pct"/>
                  <w:vMerge w:val="continue"/>
                  <w:tcBorders>
                    <w:tl2br w:val="nil"/>
                    <w:tr2bl w:val="nil"/>
                  </w:tcBorders>
                  <w:vAlign w:val="center"/>
                </w:tcPr>
                <w:p>
                  <w:pPr>
                    <w:widowControl/>
                    <w:adjustRightInd w:val="0"/>
                    <w:snapToGrid w:val="0"/>
                    <w:jc w:val="center"/>
                    <w:rPr>
                      <w:color w:val="auto"/>
                      <w:szCs w:val="21"/>
                    </w:rPr>
                  </w:pPr>
                </w:p>
              </w:tc>
              <w:tc>
                <w:tcPr>
                  <w:tcW w:w="431" w:type="pct"/>
                  <w:tcBorders>
                    <w:tl2br w:val="nil"/>
                    <w:tr2bl w:val="nil"/>
                  </w:tcBorders>
                  <w:vAlign w:val="center"/>
                </w:tcPr>
                <w:p>
                  <w:pPr>
                    <w:pStyle w:val="57"/>
                    <w:widowControl w:val="0"/>
                    <w:adjustRightInd w:val="0"/>
                    <w:snapToGrid w:val="0"/>
                    <w:spacing w:before="0" w:beforeAutospacing="0" w:after="0" w:afterAutospacing="0"/>
                    <w:rPr>
                      <w:rFonts w:ascii="Times New Roman" w:hAnsi="Times New Roman"/>
                      <w:color w:val="auto"/>
                      <w:sz w:val="21"/>
                      <w:szCs w:val="21"/>
                    </w:rPr>
                  </w:pPr>
                  <w:r>
                    <w:rPr>
                      <w:rFonts w:ascii="Times New Roman" w:hAnsi="Times New Roman"/>
                      <w:bCs/>
                      <w:color w:val="auto"/>
                      <w:sz w:val="21"/>
                      <w:szCs w:val="21"/>
                    </w:rPr>
                    <w:t>袋装</w:t>
                  </w:r>
                </w:p>
              </w:tc>
              <w:tc>
                <w:tcPr>
                  <w:tcW w:w="437" w:type="pct"/>
                  <w:vMerge w:val="continue"/>
                  <w:tcBorders>
                    <w:tl2br w:val="nil"/>
                    <w:tr2bl w:val="nil"/>
                  </w:tcBorders>
                  <w:vAlign w:val="center"/>
                </w:tcPr>
                <w:p>
                  <w:pPr>
                    <w:widowControl/>
                    <w:adjustRightInd w:val="0"/>
                    <w:snapToGrid w:val="0"/>
                    <w:jc w:val="center"/>
                    <w:rPr>
                      <w:color w:val="auto"/>
                      <w:szCs w:val="21"/>
                    </w:rPr>
                  </w:pPr>
                </w:p>
              </w:tc>
              <w:tc>
                <w:tcPr>
                  <w:tcW w:w="433" w:type="pct"/>
                  <w:tcBorders>
                    <w:tl2br w:val="nil"/>
                    <w:tr2bl w:val="nil"/>
                  </w:tcBorders>
                  <w:vAlign w:val="center"/>
                </w:tcPr>
                <w:p>
                  <w:pPr>
                    <w:adjustRightInd w:val="0"/>
                    <w:snapToGrid w:val="0"/>
                    <w:jc w:val="center"/>
                    <w:rPr>
                      <w:color w:val="auto"/>
                      <w:kern w:val="0"/>
                      <w:szCs w:val="21"/>
                    </w:rPr>
                  </w:pPr>
                  <w:r>
                    <w:rPr>
                      <w:rFonts w:hint="eastAsia"/>
                      <w:bCs/>
                      <w:color w:val="auto"/>
                    </w:rPr>
                    <w:t>每月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widowControl/>
                    <w:jc w:val="center"/>
                    <w:textAlignment w:val="center"/>
                    <w:rPr>
                      <w:color w:val="auto"/>
                      <w:szCs w:val="21"/>
                    </w:rPr>
                  </w:pPr>
                  <w:r>
                    <w:rPr>
                      <w:rFonts w:hint="eastAsia"/>
                      <w:color w:val="auto"/>
                      <w:szCs w:val="21"/>
                    </w:rPr>
                    <w:t>9</w:t>
                  </w:r>
                </w:p>
              </w:tc>
              <w:tc>
                <w:tcPr>
                  <w:tcW w:w="360" w:type="pct"/>
                  <w:vMerge w:val="continue"/>
                  <w:tcBorders>
                    <w:tl2br w:val="nil"/>
                    <w:tr2bl w:val="nil"/>
                  </w:tcBorders>
                  <w:vAlign w:val="center"/>
                </w:tcPr>
                <w:p>
                  <w:pPr>
                    <w:topLinePunct/>
                    <w:adjustRightInd w:val="0"/>
                    <w:snapToGrid w:val="0"/>
                    <w:jc w:val="center"/>
                    <w:rPr>
                      <w:color w:val="auto"/>
                      <w:szCs w:val="21"/>
                    </w:rPr>
                  </w:pPr>
                </w:p>
              </w:tc>
              <w:tc>
                <w:tcPr>
                  <w:tcW w:w="532" w:type="pct"/>
                  <w:vMerge w:val="continue"/>
                  <w:tcBorders>
                    <w:tl2br w:val="nil"/>
                    <w:tr2bl w:val="nil"/>
                  </w:tcBorders>
                  <w:vAlign w:val="center"/>
                </w:tcPr>
                <w:p>
                  <w:pPr>
                    <w:adjustRightInd w:val="0"/>
                    <w:snapToGrid w:val="0"/>
                    <w:jc w:val="center"/>
                    <w:rPr>
                      <w:color w:val="auto"/>
                      <w:szCs w:val="21"/>
                    </w:rPr>
                  </w:pPr>
                </w:p>
              </w:tc>
              <w:tc>
                <w:tcPr>
                  <w:tcW w:w="820" w:type="pct"/>
                  <w:tcBorders>
                    <w:tl2br w:val="nil"/>
                    <w:tr2bl w:val="nil"/>
                  </w:tcBorders>
                  <w:vAlign w:val="center"/>
                </w:tcPr>
                <w:p>
                  <w:pPr>
                    <w:widowControl/>
                    <w:jc w:val="center"/>
                    <w:textAlignment w:val="center"/>
                    <w:rPr>
                      <w:color w:val="auto"/>
                      <w:kern w:val="0"/>
                      <w:szCs w:val="21"/>
                      <w:lang w:bidi="ar"/>
                    </w:rPr>
                  </w:pPr>
                  <w:r>
                    <w:rPr>
                      <w:color w:val="auto"/>
                      <w:szCs w:val="21"/>
                    </w:rPr>
                    <w:t>浓缩蒸发液</w:t>
                  </w:r>
                </w:p>
              </w:tc>
              <w:tc>
                <w:tcPr>
                  <w:tcW w:w="411" w:type="pct"/>
                  <w:tcBorders>
                    <w:tl2br w:val="nil"/>
                    <w:tr2bl w:val="nil"/>
                  </w:tcBorders>
                  <w:vAlign w:val="center"/>
                </w:tcPr>
                <w:p>
                  <w:pPr>
                    <w:widowControl/>
                    <w:jc w:val="center"/>
                    <w:textAlignment w:val="center"/>
                    <w:rPr>
                      <w:color w:val="auto"/>
                      <w:kern w:val="0"/>
                      <w:szCs w:val="21"/>
                      <w:lang w:bidi="ar"/>
                    </w:rPr>
                  </w:pPr>
                  <w:r>
                    <w:rPr>
                      <w:color w:val="auto"/>
                      <w:szCs w:val="21"/>
                    </w:rPr>
                    <w:t>HW17</w:t>
                  </w:r>
                </w:p>
              </w:tc>
              <w:tc>
                <w:tcPr>
                  <w:tcW w:w="559" w:type="pct"/>
                  <w:tcBorders>
                    <w:tl2br w:val="nil"/>
                    <w:tr2bl w:val="nil"/>
                  </w:tcBorders>
                  <w:vAlign w:val="center"/>
                </w:tcPr>
                <w:p>
                  <w:pPr>
                    <w:widowControl/>
                    <w:jc w:val="center"/>
                    <w:textAlignment w:val="center"/>
                    <w:rPr>
                      <w:color w:val="auto"/>
                      <w:kern w:val="0"/>
                      <w:szCs w:val="21"/>
                      <w:lang w:bidi="ar"/>
                    </w:rPr>
                  </w:pPr>
                  <w:r>
                    <w:rPr>
                      <w:color w:val="auto"/>
                      <w:szCs w:val="21"/>
                    </w:rPr>
                    <w:t>336-064-17</w:t>
                  </w:r>
                </w:p>
              </w:tc>
              <w:tc>
                <w:tcPr>
                  <w:tcW w:w="384" w:type="pct"/>
                  <w:vMerge w:val="continue"/>
                  <w:tcBorders>
                    <w:tl2br w:val="nil"/>
                    <w:tr2bl w:val="nil"/>
                  </w:tcBorders>
                  <w:vAlign w:val="center"/>
                </w:tcPr>
                <w:p>
                  <w:pPr>
                    <w:widowControl/>
                    <w:adjustRightInd w:val="0"/>
                    <w:snapToGrid w:val="0"/>
                    <w:jc w:val="center"/>
                    <w:rPr>
                      <w:color w:val="auto"/>
                      <w:szCs w:val="21"/>
                    </w:rPr>
                  </w:pPr>
                </w:p>
              </w:tc>
              <w:tc>
                <w:tcPr>
                  <w:tcW w:w="397" w:type="pct"/>
                  <w:vMerge w:val="continue"/>
                  <w:tcBorders>
                    <w:tl2br w:val="nil"/>
                    <w:tr2bl w:val="nil"/>
                  </w:tcBorders>
                  <w:vAlign w:val="center"/>
                </w:tcPr>
                <w:p>
                  <w:pPr>
                    <w:widowControl/>
                    <w:adjustRightInd w:val="0"/>
                    <w:snapToGrid w:val="0"/>
                    <w:jc w:val="center"/>
                    <w:rPr>
                      <w:color w:val="auto"/>
                      <w:szCs w:val="21"/>
                    </w:rPr>
                  </w:pPr>
                </w:p>
              </w:tc>
              <w:tc>
                <w:tcPr>
                  <w:tcW w:w="431" w:type="pct"/>
                  <w:tcBorders>
                    <w:tl2br w:val="nil"/>
                    <w:tr2bl w:val="nil"/>
                  </w:tcBorders>
                  <w:vAlign w:val="center"/>
                </w:tcPr>
                <w:p>
                  <w:pPr>
                    <w:pStyle w:val="57"/>
                    <w:widowControl w:val="0"/>
                    <w:adjustRightInd w:val="0"/>
                    <w:snapToGrid w:val="0"/>
                    <w:spacing w:before="0" w:beforeAutospacing="0" w:after="0" w:afterAutospacing="0"/>
                    <w:rPr>
                      <w:rFonts w:ascii="Times New Roman" w:hAnsi="Times New Roman"/>
                      <w:color w:val="auto"/>
                      <w:sz w:val="21"/>
                      <w:szCs w:val="21"/>
                    </w:rPr>
                  </w:pPr>
                  <w:r>
                    <w:rPr>
                      <w:rFonts w:ascii="Times New Roman" w:hAnsi="Times New Roman"/>
                      <w:bCs/>
                      <w:color w:val="auto"/>
                      <w:sz w:val="21"/>
                      <w:szCs w:val="21"/>
                    </w:rPr>
                    <w:t>桶装</w:t>
                  </w:r>
                </w:p>
              </w:tc>
              <w:tc>
                <w:tcPr>
                  <w:tcW w:w="437" w:type="pct"/>
                  <w:vMerge w:val="continue"/>
                  <w:tcBorders>
                    <w:tl2br w:val="nil"/>
                    <w:tr2bl w:val="nil"/>
                  </w:tcBorders>
                  <w:vAlign w:val="center"/>
                </w:tcPr>
                <w:p>
                  <w:pPr>
                    <w:widowControl/>
                    <w:adjustRightInd w:val="0"/>
                    <w:snapToGrid w:val="0"/>
                    <w:jc w:val="center"/>
                    <w:rPr>
                      <w:color w:val="auto"/>
                      <w:szCs w:val="21"/>
                    </w:rPr>
                  </w:pPr>
                </w:p>
              </w:tc>
              <w:tc>
                <w:tcPr>
                  <w:tcW w:w="433" w:type="pct"/>
                  <w:tcBorders>
                    <w:tl2br w:val="nil"/>
                    <w:tr2bl w:val="nil"/>
                  </w:tcBorders>
                  <w:vAlign w:val="center"/>
                </w:tcPr>
                <w:p>
                  <w:pPr>
                    <w:adjustRightInd w:val="0"/>
                    <w:snapToGrid w:val="0"/>
                    <w:jc w:val="center"/>
                    <w:rPr>
                      <w:color w:val="auto"/>
                      <w:kern w:val="0"/>
                      <w:szCs w:val="21"/>
                    </w:rPr>
                  </w:pPr>
                  <w:r>
                    <w:rPr>
                      <w:bCs/>
                      <w:color w:val="auto"/>
                    </w:rPr>
                    <w:t>每</w:t>
                  </w:r>
                  <w:r>
                    <w:rPr>
                      <w:rFonts w:hint="eastAsia"/>
                      <w:bCs/>
                      <w:color w:val="auto"/>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widowControl/>
                    <w:jc w:val="center"/>
                    <w:textAlignment w:val="center"/>
                    <w:rPr>
                      <w:color w:val="auto"/>
                      <w:szCs w:val="21"/>
                    </w:rPr>
                  </w:pPr>
                  <w:r>
                    <w:rPr>
                      <w:color w:val="auto"/>
                      <w:szCs w:val="21"/>
                    </w:rPr>
                    <w:t>1</w:t>
                  </w:r>
                  <w:r>
                    <w:rPr>
                      <w:rFonts w:hint="eastAsia"/>
                      <w:color w:val="auto"/>
                      <w:szCs w:val="21"/>
                    </w:rPr>
                    <w:t>0</w:t>
                  </w:r>
                </w:p>
              </w:tc>
              <w:tc>
                <w:tcPr>
                  <w:tcW w:w="360" w:type="pct"/>
                  <w:vMerge w:val="continue"/>
                  <w:tcBorders>
                    <w:tl2br w:val="nil"/>
                    <w:tr2bl w:val="nil"/>
                  </w:tcBorders>
                  <w:vAlign w:val="center"/>
                </w:tcPr>
                <w:p>
                  <w:pPr>
                    <w:topLinePunct/>
                    <w:adjustRightInd w:val="0"/>
                    <w:snapToGrid w:val="0"/>
                    <w:jc w:val="center"/>
                    <w:rPr>
                      <w:color w:val="auto"/>
                      <w:szCs w:val="21"/>
                    </w:rPr>
                  </w:pPr>
                </w:p>
              </w:tc>
              <w:tc>
                <w:tcPr>
                  <w:tcW w:w="532" w:type="pct"/>
                  <w:vMerge w:val="continue"/>
                  <w:tcBorders>
                    <w:tl2br w:val="nil"/>
                    <w:tr2bl w:val="nil"/>
                  </w:tcBorders>
                  <w:vAlign w:val="center"/>
                </w:tcPr>
                <w:p>
                  <w:pPr>
                    <w:adjustRightInd w:val="0"/>
                    <w:snapToGrid w:val="0"/>
                    <w:jc w:val="center"/>
                    <w:rPr>
                      <w:color w:val="auto"/>
                      <w:szCs w:val="21"/>
                    </w:rPr>
                  </w:pPr>
                </w:p>
              </w:tc>
              <w:tc>
                <w:tcPr>
                  <w:tcW w:w="820" w:type="pct"/>
                  <w:tcBorders>
                    <w:tl2br w:val="nil"/>
                    <w:tr2bl w:val="nil"/>
                  </w:tcBorders>
                  <w:vAlign w:val="center"/>
                </w:tcPr>
                <w:p>
                  <w:pPr>
                    <w:widowControl/>
                    <w:jc w:val="center"/>
                    <w:textAlignment w:val="center"/>
                    <w:rPr>
                      <w:color w:val="auto"/>
                      <w:kern w:val="0"/>
                      <w:szCs w:val="21"/>
                      <w:lang w:bidi="ar"/>
                    </w:rPr>
                  </w:pPr>
                  <w:r>
                    <w:rPr>
                      <w:rFonts w:hint="eastAsia"/>
                      <w:color w:val="auto"/>
                      <w:szCs w:val="21"/>
                    </w:rPr>
                    <w:t>废水过滤材料</w:t>
                  </w:r>
                </w:p>
              </w:tc>
              <w:tc>
                <w:tcPr>
                  <w:tcW w:w="411" w:type="pct"/>
                  <w:tcBorders>
                    <w:tl2br w:val="nil"/>
                    <w:tr2bl w:val="nil"/>
                  </w:tcBorders>
                  <w:vAlign w:val="center"/>
                </w:tcPr>
                <w:p>
                  <w:pPr>
                    <w:widowControl/>
                    <w:jc w:val="center"/>
                    <w:textAlignment w:val="center"/>
                    <w:rPr>
                      <w:color w:val="auto"/>
                      <w:kern w:val="0"/>
                      <w:szCs w:val="21"/>
                      <w:lang w:bidi="ar"/>
                    </w:rPr>
                  </w:pPr>
                  <w:r>
                    <w:rPr>
                      <w:color w:val="auto"/>
                      <w:szCs w:val="21"/>
                    </w:rPr>
                    <w:t>HW49</w:t>
                  </w:r>
                </w:p>
              </w:tc>
              <w:tc>
                <w:tcPr>
                  <w:tcW w:w="559" w:type="pct"/>
                  <w:tcBorders>
                    <w:tl2br w:val="nil"/>
                    <w:tr2bl w:val="nil"/>
                  </w:tcBorders>
                  <w:vAlign w:val="center"/>
                </w:tcPr>
                <w:p>
                  <w:pPr>
                    <w:widowControl/>
                    <w:jc w:val="center"/>
                    <w:textAlignment w:val="center"/>
                    <w:rPr>
                      <w:color w:val="auto"/>
                      <w:kern w:val="0"/>
                      <w:szCs w:val="21"/>
                      <w:lang w:bidi="ar"/>
                    </w:rPr>
                  </w:pPr>
                  <w:r>
                    <w:rPr>
                      <w:color w:val="auto"/>
                      <w:szCs w:val="21"/>
                    </w:rPr>
                    <w:t>900-041-49</w:t>
                  </w:r>
                </w:p>
              </w:tc>
              <w:tc>
                <w:tcPr>
                  <w:tcW w:w="384" w:type="pct"/>
                  <w:vMerge w:val="continue"/>
                  <w:tcBorders>
                    <w:tl2br w:val="nil"/>
                    <w:tr2bl w:val="nil"/>
                  </w:tcBorders>
                  <w:vAlign w:val="center"/>
                </w:tcPr>
                <w:p>
                  <w:pPr>
                    <w:widowControl/>
                    <w:adjustRightInd w:val="0"/>
                    <w:snapToGrid w:val="0"/>
                    <w:jc w:val="center"/>
                    <w:rPr>
                      <w:color w:val="auto"/>
                      <w:szCs w:val="21"/>
                    </w:rPr>
                  </w:pPr>
                </w:p>
              </w:tc>
              <w:tc>
                <w:tcPr>
                  <w:tcW w:w="397" w:type="pct"/>
                  <w:vMerge w:val="continue"/>
                  <w:tcBorders>
                    <w:tl2br w:val="nil"/>
                    <w:tr2bl w:val="nil"/>
                  </w:tcBorders>
                  <w:vAlign w:val="center"/>
                </w:tcPr>
                <w:p>
                  <w:pPr>
                    <w:widowControl/>
                    <w:adjustRightInd w:val="0"/>
                    <w:snapToGrid w:val="0"/>
                    <w:jc w:val="center"/>
                    <w:rPr>
                      <w:color w:val="auto"/>
                      <w:szCs w:val="21"/>
                    </w:rPr>
                  </w:pPr>
                </w:p>
              </w:tc>
              <w:tc>
                <w:tcPr>
                  <w:tcW w:w="431" w:type="pct"/>
                  <w:tcBorders>
                    <w:tl2br w:val="nil"/>
                    <w:tr2bl w:val="nil"/>
                  </w:tcBorders>
                  <w:vAlign w:val="center"/>
                </w:tcPr>
                <w:p>
                  <w:pPr>
                    <w:pStyle w:val="57"/>
                    <w:widowControl w:val="0"/>
                    <w:adjustRightInd w:val="0"/>
                    <w:snapToGrid w:val="0"/>
                    <w:spacing w:before="0" w:beforeAutospacing="0" w:after="0" w:afterAutospacing="0"/>
                    <w:rPr>
                      <w:rFonts w:ascii="Times New Roman" w:hAnsi="Times New Roman"/>
                      <w:color w:val="auto"/>
                      <w:sz w:val="21"/>
                      <w:szCs w:val="21"/>
                    </w:rPr>
                  </w:pPr>
                  <w:r>
                    <w:rPr>
                      <w:rFonts w:ascii="Times New Roman" w:hAnsi="Times New Roman"/>
                      <w:bCs/>
                      <w:color w:val="auto"/>
                      <w:sz w:val="21"/>
                      <w:szCs w:val="21"/>
                    </w:rPr>
                    <w:t>袋装</w:t>
                  </w:r>
                </w:p>
              </w:tc>
              <w:tc>
                <w:tcPr>
                  <w:tcW w:w="437" w:type="pct"/>
                  <w:vMerge w:val="continue"/>
                  <w:tcBorders>
                    <w:tl2br w:val="nil"/>
                    <w:tr2bl w:val="nil"/>
                  </w:tcBorders>
                  <w:vAlign w:val="center"/>
                </w:tcPr>
                <w:p>
                  <w:pPr>
                    <w:widowControl/>
                    <w:adjustRightInd w:val="0"/>
                    <w:snapToGrid w:val="0"/>
                    <w:jc w:val="center"/>
                    <w:rPr>
                      <w:color w:val="auto"/>
                      <w:szCs w:val="21"/>
                    </w:rPr>
                  </w:pPr>
                </w:p>
              </w:tc>
              <w:tc>
                <w:tcPr>
                  <w:tcW w:w="433" w:type="pct"/>
                  <w:tcBorders>
                    <w:tl2br w:val="nil"/>
                    <w:tr2bl w:val="nil"/>
                  </w:tcBorders>
                  <w:vAlign w:val="center"/>
                </w:tcPr>
                <w:p>
                  <w:pPr>
                    <w:adjustRightInd w:val="0"/>
                    <w:snapToGrid w:val="0"/>
                    <w:jc w:val="center"/>
                    <w:rPr>
                      <w:color w:val="auto"/>
                      <w:kern w:val="0"/>
                      <w:szCs w:val="21"/>
                    </w:rPr>
                  </w:pPr>
                  <w:r>
                    <w:rPr>
                      <w:bCs/>
                      <w:color w:val="auto"/>
                    </w:rPr>
                    <w:t>每年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topLinePunct/>
                    <w:adjustRightInd w:val="0"/>
                    <w:snapToGrid w:val="0"/>
                    <w:jc w:val="center"/>
                    <w:rPr>
                      <w:color w:val="auto"/>
                      <w:kern w:val="0"/>
                      <w:szCs w:val="21"/>
                    </w:rPr>
                  </w:pPr>
                  <w:r>
                    <w:rPr>
                      <w:color w:val="auto"/>
                      <w:kern w:val="0"/>
                      <w:szCs w:val="21"/>
                    </w:rPr>
                    <w:t>1</w:t>
                  </w:r>
                </w:p>
              </w:tc>
              <w:tc>
                <w:tcPr>
                  <w:tcW w:w="360" w:type="pct"/>
                  <w:vMerge w:val="restart"/>
                  <w:tcBorders>
                    <w:tl2br w:val="nil"/>
                    <w:tr2bl w:val="nil"/>
                  </w:tcBorders>
                  <w:vAlign w:val="center"/>
                </w:tcPr>
                <w:p>
                  <w:pPr>
                    <w:topLinePunct/>
                    <w:adjustRightInd w:val="0"/>
                    <w:snapToGrid w:val="0"/>
                    <w:jc w:val="center"/>
                    <w:rPr>
                      <w:color w:val="auto"/>
                      <w:szCs w:val="21"/>
                    </w:rPr>
                  </w:pPr>
                  <w:r>
                    <w:rPr>
                      <w:color w:val="auto"/>
                      <w:szCs w:val="21"/>
                    </w:rPr>
                    <w:t>一般固废仓库</w:t>
                  </w:r>
                </w:p>
              </w:tc>
              <w:tc>
                <w:tcPr>
                  <w:tcW w:w="532" w:type="pct"/>
                  <w:vMerge w:val="restart"/>
                  <w:tcBorders>
                    <w:tl2br w:val="nil"/>
                    <w:tr2bl w:val="nil"/>
                  </w:tcBorders>
                  <w:vAlign w:val="center"/>
                </w:tcPr>
                <w:p>
                  <w:pPr>
                    <w:adjustRightInd w:val="0"/>
                    <w:snapToGrid w:val="0"/>
                    <w:jc w:val="center"/>
                    <w:rPr>
                      <w:color w:val="auto"/>
                      <w:szCs w:val="21"/>
                    </w:rPr>
                  </w:pPr>
                  <w:r>
                    <w:rPr>
                      <w:color w:val="auto"/>
                      <w:szCs w:val="21"/>
                    </w:rPr>
                    <w:t>120.</w:t>
                  </w:r>
                  <w:r>
                    <w:rPr>
                      <w:rFonts w:hint="eastAsia"/>
                      <w:color w:val="auto"/>
                      <w:szCs w:val="21"/>
                    </w:rPr>
                    <w:t>412382</w:t>
                  </w:r>
                  <w:r>
                    <w:rPr>
                      <w:color w:val="auto"/>
                      <w:szCs w:val="21"/>
                    </w:rPr>
                    <w:t>，31.</w:t>
                  </w:r>
                  <w:r>
                    <w:rPr>
                      <w:rFonts w:hint="eastAsia"/>
                      <w:color w:val="auto"/>
                      <w:szCs w:val="21"/>
                    </w:rPr>
                    <w:t>574769</w:t>
                  </w:r>
                </w:p>
              </w:tc>
              <w:tc>
                <w:tcPr>
                  <w:tcW w:w="820" w:type="pct"/>
                  <w:tcBorders>
                    <w:tl2br w:val="nil"/>
                    <w:tr2bl w:val="nil"/>
                  </w:tcBorders>
                  <w:vAlign w:val="center"/>
                </w:tcPr>
                <w:p>
                  <w:pPr>
                    <w:widowControl/>
                    <w:jc w:val="center"/>
                    <w:textAlignment w:val="center"/>
                    <w:rPr>
                      <w:color w:val="auto"/>
                      <w:kern w:val="0"/>
                      <w:szCs w:val="21"/>
                      <w:lang w:bidi="ar"/>
                    </w:rPr>
                  </w:pPr>
                  <w:r>
                    <w:rPr>
                      <w:color w:val="auto"/>
                      <w:szCs w:val="21"/>
                    </w:rPr>
                    <w:t>打磨毛刺</w:t>
                  </w:r>
                </w:p>
              </w:tc>
              <w:tc>
                <w:tcPr>
                  <w:tcW w:w="411" w:type="pct"/>
                  <w:tcBorders>
                    <w:tl2br w:val="nil"/>
                    <w:tr2bl w:val="nil"/>
                  </w:tcBorders>
                  <w:vAlign w:val="center"/>
                </w:tcPr>
                <w:p>
                  <w:pPr>
                    <w:widowControl/>
                    <w:jc w:val="center"/>
                    <w:textAlignment w:val="center"/>
                    <w:rPr>
                      <w:rFonts w:hint="default" w:eastAsia="宋体"/>
                      <w:bCs/>
                      <w:color w:val="auto"/>
                      <w:szCs w:val="21"/>
                      <w:lang w:val="en-US" w:eastAsia="zh-CN"/>
                    </w:rPr>
                  </w:pPr>
                  <w:r>
                    <w:rPr>
                      <w:rFonts w:hint="eastAsia"/>
                      <w:color w:val="auto"/>
                      <w:szCs w:val="21"/>
                      <w:lang w:val="en-US" w:eastAsia="zh-CN"/>
                    </w:rPr>
                    <w:t>09</w:t>
                  </w:r>
                </w:p>
              </w:tc>
              <w:tc>
                <w:tcPr>
                  <w:tcW w:w="559" w:type="pct"/>
                  <w:tcBorders>
                    <w:tl2br w:val="nil"/>
                    <w:tr2bl w:val="nil"/>
                  </w:tcBorders>
                  <w:vAlign w:val="center"/>
                </w:tcPr>
                <w:p>
                  <w:pPr>
                    <w:widowControl/>
                    <w:jc w:val="center"/>
                    <w:textAlignment w:val="center"/>
                    <w:rPr>
                      <w:rFonts w:hint="default" w:eastAsia="宋体"/>
                      <w:bCs/>
                      <w:color w:val="auto"/>
                      <w:szCs w:val="21"/>
                      <w:lang w:val="en-US" w:eastAsia="zh-CN"/>
                    </w:rPr>
                  </w:pPr>
                  <w:r>
                    <w:rPr>
                      <w:rFonts w:hint="eastAsia"/>
                      <w:bCs/>
                      <w:color w:val="auto"/>
                      <w:szCs w:val="21"/>
                    </w:rPr>
                    <w:t>331-999-</w:t>
                  </w:r>
                  <w:r>
                    <w:rPr>
                      <w:rFonts w:hint="eastAsia"/>
                      <w:bCs/>
                      <w:color w:val="auto"/>
                      <w:szCs w:val="21"/>
                      <w:lang w:val="en-US" w:eastAsia="zh-CN"/>
                    </w:rPr>
                    <w:t>09</w:t>
                  </w:r>
                </w:p>
              </w:tc>
              <w:tc>
                <w:tcPr>
                  <w:tcW w:w="384" w:type="pct"/>
                  <w:vMerge w:val="restart"/>
                  <w:tcBorders>
                    <w:tl2br w:val="nil"/>
                    <w:tr2bl w:val="nil"/>
                  </w:tcBorders>
                  <w:vAlign w:val="center"/>
                </w:tcPr>
                <w:p>
                  <w:pPr>
                    <w:topLinePunct/>
                    <w:adjustRightInd w:val="0"/>
                    <w:snapToGrid w:val="0"/>
                    <w:jc w:val="center"/>
                    <w:rPr>
                      <w:color w:val="auto"/>
                      <w:kern w:val="0"/>
                      <w:szCs w:val="21"/>
                    </w:rPr>
                  </w:pPr>
                  <w:r>
                    <w:rPr>
                      <w:color w:val="auto"/>
                      <w:kern w:val="0"/>
                      <w:szCs w:val="21"/>
                    </w:rPr>
                    <w:t>厂区</w:t>
                  </w:r>
                  <w:r>
                    <w:rPr>
                      <w:rFonts w:hint="eastAsia"/>
                      <w:color w:val="auto"/>
                      <w:kern w:val="0"/>
                      <w:szCs w:val="21"/>
                      <w:lang w:val="en-US" w:eastAsia="zh-CN"/>
                    </w:rPr>
                    <w:t>西北</w:t>
                  </w:r>
                  <w:r>
                    <w:rPr>
                      <w:color w:val="auto"/>
                      <w:kern w:val="0"/>
                      <w:szCs w:val="21"/>
                    </w:rPr>
                    <w:t>侧</w:t>
                  </w:r>
                </w:p>
              </w:tc>
              <w:tc>
                <w:tcPr>
                  <w:tcW w:w="397" w:type="pct"/>
                  <w:vMerge w:val="restart"/>
                  <w:tcBorders>
                    <w:tl2br w:val="nil"/>
                    <w:tr2bl w:val="nil"/>
                  </w:tcBorders>
                  <w:vAlign w:val="center"/>
                </w:tcPr>
                <w:p>
                  <w:pPr>
                    <w:topLinePunct/>
                    <w:adjustRightInd w:val="0"/>
                    <w:snapToGrid w:val="0"/>
                    <w:jc w:val="center"/>
                    <w:rPr>
                      <w:color w:val="auto"/>
                      <w:kern w:val="0"/>
                      <w:szCs w:val="21"/>
                    </w:rPr>
                  </w:pPr>
                  <w:r>
                    <w:rPr>
                      <w:rFonts w:hint="eastAsia"/>
                      <w:color w:val="auto"/>
                      <w:kern w:val="0"/>
                      <w:szCs w:val="21"/>
                    </w:rPr>
                    <w:t>300</w:t>
                  </w:r>
                  <w:r>
                    <w:rPr>
                      <w:color w:val="auto"/>
                      <w:kern w:val="0"/>
                      <w:szCs w:val="21"/>
                    </w:rPr>
                    <w:t>m</w:t>
                  </w:r>
                  <w:r>
                    <w:rPr>
                      <w:color w:val="auto"/>
                      <w:kern w:val="0"/>
                      <w:szCs w:val="21"/>
                      <w:vertAlign w:val="superscript"/>
                    </w:rPr>
                    <w:t>2</w:t>
                  </w:r>
                </w:p>
              </w:tc>
              <w:tc>
                <w:tcPr>
                  <w:tcW w:w="431" w:type="pct"/>
                  <w:tcBorders>
                    <w:tl2br w:val="nil"/>
                    <w:tr2bl w:val="nil"/>
                  </w:tcBorders>
                  <w:vAlign w:val="center"/>
                </w:tcPr>
                <w:p>
                  <w:pPr>
                    <w:adjustRightInd w:val="0"/>
                    <w:snapToGrid w:val="0"/>
                    <w:jc w:val="center"/>
                    <w:rPr>
                      <w:bCs/>
                      <w:color w:val="auto"/>
                      <w:kern w:val="0"/>
                      <w:szCs w:val="21"/>
                    </w:rPr>
                  </w:pPr>
                  <w:r>
                    <w:rPr>
                      <w:bCs/>
                      <w:color w:val="auto"/>
                      <w:kern w:val="0"/>
                      <w:szCs w:val="21"/>
                    </w:rPr>
                    <w:t>袋装</w:t>
                  </w:r>
                </w:p>
              </w:tc>
              <w:tc>
                <w:tcPr>
                  <w:tcW w:w="437" w:type="pct"/>
                  <w:vMerge w:val="restart"/>
                  <w:tcBorders>
                    <w:tl2br w:val="nil"/>
                    <w:tr2bl w:val="nil"/>
                  </w:tcBorders>
                  <w:vAlign w:val="center"/>
                </w:tcPr>
                <w:p>
                  <w:pPr>
                    <w:topLinePunct/>
                    <w:adjustRightInd w:val="0"/>
                    <w:snapToGrid w:val="0"/>
                    <w:jc w:val="center"/>
                    <w:rPr>
                      <w:color w:val="auto"/>
                      <w:kern w:val="0"/>
                      <w:szCs w:val="21"/>
                    </w:rPr>
                  </w:pPr>
                  <w:r>
                    <w:rPr>
                      <w:rFonts w:hint="eastAsia"/>
                      <w:color w:val="auto"/>
                      <w:kern w:val="0"/>
                      <w:szCs w:val="21"/>
                    </w:rPr>
                    <w:t>300</w:t>
                  </w:r>
                  <w:r>
                    <w:rPr>
                      <w:color w:val="auto"/>
                      <w:kern w:val="0"/>
                      <w:szCs w:val="21"/>
                    </w:rPr>
                    <w:t>m</w:t>
                  </w:r>
                  <w:r>
                    <w:rPr>
                      <w:color w:val="auto"/>
                      <w:kern w:val="0"/>
                      <w:szCs w:val="21"/>
                      <w:vertAlign w:val="superscript"/>
                    </w:rPr>
                    <w:t>2</w:t>
                  </w:r>
                </w:p>
              </w:tc>
              <w:tc>
                <w:tcPr>
                  <w:tcW w:w="433" w:type="pct"/>
                  <w:tcBorders>
                    <w:tl2br w:val="nil"/>
                    <w:tr2bl w:val="nil"/>
                  </w:tcBorders>
                  <w:vAlign w:val="center"/>
                </w:tcPr>
                <w:p>
                  <w:pPr>
                    <w:topLinePunct/>
                    <w:adjustRightInd w:val="0"/>
                    <w:snapToGrid w:val="0"/>
                    <w:jc w:val="center"/>
                    <w:rPr>
                      <w:color w:val="auto"/>
                      <w:kern w:val="0"/>
                      <w:szCs w:val="21"/>
                    </w:rPr>
                  </w:pPr>
                  <w:r>
                    <w:rPr>
                      <w:color w:val="auto"/>
                      <w:kern w:val="0"/>
                      <w:szCs w:val="21"/>
                    </w:rPr>
                    <w:t>一</w:t>
                  </w:r>
                  <w:r>
                    <w:rPr>
                      <w:rFonts w:hint="eastAsia"/>
                      <w:color w:val="auto"/>
                      <w:kern w:val="0"/>
                      <w:szCs w:val="21"/>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topLinePunct/>
                    <w:adjustRightInd w:val="0"/>
                    <w:snapToGrid w:val="0"/>
                    <w:jc w:val="center"/>
                    <w:rPr>
                      <w:color w:val="auto"/>
                      <w:kern w:val="0"/>
                      <w:szCs w:val="21"/>
                    </w:rPr>
                  </w:pPr>
                  <w:r>
                    <w:rPr>
                      <w:color w:val="auto"/>
                      <w:kern w:val="0"/>
                      <w:szCs w:val="21"/>
                    </w:rPr>
                    <w:t>2</w:t>
                  </w:r>
                </w:p>
              </w:tc>
              <w:tc>
                <w:tcPr>
                  <w:tcW w:w="360" w:type="pct"/>
                  <w:vMerge w:val="continue"/>
                  <w:tcBorders>
                    <w:tl2br w:val="nil"/>
                    <w:tr2bl w:val="nil"/>
                  </w:tcBorders>
                  <w:vAlign w:val="center"/>
                </w:tcPr>
                <w:p>
                  <w:pPr>
                    <w:topLinePunct/>
                    <w:adjustRightInd w:val="0"/>
                    <w:snapToGrid w:val="0"/>
                    <w:jc w:val="center"/>
                    <w:rPr>
                      <w:color w:val="auto"/>
                      <w:szCs w:val="21"/>
                    </w:rPr>
                  </w:pPr>
                </w:p>
              </w:tc>
              <w:tc>
                <w:tcPr>
                  <w:tcW w:w="532" w:type="pct"/>
                  <w:vMerge w:val="continue"/>
                  <w:tcBorders>
                    <w:tl2br w:val="nil"/>
                    <w:tr2bl w:val="nil"/>
                  </w:tcBorders>
                  <w:vAlign w:val="center"/>
                </w:tcPr>
                <w:p>
                  <w:pPr>
                    <w:adjustRightInd w:val="0"/>
                    <w:snapToGrid w:val="0"/>
                    <w:jc w:val="center"/>
                    <w:rPr>
                      <w:color w:val="auto"/>
                      <w:szCs w:val="21"/>
                    </w:rPr>
                  </w:pPr>
                </w:p>
              </w:tc>
              <w:tc>
                <w:tcPr>
                  <w:tcW w:w="820" w:type="pct"/>
                  <w:tcBorders>
                    <w:tl2br w:val="nil"/>
                    <w:tr2bl w:val="nil"/>
                  </w:tcBorders>
                  <w:vAlign w:val="center"/>
                </w:tcPr>
                <w:p>
                  <w:pPr>
                    <w:widowControl/>
                    <w:jc w:val="center"/>
                    <w:textAlignment w:val="center"/>
                    <w:rPr>
                      <w:color w:val="auto"/>
                      <w:szCs w:val="21"/>
                    </w:rPr>
                  </w:pPr>
                  <w:r>
                    <w:rPr>
                      <w:color w:val="auto"/>
                      <w:szCs w:val="21"/>
                    </w:rPr>
                    <w:t>废边角料</w:t>
                  </w:r>
                </w:p>
              </w:tc>
              <w:tc>
                <w:tcPr>
                  <w:tcW w:w="411" w:type="pct"/>
                  <w:tcBorders>
                    <w:tl2br w:val="nil"/>
                    <w:tr2bl w:val="nil"/>
                  </w:tcBorders>
                  <w:vAlign w:val="center"/>
                </w:tcPr>
                <w:p>
                  <w:pPr>
                    <w:widowControl/>
                    <w:jc w:val="center"/>
                    <w:textAlignment w:val="center"/>
                    <w:rPr>
                      <w:rFonts w:hint="default" w:eastAsia="宋体"/>
                      <w:snapToGrid w:val="0"/>
                      <w:color w:val="auto"/>
                      <w:szCs w:val="21"/>
                      <w:lang w:val="en-US" w:eastAsia="zh-CN"/>
                    </w:rPr>
                  </w:pPr>
                  <w:r>
                    <w:rPr>
                      <w:rFonts w:hint="eastAsia"/>
                      <w:color w:val="auto"/>
                      <w:szCs w:val="21"/>
                      <w:lang w:val="en-US" w:eastAsia="zh-CN"/>
                    </w:rPr>
                    <w:t>09</w:t>
                  </w:r>
                </w:p>
              </w:tc>
              <w:tc>
                <w:tcPr>
                  <w:tcW w:w="559" w:type="pct"/>
                  <w:tcBorders>
                    <w:tl2br w:val="nil"/>
                    <w:tr2bl w:val="nil"/>
                  </w:tcBorders>
                  <w:vAlign w:val="center"/>
                </w:tcPr>
                <w:p>
                  <w:pPr>
                    <w:widowControl/>
                    <w:jc w:val="center"/>
                    <w:textAlignment w:val="center"/>
                    <w:rPr>
                      <w:rFonts w:hint="default" w:eastAsia="宋体"/>
                      <w:snapToGrid w:val="0"/>
                      <w:color w:val="auto"/>
                      <w:szCs w:val="21"/>
                      <w:lang w:val="en-US" w:eastAsia="zh-CN"/>
                    </w:rPr>
                  </w:pPr>
                  <w:r>
                    <w:rPr>
                      <w:rFonts w:hint="eastAsia"/>
                      <w:color w:val="auto"/>
                      <w:szCs w:val="21"/>
                    </w:rPr>
                    <w:t>331-999-</w:t>
                  </w:r>
                  <w:r>
                    <w:rPr>
                      <w:rFonts w:hint="eastAsia"/>
                      <w:color w:val="auto"/>
                      <w:szCs w:val="21"/>
                      <w:lang w:val="en-US" w:eastAsia="zh-CN"/>
                    </w:rPr>
                    <w:t>09</w:t>
                  </w:r>
                </w:p>
              </w:tc>
              <w:tc>
                <w:tcPr>
                  <w:tcW w:w="384" w:type="pct"/>
                  <w:vMerge w:val="continue"/>
                  <w:tcBorders>
                    <w:tl2br w:val="nil"/>
                    <w:tr2bl w:val="nil"/>
                  </w:tcBorders>
                  <w:vAlign w:val="center"/>
                </w:tcPr>
                <w:p>
                  <w:pPr>
                    <w:topLinePunct/>
                    <w:adjustRightInd w:val="0"/>
                    <w:snapToGrid w:val="0"/>
                    <w:jc w:val="center"/>
                    <w:rPr>
                      <w:color w:val="auto"/>
                      <w:kern w:val="0"/>
                      <w:szCs w:val="21"/>
                    </w:rPr>
                  </w:pPr>
                </w:p>
              </w:tc>
              <w:tc>
                <w:tcPr>
                  <w:tcW w:w="397" w:type="pct"/>
                  <w:vMerge w:val="continue"/>
                  <w:tcBorders>
                    <w:tl2br w:val="nil"/>
                    <w:tr2bl w:val="nil"/>
                  </w:tcBorders>
                  <w:vAlign w:val="center"/>
                </w:tcPr>
                <w:p>
                  <w:pPr>
                    <w:topLinePunct/>
                    <w:adjustRightInd w:val="0"/>
                    <w:snapToGrid w:val="0"/>
                    <w:jc w:val="center"/>
                    <w:rPr>
                      <w:color w:val="auto"/>
                      <w:kern w:val="0"/>
                      <w:szCs w:val="21"/>
                    </w:rPr>
                  </w:pPr>
                </w:p>
              </w:tc>
              <w:tc>
                <w:tcPr>
                  <w:tcW w:w="431" w:type="pct"/>
                  <w:tcBorders>
                    <w:tl2br w:val="nil"/>
                    <w:tr2bl w:val="nil"/>
                  </w:tcBorders>
                  <w:vAlign w:val="center"/>
                </w:tcPr>
                <w:p>
                  <w:pPr>
                    <w:adjustRightInd w:val="0"/>
                    <w:snapToGrid w:val="0"/>
                    <w:jc w:val="center"/>
                    <w:rPr>
                      <w:color w:val="auto"/>
                      <w:kern w:val="0"/>
                      <w:szCs w:val="21"/>
                    </w:rPr>
                  </w:pPr>
                  <w:r>
                    <w:rPr>
                      <w:bCs/>
                      <w:color w:val="auto"/>
                      <w:kern w:val="0"/>
                      <w:szCs w:val="21"/>
                    </w:rPr>
                    <w:t>袋装</w:t>
                  </w:r>
                </w:p>
              </w:tc>
              <w:tc>
                <w:tcPr>
                  <w:tcW w:w="437" w:type="pct"/>
                  <w:vMerge w:val="continue"/>
                  <w:tcBorders>
                    <w:tl2br w:val="nil"/>
                    <w:tr2bl w:val="nil"/>
                  </w:tcBorders>
                  <w:vAlign w:val="center"/>
                </w:tcPr>
                <w:p>
                  <w:pPr>
                    <w:topLinePunct/>
                    <w:adjustRightInd w:val="0"/>
                    <w:snapToGrid w:val="0"/>
                    <w:jc w:val="center"/>
                    <w:rPr>
                      <w:color w:val="auto"/>
                      <w:kern w:val="0"/>
                      <w:szCs w:val="21"/>
                    </w:rPr>
                  </w:pPr>
                </w:p>
              </w:tc>
              <w:tc>
                <w:tcPr>
                  <w:tcW w:w="433" w:type="pct"/>
                  <w:tcBorders>
                    <w:tl2br w:val="nil"/>
                    <w:tr2bl w:val="nil"/>
                  </w:tcBorders>
                  <w:vAlign w:val="center"/>
                </w:tcPr>
                <w:p>
                  <w:pPr>
                    <w:topLinePunct/>
                    <w:adjustRightInd w:val="0"/>
                    <w:snapToGrid w:val="0"/>
                    <w:jc w:val="center"/>
                    <w:rPr>
                      <w:color w:val="auto"/>
                      <w:kern w:val="0"/>
                      <w:szCs w:val="21"/>
                    </w:rPr>
                  </w:pPr>
                  <w:r>
                    <w:rPr>
                      <w:color w:val="auto"/>
                      <w:kern w:val="0"/>
                      <w:szCs w:val="21"/>
                    </w:rPr>
                    <w:t>一</w:t>
                  </w:r>
                  <w:r>
                    <w:rPr>
                      <w:rFonts w:hint="eastAsia"/>
                      <w:color w:val="auto"/>
                      <w:kern w:val="0"/>
                      <w:szCs w:val="21"/>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topLinePunct/>
                    <w:adjustRightInd w:val="0"/>
                    <w:snapToGrid w:val="0"/>
                    <w:jc w:val="center"/>
                    <w:rPr>
                      <w:color w:val="auto"/>
                      <w:kern w:val="0"/>
                      <w:szCs w:val="21"/>
                    </w:rPr>
                  </w:pPr>
                  <w:r>
                    <w:rPr>
                      <w:color w:val="auto"/>
                      <w:kern w:val="0"/>
                      <w:szCs w:val="21"/>
                    </w:rPr>
                    <w:t>3</w:t>
                  </w:r>
                </w:p>
              </w:tc>
              <w:tc>
                <w:tcPr>
                  <w:tcW w:w="360" w:type="pct"/>
                  <w:vMerge w:val="continue"/>
                  <w:tcBorders>
                    <w:tl2br w:val="nil"/>
                    <w:tr2bl w:val="nil"/>
                  </w:tcBorders>
                  <w:vAlign w:val="center"/>
                </w:tcPr>
                <w:p>
                  <w:pPr>
                    <w:topLinePunct/>
                    <w:adjustRightInd w:val="0"/>
                    <w:snapToGrid w:val="0"/>
                    <w:jc w:val="center"/>
                    <w:rPr>
                      <w:color w:val="auto"/>
                      <w:szCs w:val="21"/>
                    </w:rPr>
                  </w:pPr>
                </w:p>
              </w:tc>
              <w:tc>
                <w:tcPr>
                  <w:tcW w:w="532" w:type="pct"/>
                  <w:vMerge w:val="continue"/>
                  <w:tcBorders>
                    <w:tl2br w:val="nil"/>
                    <w:tr2bl w:val="nil"/>
                  </w:tcBorders>
                  <w:vAlign w:val="center"/>
                </w:tcPr>
                <w:p>
                  <w:pPr>
                    <w:topLinePunct/>
                    <w:adjustRightInd w:val="0"/>
                    <w:snapToGrid w:val="0"/>
                    <w:jc w:val="center"/>
                    <w:rPr>
                      <w:color w:val="auto"/>
                      <w:szCs w:val="21"/>
                    </w:rPr>
                  </w:pPr>
                </w:p>
              </w:tc>
              <w:tc>
                <w:tcPr>
                  <w:tcW w:w="820" w:type="pct"/>
                  <w:tcBorders>
                    <w:tl2br w:val="nil"/>
                    <w:tr2bl w:val="nil"/>
                  </w:tcBorders>
                  <w:vAlign w:val="center"/>
                </w:tcPr>
                <w:p>
                  <w:pPr>
                    <w:widowControl/>
                    <w:jc w:val="center"/>
                    <w:textAlignment w:val="center"/>
                    <w:rPr>
                      <w:color w:val="auto"/>
                      <w:szCs w:val="21"/>
                      <w:highlight w:val="none"/>
                    </w:rPr>
                  </w:pPr>
                  <w:r>
                    <w:rPr>
                      <w:color w:val="auto"/>
                      <w:szCs w:val="21"/>
                      <w:highlight w:val="none"/>
                    </w:rPr>
                    <w:t>不合格品</w:t>
                  </w:r>
                </w:p>
              </w:tc>
              <w:tc>
                <w:tcPr>
                  <w:tcW w:w="411" w:type="pct"/>
                  <w:tcBorders>
                    <w:tl2br w:val="nil"/>
                    <w:tr2bl w:val="nil"/>
                  </w:tcBorders>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09</w:t>
                  </w:r>
                </w:p>
              </w:tc>
              <w:tc>
                <w:tcPr>
                  <w:tcW w:w="559" w:type="pct"/>
                  <w:tcBorders>
                    <w:tl2br w:val="nil"/>
                    <w:tr2bl w:val="nil"/>
                  </w:tcBorders>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rPr>
                    <w:t>331-999-</w:t>
                  </w:r>
                  <w:r>
                    <w:rPr>
                      <w:rFonts w:hint="eastAsia"/>
                      <w:color w:val="auto"/>
                      <w:szCs w:val="21"/>
                      <w:highlight w:val="none"/>
                      <w:lang w:val="en-US" w:eastAsia="zh-CN"/>
                    </w:rPr>
                    <w:t>09、352-999-09</w:t>
                  </w:r>
                </w:p>
              </w:tc>
              <w:tc>
                <w:tcPr>
                  <w:tcW w:w="384" w:type="pct"/>
                  <w:vMerge w:val="continue"/>
                  <w:tcBorders>
                    <w:tl2br w:val="nil"/>
                    <w:tr2bl w:val="nil"/>
                  </w:tcBorders>
                  <w:vAlign w:val="center"/>
                </w:tcPr>
                <w:p>
                  <w:pPr>
                    <w:topLinePunct/>
                    <w:adjustRightInd w:val="0"/>
                    <w:snapToGrid w:val="0"/>
                    <w:jc w:val="center"/>
                    <w:rPr>
                      <w:color w:val="auto"/>
                      <w:kern w:val="0"/>
                      <w:szCs w:val="21"/>
                    </w:rPr>
                  </w:pPr>
                </w:p>
              </w:tc>
              <w:tc>
                <w:tcPr>
                  <w:tcW w:w="397" w:type="pct"/>
                  <w:vMerge w:val="continue"/>
                  <w:tcBorders>
                    <w:tl2br w:val="nil"/>
                    <w:tr2bl w:val="nil"/>
                  </w:tcBorders>
                  <w:vAlign w:val="center"/>
                </w:tcPr>
                <w:p>
                  <w:pPr>
                    <w:topLinePunct/>
                    <w:adjustRightInd w:val="0"/>
                    <w:snapToGrid w:val="0"/>
                    <w:jc w:val="center"/>
                    <w:rPr>
                      <w:color w:val="auto"/>
                      <w:kern w:val="0"/>
                      <w:szCs w:val="21"/>
                    </w:rPr>
                  </w:pPr>
                </w:p>
              </w:tc>
              <w:tc>
                <w:tcPr>
                  <w:tcW w:w="431" w:type="pct"/>
                  <w:tcBorders>
                    <w:tl2br w:val="nil"/>
                    <w:tr2bl w:val="nil"/>
                  </w:tcBorders>
                  <w:vAlign w:val="center"/>
                </w:tcPr>
                <w:p>
                  <w:pPr>
                    <w:adjustRightInd w:val="0"/>
                    <w:snapToGrid w:val="0"/>
                    <w:jc w:val="center"/>
                    <w:rPr>
                      <w:color w:val="auto"/>
                      <w:kern w:val="0"/>
                      <w:szCs w:val="21"/>
                    </w:rPr>
                  </w:pPr>
                  <w:r>
                    <w:rPr>
                      <w:rFonts w:hint="eastAsia"/>
                      <w:color w:val="auto"/>
                      <w:kern w:val="0"/>
                      <w:szCs w:val="21"/>
                    </w:rPr>
                    <w:t>堆放</w:t>
                  </w:r>
                </w:p>
              </w:tc>
              <w:tc>
                <w:tcPr>
                  <w:tcW w:w="437" w:type="pct"/>
                  <w:vMerge w:val="continue"/>
                  <w:tcBorders>
                    <w:tl2br w:val="nil"/>
                    <w:tr2bl w:val="nil"/>
                  </w:tcBorders>
                  <w:vAlign w:val="center"/>
                </w:tcPr>
                <w:p>
                  <w:pPr>
                    <w:topLinePunct/>
                    <w:adjustRightInd w:val="0"/>
                    <w:snapToGrid w:val="0"/>
                    <w:jc w:val="center"/>
                    <w:rPr>
                      <w:color w:val="auto"/>
                      <w:kern w:val="0"/>
                      <w:szCs w:val="21"/>
                    </w:rPr>
                  </w:pPr>
                </w:p>
              </w:tc>
              <w:tc>
                <w:tcPr>
                  <w:tcW w:w="433" w:type="pct"/>
                  <w:tcBorders>
                    <w:tl2br w:val="nil"/>
                    <w:tr2bl w:val="nil"/>
                  </w:tcBorders>
                  <w:vAlign w:val="center"/>
                </w:tcPr>
                <w:p>
                  <w:pPr>
                    <w:topLinePunct/>
                    <w:adjustRightInd w:val="0"/>
                    <w:snapToGrid w:val="0"/>
                    <w:jc w:val="center"/>
                    <w:rPr>
                      <w:color w:val="auto"/>
                      <w:kern w:val="0"/>
                      <w:szCs w:val="21"/>
                    </w:rPr>
                  </w:pPr>
                  <w:r>
                    <w:rPr>
                      <w:color w:val="auto"/>
                      <w:kern w:val="0"/>
                      <w:szCs w:val="21"/>
                    </w:rPr>
                    <w:t>一</w:t>
                  </w:r>
                  <w:r>
                    <w:rPr>
                      <w:rFonts w:hint="eastAsia"/>
                      <w:color w:val="auto"/>
                      <w:kern w:val="0"/>
                      <w:szCs w:val="21"/>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topLinePunct/>
                    <w:adjustRightInd w:val="0"/>
                    <w:snapToGrid w:val="0"/>
                    <w:jc w:val="center"/>
                    <w:rPr>
                      <w:color w:val="auto"/>
                      <w:kern w:val="0"/>
                      <w:szCs w:val="21"/>
                    </w:rPr>
                  </w:pPr>
                  <w:r>
                    <w:rPr>
                      <w:color w:val="auto"/>
                      <w:kern w:val="0"/>
                      <w:szCs w:val="21"/>
                    </w:rPr>
                    <w:t>4</w:t>
                  </w:r>
                </w:p>
              </w:tc>
              <w:tc>
                <w:tcPr>
                  <w:tcW w:w="360" w:type="pct"/>
                  <w:vMerge w:val="continue"/>
                  <w:tcBorders>
                    <w:tl2br w:val="nil"/>
                    <w:tr2bl w:val="nil"/>
                  </w:tcBorders>
                  <w:vAlign w:val="center"/>
                </w:tcPr>
                <w:p>
                  <w:pPr>
                    <w:topLinePunct/>
                    <w:adjustRightInd w:val="0"/>
                    <w:snapToGrid w:val="0"/>
                    <w:jc w:val="center"/>
                    <w:rPr>
                      <w:color w:val="auto"/>
                      <w:szCs w:val="21"/>
                    </w:rPr>
                  </w:pPr>
                </w:p>
              </w:tc>
              <w:tc>
                <w:tcPr>
                  <w:tcW w:w="532" w:type="pct"/>
                  <w:vMerge w:val="continue"/>
                  <w:tcBorders>
                    <w:tl2br w:val="nil"/>
                    <w:tr2bl w:val="nil"/>
                  </w:tcBorders>
                  <w:vAlign w:val="center"/>
                </w:tcPr>
                <w:p>
                  <w:pPr>
                    <w:topLinePunct/>
                    <w:adjustRightInd w:val="0"/>
                    <w:snapToGrid w:val="0"/>
                    <w:jc w:val="center"/>
                    <w:rPr>
                      <w:color w:val="auto"/>
                      <w:szCs w:val="21"/>
                    </w:rPr>
                  </w:pPr>
                </w:p>
              </w:tc>
              <w:tc>
                <w:tcPr>
                  <w:tcW w:w="820" w:type="pct"/>
                  <w:tcBorders>
                    <w:tl2br w:val="nil"/>
                    <w:tr2bl w:val="nil"/>
                  </w:tcBorders>
                  <w:vAlign w:val="center"/>
                </w:tcPr>
                <w:p>
                  <w:pPr>
                    <w:widowControl/>
                    <w:jc w:val="center"/>
                    <w:textAlignment w:val="center"/>
                    <w:rPr>
                      <w:color w:val="auto"/>
                      <w:szCs w:val="21"/>
                      <w:highlight w:val="none"/>
                    </w:rPr>
                  </w:pPr>
                  <w:r>
                    <w:rPr>
                      <w:rFonts w:hint="eastAsia"/>
                      <w:color w:val="auto"/>
                      <w:szCs w:val="21"/>
                      <w:highlight w:val="none"/>
                      <w:lang w:val="en-US" w:eastAsia="zh-CN"/>
                    </w:rPr>
                    <w:t>钢</w:t>
                  </w:r>
                  <w:r>
                    <w:rPr>
                      <w:color w:val="auto"/>
                      <w:szCs w:val="21"/>
                      <w:highlight w:val="none"/>
                    </w:rPr>
                    <w:t>屑</w:t>
                  </w:r>
                </w:p>
              </w:tc>
              <w:tc>
                <w:tcPr>
                  <w:tcW w:w="411" w:type="pct"/>
                  <w:tcBorders>
                    <w:tl2br w:val="nil"/>
                    <w:tr2bl w:val="nil"/>
                  </w:tcBorders>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09</w:t>
                  </w:r>
                </w:p>
              </w:tc>
              <w:tc>
                <w:tcPr>
                  <w:tcW w:w="559" w:type="pct"/>
                  <w:tcBorders>
                    <w:tl2br w:val="nil"/>
                    <w:tr2bl w:val="nil"/>
                  </w:tcBorders>
                  <w:vAlign w:val="center"/>
                </w:tcPr>
                <w:p>
                  <w:pPr>
                    <w:widowControl/>
                    <w:jc w:val="center"/>
                    <w:textAlignment w:val="center"/>
                    <w:rPr>
                      <w:rFonts w:hint="default" w:eastAsia="宋体"/>
                      <w:color w:val="auto"/>
                      <w:szCs w:val="21"/>
                      <w:highlight w:val="none"/>
                      <w:lang w:val="en-US" w:eastAsia="zh-CN"/>
                    </w:rPr>
                  </w:pPr>
                  <w:r>
                    <w:rPr>
                      <w:rFonts w:hint="eastAsia"/>
                      <w:color w:val="auto"/>
                      <w:szCs w:val="21"/>
                      <w:highlight w:val="none"/>
                    </w:rPr>
                    <w:t>3</w:t>
                  </w:r>
                  <w:r>
                    <w:rPr>
                      <w:rFonts w:hint="eastAsia"/>
                      <w:color w:val="auto"/>
                      <w:szCs w:val="21"/>
                      <w:highlight w:val="none"/>
                      <w:lang w:val="en-US" w:eastAsia="zh-CN"/>
                    </w:rPr>
                    <w:t>52</w:t>
                  </w:r>
                  <w:r>
                    <w:rPr>
                      <w:rFonts w:hint="eastAsia"/>
                      <w:color w:val="auto"/>
                      <w:szCs w:val="21"/>
                      <w:highlight w:val="none"/>
                    </w:rPr>
                    <w:t>-999-</w:t>
                  </w:r>
                  <w:r>
                    <w:rPr>
                      <w:rFonts w:hint="eastAsia"/>
                      <w:color w:val="auto"/>
                      <w:szCs w:val="21"/>
                      <w:highlight w:val="none"/>
                      <w:lang w:val="en-US" w:eastAsia="zh-CN"/>
                    </w:rPr>
                    <w:t>09</w:t>
                  </w:r>
                </w:p>
              </w:tc>
              <w:tc>
                <w:tcPr>
                  <w:tcW w:w="384" w:type="pct"/>
                  <w:vMerge w:val="continue"/>
                  <w:tcBorders>
                    <w:tl2br w:val="nil"/>
                    <w:tr2bl w:val="nil"/>
                  </w:tcBorders>
                  <w:vAlign w:val="center"/>
                </w:tcPr>
                <w:p>
                  <w:pPr>
                    <w:topLinePunct/>
                    <w:adjustRightInd w:val="0"/>
                    <w:snapToGrid w:val="0"/>
                    <w:jc w:val="center"/>
                    <w:rPr>
                      <w:color w:val="auto"/>
                      <w:kern w:val="0"/>
                      <w:szCs w:val="21"/>
                    </w:rPr>
                  </w:pPr>
                </w:p>
              </w:tc>
              <w:tc>
                <w:tcPr>
                  <w:tcW w:w="397" w:type="pct"/>
                  <w:vMerge w:val="continue"/>
                  <w:tcBorders>
                    <w:tl2br w:val="nil"/>
                    <w:tr2bl w:val="nil"/>
                  </w:tcBorders>
                  <w:vAlign w:val="center"/>
                </w:tcPr>
                <w:p>
                  <w:pPr>
                    <w:topLinePunct/>
                    <w:adjustRightInd w:val="0"/>
                    <w:snapToGrid w:val="0"/>
                    <w:jc w:val="center"/>
                    <w:rPr>
                      <w:color w:val="auto"/>
                      <w:kern w:val="0"/>
                      <w:szCs w:val="21"/>
                    </w:rPr>
                  </w:pPr>
                </w:p>
              </w:tc>
              <w:tc>
                <w:tcPr>
                  <w:tcW w:w="431" w:type="pct"/>
                  <w:tcBorders>
                    <w:tl2br w:val="nil"/>
                    <w:tr2bl w:val="nil"/>
                  </w:tcBorders>
                  <w:vAlign w:val="center"/>
                </w:tcPr>
                <w:p>
                  <w:pPr>
                    <w:adjustRightInd w:val="0"/>
                    <w:snapToGrid w:val="0"/>
                    <w:jc w:val="center"/>
                    <w:rPr>
                      <w:color w:val="auto"/>
                      <w:kern w:val="0"/>
                      <w:szCs w:val="21"/>
                    </w:rPr>
                  </w:pPr>
                  <w:r>
                    <w:rPr>
                      <w:bCs/>
                      <w:color w:val="auto"/>
                      <w:kern w:val="0"/>
                      <w:szCs w:val="21"/>
                    </w:rPr>
                    <w:t>袋装</w:t>
                  </w:r>
                </w:p>
              </w:tc>
              <w:tc>
                <w:tcPr>
                  <w:tcW w:w="437" w:type="pct"/>
                  <w:vMerge w:val="continue"/>
                  <w:tcBorders>
                    <w:tl2br w:val="nil"/>
                    <w:tr2bl w:val="nil"/>
                  </w:tcBorders>
                  <w:vAlign w:val="center"/>
                </w:tcPr>
                <w:p>
                  <w:pPr>
                    <w:topLinePunct/>
                    <w:adjustRightInd w:val="0"/>
                    <w:snapToGrid w:val="0"/>
                    <w:jc w:val="center"/>
                    <w:rPr>
                      <w:color w:val="auto"/>
                      <w:kern w:val="0"/>
                      <w:szCs w:val="21"/>
                    </w:rPr>
                  </w:pPr>
                </w:p>
              </w:tc>
              <w:tc>
                <w:tcPr>
                  <w:tcW w:w="433" w:type="pct"/>
                  <w:tcBorders>
                    <w:tl2br w:val="nil"/>
                    <w:tr2bl w:val="nil"/>
                  </w:tcBorders>
                  <w:vAlign w:val="center"/>
                </w:tcPr>
                <w:p>
                  <w:pPr>
                    <w:topLinePunct/>
                    <w:adjustRightInd w:val="0"/>
                    <w:snapToGrid w:val="0"/>
                    <w:jc w:val="center"/>
                    <w:rPr>
                      <w:color w:val="auto"/>
                      <w:kern w:val="0"/>
                      <w:szCs w:val="21"/>
                    </w:rPr>
                  </w:pPr>
                  <w:r>
                    <w:rPr>
                      <w:color w:val="auto"/>
                      <w:kern w:val="0"/>
                      <w:szCs w:val="21"/>
                    </w:rPr>
                    <w:t>一</w:t>
                  </w:r>
                  <w:r>
                    <w:rPr>
                      <w:rFonts w:hint="eastAsia"/>
                      <w:color w:val="auto"/>
                      <w:kern w:val="0"/>
                      <w:szCs w:val="21"/>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topLinePunct/>
                    <w:adjustRightInd w:val="0"/>
                    <w:snapToGrid w:val="0"/>
                    <w:jc w:val="center"/>
                    <w:rPr>
                      <w:color w:val="auto"/>
                      <w:kern w:val="0"/>
                      <w:szCs w:val="21"/>
                    </w:rPr>
                  </w:pPr>
                  <w:r>
                    <w:rPr>
                      <w:color w:val="auto"/>
                      <w:kern w:val="0"/>
                      <w:szCs w:val="21"/>
                    </w:rPr>
                    <w:t>5</w:t>
                  </w:r>
                </w:p>
              </w:tc>
              <w:tc>
                <w:tcPr>
                  <w:tcW w:w="360" w:type="pct"/>
                  <w:vMerge w:val="continue"/>
                  <w:tcBorders>
                    <w:tl2br w:val="nil"/>
                    <w:tr2bl w:val="nil"/>
                  </w:tcBorders>
                  <w:vAlign w:val="center"/>
                </w:tcPr>
                <w:p>
                  <w:pPr>
                    <w:topLinePunct/>
                    <w:adjustRightInd w:val="0"/>
                    <w:snapToGrid w:val="0"/>
                    <w:jc w:val="center"/>
                    <w:rPr>
                      <w:color w:val="auto"/>
                      <w:szCs w:val="21"/>
                    </w:rPr>
                  </w:pPr>
                </w:p>
              </w:tc>
              <w:tc>
                <w:tcPr>
                  <w:tcW w:w="532" w:type="pct"/>
                  <w:vMerge w:val="continue"/>
                  <w:tcBorders>
                    <w:tl2br w:val="nil"/>
                    <w:tr2bl w:val="nil"/>
                  </w:tcBorders>
                  <w:vAlign w:val="center"/>
                </w:tcPr>
                <w:p>
                  <w:pPr>
                    <w:topLinePunct/>
                    <w:adjustRightInd w:val="0"/>
                    <w:snapToGrid w:val="0"/>
                    <w:jc w:val="center"/>
                    <w:rPr>
                      <w:color w:val="auto"/>
                      <w:szCs w:val="21"/>
                    </w:rPr>
                  </w:pPr>
                </w:p>
              </w:tc>
              <w:tc>
                <w:tcPr>
                  <w:tcW w:w="820" w:type="pct"/>
                  <w:tcBorders>
                    <w:tl2br w:val="nil"/>
                    <w:tr2bl w:val="nil"/>
                  </w:tcBorders>
                  <w:vAlign w:val="center"/>
                </w:tcPr>
                <w:p>
                  <w:pPr>
                    <w:widowControl/>
                    <w:jc w:val="center"/>
                    <w:textAlignment w:val="center"/>
                    <w:rPr>
                      <w:color w:val="auto"/>
                      <w:szCs w:val="21"/>
                      <w:highlight w:val="none"/>
                    </w:rPr>
                  </w:pPr>
                  <w:r>
                    <w:rPr>
                      <w:color w:val="auto"/>
                      <w:kern w:val="0"/>
                      <w:szCs w:val="21"/>
                      <w:highlight w:val="none"/>
                      <w:lang w:bidi="ar"/>
                    </w:rPr>
                    <w:t>废塑粉</w:t>
                  </w:r>
                </w:p>
              </w:tc>
              <w:tc>
                <w:tcPr>
                  <w:tcW w:w="1111" w:type="dxa"/>
                  <w:tcBorders>
                    <w:tl2br w:val="nil"/>
                    <w:tr2bl w:val="nil"/>
                  </w:tcBorders>
                  <w:vAlign w:val="center"/>
                </w:tcPr>
                <w:p>
                  <w:pPr>
                    <w:widowControl/>
                    <w:jc w:val="center"/>
                    <w:textAlignment w:val="center"/>
                    <w:rPr>
                      <w:color w:val="auto"/>
                      <w:szCs w:val="21"/>
                      <w:highlight w:val="none"/>
                    </w:rPr>
                  </w:pPr>
                  <w:r>
                    <w:rPr>
                      <w:rFonts w:hint="eastAsia"/>
                      <w:color w:val="auto"/>
                      <w:szCs w:val="21"/>
                      <w:highlight w:val="none"/>
                    </w:rPr>
                    <w:t>66</w:t>
                  </w:r>
                </w:p>
              </w:tc>
              <w:tc>
                <w:tcPr>
                  <w:tcW w:w="1511" w:type="dxa"/>
                  <w:tcBorders>
                    <w:tl2br w:val="nil"/>
                    <w:tr2bl w:val="nil"/>
                  </w:tcBorders>
                  <w:vAlign w:val="center"/>
                </w:tcPr>
                <w:p>
                  <w:pPr>
                    <w:widowControl/>
                    <w:jc w:val="center"/>
                    <w:textAlignment w:val="center"/>
                    <w:rPr>
                      <w:color w:val="auto"/>
                      <w:szCs w:val="21"/>
                      <w:highlight w:val="none"/>
                    </w:rPr>
                  </w:pPr>
                  <w:r>
                    <w:rPr>
                      <w:rFonts w:hint="eastAsia"/>
                      <w:color w:val="auto"/>
                      <w:szCs w:val="21"/>
                      <w:highlight w:val="none"/>
                    </w:rPr>
                    <w:t>900-999-66</w:t>
                  </w:r>
                </w:p>
              </w:tc>
              <w:tc>
                <w:tcPr>
                  <w:tcW w:w="384" w:type="pct"/>
                  <w:vMerge w:val="continue"/>
                  <w:tcBorders>
                    <w:tl2br w:val="nil"/>
                    <w:tr2bl w:val="nil"/>
                  </w:tcBorders>
                  <w:vAlign w:val="center"/>
                </w:tcPr>
                <w:p>
                  <w:pPr>
                    <w:topLinePunct/>
                    <w:adjustRightInd w:val="0"/>
                    <w:snapToGrid w:val="0"/>
                    <w:jc w:val="center"/>
                    <w:rPr>
                      <w:color w:val="auto"/>
                      <w:kern w:val="0"/>
                      <w:szCs w:val="21"/>
                    </w:rPr>
                  </w:pPr>
                </w:p>
              </w:tc>
              <w:tc>
                <w:tcPr>
                  <w:tcW w:w="397" w:type="pct"/>
                  <w:vMerge w:val="continue"/>
                  <w:tcBorders>
                    <w:tl2br w:val="nil"/>
                    <w:tr2bl w:val="nil"/>
                  </w:tcBorders>
                  <w:vAlign w:val="center"/>
                </w:tcPr>
                <w:p>
                  <w:pPr>
                    <w:topLinePunct/>
                    <w:adjustRightInd w:val="0"/>
                    <w:snapToGrid w:val="0"/>
                    <w:jc w:val="center"/>
                    <w:rPr>
                      <w:color w:val="auto"/>
                      <w:kern w:val="0"/>
                      <w:szCs w:val="21"/>
                    </w:rPr>
                  </w:pPr>
                </w:p>
              </w:tc>
              <w:tc>
                <w:tcPr>
                  <w:tcW w:w="431" w:type="pct"/>
                  <w:tcBorders>
                    <w:tl2br w:val="nil"/>
                    <w:tr2bl w:val="nil"/>
                  </w:tcBorders>
                  <w:vAlign w:val="center"/>
                </w:tcPr>
                <w:p>
                  <w:pPr>
                    <w:adjustRightInd w:val="0"/>
                    <w:snapToGrid w:val="0"/>
                    <w:jc w:val="center"/>
                    <w:rPr>
                      <w:color w:val="auto"/>
                      <w:kern w:val="0"/>
                      <w:szCs w:val="21"/>
                    </w:rPr>
                  </w:pPr>
                  <w:r>
                    <w:rPr>
                      <w:bCs/>
                      <w:color w:val="auto"/>
                      <w:kern w:val="0"/>
                      <w:szCs w:val="21"/>
                    </w:rPr>
                    <w:t>袋装</w:t>
                  </w:r>
                </w:p>
              </w:tc>
              <w:tc>
                <w:tcPr>
                  <w:tcW w:w="437" w:type="pct"/>
                  <w:vMerge w:val="continue"/>
                  <w:tcBorders>
                    <w:tl2br w:val="nil"/>
                    <w:tr2bl w:val="nil"/>
                  </w:tcBorders>
                  <w:vAlign w:val="center"/>
                </w:tcPr>
                <w:p>
                  <w:pPr>
                    <w:topLinePunct/>
                    <w:adjustRightInd w:val="0"/>
                    <w:snapToGrid w:val="0"/>
                    <w:jc w:val="center"/>
                    <w:rPr>
                      <w:color w:val="auto"/>
                      <w:kern w:val="0"/>
                      <w:szCs w:val="21"/>
                    </w:rPr>
                  </w:pPr>
                </w:p>
              </w:tc>
              <w:tc>
                <w:tcPr>
                  <w:tcW w:w="433" w:type="pct"/>
                  <w:tcBorders>
                    <w:tl2br w:val="nil"/>
                    <w:tr2bl w:val="nil"/>
                  </w:tcBorders>
                  <w:vAlign w:val="center"/>
                </w:tcPr>
                <w:p>
                  <w:pPr>
                    <w:topLinePunct/>
                    <w:adjustRightInd w:val="0"/>
                    <w:snapToGrid w:val="0"/>
                    <w:jc w:val="center"/>
                    <w:rPr>
                      <w:color w:val="auto"/>
                      <w:kern w:val="0"/>
                      <w:szCs w:val="21"/>
                    </w:rPr>
                  </w:pPr>
                  <w:r>
                    <w:rPr>
                      <w:color w:val="auto"/>
                      <w:kern w:val="0"/>
                      <w:szCs w:val="21"/>
                    </w:rPr>
                    <w:t>一</w:t>
                  </w:r>
                  <w:r>
                    <w:rPr>
                      <w:rFonts w:hint="eastAsia"/>
                      <w:color w:val="auto"/>
                      <w:kern w:val="0"/>
                      <w:szCs w:val="21"/>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topLinePunct/>
                    <w:adjustRightInd w:val="0"/>
                    <w:snapToGrid w:val="0"/>
                    <w:jc w:val="center"/>
                    <w:rPr>
                      <w:color w:val="auto"/>
                      <w:kern w:val="0"/>
                      <w:szCs w:val="21"/>
                    </w:rPr>
                  </w:pPr>
                  <w:r>
                    <w:rPr>
                      <w:color w:val="auto"/>
                      <w:kern w:val="0"/>
                      <w:szCs w:val="21"/>
                    </w:rPr>
                    <w:t>6</w:t>
                  </w:r>
                </w:p>
              </w:tc>
              <w:tc>
                <w:tcPr>
                  <w:tcW w:w="360" w:type="pct"/>
                  <w:vMerge w:val="continue"/>
                  <w:tcBorders>
                    <w:tl2br w:val="nil"/>
                    <w:tr2bl w:val="nil"/>
                  </w:tcBorders>
                  <w:vAlign w:val="center"/>
                </w:tcPr>
                <w:p>
                  <w:pPr>
                    <w:topLinePunct/>
                    <w:adjustRightInd w:val="0"/>
                    <w:snapToGrid w:val="0"/>
                    <w:jc w:val="center"/>
                    <w:rPr>
                      <w:color w:val="auto"/>
                      <w:szCs w:val="21"/>
                    </w:rPr>
                  </w:pPr>
                </w:p>
              </w:tc>
              <w:tc>
                <w:tcPr>
                  <w:tcW w:w="532" w:type="pct"/>
                  <w:vMerge w:val="continue"/>
                  <w:tcBorders>
                    <w:tl2br w:val="nil"/>
                    <w:tr2bl w:val="nil"/>
                  </w:tcBorders>
                  <w:vAlign w:val="center"/>
                </w:tcPr>
                <w:p>
                  <w:pPr>
                    <w:topLinePunct/>
                    <w:adjustRightInd w:val="0"/>
                    <w:snapToGrid w:val="0"/>
                    <w:jc w:val="center"/>
                    <w:rPr>
                      <w:color w:val="auto"/>
                      <w:szCs w:val="21"/>
                    </w:rPr>
                  </w:pPr>
                </w:p>
              </w:tc>
              <w:tc>
                <w:tcPr>
                  <w:tcW w:w="820" w:type="pct"/>
                  <w:tcBorders>
                    <w:tl2br w:val="nil"/>
                    <w:tr2bl w:val="nil"/>
                  </w:tcBorders>
                  <w:vAlign w:val="center"/>
                </w:tcPr>
                <w:p>
                  <w:pPr>
                    <w:widowControl/>
                    <w:jc w:val="center"/>
                    <w:textAlignment w:val="center"/>
                    <w:rPr>
                      <w:color w:val="auto"/>
                      <w:kern w:val="0"/>
                      <w:szCs w:val="21"/>
                      <w:highlight w:val="none"/>
                      <w:lang w:bidi="ar"/>
                    </w:rPr>
                  </w:pPr>
                  <w:r>
                    <w:rPr>
                      <w:color w:val="auto"/>
                      <w:szCs w:val="21"/>
                      <w:highlight w:val="none"/>
                    </w:rPr>
                    <w:t>废包装材料</w:t>
                  </w:r>
                </w:p>
              </w:tc>
              <w:tc>
                <w:tcPr>
                  <w:tcW w:w="1111" w:type="dxa"/>
                  <w:tcBorders>
                    <w:tl2br w:val="nil"/>
                    <w:tr2bl w:val="nil"/>
                  </w:tcBorders>
                  <w:vAlign w:val="center"/>
                </w:tcPr>
                <w:p>
                  <w:pPr>
                    <w:widowControl/>
                    <w:jc w:val="center"/>
                    <w:textAlignment w:val="center"/>
                    <w:rPr>
                      <w:color w:val="auto"/>
                      <w:kern w:val="0"/>
                      <w:szCs w:val="21"/>
                      <w:highlight w:val="none"/>
                      <w:lang w:bidi="ar"/>
                    </w:rPr>
                  </w:pPr>
                  <w:r>
                    <w:rPr>
                      <w:color w:val="auto"/>
                      <w:kern w:val="0"/>
                      <w:szCs w:val="21"/>
                      <w:highlight w:val="none"/>
                      <w:lang w:bidi="ar"/>
                    </w:rPr>
                    <w:t>07</w:t>
                  </w:r>
                </w:p>
              </w:tc>
              <w:tc>
                <w:tcPr>
                  <w:tcW w:w="1511" w:type="dxa"/>
                  <w:tcBorders>
                    <w:tl2br w:val="nil"/>
                    <w:tr2bl w:val="nil"/>
                  </w:tcBorders>
                  <w:vAlign w:val="center"/>
                </w:tcPr>
                <w:p>
                  <w:pPr>
                    <w:widowControl/>
                    <w:jc w:val="center"/>
                    <w:textAlignment w:val="center"/>
                    <w:rPr>
                      <w:color w:val="auto"/>
                      <w:kern w:val="0"/>
                      <w:szCs w:val="21"/>
                      <w:highlight w:val="none"/>
                      <w:lang w:bidi="ar"/>
                    </w:rPr>
                  </w:pPr>
                  <w:r>
                    <w:rPr>
                      <w:rFonts w:hint="eastAsia"/>
                      <w:bCs/>
                      <w:color w:val="auto"/>
                      <w:szCs w:val="21"/>
                      <w:highlight w:val="none"/>
                    </w:rPr>
                    <w:t>900</w:t>
                  </w:r>
                  <w:r>
                    <w:rPr>
                      <w:bCs/>
                      <w:color w:val="auto"/>
                      <w:szCs w:val="21"/>
                      <w:highlight w:val="none"/>
                    </w:rPr>
                    <w:t>-999-07</w:t>
                  </w:r>
                </w:p>
              </w:tc>
              <w:tc>
                <w:tcPr>
                  <w:tcW w:w="384" w:type="pct"/>
                  <w:vMerge w:val="continue"/>
                  <w:tcBorders>
                    <w:tl2br w:val="nil"/>
                    <w:tr2bl w:val="nil"/>
                  </w:tcBorders>
                  <w:vAlign w:val="center"/>
                </w:tcPr>
                <w:p>
                  <w:pPr>
                    <w:topLinePunct/>
                    <w:adjustRightInd w:val="0"/>
                    <w:snapToGrid w:val="0"/>
                    <w:jc w:val="center"/>
                    <w:rPr>
                      <w:color w:val="auto"/>
                      <w:kern w:val="0"/>
                      <w:szCs w:val="21"/>
                    </w:rPr>
                  </w:pPr>
                </w:p>
              </w:tc>
              <w:tc>
                <w:tcPr>
                  <w:tcW w:w="397" w:type="pct"/>
                  <w:vMerge w:val="continue"/>
                  <w:tcBorders>
                    <w:tl2br w:val="nil"/>
                    <w:tr2bl w:val="nil"/>
                  </w:tcBorders>
                  <w:vAlign w:val="center"/>
                </w:tcPr>
                <w:p>
                  <w:pPr>
                    <w:topLinePunct/>
                    <w:adjustRightInd w:val="0"/>
                    <w:snapToGrid w:val="0"/>
                    <w:jc w:val="center"/>
                    <w:rPr>
                      <w:color w:val="auto"/>
                      <w:kern w:val="0"/>
                      <w:szCs w:val="21"/>
                    </w:rPr>
                  </w:pPr>
                </w:p>
              </w:tc>
              <w:tc>
                <w:tcPr>
                  <w:tcW w:w="431" w:type="pct"/>
                  <w:tcBorders>
                    <w:tl2br w:val="nil"/>
                    <w:tr2bl w:val="nil"/>
                  </w:tcBorders>
                  <w:vAlign w:val="center"/>
                </w:tcPr>
                <w:p>
                  <w:pPr>
                    <w:adjustRightInd w:val="0"/>
                    <w:snapToGrid w:val="0"/>
                    <w:jc w:val="center"/>
                    <w:rPr>
                      <w:color w:val="auto"/>
                      <w:kern w:val="0"/>
                      <w:szCs w:val="21"/>
                    </w:rPr>
                  </w:pPr>
                  <w:r>
                    <w:rPr>
                      <w:rFonts w:hint="eastAsia"/>
                      <w:bCs/>
                      <w:color w:val="auto"/>
                      <w:kern w:val="0"/>
                      <w:szCs w:val="21"/>
                    </w:rPr>
                    <w:t>堆放</w:t>
                  </w:r>
                </w:p>
              </w:tc>
              <w:tc>
                <w:tcPr>
                  <w:tcW w:w="437" w:type="pct"/>
                  <w:vMerge w:val="continue"/>
                  <w:tcBorders>
                    <w:tl2br w:val="nil"/>
                    <w:tr2bl w:val="nil"/>
                  </w:tcBorders>
                  <w:vAlign w:val="center"/>
                </w:tcPr>
                <w:p>
                  <w:pPr>
                    <w:topLinePunct/>
                    <w:adjustRightInd w:val="0"/>
                    <w:snapToGrid w:val="0"/>
                    <w:jc w:val="center"/>
                    <w:rPr>
                      <w:color w:val="auto"/>
                      <w:kern w:val="0"/>
                      <w:szCs w:val="21"/>
                    </w:rPr>
                  </w:pPr>
                </w:p>
              </w:tc>
              <w:tc>
                <w:tcPr>
                  <w:tcW w:w="433" w:type="pct"/>
                  <w:tcBorders>
                    <w:tl2br w:val="nil"/>
                    <w:tr2bl w:val="nil"/>
                  </w:tcBorders>
                  <w:vAlign w:val="center"/>
                </w:tcPr>
                <w:p>
                  <w:pPr>
                    <w:topLinePunct/>
                    <w:adjustRightInd w:val="0"/>
                    <w:snapToGrid w:val="0"/>
                    <w:jc w:val="center"/>
                    <w:rPr>
                      <w:color w:val="auto"/>
                      <w:kern w:val="0"/>
                      <w:szCs w:val="21"/>
                    </w:rPr>
                  </w:pPr>
                  <w:r>
                    <w:rPr>
                      <w:color w:val="auto"/>
                      <w:kern w:val="0"/>
                      <w:szCs w:val="21"/>
                    </w:rPr>
                    <w:t>一</w:t>
                  </w:r>
                  <w:r>
                    <w:rPr>
                      <w:rFonts w:hint="eastAsia"/>
                      <w:color w:val="auto"/>
                      <w:kern w:val="0"/>
                      <w:szCs w:val="21"/>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0" w:type="pct"/>
                  <w:tcBorders>
                    <w:tl2br w:val="nil"/>
                    <w:tr2bl w:val="nil"/>
                  </w:tcBorders>
                  <w:vAlign w:val="center"/>
                </w:tcPr>
                <w:p>
                  <w:pPr>
                    <w:topLinePunct/>
                    <w:adjustRightInd w:val="0"/>
                    <w:snapToGrid w:val="0"/>
                    <w:jc w:val="center"/>
                    <w:rPr>
                      <w:color w:val="auto"/>
                      <w:kern w:val="0"/>
                      <w:szCs w:val="21"/>
                    </w:rPr>
                  </w:pPr>
                  <w:r>
                    <w:rPr>
                      <w:color w:val="auto"/>
                      <w:kern w:val="0"/>
                      <w:szCs w:val="21"/>
                    </w:rPr>
                    <w:t>7</w:t>
                  </w:r>
                </w:p>
              </w:tc>
              <w:tc>
                <w:tcPr>
                  <w:tcW w:w="360" w:type="pct"/>
                  <w:vMerge w:val="continue"/>
                  <w:tcBorders>
                    <w:tl2br w:val="nil"/>
                    <w:tr2bl w:val="nil"/>
                  </w:tcBorders>
                  <w:vAlign w:val="center"/>
                </w:tcPr>
                <w:p>
                  <w:pPr>
                    <w:topLinePunct/>
                    <w:adjustRightInd w:val="0"/>
                    <w:snapToGrid w:val="0"/>
                    <w:jc w:val="center"/>
                    <w:rPr>
                      <w:color w:val="auto"/>
                      <w:szCs w:val="21"/>
                    </w:rPr>
                  </w:pPr>
                </w:p>
              </w:tc>
              <w:tc>
                <w:tcPr>
                  <w:tcW w:w="532" w:type="pct"/>
                  <w:vMerge w:val="continue"/>
                  <w:tcBorders>
                    <w:tl2br w:val="nil"/>
                    <w:tr2bl w:val="nil"/>
                  </w:tcBorders>
                  <w:vAlign w:val="center"/>
                </w:tcPr>
                <w:p>
                  <w:pPr>
                    <w:topLinePunct/>
                    <w:adjustRightInd w:val="0"/>
                    <w:snapToGrid w:val="0"/>
                    <w:jc w:val="center"/>
                    <w:rPr>
                      <w:color w:val="auto"/>
                      <w:szCs w:val="21"/>
                    </w:rPr>
                  </w:pPr>
                </w:p>
              </w:tc>
              <w:tc>
                <w:tcPr>
                  <w:tcW w:w="820" w:type="pct"/>
                  <w:tcBorders>
                    <w:tl2br w:val="nil"/>
                    <w:tr2bl w:val="nil"/>
                  </w:tcBorders>
                  <w:vAlign w:val="center"/>
                </w:tcPr>
                <w:p>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纯水制备废过滤材料</w:t>
                  </w:r>
                </w:p>
              </w:tc>
              <w:tc>
                <w:tcPr>
                  <w:tcW w:w="411" w:type="pct"/>
                  <w:tcBorders>
                    <w:tl2br w:val="nil"/>
                    <w:tr2bl w:val="nil"/>
                  </w:tcBorders>
                  <w:vAlign w:val="center"/>
                </w:tcPr>
                <w:p>
                  <w:pPr>
                    <w:widowControl/>
                    <w:jc w:val="center"/>
                    <w:textAlignment w:val="center"/>
                    <w:rPr>
                      <w:rFonts w:hint="default" w:eastAsia="宋体"/>
                      <w:color w:val="auto"/>
                      <w:kern w:val="0"/>
                      <w:szCs w:val="21"/>
                      <w:highlight w:val="none"/>
                      <w:lang w:val="en-US" w:eastAsia="zh-CN" w:bidi="ar"/>
                    </w:rPr>
                  </w:pPr>
                  <w:r>
                    <w:rPr>
                      <w:rFonts w:hint="eastAsia"/>
                      <w:color w:val="auto"/>
                      <w:szCs w:val="21"/>
                      <w:highlight w:val="none"/>
                      <w:lang w:val="en-US" w:eastAsia="zh-CN"/>
                    </w:rPr>
                    <w:t>99</w:t>
                  </w:r>
                </w:p>
              </w:tc>
              <w:tc>
                <w:tcPr>
                  <w:tcW w:w="559" w:type="pct"/>
                  <w:tcBorders>
                    <w:tl2br w:val="nil"/>
                    <w:tr2bl w:val="nil"/>
                  </w:tcBorders>
                  <w:vAlign w:val="center"/>
                </w:tcPr>
                <w:p>
                  <w:pPr>
                    <w:widowControl/>
                    <w:jc w:val="center"/>
                    <w:textAlignment w:val="center"/>
                    <w:rPr>
                      <w:rFonts w:hint="default" w:eastAsia="宋体"/>
                      <w:color w:val="auto"/>
                      <w:kern w:val="0"/>
                      <w:szCs w:val="21"/>
                      <w:highlight w:val="none"/>
                      <w:lang w:val="en-US" w:eastAsia="zh-CN" w:bidi="ar"/>
                    </w:rPr>
                  </w:pPr>
                  <w:r>
                    <w:rPr>
                      <w:rFonts w:hint="eastAsia"/>
                      <w:color w:val="auto"/>
                      <w:szCs w:val="21"/>
                      <w:highlight w:val="none"/>
                    </w:rPr>
                    <w:t>900-999-</w:t>
                  </w:r>
                  <w:r>
                    <w:rPr>
                      <w:rFonts w:hint="eastAsia"/>
                      <w:color w:val="auto"/>
                      <w:szCs w:val="21"/>
                      <w:highlight w:val="none"/>
                      <w:lang w:val="en-US" w:eastAsia="zh-CN"/>
                    </w:rPr>
                    <w:t>99</w:t>
                  </w:r>
                </w:p>
              </w:tc>
              <w:tc>
                <w:tcPr>
                  <w:tcW w:w="384" w:type="pct"/>
                  <w:vMerge w:val="continue"/>
                  <w:tcBorders>
                    <w:tl2br w:val="nil"/>
                    <w:tr2bl w:val="nil"/>
                  </w:tcBorders>
                  <w:vAlign w:val="center"/>
                </w:tcPr>
                <w:p>
                  <w:pPr>
                    <w:topLinePunct/>
                    <w:adjustRightInd w:val="0"/>
                    <w:snapToGrid w:val="0"/>
                    <w:jc w:val="center"/>
                    <w:rPr>
                      <w:color w:val="auto"/>
                      <w:kern w:val="0"/>
                      <w:szCs w:val="21"/>
                    </w:rPr>
                  </w:pPr>
                </w:p>
              </w:tc>
              <w:tc>
                <w:tcPr>
                  <w:tcW w:w="397" w:type="pct"/>
                  <w:vMerge w:val="continue"/>
                  <w:tcBorders>
                    <w:tl2br w:val="nil"/>
                    <w:tr2bl w:val="nil"/>
                  </w:tcBorders>
                  <w:vAlign w:val="center"/>
                </w:tcPr>
                <w:p>
                  <w:pPr>
                    <w:topLinePunct/>
                    <w:adjustRightInd w:val="0"/>
                    <w:snapToGrid w:val="0"/>
                    <w:jc w:val="center"/>
                    <w:rPr>
                      <w:color w:val="auto"/>
                      <w:kern w:val="0"/>
                      <w:szCs w:val="21"/>
                    </w:rPr>
                  </w:pPr>
                </w:p>
              </w:tc>
              <w:tc>
                <w:tcPr>
                  <w:tcW w:w="431" w:type="pct"/>
                  <w:tcBorders>
                    <w:tl2br w:val="nil"/>
                    <w:tr2bl w:val="nil"/>
                  </w:tcBorders>
                  <w:vAlign w:val="center"/>
                </w:tcPr>
                <w:p>
                  <w:pPr>
                    <w:adjustRightInd w:val="0"/>
                    <w:snapToGrid w:val="0"/>
                    <w:jc w:val="center"/>
                    <w:rPr>
                      <w:color w:val="auto"/>
                      <w:kern w:val="0"/>
                      <w:szCs w:val="21"/>
                    </w:rPr>
                  </w:pPr>
                  <w:r>
                    <w:rPr>
                      <w:bCs/>
                      <w:color w:val="auto"/>
                      <w:kern w:val="0"/>
                      <w:szCs w:val="21"/>
                    </w:rPr>
                    <w:t>袋装</w:t>
                  </w:r>
                </w:p>
              </w:tc>
              <w:tc>
                <w:tcPr>
                  <w:tcW w:w="437" w:type="pct"/>
                  <w:vMerge w:val="continue"/>
                  <w:tcBorders>
                    <w:tl2br w:val="nil"/>
                    <w:tr2bl w:val="nil"/>
                  </w:tcBorders>
                  <w:vAlign w:val="center"/>
                </w:tcPr>
                <w:p>
                  <w:pPr>
                    <w:topLinePunct/>
                    <w:adjustRightInd w:val="0"/>
                    <w:snapToGrid w:val="0"/>
                    <w:jc w:val="center"/>
                    <w:rPr>
                      <w:color w:val="auto"/>
                      <w:kern w:val="0"/>
                      <w:szCs w:val="21"/>
                    </w:rPr>
                  </w:pPr>
                </w:p>
              </w:tc>
              <w:tc>
                <w:tcPr>
                  <w:tcW w:w="433" w:type="pct"/>
                  <w:tcBorders>
                    <w:tl2br w:val="nil"/>
                    <w:tr2bl w:val="nil"/>
                  </w:tcBorders>
                  <w:vAlign w:val="center"/>
                </w:tcPr>
                <w:p>
                  <w:pPr>
                    <w:topLinePunct/>
                    <w:adjustRightInd w:val="0"/>
                    <w:snapToGrid w:val="0"/>
                    <w:jc w:val="center"/>
                    <w:rPr>
                      <w:color w:val="auto"/>
                      <w:kern w:val="0"/>
                      <w:szCs w:val="21"/>
                    </w:rPr>
                  </w:pPr>
                  <w:r>
                    <w:rPr>
                      <w:color w:val="auto"/>
                      <w:kern w:val="0"/>
                      <w:szCs w:val="21"/>
                    </w:rPr>
                    <w:t>一</w:t>
                  </w:r>
                  <w:r>
                    <w:rPr>
                      <w:rFonts w:hint="eastAsia"/>
                      <w:color w:val="auto"/>
                      <w:kern w:val="0"/>
                      <w:szCs w:val="21"/>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topLinePunct/>
                    <w:adjustRightInd w:val="0"/>
                    <w:snapToGrid w:val="0"/>
                    <w:jc w:val="center"/>
                    <w:rPr>
                      <w:color w:val="auto"/>
                      <w:kern w:val="0"/>
                      <w:szCs w:val="21"/>
                    </w:rPr>
                  </w:pPr>
                  <w:r>
                    <w:rPr>
                      <w:rFonts w:hint="eastAsia"/>
                      <w:color w:val="auto"/>
                      <w:kern w:val="0"/>
                      <w:szCs w:val="21"/>
                    </w:rPr>
                    <w:t>10</w:t>
                  </w:r>
                </w:p>
              </w:tc>
              <w:tc>
                <w:tcPr>
                  <w:tcW w:w="360" w:type="pct"/>
                  <w:vMerge w:val="continue"/>
                  <w:tcBorders>
                    <w:tl2br w:val="nil"/>
                    <w:tr2bl w:val="nil"/>
                  </w:tcBorders>
                  <w:vAlign w:val="center"/>
                </w:tcPr>
                <w:p>
                  <w:pPr>
                    <w:topLinePunct/>
                    <w:adjustRightInd w:val="0"/>
                    <w:snapToGrid w:val="0"/>
                    <w:jc w:val="center"/>
                    <w:rPr>
                      <w:color w:val="auto"/>
                      <w:szCs w:val="21"/>
                    </w:rPr>
                  </w:pPr>
                </w:p>
              </w:tc>
              <w:tc>
                <w:tcPr>
                  <w:tcW w:w="532" w:type="pct"/>
                  <w:vMerge w:val="continue"/>
                  <w:tcBorders>
                    <w:tl2br w:val="nil"/>
                    <w:tr2bl w:val="nil"/>
                  </w:tcBorders>
                  <w:vAlign w:val="center"/>
                </w:tcPr>
                <w:p>
                  <w:pPr>
                    <w:topLinePunct/>
                    <w:adjustRightInd w:val="0"/>
                    <w:snapToGrid w:val="0"/>
                    <w:jc w:val="center"/>
                    <w:rPr>
                      <w:color w:val="auto"/>
                      <w:szCs w:val="21"/>
                    </w:rPr>
                  </w:pPr>
                </w:p>
              </w:tc>
              <w:tc>
                <w:tcPr>
                  <w:tcW w:w="820" w:type="pct"/>
                  <w:tcBorders>
                    <w:tl2br w:val="nil"/>
                    <w:tr2bl w:val="nil"/>
                  </w:tcBorders>
                  <w:vAlign w:val="center"/>
                </w:tcPr>
                <w:p>
                  <w:pPr>
                    <w:widowControl/>
                    <w:jc w:val="center"/>
                    <w:textAlignment w:val="center"/>
                    <w:rPr>
                      <w:color w:val="auto"/>
                      <w:szCs w:val="21"/>
                    </w:rPr>
                  </w:pPr>
                  <w:r>
                    <w:rPr>
                      <w:color w:val="auto"/>
                      <w:szCs w:val="21"/>
                    </w:rPr>
                    <w:t>生活污水沉淀捞渣</w:t>
                  </w:r>
                </w:p>
              </w:tc>
              <w:tc>
                <w:tcPr>
                  <w:tcW w:w="411" w:type="pct"/>
                  <w:tcBorders>
                    <w:tl2br w:val="nil"/>
                    <w:tr2bl w:val="nil"/>
                  </w:tcBorders>
                  <w:vAlign w:val="center"/>
                </w:tcPr>
                <w:p>
                  <w:pPr>
                    <w:widowControl/>
                    <w:jc w:val="center"/>
                    <w:textAlignment w:val="center"/>
                    <w:rPr>
                      <w:color w:val="auto"/>
                      <w:szCs w:val="21"/>
                    </w:rPr>
                  </w:pPr>
                  <w:r>
                    <w:rPr>
                      <w:bCs/>
                      <w:color w:val="auto"/>
                      <w:szCs w:val="21"/>
                    </w:rPr>
                    <w:t>99</w:t>
                  </w:r>
                </w:p>
              </w:tc>
              <w:tc>
                <w:tcPr>
                  <w:tcW w:w="559" w:type="pct"/>
                  <w:tcBorders>
                    <w:tl2br w:val="nil"/>
                    <w:tr2bl w:val="nil"/>
                  </w:tcBorders>
                  <w:vAlign w:val="center"/>
                </w:tcPr>
                <w:p>
                  <w:pPr>
                    <w:widowControl/>
                    <w:jc w:val="center"/>
                    <w:textAlignment w:val="center"/>
                    <w:rPr>
                      <w:color w:val="auto"/>
                      <w:szCs w:val="21"/>
                    </w:rPr>
                  </w:pPr>
                  <w:r>
                    <w:rPr>
                      <w:bCs/>
                      <w:color w:val="auto"/>
                      <w:szCs w:val="21"/>
                    </w:rPr>
                    <w:t>900-999-99</w:t>
                  </w:r>
                </w:p>
              </w:tc>
              <w:tc>
                <w:tcPr>
                  <w:tcW w:w="384" w:type="pct"/>
                  <w:vMerge w:val="continue"/>
                  <w:tcBorders>
                    <w:tl2br w:val="nil"/>
                    <w:tr2bl w:val="nil"/>
                  </w:tcBorders>
                  <w:vAlign w:val="center"/>
                </w:tcPr>
                <w:p>
                  <w:pPr>
                    <w:topLinePunct/>
                    <w:adjustRightInd w:val="0"/>
                    <w:snapToGrid w:val="0"/>
                    <w:jc w:val="center"/>
                    <w:rPr>
                      <w:color w:val="auto"/>
                      <w:kern w:val="0"/>
                      <w:szCs w:val="21"/>
                    </w:rPr>
                  </w:pPr>
                </w:p>
              </w:tc>
              <w:tc>
                <w:tcPr>
                  <w:tcW w:w="397" w:type="pct"/>
                  <w:vMerge w:val="continue"/>
                  <w:tcBorders>
                    <w:tl2br w:val="nil"/>
                    <w:tr2bl w:val="nil"/>
                  </w:tcBorders>
                  <w:vAlign w:val="center"/>
                </w:tcPr>
                <w:p>
                  <w:pPr>
                    <w:topLinePunct/>
                    <w:adjustRightInd w:val="0"/>
                    <w:snapToGrid w:val="0"/>
                    <w:jc w:val="center"/>
                    <w:rPr>
                      <w:color w:val="auto"/>
                      <w:kern w:val="0"/>
                      <w:szCs w:val="21"/>
                    </w:rPr>
                  </w:pPr>
                </w:p>
              </w:tc>
              <w:tc>
                <w:tcPr>
                  <w:tcW w:w="431" w:type="pct"/>
                  <w:tcBorders>
                    <w:tl2br w:val="nil"/>
                    <w:tr2bl w:val="nil"/>
                  </w:tcBorders>
                  <w:vAlign w:val="center"/>
                </w:tcPr>
                <w:p>
                  <w:pPr>
                    <w:adjustRightInd w:val="0"/>
                    <w:snapToGrid w:val="0"/>
                    <w:jc w:val="center"/>
                    <w:rPr>
                      <w:bCs/>
                      <w:color w:val="auto"/>
                      <w:kern w:val="0"/>
                      <w:szCs w:val="21"/>
                    </w:rPr>
                  </w:pPr>
                  <w:r>
                    <w:rPr>
                      <w:bCs/>
                      <w:color w:val="auto"/>
                      <w:kern w:val="0"/>
                      <w:szCs w:val="21"/>
                    </w:rPr>
                    <w:t>袋装</w:t>
                  </w:r>
                </w:p>
              </w:tc>
              <w:tc>
                <w:tcPr>
                  <w:tcW w:w="437" w:type="pct"/>
                  <w:vMerge w:val="continue"/>
                  <w:tcBorders>
                    <w:tl2br w:val="nil"/>
                    <w:tr2bl w:val="nil"/>
                  </w:tcBorders>
                  <w:vAlign w:val="center"/>
                </w:tcPr>
                <w:p>
                  <w:pPr>
                    <w:topLinePunct/>
                    <w:adjustRightInd w:val="0"/>
                    <w:snapToGrid w:val="0"/>
                    <w:jc w:val="center"/>
                    <w:rPr>
                      <w:color w:val="auto"/>
                      <w:kern w:val="0"/>
                      <w:szCs w:val="21"/>
                    </w:rPr>
                  </w:pPr>
                </w:p>
              </w:tc>
              <w:tc>
                <w:tcPr>
                  <w:tcW w:w="433" w:type="pct"/>
                  <w:tcBorders>
                    <w:tl2br w:val="nil"/>
                    <w:tr2bl w:val="nil"/>
                  </w:tcBorders>
                  <w:vAlign w:val="center"/>
                </w:tcPr>
                <w:p>
                  <w:pPr>
                    <w:topLinePunct/>
                    <w:adjustRightInd w:val="0"/>
                    <w:snapToGrid w:val="0"/>
                    <w:jc w:val="center"/>
                    <w:rPr>
                      <w:color w:val="auto"/>
                      <w:kern w:val="0"/>
                      <w:szCs w:val="21"/>
                    </w:rPr>
                  </w:pPr>
                  <w:r>
                    <w:rPr>
                      <w:color w:val="auto"/>
                      <w:kern w:val="0"/>
                      <w:szCs w:val="21"/>
                    </w:rPr>
                    <w:t>一</w:t>
                  </w:r>
                  <w:r>
                    <w:rPr>
                      <w:rFonts w:hint="eastAsia"/>
                      <w:color w:val="auto"/>
                      <w:kern w:val="0"/>
                      <w:szCs w:val="21"/>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 w:type="pct"/>
                  <w:tcBorders>
                    <w:tl2br w:val="nil"/>
                    <w:tr2bl w:val="nil"/>
                  </w:tcBorders>
                  <w:vAlign w:val="center"/>
                </w:tcPr>
                <w:p>
                  <w:pPr>
                    <w:topLinePunct/>
                    <w:adjustRightInd w:val="0"/>
                    <w:snapToGrid w:val="0"/>
                    <w:jc w:val="center"/>
                    <w:rPr>
                      <w:color w:val="auto"/>
                      <w:kern w:val="0"/>
                      <w:szCs w:val="21"/>
                    </w:rPr>
                  </w:pPr>
                  <w:r>
                    <w:rPr>
                      <w:color w:val="auto"/>
                      <w:kern w:val="0"/>
                      <w:szCs w:val="21"/>
                    </w:rPr>
                    <w:t>1</w:t>
                  </w:r>
                  <w:r>
                    <w:rPr>
                      <w:rFonts w:hint="eastAsia"/>
                      <w:color w:val="auto"/>
                      <w:kern w:val="0"/>
                      <w:szCs w:val="21"/>
                    </w:rPr>
                    <w:t>1</w:t>
                  </w:r>
                </w:p>
              </w:tc>
              <w:tc>
                <w:tcPr>
                  <w:tcW w:w="360" w:type="pct"/>
                  <w:vMerge w:val="continue"/>
                  <w:tcBorders>
                    <w:tl2br w:val="nil"/>
                    <w:tr2bl w:val="nil"/>
                  </w:tcBorders>
                  <w:vAlign w:val="center"/>
                </w:tcPr>
                <w:p>
                  <w:pPr>
                    <w:topLinePunct/>
                    <w:adjustRightInd w:val="0"/>
                    <w:snapToGrid w:val="0"/>
                    <w:jc w:val="center"/>
                    <w:rPr>
                      <w:color w:val="auto"/>
                      <w:szCs w:val="21"/>
                    </w:rPr>
                  </w:pPr>
                </w:p>
              </w:tc>
              <w:tc>
                <w:tcPr>
                  <w:tcW w:w="532" w:type="pct"/>
                  <w:vMerge w:val="continue"/>
                  <w:tcBorders>
                    <w:tl2br w:val="nil"/>
                    <w:tr2bl w:val="nil"/>
                  </w:tcBorders>
                  <w:vAlign w:val="center"/>
                </w:tcPr>
                <w:p>
                  <w:pPr>
                    <w:topLinePunct/>
                    <w:adjustRightInd w:val="0"/>
                    <w:snapToGrid w:val="0"/>
                    <w:jc w:val="center"/>
                    <w:rPr>
                      <w:color w:val="auto"/>
                      <w:szCs w:val="21"/>
                    </w:rPr>
                  </w:pPr>
                </w:p>
              </w:tc>
              <w:tc>
                <w:tcPr>
                  <w:tcW w:w="820" w:type="pct"/>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生活垃圾</w:t>
                  </w:r>
                </w:p>
              </w:tc>
              <w:tc>
                <w:tcPr>
                  <w:tcW w:w="411" w:type="pct"/>
                  <w:tcBorders>
                    <w:tl2br w:val="nil"/>
                    <w:tr2bl w:val="nil"/>
                  </w:tcBorders>
                  <w:vAlign w:val="center"/>
                </w:tcPr>
                <w:p>
                  <w:pPr>
                    <w:widowControl/>
                    <w:jc w:val="center"/>
                    <w:textAlignment w:val="center"/>
                    <w:rPr>
                      <w:color w:val="auto"/>
                      <w:kern w:val="0"/>
                      <w:szCs w:val="21"/>
                      <w:lang w:bidi="ar"/>
                    </w:rPr>
                  </w:pPr>
                  <w:r>
                    <w:rPr>
                      <w:bCs/>
                      <w:color w:val="auto"/>
                      <w:szCs w:val="21"/>
                    </w:rPr>
                    <w:t>99</w:t>
                  </w:r>
                </w:p>
              </w:tc>
              <w:tc>
                <w:tcPr>
                  <w:tcW w:w="559" w:type="pct"/>
                  <w:tcBorders>
                    <w:tl2br w:val="nil"/>
                    <w:tr2bl w:val="nil"/>
                  </w:tcBorders>
                  <w:vAlign w:val="center"/>
                </w:tcPr>
                <w:p>
                  <w:pPr>
                    <w:widowControl/>
                    <w:jc w:val="center"/>
                    <w:textAlignment w:val="center"/>
                    <w:rPr>
                      <w:color w:val="auto"/>
                      <w:kern w:val="0"/>
                      <w:szCs w:val="21"/>
                      <w:lang w:bidi="ar"/>
                    </w:rPr>
                  </w:pPr>
                  <w:r>
                    <w:rPr>
                      <w:rFonts w:hint="eastAsia"/>
                      <w:bCs/>
                      <w:color w:val="auto"/>
                      <w:szCs w:val="21"/>
                      <w:lang w:val="en-US" w:eastAsia="zh-CN"/>
                    </w:rPr>
                    <w:t>900</w:t>
                  </w:r>
                  <w:r>
                    <w:rPr>
                      <w:bCs/>
                      <w:color w:val="auto"/>
                      <w:szCs w:val="21"/>
                    </w:rPr>
                    <w:t>-999-99</w:t>
                  </w:r>
                </w:p>
              </w:tc>
              <w:tc>
                <w:tcPr>
                  <w:tcW w:w="384" w:type="pct"/>
                  <w:vMerge w:val="continue"/>
                  <w:tcBorders>
                    <w:tl2br w:val="nil"/>
                    <w:tr2bl w:val="nil"/>
                  </w:tcBorders>
                  <w:vAlign w:val="center"/>
                </w:tcPr>
                <w:p>
                  <w:pPr>
                    <w:topLinePunct/>
                    <w:adjustRightInd w:val="0"/>
                    <w:snapToGrid w:val="0"/>
                    <w:jc w:val="center"/>
                    <w:rPr>
                      <w:color w:val="auto"/>
                      <w:kern w:val="0"/>
                      <w:szCs w:val="21"/>
                    </w:rPr>
                  </w:pPr>
                </w:p>
              </w:tc>
              <w:tc>
                <w:tcPr>
                  <w:tcW w:w="397" w:type="pct"/>
                  <w:vMerge w:val="continue"/>
                  <w:tcBorders>
                    <w:tl2br w:val="nil"/>
                    <w:tr2bl w:val="nil"/>
                  </w:tcBorders>
                  <w:vAlign w:val="center"/>
                </w:tcPr>
                <w:p>
                  <w:pPr>
                    <w:topLinePunct/>
                    <w:adjustRightInd w:val="0"/>
                    <w:snapToGrid w:val="0"/>
                    <w:jc w:val="center"/>
                    <w:rPr>
                      <w:color w:val="auto"/>
                      <w:kern w:val="0"/>
                      <w:szCs w:val="21"/>
                    </w:rPr>
                  </w:pPr>
                </w:p>
              </w:tc>
              <w:tc>
                <w:tcPr>
                  <w:tcW w:w="431" w:type="pct"/>
                  <w:tcBorders>
                    <w:tl2br w:val="nil"/>
                    <w:tr2bl w:val="nil"/>
                  </w:tcBorders>
                  <w:vAlign w:val="center"/>
                </w:tcPr>
                <w:p>
                  <w:pPr>
                    <w:adjustRightInd w:val="0"/>
                    <w:snapToGrid w:val="0"/>
                    <w:jc w:val="center"/>
                    <w:rPr>
                      <w:color w:val="auto"/>
                      <w:kern w:val="0"/>
                      <w:szCs w:val="21"/>
                    </w:rPr>
                  </w:pPr>
                  <w:r>
                    <w:rPr>
                      <w:bCs/>
                      <w:color w:val="auto"/>
                      <w:kern w:val="0"/>
                      <w:szCs w:val="21"/>
                    </w:rPr>
                    <w:t>袋装</w:t>
                  </w:r>
                </w:p>
              </w:tc>
              <w:tc>
                <w:tcPr>
                  <w:tcW w:w="437" w:type="pct"/>
                  <w:vMerge w:val="continue"/>
                  <w:tcBorders>
                    <w:tl2br w:val="nil"/>
                    <w:tr2bl w:val="nil"/>
                  </w:tcBorders>
                  <w:vAlign w:val="center"/>
                </w:tcPr>
                <w:p>
                  <w:pPr>
                    <w:topLinePunct/>
                    <w:adjustRightInd w:val="0"/>
                    <w:snapToGrid w:val="0"/>
                    <w:jc w:val="center"/>
                    <w:rPr>
                      <w:color w:val="auto"/>
                      <w:kern w:val="0"/>
                      <w:szCs w:val="21"/>
                    </w:rPr>
                  </w:pPr>
                </w:p>
              </w:tc>
              <w:tc>
                <w:tcPr>
                  <w:tcW w:w="433" w:type="pct"/>
                  <w:tcBorders>
                    <w:tl2br w:val="nil"/>
                    <w:tr2bl w:val="nil"/>
                  </w:tcBorders>
                  <w:vAlign w:val="center"/>
                </w:tcPr>
                <w:p>
                  <w:pPr>
                    <w:topLinePunct/>
                    <w:adjustRightInd w:val="0"/>
                    <w:snapToGrid w:val="0"/>
                    <w:jc w:val="center"/>
                    <w:rPr>
                      <w:color w:val="auto"/>
                      <w:kern w:val="0"/>
                      <w:szCs w:val="21"/>
                    </w:rPr>
                  </w:pPr>
                  <w:r>
                    <w:rPr>
                      <w:rFonts w:hint="eastAsia"/>
                      <w:color w:val="auto"/>
                      <w:kern w:val="0"/>
                      <w:szCs w:val="21"/>
                    </w:rPr>
                    <w:t>每天</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本项目建成后产生的一般固废为打磨毛刺0.1t/a，废边角料25t/a、不合格品21.75t/a、钢屑0.5t/a、</w:t>
            </w:r>
            <w:r>
              <w:rPr>
                <w:rFonts w:hint="default" w:ascii="Times New Roman" w:hAnsi="Times New Roman" w:cs="Times New Roman"/>
                <w:color w:val="auto"/>
                <w:kern w:val="0"/>
                <w:sz w:val="24"/>
                <w:lang w:bidi="ar"/>
              </w:rPr>
              <w:t>废塑粉</w:t>
            </w:r>
            <w:r>
              <w:rPr>
                <w:rFonts w:hint="default" w:ascii="Times New Roman" w:hAnsi="Times New Roman" w:cs="Times New Roman"/>
                <w:color w:val="auto"/>
                <w:sz w:val="24"/>
              </w:rPr>
              <w:t>4t/a、废包装材料0.8t/a、纯水制备</w:t>
            </w:r>
            <w:r>
              <w:rPr>
                <w:rFonts w:hint="default" w:ascii="Times New Roman" w:hAnsi="Times New Roman" w:cs="Times New Roman"/>
                <w:color w:val="auto"/>
                <w:kern w:val="0"/>
                <w:sz w:val="24"/>
                <w:lang w:bidi="ar"/>
              </w:rPr>
              <w:t>废</w:t>
            </w:r>
            <w:r>
              <w:rPr>
                <w:rFonts w:hint="eastAsia" w:ascii="Times New Roman" w:hAnsi="Times New Roman" w:cs="Times New Roman"/>
                <w:color w:val="auto"/>
                <w:kern w:val="0"/>
                <w:sz w:val="24"/>
                <w:lang w:val="en-US" w:eastAsia="zh-CN" w:bidi="ar"/>
              </w:rPr>
              <w:t>过滤材料0.6</w:t>
            </w:r>
            <w:r>
              <w:rPr>
                <w:rFonts w:hint="default" w:ascii="Times New Roman" w:hAnsi="Times New Roman" w:cs="Times New Roman"/>
                <w:color w:val="auto"/>
                <w:sz w:val="24"/>
              </w:rPr>
              <w:t>t/a，贮存周期为一年，生活污水捞渣每年进行一次，储存于化粪池中，生活垃圾每天清理，贮存密度以1t/m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计，则一般固废所需储存面积共约5</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，本项目一般固废堆场300m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，能满足存储要求。</w:t>
            </w:r>
          </w:p>
          <w:p>
            <w:pPr>
              <w:spacing w:line="360" w:lineRule="auto"/>
              <w:ind w:firstLine="480" w:firstLineChars="200"/>
              <w:rPr>
                <w:rFonts w:ascii="Calibri" w:hAnsi="Calibri" w:cs="Calibri"/>
                <w:snapToGrid w:val="0"/>
                <w:color w:val="auto"/>
                <w:sz w:val="30"/>
                <w:szCs w:val="30"/>
              </w:rPr>
            </w:pPr>
            <w:r>
              <w:rPr>
                <w:rFonts w:hint="default" w:ascii="Times New Roman" w:hAnsi="Times New Roman" w:cs="Times New Roman"/>
                <w:color w:val="auto"/>
                <w:sz w:val="24"/>
              </w:rPr>
              <w:t>本项目建成后危废产生及贮存情况：废活性炭、废含油抹布手套、废油、废水过滤材料采用袋装，每年转运一次，最大贮存量为5.5t/a；脱脂废渣（液）、陶化废渣（液）、浓缩蒸发液、压滤污泥采用桶装，一个月转运一次，最大贮存量为6t/月。以上危废综合密度按1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，则所需储存体积约13.5m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；废油类包装桶每年转运一次，以及废包装桶每月转运一次，并采用堆放，堆放高度按1m计，则废油类包装桶所需面积为1m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，废包装桶放置所需面积约8m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；共需27 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，危废仓库建设面积为30m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，能够满足存储要求。</w:t>
            </w:r>
          </w:p>
        </w:tc>
      </w:tr>
    </w:tbl>
    <w:p>
      <w:pPr>
        <w:pStyle w:val="2"/>
        <w:rPr>
          <w:snapToGrid w:val="0"/>
          <w:color w:val="auto"/>
        </w:rPr>
      </w:pPr>
      <w:r>
        <w:rPr>
          <w:snapToGrid w:val="0"/>
          <w:color w:val="auto"/>
        </w:rPr>
        <w:br w:type="page"/>
      </w:r>
    </w:p>
    <w:p>
      <w:pPr>
        <w:pStyle w:val="23"/>
        <w:jc w:val="center"/>
        <w:outlineLvl w:val="0"/>
        <w:rPr>
          <w:rFonts w:ascii="Times New Roman" w:hAnsi="Times New Roman"/>
          <w:snapToGrid w:val="0"/>
          <w:color w:val="auto"/>
          <w:sz w:val="30"/>
          <w:szCs w:val="30"/>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0" w:num="1"/>
          <w:docGrid w:type="linesAndChars" w:linePitch="319" w:charSpace="0"/>
        </w:sectPr>
      </w:pPr>
    </w:p>
    <w:tbl>
      <w:tblPr>
        <w:tblStyle w:val="27"/>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7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8" w:type="dxa"/>
          </w:tcPr>
          <w:p>
            <w:pPr>
              <w:pStyle w:val="23"/>
              <w:jc w:val="center"/>
              <w:outlineLvl w:val="0"/>
              <w:rPr>
                <w:rFonts w:ascii="Times New Roman" w:hAnsi="Times New Roman" w:cs="Calibri"/>
                <w:snapToGrid w:val="0"/>
                <w:color w:val="auto"/>
                <w:sz w:val="30"/>
                <w:szCs w:val="30"/>
              </w:rPr>
            </w:pPr>
          </w:p>
        </w:tc>
        <w:tc>
          <w:tcPr>
            <w:tcW w:w="7918" w:type="dxa"/>
          </w:tcPr>
          <w:p>
            <w:pPr>
              <w:spacing w:line="360" w:lineRule="auto"/>
              <w:ind w:firstLine="480" w:firstLineChars="200"/>
              <w:rPr>
                <w:rFonts w:ascii="Calibri" w:hAnsi="Calibri" w:cs="Calibri"/>
                <w:color w:val="auto"/>
                <w:sz w:val="24"/>
              </w:rPr>
            </w:pPr>
            <w:r>
              <w:rPr>
                <w:rFonts w:ascii="Calibri" w:hAnsi="Calibri" w:cs="Calibri"/>
                <w:color w:val="auto"/>
                <w:sz w:val="24"/>
              </w:rPr>
              <w:t>②固废贮存管理要求</w:t>
            </w:r>
          </w:p>
          <w:p>
            <w:pPr>
              <w:spacing w:line="360" w:lineRule="auto"/>
              <w:ind w:firstLine="480" w:firstLineChars="200"/>
              <w:rPr>
                <w:rFonts w:ascii="Calibri" w:hAnsi="Calibri" w:cs="Calibri"/>
                <w:color w:val="auto"/>
                <w:sz w:val="24"/>
              </w:rPr>
            </w:pPr>
            <w:r>
              <w:rPr>
                <w:rFonts w:ascii="Calibri" w:hAnsi="Calibri" w:cs="Calibri"/>
                <w:color w:val="auto"/>
                <w:sz w:val="24"/>
              </w:rPr>
              <w:t>本项目固废暂存场所应严格按照《危险废物贮存污染控制标准》（GB18597-2001）及修改单和《一般工业固体废物贮存和填埋污染控制标准》（GB18599-2020）的要求建设和维护使用。做好该堆场防风、防雨、防晒、防渗漏等措施，并制定好固体废物特别是危险废物转移运输中的污染防范及事故应急措施。具体如下：</w:t>
            </w:r>
          </w:p>
          <w:p>
            <w:pPr>
              <w:spacing w:line="360" w:lineRule="auto"/>
              <w:ind w:firstLine="480" w:firstLineChars="200"/>
              <w:rPr>
                <w:rFonts w:ascii="Calibri" w:hAnsi="Calibri" w:cs="Calibri"/>
                <w:color w:val="auto"/>
                <w:sz w:val="24"/>
              </w:rPr>
            </w:pPr>
            <w:r>
              <w:rPr>
                <w:rFonts w:ascii="Calibri" w:hAnsi="Calibri" w:cs="Calibri"/>
                <w:color w:val="auto"/>
                <w:sz w:val="24"/>
              </w:rPr>
              <w:t>A.危险固废堆放场应遵照《危险废物贮存污染控制标准》（GB18597-2001）及修改公告（环境保护部公告2013年第36号）要求设置暂存场所，并分类存放、贮存，并必须采取防扬散、防流失、防渗漏及其他防止污染环境的措施，不得随意露天堆放；</w:t>
            </w:r>
          </w:p>
          <w:p>
            <w:pPr>
              <w:spacing w:line="360" w:lineRule="auto"/>
              <w:ind w:firstLine="480" w:firstLineChars="200"/>
              <w:rPr>
                <w:rFonts w:ascii="Calibri" w:hAnsi="Calibri" w:cs="Calibri"/>
                <w:color w:val="auto"/>
                <w:sz w:val="24"/>
              </w:rPr>
            </w:pPr>
            <w:r>
              <w:rPr>
                <w:rFonts w:ascii="Calibri" w:hAnsi="Calibri" w:cs="Calibri"/>
                <w:color w:val="auto"/>
                <w:sz w:val="24"/>
              </w:rPr>
              <w:t>B.对危险固废储存场所应进行处理，如采用工业地坪，消除危险固废外泄的可能；</w:t>
            </w:r>
          </w:p>
          <w:p>
            <w:pPr>
              <w:spacing w:line="360" w:lineRule="auto"/>
              <w:ind w:firstLine="480" w:firstLineChars="200"/>
              <w:rPr>
                <w:rFonts w:ascii="Calibri" w:hAnsi="Calibri" w:cs="Calibri"/>
                <w:color w:val="auto"/>
                <w:sz w:val="24"/>
              </w:rPr>
            </w:pPr>
            <w:r>
              <w:rPr>
                <w:rFonts w:ascii="Calibri" w:hAnsi="Calibri" w:cs="Calibri"/>
                <w:color w:val="auto"/>
                <w:sz w:val="24"/>
              </w:rPr>
              <w:t>C.对危险废物的容器或包装物以及收集、贮存、运输、处置危险废物的设施、场所，必须设置危险废物识别标志；</w:t>
            </w:r>
          </w:p>
          <w:p>
            <w:pPr>
              <w:spacing w:line="360" w:lineRule="auto"/>
              <w:ind w:firstLine="480" w:firstLineChars="200"/>
              <w:rPr>
                <w:rFonts w:ascii="Calibri" w:hAnsi="Calibri" w:cs="Calibri"/>
                <w:color w:val="auto"/>
                <w:sz w:val="24"/>
              </w:rPr>
            </w:pPr>
            <w:r>
              <w:rPr>
                <w:rFonts w:ascii="Calibri" w:hAnsi="Calibri" w:cs="Calibri"/>
                <w:color w:val="auto"/>
                <w:sz w:val="24"/>
              </w:rPr>
              <w:t>D.危险废物禁止混入非危险废物中贮存，禁止与旅客在同一运输工具上载运；</w:t>
            </w:r>
          </w:p>
          <w:p>
            <w:pPr>
              <w:spacing w:line="360" w:lineRule="auto"/>
              <w:ind w:firstLine="480" w:firstLineChars="200"/>
              <w:rPr>
                <w:rFonts w:ascii="Calibri" w:hAnsi="Calibri" w:cs="Calibri"/>
                <w:color w:val="auto"/>
                <w:sz w:val="24"/>
              </w:rPr>
            </w:pPr>
            <w:r>
              <w:rPr>
                <w:rFonts w:ascii="Calibri" w:hAnsi="Calibri" w:cs="Calibri"/>
                <w:color w:val="auto"/>
                <w:sz w:val="24"/>
              </w:rPr>
              <w:t>E.固体废物不得在运输过程中沿途丢弃、遗撒，如将固体废物用防静电的薄膜包装于箱内，再采用专用运输车辆进行运输；</w:t>
            </w:r>
          </w:p>
          <w:p>
            <w:pPr>
              <w:spacing w:line="360" w:lineRule="auto"/>
              <w:ind w:firstLine="480" w:firstLineChars="200"/>
              <w:rPr>
                <w:rFonts w:ascii="Calibri" w:hAnsi="Calibri" w:cs="Calibri"/>
                <w:color w:val="auto"/>
                <w:sz w:val="24"/>
              </w:rPr>
            </w:pPr>
            <w:r>
              <w:rPr>
                <w:rFonts w:ascii="Calibri" w:hAnsi="Calibri" w:cs="Calibri"/>
                <w:color w:val="auto"/>
                <w:sz w:val="24"/>
              </w:rPr>
              <w:t>F.在包装箱外可设置醒目的危险废物标志，并用明确易懂的中文标明箱内所装为危险废物等等。</w:t>
            </w:r>
          </w:p>
          <w:p>
            <w:pPr>
              <w:spacing w:line="360" w:lineRule="auto"/>
              <w:ind w:firstLine="480" w:firstLineChars="200"/>
              <w:rPr>
                <w:rFonts w:ascii="Calibri" w:hAnsi="Calibri" w:cs="Calibri"/>
                <w:color w:val="auto"/>
                <w:sz w:val="24"/>
              </w:rPr>
            </w:pPr>
            <w:r>
              <w:rPr>
                <w:rFonts w:ascii="Calibri" w:hAnsi="Calibri" w:cs="Calibri"/>
                <w:color w:val="auto"/>
                <w:sz w:val="24"/>
              </w:rPr>
              <w:t>G.危废贮存区应按照《危险废物污染技术政策》等法规的相关规定，装载危险废物的容器及材质要满足相应的轻度要求；盛装危险废物的容器必须完好无损；盛装危险废物的容器材质和衬里要与危险废物相容；存储场所要用防渗漏设计、安全设计，对于危险废物的存储场所要做到：应建有堵截泄露的裙脚，地面和裙脚要用坚固防漏的材料，应有隔离设施、报警装置和防风、防雨、防晒设施，防流失，防外水入侵；基础防渗层位粘土层，其厚度应在1m以上，渗透系数应小于1.0×10</w:t>
            </w:r>
            <w:r>
              <w:rPr>
                <w:rFonts w:ascii="Calibri" w:hAnsi="Calibri" w:cs="Calibri"/>
                <w:color w:val="auto"/>
                <w:sz w:val="24"/>
                <w:vertAlign w:val="superscript"/>
              </w:rPr>
              <w:t>-7</w:t>
            </w:r>
            <w:r>
              <w:rPr>
                <w:rFonts w:ascii="Calibri" w:hAnsi="Calibri" w:cs="Calibri"/>
                <w:color w:val="auto"/>
                <w:sz w:val="24"/>
              </w:rPr>
              <w:t>cm/s，基础防渗层也可用厚度在2mm以上的高密度聚乙烯或其他人工防渗材料，渗透系数应小于1.0×10</w:t>
            </w:r>
            <w:r>
              <w:rPr>
                <w:rFonts w:ascii="Calibri" w:hAnsi="Calibri" w:cs="Calibri"/>
                <w:color w:val="auto"/>
                <w:sz w:val="24"/>
                <w:vertAlign w:val="superscript"/>
              </w:rPr>
              <w:t>-7</w:t>
            </w:r>
            <w:r>
              <w:rPr>
                <w:rFonts w:ascii="Calibri" w:hAnsi="Calibri" w:cs="Calibri"/>
                <w:color w:val="auto"/>
                <w:sz w:val="24"/>
              </w:rPr>
              <w:t>cm/s；地面应为耐腐蚀的硬化地面、地面无裂缝。</w:t>
            </w:r>
          </w:p>
          <w:p>
            <w:pPr>
              <w:autoSpaceDE w:val="0"/>
              <w:spacing w:line="360" w:lineRule="auto"/>
              <w:ind w:firstLine="480" w:firstLineChars="200"/>
              <w:rPr>
                <w:rFonts w:ascii="Calibri" w:hAnsi="Calibri" w:cs="Calibri"/>
                <w:color w:val="auto"/>
                <w:sz w:val="24"/>
              </w:rPr>
            </w:pPr>
            <w:r>
              <w:rPr>
                <w:rFonts w:ascii="Calibri" w:hAnsi="Calibri" w:cs="Calibri"/>
                <w:color w:val="auto"/>
                <w:sz w:val="24"/>
              </w:rPr>
              <w:t>H、排污口环境保护图形标志牌</w:t>
            </w:r>
          </w:p>
          <w:p>
            <w:pPr>
              <w:widowControl/>
              <w:spacing w:line="360" w:lineRule="auto"/>
              <w:ind w:firstLine="480"/>
              <w:rPr>
                <w:rFonts w:ascii="Calibri" w:hAnsi="Calibri" w:cs="Calibri"/>
                <w:color w:val="auto"/>
                <w:sz w:val="24"/>
              </w:rPr>
            </w:pPr>
            <w:r>
              <w:rPr>
                <w:rFonts w:ascii="Calibri" w:hAnsi="Calibri" w:cs="Calibri"/>
                <w:color w:val="auto"/>
                <w:sz w:val="24"/>
              </w:rPr>
              <w:t>根据国家环保总局和江苏省环保厅对排污口规范化整治的要求，建设单位按照《环境保护图形标志—固体废物贮存（处置）场》（GB15562.2-1995）以及《省生态环境 厅关于进一步加强危险废物污染防治工作的实施意见》（苏环办[2019]327 号）的要求设置固体废物堆放场的环境保护图形标志，具体见下表。</w:t>
            </w:r>
          </w:p>
          <w:p>
            <w:pPr>
              <w:pStyle w:val="6"/>
              <w:numPr>
                <w:ilvl w:val="0"/>
                <w:numId w:val="16"/>
              </w:numPr>
              <w:adjustRightInd w:val="0"/>
              <w:snapToGrid w:val="0"/>
              <w:ind w:firstLineChars="0"/>
              <w:jc w:val="center"/>
              <w:rPr>
                <w:rFonts w:ascii="Calibri" w:hAnsi="Calibri" w:cs="Calibri"/>
                <w:b/>
                <w:bCs/>
                <w:color w:val="auto"/>
                <w:sz w:val="24"/>
              </w:rPr>
            </w:pPr>
            <w:r>
              <w:rPr>
                <w:rFonts w:ascii="Calibri" w:hAnsi="Calibri" w:cs="Calibri"/>
                <w:b/>
                <w:bCs/>
                <w:color w:val="auto"/>
                <w:sz w:val="24"/>
              </w:rPr>
              <w:t>一般固废暂存间的环境保护图形标志</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152"/>
              <w:gridCol w:w="1370"/>
              <w:gridCol w:w="1078"/>
              <w:gridCol w:w="1102"/>
              <w:gridCol w:w="16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 w:type="pct"/>
                  <w:vAlign w:val="center"/>
                </w:tcPr>
                <w:p>
                  <w:pPr>
                    <w:jc w:val="center"/>
                    <w:rPr>
                      <w:b/>
                      <w:bCs/>
                      <w:color w:val="auto"/>
                      <w:szCs w:val="21"/>
                    </w:rPr>
                  </w:pPr>
                  <w:r>
                    <w:rPr>
                      <w:b/>
                      <w:bCs/>
                      <w:color w:val="auto"/>
                      <w:szCs w:val="21"/>
                    </w:rPr>
                    <w:t>排放口名称</w:t>
                  </w:r>
                </w:p>
              </w:tc>
              <w:tc>
                <w:tcPr>
                  <w:tcW w:w="748" w:type="pct"/>
                  <w:vAlign w:val="center"/>
                </w:tcPr>
                <w:p>
                  <w:pPr>
                    <w:jc w:val="center"/>
                    <w:rPr>
                      <w:b/>
                      <w:bCs/>
                      <w:color w:val="auto"/>
                      <w:szCs w:val="21"/>
                    </w:rPr>
                  </w:pPr>
                  <w:r>
                    <w:rPr>
                      <w:b/>
                      <w:bCs/>
                      <w:color w:val="auto"/>
                      <w:szCs w:val="21"/>
                    </w:rPr>
                    <w:t>图形标志</w:t>
                  </w:r>
                </w:p>
              </w:tc>
              <w:tc>
                <w:tcPr>
                  <w:tcW w:w="889" w:type="pct"/>
                  <w:vAlign w:val="center"/>
                </w:tcPr>
                <w:p>
                  <w:pPr>
                    <w:jc w:val="center"/>
                    <w:rPr>
                      <w:b/>
                      <w:bCs/>
                      <w:color w:val="auto"/>
                      <w:szCs w:val="21"/>
                    </w:rPr>
                  </w:pPr>
                  <w:r>
                    <w:rPr>
                      <w:b/>
                      <w:bCs/>
                      <w:color w:val="auto"/>
                      <w:szCs w:val="21"/>
                    </w:rPr>
                    <w:t>形状</w:t>
                  </w:r>
                </w:p>
              </w:tc>
              <w:tc>
                <w:tcPr>
                  <w:tcW w:w="700" w:type="pct"/>
                  <w:vAlign w:val="center"/>
                </w:tcPr>
                <w:p>
                  <w:pPr>
                    <w:jc w:val="center"/>
                    <w:rPr>
                      <w:b/>
                      <w:bCs/>
                      <w:color w:val="auto"/>
                      <w:szCs w:val="21"/>
                    </w:rPr>
                  </w:pPr>
                  <w:r>
                    <w:rPr>
                      <w:b/>
                      <w:bCs/>
                      <w:color w:val="auto"/>
                      <w:szCs w:val="21"/>
                    </w:rPr>
                    <w:t>背景颜色</w:t>
                  </w:r>
                </w:p>
              </w:tc>
              <w:tc>
                <w:tcPr>
                  <w:tcW w:w="716" w:type="pct"/>
                  <w:vAlign w:val="center"/>
                </w:tcPr>
                <w:p>
                  <w:pPr>
                    <w:jc w:val="center"/>
                    <w:rPr>
                      <w:b/>
                      <w:bCs/>
                      <w:color w:val="auto"/>
                      <w:szCs w:val="21"/>
                    </w:rPr>
                  </w:pPr>
                  <w:r>
                    <w:rPr>
                      <w:b/>
                      <w:bCs/>
                      <w:color w:val="auto"/>
                      <w:szCs w:val="21"/>
                    </w:rPr>
                    <w:t>图形颜色</w:t>
                  </w:r>
                </w:p>
              </w:tc>
              <w:tc>
                <w:tcPr>
                  <w:tcW w:w="1092" w:type="pct"/>
                  <w:vAlign w:val="center"/>
                </w:tcPr>
                <w:p>
                  <w:pPr>
                    <w:jc w:val="center"/>
                    <w:rPr>
                      <w:b/>
                      <w:bCs/>
                      <w:color w:val="auto"/>
                      <w:szCs w:val="21"/>
                    </w:rPr>
                  </w:pPr>
                  <w:r>
                    <w:rPr>
                      <w:b/>
                      <w:bCs/>
                      <w:color w:val="auto"/>
                      <w:szCs w:val="21"/>
                    </w:rPr>
                    <w:t>提示图形符号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 w:type="pct"/>
                  <w:vAlign w:val="center"/>
                </w:tcPr>
                <w:p>
                  <w:pPr>
                    <w:jc w:val="center"/>
                    <w:rPr>
                      <w:color w:val="auto"/>
                      <w:szCs w:val="21"/>
                    </w:rPr>
                  </w:pPr>
                  <w:r>
                    <w:rPr>
                      <w:color w:val="auto"/>
                      <w:szCs w:val="21"/>
                    </w:rPr>
                    <w:t>一般固废</w:t>
                  </w:r>
                </w:p>
                <w:p>
                  <w:pPr>
                    <w:jc w:val="center"/>
                    <w:rPr>
                      <w:color w:val="auto"/>
                      <w:szCs w:val="21"/>
                    </w:rPr>
                  </w:pPr>
                  <w:r>
                    <w:rPr>
                      <w:color w:val="auto"/>
                      <w:szCs w:val="21"/>
                    </w:rPr>
                    <w:t>暂堆场所</w:t>
                  </w:r>
                </w:p>
              </w:tc>
              <w:tc>
                <w:tcPr>
                  <w:tcW w:w="748" w:type="pct"/>
                  <w:vAlign w:val="center"/>
                </w:tcPr>
                <w:p>
                  <w:pPr>
                    <w:jc w:val="center"/>
                    <w:rPr>
                      <w:color w:val="auto"/>
                      <w:szCs w:val="21"/>
                    </w:rPr>
                  </w:pPr>
                  <w:r>
                    <w:rPr>
                      <w:color w:val="auto"/>
                      <w:szCs w:val="21"/>
                    </w:rPr>
                    <w:t>提示标志</w:t>
                  </w:r>
                </w:p>
              </w:tc>
              <w:tc>
                <w:tcPr>
                  <w:tcW w:w="889" w:type="pct"/>
                  <w:vAlign w:val="center"/>
                </w:tcPr>
                <w:p>
                  <w:pPr>
                    <w:jc w:val="center"/>
                    <w:rPr>
                      <w:color w:val="auto"/>
                      <w:szCs w:val="21"/>
                    </w:rPr>
                  </w:pPr>
                  <w:r>
                    <w:rPr>
                      <w:color w:val="auto"/>
                      <w:szCs w:val="21"/>
                    </w:rPr>
                    <w:t>正方形边框</w:t>
                  </w:r>
                </w:p>
              </w:tc>
              <w:tc>
                <w:tcPr>
                  <w:tcW w:w="700" w:type="pct"/>
                  <w:vAlign w:val="center"/>
                </w:tcPr>
                <w:p>
                  <w:pPr>
                    <w:jc w:val="center"/>
                    <w:rPr>
                      <w:color w:val="auto"/>
                      <w:szCs w:val="21"/>
                    </w:rPr>
                  </w:pPr>
                  <w:r>
                    <w:rPr>
                      <w:color w:val="auto"/>
                      <w:szCs w:val="21"/>
                    </w:rPr>
                    <w:t>绿色</w:t>
                  </w:r>
                </w:p>
              </w:tc>
              <w:tc>
                <w:tcPr>
                  <w:tcW w:w="716" w:type="pct"/>
                  <w:vAlign w:val="center"/>
                </w:tcPr>
                <w:p>
                  <w:pPr>
                    <w:jc w:val="center"/>
                    <w:rPr>
                      <w:color w:val="auto"/>
                      <w:szCs w:val="21"/>
                    </w:rPr>
                  </w:pPr>
                  <w:r>
                    <w:rPr>
                      <w:color w:val="auto"/>
                      <w:szCs w:val="21"/>
                    </w:rPr>
                    <w:t>白色</w:t>
                  </w:r>
                </w:p>
              </w:tc>
              <w:tc>
                <w:tcPr>
                  <w:tcW w:w="1092" w:type="pct"/>
                </w:tcPr>
                <w:p>
                  <w:pPr>
                    <w:jc w:val="center"/>
                    <w:rPr>
                      <w:color w:val="auto"/>
                      <w:szCs w:val="21"/>
                    </w:rPr>
                  </w:pPr>
                  <w:r>
                    <w:rPr>
                      <w:color w:val="auto"/>
                      <w:szCs w:val="21"/>
                    </w:rPr>
                    <w:drawing>
                      <wp:inline distT="0" distB="0" distL="114300" distR="114300">
                        <wp:extent cx="819785" cy="798830"/>
                        <wp:effectExtent l="0" t="0" r="18415" b="1270"/>
                        <wp:docPr id="8" name="图片 7"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一般固废"/>
                                <pic:cNvPicPr>
                                  <a:picLocks noChangeAspect="1"/>
                                </pic:cNvPicPr>
                              </pic:nvPicPr>
                              <pic:blipFill>
                                <a:blip r:embed="rId35"/>
                                <a:stretch>
                                  <a:fillRect/>
                                </a:stretch>
                              </pic:blipFill>
                              <pic:spPr>
                                <a:xfrm>
                                  <a:off x="0" y="0"/>
                                  <a:ext cx="819785" cy="798830"/>
                                </a:xfrm>
                                <a:prstGeom prst="rect">
                                  <a:avLst/>
                                </a:prstGeom>
                                <a:noFill/>
                                <a:ln>
                                  <a:noFill/>
                                </a:ln>
                              </pic:spPr>
                            </pic:pic>
                          </a:graphicData>
                        </a:graphic>
                      </wp:inline>
                    </w:drawing>
                  </w:r>
                </w:p>
              </w:tc>
            </w:tr>
          </w:tbl>
          <w:p>
            <w:pPr>
              <w:pStyle w:val="6"/>
              <w:numPr>
                <w:ilvl w:val="0"/>
                <w:numId w:val="16"/>
              </w:numPr>
              <w:adjustRightInd w:val="0"/>
              <w:snapToGrid w:val="0"/>
              <w:ind w:firstLineChars="0"/>
              <w:jc w:val="center"/>
              <w:rPr>
                <w:rFonts w:ascii="Calibri" w:hAnsi="Calibri" w:cs="Calibri"/>
                <w:b/>
                <w:bCs/>
                <w:color w:val="auto"/>
                <w:sz w:val="24"/>
              </w:rPr>
            </w:pPr>
            <w:r>
              <w:rPr>
                <w:rFonts w:ascii="Calibri" w:hAnsi="Calibri" w:cs="Calibri"/>
                <w:b/>
                <w:bCs/>
                <w:color w:val="auto"/>
                <w:sz w:val="24"/>
              </w:rPr>
              <w:t>危险固废暂存间的环境保护图形标志</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188"/>
              <w:gridCol w:w="4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29" w:type="pct"/>
                  <w:vAlign w:val="center"/>
                </w:tcPr>
                <w:p>
                  <w:pPr>
                    <w:adjustRightInd w:val="0"/>
                    <w:snapToGrid w:val="0"/>
                    <w:jc w:val="center"/>
                    <w:rPr>
                      <w:b/>
                      <w:bCs/>
                      <w:color w:val="auto"/>
                      <w:szCs w:val="21"/>
                    </w:rPr>
                  </w:pPr>
                  <w:r>
                    <w:rPr>
                      <w:b/>
                      <w:bCs/>
                      <w:color w:val="auto"/>
                      <w:szCs w:val="21"/>
                    </w:rPr>
                    <w:t>危险废物标识</w:t>
                  </w:r>
                </w:p>
              </w:tc>
              <w:tc>
                <w:tcPr>
                  <w:tcW w:w="1421" w:type="pct"/>
                  <w:vAlign w:val="center"/>
                </w:tcPr>
                <w:p>
                  <w:pPr>
                    <w:adjustRightInd w:val="0"/>
                    <w:snapToGrid w:val="0"/>
                    <w:jc w:val="center"/>
                    <w:rPr>
                      <w:b/>
                      <w:bCs/>
                      <w:color w:val="auto"/>
                      <w:szCs w:val="21"/>
                    </w:rPr>
                  </w:pPr>
                  <w:r>
                    <w:rPr>
                      <w:b/>
                      <w:bCs/>
                      <w:color w:val="auto"/>
                      <w:szCs w:val="21"/>
                    </w:rPr>
                    <w:t>图案样式</w:t>
                  </w:r>
                </w:p>
              </w:tc>
              <w:tc>
                <w:tcPr>
                  <w:tcW w:w="3149" w:type="pct"/>
                  <w:vAlign w:val="center"/>
                </w:tcPr>
                <w:p>
                  <w:pPr>
                    <w:adjustRightInd w:val="0"/>
                    <w:snapToGrid w:val="0"/>
                    <w:jc w:val="center"/>
                    <w:rPr>
                      <w:b/>
                      <w:bCs/>
                      <w:color w:val="auto"/>
                      <w:szCs w:val="21"/>
                    </w:rPr>
                  </w:pPr>
                  <w:r>
                    <w:rPr>
                      <w:b/>
                      <w:bCs/>
                      <w:color w:val="auto"/>
                      <w:szCs w:val="21"/>
                    </w:rPr>
                    <w:t>设置规范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Align w:val="center"/>
                </w:tcPr>
                <w:p>
                  <w:pPr>
                    <w:adjustRightInd w:val="0"/>
                    <w:snapToGrid w:val="0"/>
                    <w:jc w:val="center"/>
                    <w:rPr>
                      <w:color w:val="auto"/>
                      <w:szCs w:val="21"/>
                    </w:rPr>
                  </w:pPr>
                  <w:r>
                    <w:rPr>
                      <w:color w:val="auto"/>
                      <w:szCs w:val="21"/>
                    </w:rPr>
                    <w:t>贮存设施警示标志牌</w:t>
                  </w:r>
                </w:p>
              </w:tc>
              <w:tc>
                <w:tcPr>
                  <w:tcW w:w="1421" w:type="pct"/>
                  <w:vAlign w:val="center"/>
                </w:tcPr>
                <w:p>
                  <w:pPr>
                    <w:adjustRightInd w:val="0"/>
                    <w:snapToGrid w:val="0"/>
                    <w:jc w:val="center"/>
                    <w:rPr>
                      <w:color w:val="auto"/>
                      <w:szCs w:val="21"/>
                    </w:rPr>
                  </w:pPr>
                  <w:r>
                    <w:rPr>
                      <w:color w:val="auto"/>
                      <w:szCs w:val="21"/>
                    </w:rPr>
                    <w:drawing>
                      <wp:inline distT="0" distB="0" distL="114300" distR="114300">
                        <wp:extent cx="1192530" cy="1541780"/>
                        <wp:effectExtent l="0" t="0" r="7620" b="1270"/>
                        <wp:docPr id="4" name="图片 10" descr="1653535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1653535258(1)"/>
                                <pic:cNvPicPr>
                                  <a:picLocks noChangeAspect="1"/>
                                </pic:cNvPicPr>
                              </pic:nvPicPr>
                              <pic:blipFill>
                                <a:blip r:embed="rId36"/>
                                <a:stretch>
                                  <a:fillRect/>
                                </a:stretch>
                              </pic:blipFill>
                              <pic:spPr>
                                <a:xfrm>
                                  <a:off x="0" y="0"/>
                                  <a:ext cx="1192530" cy="1541780"/>
                                </a:xfrm>
                                <a:prstGeom prst="rect">
                                  <a:avLst/>
                                </a:prstGeom>
                                <a:noFill/>
                                <a:ln>
                                  <a:noFill/>
                                </a:ln>
                              </pic:spPr>
                            </pic:pic>
                          </a:graphicData>
                        </a:graphic>
                      </wp:inline>
                    </w:drawing>
                  </w:r>
                </w:p>
              </w:tc>
              <w:tc>
                <w:tcPr>
                  <w:tcW w:w="3149" w:type="pct"/>
                  <w:vAlign w:val="center"/>
                </w:tcPr>
                <w:p>
                  <w:pPr>
                    <w:adjustRightInd w:val="0"/>
                    <w:snapToGrid w:val="0"/>
                    <w:jc w:val="left"/>
                    <w:rPr>
                      <w:color w:val="auto"/>
                      <w:szCs w:val="21"/>
                    </w:rPr>
                  </w:pPr>
                  <w:r>
                    <w:rPr>
                      <w:color w:val="auto"/>
                      <w:szCs w:val="21"/>
                    </w:rPr>
                    <w:t>1.设置位置</w:t>
                  </w:r>
                </w:p>
                <w:p>
                  <w:pPr>
                    <w:adjustRightInd w:val="0"/>
                    <w:snapToGrid w:val="0"/>
                    <w:jc w:val="left"/>
                    <w:rPr>
                      <w:color w:val="auto"/>
                      <w:szCs w:val="21"/>
                    </w:rPr>
                  </w:pPr>
                  <w:r>
                    <w:rPr>
                      <w:color w:val="auto"/>
                      <w:szCs w:val="21"/>
                    </w:rPr>
                    <w:t>平面固定在每一处贮存设施外的显著位置，包括全封闭式仓库外墙靠门一侧，围墙或防护栅栏外侧，适合平面固定的储罐、贮槽等，标志牌顶端距离地面200cm处。除无法平面固定警示标志的储罐、贮槽需采取立式固定外，其他贮存设施均采用平面固定式警示标志牌。</w:t>
                  </w:r>
                </w:p>
                <w:p>
                  <w:pPr>
                    <w:adjustRightInd w:val="0"/>
                    <w:snapToGrid w:val="0"/>
                    <w:jc w:val="left"/>
                    <w:rPr>
                      <w:color w:val="auto"/>
                      <w:szCs w:val="21"/>
                    </w:rPr>
                  </w:pPr>
                  <w:r>
                    <w:rPr>
                      <w:color w:val="auto"/>
                      <w:szCs w:val="21"/>
                    </w:rPr>
                    <w:t>2.规格参数</w:t>
                  </w:r>
                </w:p>
                <w:p>
                  <w:pPr>
                    <w:adjustRightInd w:val="0"/>
                    <w:snapToGrid w:val="0"/>
                    <w:jc w:val="left"/>
                    <w:rPr>
                      <w:color w:val="auto"/>
                      <w:szCs w:val="21"/>
                    </w:rPr>
                  </w:pPr>
                  <w:r>
                    <w:rPr>
                      <w:color w:val="auto"/>
                      <w:szCs w:val="21"/>
                    </w:rPr>
                    <w:t>（1）尺寸：标志牌100cm×120cm。三角形警示标志边长42cm，外檐2.5cm。</w:t>
                  </w:r>
                </w:p>
                <w:p>
                  <w:pPr>
                    <w:adjustRightInd w:val="0"/>
                    <w:snapToGrid w:val="0"/>
                    <w:jc w:val="left"/>
                    <w:rPr>
                      <w:color w:val="auto"/>
                      <w:szCs w:val="21"/>
                    </w:rPr>
                  </w:pPr>
                  <w:r>
                    <w:rPr>
                      <w:color w:val="auto"/>
                      <w:szCs w:val="21"/>
                    </w:rPr>
                    <w:t>（2）颜色与字体：标志牌背景颜色为黄色，文字颜色为黑色。三角形警示标志图案和边框颜色为黑色，外檐部分为灰色。所有文字字体为黑体。</w:t>
                  </w:r>
                </w:p>
                <w:p>
                  <w:pPr>
                    <w:adjustRightInd w:val="0"/>
                    <w:snapToGrid w:val="0"/>
                    <w:jc w:val="left"/>
                    <w:rPr>
                      <w:color w:val="auto"/>
                      <w:szCs w:val="21"/>
                    </w:rPr>
                  </w:pPr>
                  <w:r>
                    <w:rPr>
                      <w:color w:val="auto"/>
                      <w:szCs w:val="21"/>
                    </w:rPr>
                    <w:t>（3）材料：采用1.5-2mm冷轧钢板，表面采用搪瓷或反光贴膜处理，端面经过防腐处理；或者采用5mm铝板，不锈钢边框2cm压边。</w:t>
                  </w:r>
                </w:p>
                <w:p>
                  <w:pPr>
                    <w:adjustRightInd w:val="0"/>
                    <w:snapToGrid w:val="0"/>
                    <w:jc w:val="left"/>
                    <w:rPr>
                      <w:color w:val="auto"/>
                      <w:szCs w:val="21"/>
                    </w:rPr>
                  </w:pPr>
                  <w:r>
                    <w:rPr>
                      <w:color w:val="auto"/>
                      <w:szCs w:val="21"/>
                    </w:rPr>
                    <w:t>3.公开内容</w:t>
                  </w:r>
                </w:p>
                <w:p>
                  <w:pPr>
                    <w:adjustRightInd w:val="0"/>
                    <w:snapToGrid w:val="0"/>
                    <w:jc w:val="left"/>
                    <w:rPr>
                      <w:color w:val="auto"/>
                      <w:szCs w:val="21"/>
                    </w:rPr>
                  </w:pPr>
                  <w:r>
                    <w:rPr>
                      <w:color w:val="auto"/>
                      <w:szCs w:val="21"/>
                    </w:rPr>
                    <w:t>包括标志牌名称、贮存设施编号、企业名称、责任人及电话、管理员及电话、贮存设施环评批文、贮存设施建筑面积或容积、贮存设施环境污染防治措施、环境应急物资和设备、贮存危险废物清单（含种类名称、危险特性、环评批文）、监制单位等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Align w:val="center"/>
                </w:tcPr>
                <w:p>
                  <w:pPr>
                    <w:adjustRightInd w:val="0"/>
                    <w:snapToGrid w:val="0"/>
                    <w:jc w:val="center"/>
                    <w:rPr>
                      <w:color w:val="auto"/>
                      <w:szCs w:val="21"/>
                    </w:rPr>
                  </w:pPr>
                  <w:r>
                    <w:rPr>
                      <w:color w:val="auto"/>
                      <w:szCs w:val="21"/>
                    </w:rPr>
                    <w:t>贮存设施内部分区警示标志牌</w:t>
                  </w:r>
                </w:p>
              </w:tc>
              <w:tc>
                <w:tcPr>
                  <w:tcW w:w="1421" w:type="pct"/>
                  <w:vAlign w:val="center"/>
                </w:tcPr>
                <w:p>
                  <w:pPr>
                    <w:adjustRightInd w:val="0"/>
                    <w:snapToGrid w:val="0"/>
                    <w:jc w:val="center"/>
                    <w:rPr>
                      <w:color w:val="auto"/>
                      <w:szCs w:val="21"/>
                    </w:rPr>
                  </w:pPr>
                  <w:r>
                    <w:rPr>
                      <w:color w:val="auto"/>
                      <w:szCs w:val="21"/>
                    </w:rPr>
                    <w:drawing>
                      <wp:inline distT="0" distB="0" distL="114300" distR="114300">
                        <wp:extent cx="1171575" cy="702945"/>
                        <wp:effectExtent l="0" t="0" r="9525" b="190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37"/>
                                <a:stretch>
                                  <a:fillRect/>
                                </a:stretch>
                              </pic:blipFill>
                              <pic:spPr>
                                <a:xfrm>
                                  <a:off x="0" y="0"/>
                                  <a:ext cx="1171575" cy="702945"/>
                                </a:xfrm>
                                <a:prstGeom prst="rect">
                                  <a:avLst/>
                                </a:prstGeom>
                                <a:noFill/>
                                <a:ln>
                                  <a:noFill/>
                                </a:ln>
                              </pic:spPr>
                            </pic:pic>
                          </a:graphicData>
                        </a:graphic>
                      </wp:inline>
                    </w:drawing>
                  </w:r>
                </w:p>
              </w:tc>
              <w:tc>
                <w:tcPr>
                  <w:tcW w:w="3149" w:type="pct"/>
                  <w:vAlign w:val="center"/>
                </w:tcPr>
                <w:p>
                  <w:pPr>
                    <w:adjustRightInd w:val="0"/>
                    <w:snapToGrid w:val="0"/>
                    <w:jc w:val="left"/>
                    <w:rPr>
                      <w:color w:val="auto"/>
                      <w:szCs w:val="21"/>
                    </w:rPr>
                  </w:pPr>
                  <w:r>
                    <w:rPr>
                      <w:color w:val="auto"/>
                      <w:szCs w:val="21"/>
                    </w:rPr>
                    <w:t>1.设置位置</w:t>
                  </w:r>
                </w:p>
                <w:p>
                  <w:pPr>
                    <w:adjustRightInd w:val="0"/>
                    <w:snapToGrid w:val="0"/>
                    <w:jc w:val="left"/>
                    <w:rPr>
                      <w:color w:val="auto"/>
                      <w:szCs w:val="21"/>
                    </w:rPr>
                  </w:pPr>
                  <w:r>
                    <w:rPr>
                      <w:color w:val="auto"/>
                      <w:szCs w:val="21"/>
                    </w:rPr>
                    <w:t>贮存设施内部分区，固定于每一种危险废物存放区域的墙面、栅栏内部等位置。无法或不便于平面固定、确需采用立式的，可选择立式可移动支架，不得破坏防渗区域。顶端距离地面200cm处。</w:t>
                  </w:r>
                </w:p>
                <w:p>
                  <w:pPr>
                    <w:adjustRightInd w:val="0"/>
                    <w:snapToGrid w:val="0"/>
                    <w:jc w:val="left"/>
                    <w:rPr>
                      <w:color w:val="auto"/>
                      <w:szCs w:val="21"/>
                    </w:rPr>
                  </w:pPr>
                  <w:r>
                    <w:rPr>
                      <w:color w:val="auto"/>
                      <w:szCs w:val="21"/>
                    </w:rPr>
                    <w:t>2.规格参数</w:t>
                  </w:r>
                </w:p>
                <w:p>
                  <w:pPr>
                    <w:adjustRightInd w:val="0"/>
                    <w:snapToGrid w:val="0"/>
                    <w:jc w:val="left"/>
                    <w:rPr>
                      <w:color w:val="auto"/>
                      <w:szCs w:val="21"/>
                    </w:rPr>
                  </w:pPr>
                  <w:r>
                    <w:rPr>
                      <w:color w:val="auto"/>
                      <w:szCs w:val="21"/>
                    </w:rPr>
                    <w:t>（1）尺寸：75cm×45cm。三角形警示标志边长42cm，外檐2.5cm。</w:t>
                  </w:r>
                </w:p>
                <w:p>
                  <w:pPr>
                    <w:adjustRightInd w:val="0"/>
                    <w:snapToGrid w:val="0"/>
                    <w:jc w:val="left"/>
                    <w:rPr>
                      <w:color w:val="auto"/>
                      <w:szCs w:val="21"/>
                    </w:rPr>
                  </w:pPr>
                  <w:r>
                    <w:rPr>
                      <w:color w:val="auto"/>
                      <w:szCs w:val="21"/>
                    </w:rPr>
                    <w:t>（2）颜色与字体：固定于墙面或栅栏内部的，与平面固定式贮存设施警示标志牌一致。采用立式可移动支架的，警示标志牌主板字体及颜色与平面固定式贮存设施警示标志牌一致，支架颜色为黄色。</w:t>
                  </w:r>
                </w:p>
                <w:p>
                  <w:pPr>
                    <w:adjustRightInd w:val="0"/>
                    <w:snapToGrid w:val="0"/>
                    <w:jc w:val="left"/>
                    <w:rPr>
                      <w:color w:val="auto"/>
                      <w:szCs w:val="21"/>
                    </w:rPr>
                  </w:pPr>
                  <w:r>
                    <w:rPr>
                      <w:color w:val="auto"/>
                      <w:szCs w:val="21"/>
                    </w:rPr>
                    <w:t>（3）材料：采用5mm铝板，不锈钢边框2cm压边。</w:t>
                  </w:r>
                </w:p>
                <w:p>
                  <w:pPr>
                    <w:adjustRightInd w:val="0"/>
                    <w:snapToGrid w:val="0"/>
                    <w:jc w:val="left"/>
                    <w:rPr>
                      <w:color w:val="auto"/>
                      <w:szCs w:val="21"/>
                    </w:rPr>
                  </w:pPr>
                  <w:r>
                    <w:rPr>
                      <w:color w:val="auto"/>
                      <w:szCs w:val="21"/>
                    </w:rPr>
                    <w:t>3.公开内容</w:t>
                  </w:r>
                </w:p>
                <w:p>
                  <w:pPr>
                    <w:adjustRightInd w:val="0"/>
                    <w:snapToGrid w:val="0"/>
                    <w:jc w:val="left"/>
                    <w:rPr>
                      <w:color w:val="auto"/>
                      <w:szCs w:val="21"/>
                    </w:rPr>
                  </w:pPr>
                  <w:r>
                    <w:rPr>
                      <w:color w:val="auto"/>
                      <w:szCs w:val="21"/>
                    </w:rPr>
                    <w:t>包括废物名称、废物代码、主要成分、危险特性、环境污染防治措施、环境应急物资和设备、监制单位等信息。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Align w:val="center"/>
                </w:tcPr>
                <w:p>
                  <w:pPr>
                    <w:adjustRightInd w:val="0"/>
                    <w:snapToGrid w:val="0"/>
                    <w:jc w:val="center"/>
                    <w:rPr>
                      <w:color w:val="auto"/>
                      <w:szCs w:val="21"/>
                    </w:rPr>
                  </w:pPr>
                  <w:r>
                    <w:rPr>
                      <w:color w:val="auto"/>
                      <w:szCs w:val="21"/>
                    </w:rPr>
                    <w:t>危险废物信息公开栏</w:t>
                  </w:r>
                </w:p>
                <w:p>
                  <w:pPr>
                    <w:adjustRightInd w:val="0"/>
                    <w:snapToGrid w:val="0"/>
                    <w:jc w:val="center"/>
                    <w:rPr>
                      <w:color w:val="auto"/>
                      <w:szCs w:val="21"/>
                    </w:rPr>
                  </w:pPr>
                </w:p>
              </w:tc>
              <w:tc>
                <w:tcPr>
                  <w:tcW w:w="1421" w:type="pct"/>
                  <w:vAlign w:val="center"/>
                </w:tcPr>
                <w:p>
                  <w:pPr>
                    <w:adjustRightInd w:val="0"/>
                    <w:snapToGrid w:val="0"/>
                    <w:jc w:val="center"/>
                    <w:rPr>
                      <w:color w:val="auto"/>
                      <w:szCs w:val="21"/>
                    </w:rPr>
                  </w:pPr>
                  <w:r>
                    <w:rPr>
                      <w:color w:val="auto"/>
                      <w:szCs w:val="21"/>
                    </w:rPr>
                    <w:drawing>
                      <wp:inline distT="0" distB="0" distL="114300" distR="114300">
                        <wp:extent cx="1257935" cy="839470"/>
                        <wp:effectExtent l="0" t="0" r="18415" b="1778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38"/>
                                <a:stretch>
                                  <a:fillRect/>
                                </a:stretch>
                              </pic:blipFill>
                              <pic:spPr>
                                <a:xfrm>
                                  <a:off x="0" y="0"/>
                                  <a:ext cx="1257935" cy="839470"/>
                                </a:xfrm>
                                <a:prstGeom prst="rect">
                                  <a:avLst/>
                                </a:prstGeom>
                                <a:noFill/>
                                <a:ln>
                                  <a:noFill/>
                                </a:ln>
                              </pic:spPr>
                            </pic:pic>
                          </a:graphicData>
                        </a:graphic>
                      </wp:inline>
                    </w:drawing>
                  </w:r>
                </w:p>
              </w:tc>
              <w:tc>
                <w:tcPr>
                  <w:tcW w:w="3149" w:type="pct"/>
                  <w:vAlign w:val="center"/>
                </w:tcPr>
                <w:p>
                  <w:pPr>
                    <w:adjustRightInd w:val="0"/>
                    <w:snapToGrid w:val="0"/>
                    <w:rPr>
                      <w:color w:val="auto"/>
                      <w:szCs w:val="21"/>
                    </w:rPr>
                  </w:pPr>
                  <w:r>
                    <w:rPr>
                      <w:color w:val="auto"/>
                      <w:szCs w:val="21"/>
                    </w:rPr>
                    <w:t>1.设置位置</w:t>
                  </w:r>
                </w:p>
                <w:p>
                  <w:pPr>
                    <w:adjustRightInd w:val="0"/>
                    <w:snapToGrid w:val="0"/>
                    <w:rPr>
                      <w:color w:val="auto"/>
                      <w:szCs w:val="21"/>
                    </w:rPr>
                  </w:pPr>
                  <w:r>
                    <w:rPr>
                      <w:color w:val="auto"/>
                      <w:szCs w:val="21"/>
                    </w:rPr>
                    <w:t>采用立式固定方式固定在危险废物产生单位厂区门口醒目位置，公开栏顶端距离地面200cm处。</w:t>
                  </w:r>
                </w:p>
                <w:p>
                  <w:pPr>
                    <w:adjustRightInd w:val="0"/>
                    <w:snapToGrid w:val="0"/>
                    <w:rPr>
                      <w:color w:val="auto"/>
                      <w:szCs w:val="21"/>
                    </w:rPr>
                  </w:pPr>
                  <w:r>
                    <w:rPr>
                      <w:color w:val="auto"/>
                      <w:szCs w:val="21"/>
                    </w:rPr>
                    <w:t>2.规格参数</w:t>
                  </w:r>
                </w:p>
                <w:p>
                  <w:pPr>
                    <w:adjustRightInd w:val="0"/>
                    <w:snapToGrid w:val="0"/>
                    <w:rPr>
                      <w:color w:val="auto"/>
                      <w:szCs w:val="21"/>
                    </w:rPr>
                  </w:pPr>
                  <w:r>
                    <w:rPr>
                      <w:color w:val="auto"/>
                      <w:szCs w:val="21"/>
                    </w:rPr>
                    <w:t>（1）尺寸：底板120cm×80cm。</w:t>
                  </w:r>
                </w:p>
                <w:p>
                  <w:pPr>
                    <w:adjustRightInd w:val="0"/>
                    <w:snapToGrid w:val="0"/>
                    <w:rPr>
                      <w:color w:val="auto"/>
                      <w:szCs w:val="21"/>
                    </w:rPr>
                  </w:pPr>
                  <w:r>
                    <w:rPr>
                      <w:color w:val="auto"/>
                      <w:szCs w:val="21"/>
                    </w:rPr>
                    <w:t>（2）颜色与字体：公开栏底板背景颜色为蓝色(印刷CMYK参数附后，下同)，文字颜色为白色，所有文字字体为黑体。</w:t>
                  </w:r>
                </w:p>
                <w:p>
                  <w:pPr>
                    <w:adjustRightInd w:val="0"/>
                    <w:snapToGrid w:val="0"/>
                    <w:rPr>
                      <w:color w:val="auto"/>
                      <w:szCs w:val="21"/>
                    </w:rPr>
                  </w:pPr>
                  <w:r>
                    <w:rPr>
                      <w:color w:val="auto"/>
                      <w:szCs w:val="21"/>
                    </w:rPr>
                    <w:t>（3）材料：底板采用5mm铝板。</w:t>
                  </w:r>
                </w:p>
                <w:p>
                  <w:pPr>
                    <w:adjustRightInd w:val="0"/>
                    <w:snapToGrid w:val="0"/>
                    <w:rPr>
                      <w:color w:val="auto"/>
                      <w:szCs w:val="21"/>
                    </w:rPr>
                  </w:pPr>
                  <w:r>
                    <w:rPr>
                      <w:color w:val="auto"/>
                      <w:szCs w:val="21"/>
                    </w:rPr>
                    <w:t>3.公开内容</w:t>
                  </w:r>
                </w:p>
                <w:p>
                  <w:pPr>
                    <w:adjustRightInd w:val="0"/>
                    <w:snapToGrid w:val="0"/>
                    <w:jc w:val="left"/>
                    <w:rPr>
                      <w:color w:val="auto"/>
                      <w:szCs w:val="21"/>
                    </w:rPr>
                  </w:pPr>
                  <w:r>
                    <w:rPr>
                      <w:color w:val="auto"/>
                      <w:szCs w:val="21"/>
                    </w:rPr>
                    <w:t>包括企业名称、地址、法人代表及电话、环保负责人及电话、危险废物产生规模、贮存设施建筑面积和容积、贮存设施数量、危险废物名称、危险废物代码、环评批文、产生来源、环境污染防治措施、厂区平面示意图、监督举报途径、监制单位等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9" w:type="pct"/>
                  <w:vAlign w:val="center"/>
                </w:tcPr>
                <w:p>
                  <w:pPr>
                    <w:adjustRightInd w:val="0"/>
                    <w:snapToGrid w:val="0"/>
                    <w:jc w:val="center"/>
                    <w:rPr>
                      <w:color w:val="auto"/>
                      <w:szCs w:val="21"/>
                    </w:rPr>
                  </w:pPr>
                  <w:r>
                    <w:rPr>
                      <w:color w:val="auto"/>
                      <w:szCs w:val="21"/>
                    </w:rPr>
                    <w:t>包装识别标签</w:t>
                  </w:r>
                </w:p>
              </w:tc>
              <w:tc>
                <w:tcPr>
                  <w:tcW w:w="1421" w:type="pct"/>
                  <w:vAlign w:val="center"/>
                </w:tcPr>
                <w:p>
                  <w:pPr>
                    <w:adjustRightInd w:val="0"/>
                    <w:snapToGrid w:val="0"/>
                    <w:jc w:val="center"/>
                    <w:rPr>
                      <w:color w:val="auto"/>
                      <w:szCs w:val="21"/>
                    </w:rPr>
                  </w:pPr>
                  <w:r>
                    <w:rPr>
                      <w:color w:val="auto"/>
                      <w:szCs w:val="21"/>
                    </w:rPr>
                    <w:drawing>
                      <wp:inline distT="0" distB="0" distL="114300" distR="114300">
                        <wp:extent cx="1280795" cy="1262380"/>
                        <wp:effectExtent l="0" t="0" r="14605" b="13970"/>
                        <wp:docPr id="5" name="图片 13" descr="1653535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1653535309(1)"/>
                                <pic:cNvPicPr>
                                  <a:picLocks noChangeAspect="1"/>
                                </pic:cNvPicPr>
                              </pic:nvPicPr>
                              <pic:blipFill>
                                <a:blip r:embed="rId39"/>
                                <a:stretch>
                                  <a:fillRect/>
                                </a:stretch>
                              </pic:blipFill>
                              <pic:spPr>
                                <a:xfrm>
                                  <a:off x="0" y="0"/>
                                  <a:ext cx="1280795" cy="1262380"/>
                                </a:xfrm>
                                <a:prstGeom prst="rect">
                                  <a:avLst/>
                                </a:prstGeom>
                                <a:noFill/>
                                <a:ln>
                                  <a:noFill/>
                                </a:ln>
                              </pic:spPr>
                            </pic:pic>
                          </a:graphicData>
                        </a:graphic>
                      </wp:inline>
                    </w:drawing>
                  </w:r>
                </w:p>
              </w:tc>
              <w:tc>
                <w:tcPr>
                  <w:tcW w:w="3149" w:type="pct"/>
                  <w:vAlign w:val="center"/>
                </w:tcPr>
                <w:p>
                  <w:pPr>
                    <w:adjustRightInd w:val="0"/>
                    <w:snapToGrid w:val="0"/>
                    <w:rPr>
                      <w:color w:val="auto"/>
                      <w:szCs w:val="21"/>
                    </w:rPr>
                  </w:pPr>
                  <w:r>
                    <w:rPr>
                      <w:color w:val="auto"/>
                      <w:szCs w:val="21"/>
                    </w:rPr>
                    <w:t>1.设置位置</w:t>
                  </w:r>
                </w:p>
                <w:p>
                  <w:pPr>
                    <w:adjustRightInd w:val="0"/>
                    <w:snapToGrid w:val="0"/>
                    <w:rPr>
                      <w:color w:val="auto"/>
                      <w:szCs w:val="21"/>
                    </w:rPr>
                  </w:pPr>
                  <w:r>
                    <w:rPr>
                      <w:color w:val="auto"/>
                      <w:szCs w:val="21"/>
                    </w:rPr>
                    <w:t>识别标签包括粘贴式和系挂式。粘贴式危险废物标签粘贴于适合粘贴的危险废物储存容器、包装物上，系挂式危险废物标签适合系挂于不易粘贴牢固或不方便粘贴但相对方便系挂的危险废物储存容器、包装物上。</w:t>
                  </w:r>
                </w:p>
                <w:p>
                  <w:pPr>
                    <w:adjustRightInd w:val="0"/>
                    <w:snapToGrid w:val="0"/>
                    <w:rPr>
                      <w:color w:val="auto"/>
                      <w:szCs w:val="21"/>
                    </w:rPr>
                  </w:pPr>
                  <w:r>
                    <w:rPr>
                      <w:color w:val="auto"/>
                      <w:szCs w:val="21"/>
                    </w:rPr>
                    <w:t>2.规格参数</w:t>
                  </w:r>
                </w:p>
                <w:p>
                  <w:pPr>
                    <w:adjustRightInd w:val="0"/>
                    <w:snapToGrid w:val="0"/>
                    <w:rPr>
                      <w:color w:val="auto"/>
                      <w:szCs w:val="21"/>
                    </w:rPr>
                  </w:pPr>
                  <w:r>
                    <w:rPr>
                      <w:color w:val="auto"/>
                      <w:szCs w:val="21"/>
                    </w:rPr>
                    <w:t>（1）尺寸：粘贴式标签20cm×20cm，系挂式标签10cm×10cm。</w:t>
                  </w:r>
                </w:p>
                <w:p>
                  <w:pPr>
                    <w:adjustRightInd w:val="0"/>
                    <w:snapToGrid w:val="0"/>
                    <w:rPr>
                      <w:color w:val="auto"/>
                      <w:szCs w:val="21"/>
                    </w:rPr>
                  </w:pPr>
                  <w:r>
                    <w:rPr>
                      <w:color w:val="auto"/>
                      <w:szCs w:val="21"/>
                    </w:rPr>
                    <w:t>（2）颜色与字体：底色为醒目的桔黄色，文字颜色为黑色，字体为黑体。</w:t>
                  </w:r>
                </w:p>
                <w:p>
                  <w:pPr>
                    <w:adjustRightInd w:val="0"/>
                    <w:snapToGrid w:val="0"/>
                    <w:rPr>
                      <w:color w:val="auto"/>
                      <w:szCs w:val="21"/>
                    </w:rPr>
                  </w:pPr>
                  <w:r>
                    <w:rPr>
                      <w:color w:val="auto"/>
                      <w:szCs w:val="21"/>
                    </w:rPr>
                    <w:t>（3）材料：粘贴式标签为不干胶印刷品，系挂式标签为印刷品外加防水塑料袋或塑封。</w:t>
                  </w:r>
                </w:p>
                <w:p>
                  <w:pPr>
                    <w:adjustRightInd w:val="0"/>
                    <w:snapToGrid w:val="0"/>
                    <w:rPr>
                      <w:color w:val="auto"/>
                      <w:szCs w:val="21"/>
                    </w:rPr>
                  </w:pPr>
                  <w:r>
                    <w:rPr>
                      <w:color w:val="auto"/>
                      <w:szCs w:val="21"/>
                    </w:rPr>
                    <w:t>3.内容填报</w:t>
                  </w:r>
                </w:p>
                <w:p>
                  <w:pPr>
                    <w:adjustRightInd w:val="0"/>
                    <w:snapToGrid w:val="0"/>
                    <w:rPr>
                      <w:color w:val="auto"/>
                      <w:szCs w:val="21"/>
                    </w:rPr>
                  </w:pPr>
                  <w:r>
                    <w:rPr>
                      <w:color w:val="auto"/>
                      <w:szCs w:val="21"/>
                    </w:rPr>
                    <w:t>（1）主要成分：指危险废物中主要有害物质名称。</w:t>
                  </w:r>
                </w:p>
                <w:p>
                  <w:pPr>
                    <w:adjustRightInd w:val="0"/>
                    <w:snapToGrid w:val="0"/>
                    <w:rPr>
                      <w:color w:val="auto"/>
                      <w:szCs w:val="21"/>
                    </w:rPr>
                  </w:pPr>
                  <w:r>
                    <w:rPr>
                      <w:color w:val="auto"/>
                      <w:szCs w:val="21"/>
                    </w:rPr>
                    <w:t>（2）化学名称：指危险废物名称及八位码，应与企业环评文件、管理计划、月度申报等的危险废物名称保持一致。</w:t>
                  </w:r>
                </w:p>
                <w:p>
                  <w:pPr>
                    <w:adjustRightInd w:val="0"/>
                    <w:snapToGrid w:val="0"/>
                    <w:rPr>
                      <w:color w:val="auto"/>
                      <w:szCs w:val="21"/>
                    </w:rPr>
                  </w:pPr>
                  <w:r>
                    <w:rPr>
                      <w:color w:val="auto"/>
                      <w:szCs w:val="21"/>
                    </w:rPr>
                    <w:t>（3）危险情况：指《危险废物贮存污染控制标准》（GB18597-2001）附录A所列危险废物类别，包括爆炸性、有毒、易燃、有害、助燃、腐蚀性、刺激性、石棉。</w:t>
                  </w:r>
                </w:p>
                <w:p>
                  <w:pPr>
                    <w:adjustRightInd w:val="0"/>
                    <w:snapToGrid w:val="0"/>
                    <w:rPr>
                      <w:color w:val="auto"/>
                      <w:szCs w:val="21"/>
                    </w:rPr>
                  </w:pPr>
                  <w:r>
                    <w:rPr>
                      <w:color w:val="auto"/>
                      <w:szCs w:val="21"/>
                    </w:rPr>
                    <w:t>（4）安全措施：根据危险情况，填写安全防护措施，避免事故发生。</w:t>
                  </w:r>
                </w:p>
                <w:p>
                  <w:pPr>
                    <w:adjustRightInd w:val="0"/>
                    <w:snapToGrid w:val="0"/>
                    <w:jc w:val="left"/>
                    <w:rPr>
                      <w:color w:val="auto"/>
                      <w:szCs w:val="21"/>
                    </w:rPr>
                  </w:pPr>
                  <w:r>
                    <w:rPr>
                      <w:color w:val="auto"/>
                      <w:szCs w:val="21"/>
                    </w:rPr>
                    <w:t>（5）危险类别：根据危险情况，在对应标志右下角文字前打“√”。</w:t>
                  </w:r>
                </w:p>
              </w:tc>
            </w:tr>
          </w:tbl>
          <w:p>
            <w:pPr>
              <w:spacing w:line="360" w:lineRule="auto"/>
              <w:ind w:firstLine="480" w:firstLineChars="200"/>
              <w:rPr>
                <w:rFonts w:ascii="Calibri" w:hAnsi="Calibri" w:cs="Calibri"/>
                <w:color w:val="auto"/>
                <w:kern w:val="0"/>
                <w:sz w:val="24"/>
              </w:rPr>
            </w:pPr>
            <w:r>
              <w:rPr>
                <w:rFonts w:ascii="Calibri" w:hAnsi="Calibri" w:cs="Calibri"/>
                <w:color w:val="auto"/>
                <w:sz w:val="24"/>
              </w:rPr>
              <w:t>③与</w:t>
            </w:r>
            <w:r>
              <w:rPr>
                <w:rFonts w:ascii="Calibri" w:hAnsi="Calibri" w:cs="Calibri"/>
                <w:color w:val="auto"/>
                <w:kern w:val="0"/>
                <w:sz w:val="24"/>
              </w:rPr>
              <w:t>苏环办（2019）327号文相符性分析</w:t>
            </w:r>
          </w:p>
          <w:p>
            <w:pPr>
              <w:widowControl/>
              <w:spacing w:line="360" w:lineRule="auto"/>
              <w:ind w:firstLine="480"/>
              <w:rPr>
                <w:rFonts w:ascii="Calibri" w:hAnsi="Calibri" w:cs="Calibri"/>
                <w:color w:val="auto"/>
                <w:kern w:val="0"/>
                <w:sz w:val="24"/>
              </w:rPr>
            </w:pPr>
            <w:r>
              <w:rPr>
                <w:rFonts w:ascii="Calibri" w:hAnsi="Calibri" w:cs="Calibri"/>
                <w:color w:val="auto"/>
                <w:kern w:val="0"/>
                <w:sz w:val="24"/>
              </w:rPr>
              <w:t>根据《省生态环境厅关于进一步加强危险废物污染防治工作的实施意见》[苏环办（2019）327号]，具体要求见下表。</w:t>
            </w:r>
          </w:p>
          <w:p>
            <w:pPr>
              <w:pStyle w:val="6"/>
              <w:numPr>
                <w:ilvl w:val="0"/>
                <w:numId w:val="16"/>
              </w:numPr>
              <w:adjustRightInd w:val="0"/>
              <w:snapToGrid w:val="0"/>
              <w:ind w:firstLineChars="0"/>
              <w:jc w:val="center"/>
              <w:rPr>
                <w:rFonts w:ascii="Calibri" w:hAnsi="Calibri" w:cs="Calibri"/>
                <w:color w:val="auto"/>
                <w:sz w:val="24"/>
              </w:rPr>
            </w:pPr>
            <w:r>
              <w:rPr>
                <w:rFonts w:ascii="Calibri" w:hAnsi="Calibri" w:cs="Calibri"/>
                <w:b/>
                <w:bCs/>
                <w:color w:val="auto"/>
                <w:kern w:val="0"/>
                <w:sz w:val="24"/>
              </w:rPr>
              <w:t>本项目与苏环办[2019]327号文实施情况一览表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3437"/>
              <w:gridCol w:w="36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tcMar>
                    <w:top w:w="0" w:type="dxa"/>
                    <w:left w:w="6" w:type="dxa"/>
                    <w:bottom w:w="0" w:type="dxa"/>
                    <w:right w:w="6" w:type="dxa"/>
                  </w:tcMar>
                  <w:vAlign w:val="center"/>
                </w:tcPr>
                <w:p>
                  <w:pPr>
                    <w:jc w:val="center"/>
                    <w:rPr>
                      <w:b/>
                      <w:color w:val="auto"/>
                      <w:szCs w:val="21"/>
                    </w:rPr>
                  </w:pPr>
                  <w:r>
                    <w:rPr>
                      <w:b/>
                      <w:color w:val="auto"/>
                      <w:szCs w:val="21"/>
                    </w:rPr>
                    <w:t>序号</w:t>
                  </w:r>
                </w:p>
              </w:tc>
              <w:tc>
                <w:tcPr>
                  <w:tcW w:w="2232" w:type="pct"/>
                  <w:tcMar>
                    <w:top w:w="0" w:type="dxa"/>
                    <w:left w:w="6" w:type="dxa"/>
                    <w:bottom w:w="0" w:type="dxa"/>
                    <w:right w:w="6" w:type="dxa"/>
                  </w:tcMar>
                  <w:vAlign w:val="center"/>
                </w:tcPr>
                <w:p>
                  <w:pPr>
                    <w:topLinePunct/>
                    <w:jc w:val="center"/>
                    <w:rPr>
                      <w:b/>
                      <w:color w:val="auto"/>
                      <w:kern w:val="0"/>
                      <w:szCs w:val="21"/>
                    </w:rPr>
                  </w:pPr>
                  <w:r>
                    <w:rPr>
                      <w:b/>
                      <w:color w:val="auto"/>
                      <w:kern w:val="0"/>
                      <w:szCs w:val="21"/>
                    </w:rPr>
                    <w:t>苏环办[2019]327号文件要求</w:t>
                  </w:r>
                </w:p>
              </w:tc>
              <w:tc>
                <w:tcPr>
                  <w:tcW w:w="2340" w:type="pct"/>
                  <w:tcMar>
                    <w:top w:w="0" w:type="dxa"/>
                    <w:left w:w="6" w:type="dxa"/>
                    <w:bottom w:w="0" w:type="dxa"/>
                    <w:right w:w="6" w:type="dxa"/>
                  </w:tcMar>
                  <w:vAlign w:val="center"/>
                </w:tcPr>
                <w:p>
                  <w:pPr>
                    <w:topLinePunct/>
                    <w:jc w:val="center"/>
                    <w:rPr>
                      <w:b/>
                      <w:color w:val="auto"/>
                      <w:kern w:val="0"/>
                      <w:szCs w:val="21"/>
                    </w:rPr>
                  </w:pPr>
                  <w:r>
                    <w:rPr>
                      <w:b/>
                      <w:color w:val="auto"/>
                      <w:kern w:val="0"/>
                      <w:szCs w:val="21"/>
                    </w:rPr>
                    <w:t>拟实施情况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26" w:type="pct"/>
                  <w:tcMar>
                    <w:top w:w="0" w:type="dxa"/>
                    <w:left w:w="6" w:type="dxa"/>
                    <w:bottom w:w="0" w:type="dxa"/>
                    <w:right w:w="6" w:type="dxa"/>
                  </w:tcMar>
                  <w:vAlign w:val="center"/>
                </w:tcPr>
                <w:p>
                  <w:pPr>
                    <w:jc w:val="center"/>
                    <w:rPr>
                      <w:b/>
                      <w:color w:val="auto"/>
                      <w:szCs w:val="21"/>
                    </w:rPr>
                  </w:pPr>
                  <w:r>
                    <w:rPr>
                      <w:color w:val="auto"/>
                      <w:szCs w:val="21"/>
                    </w:rPr>
                    <w:t>1</w:t>
                  </w:r>
                </w:p>
              </w:tc>
              <w:tc>
                <w:tcPr>
                  <w:tcW w:w="2232" w:type="pct"/>
                  <w:tcMar>
                    <w:top w:w="0" w:type="dxa"/>
                    <w:left w:w="6" w:type="dxa"/>
                    <w:bottom w:w="0" w:type="dxa"/>
                    <w:right w:w="6" w:type="dxa"/>
                  </w:tcMar>
                  <w:vAlign w:val="center"/>
                </w:tcPr>
                <w:p>
                  <w:pPr>
                    <w:topLinePunct/>
                    <w:jc w:val="left"/>
                    <w:rPr>
                      <w:b/>
                      <w:color w:val="auto"/>
                      <w:kern w:val="0"/>
                      <w:szCs w:val="21"/>
                    </w:rPr>
                  </w:pPr>
                  <w:r>
                    <w:rPr>
                      <w:color w:val="auto"/>
                      <w:szCs w:val="21"/>
                    </w:rPr>
                    <w:t>对建设项目危险废物种类、数量、属性、贮存设施、利用或处置方式进行科学分析</w:t>
                  </w:r>
                </w:p>
              </w:tc>
              <w:tc>
                <w:tcPr>
                  <w:tcW w:w="2340" w:type="pct"/>
                  <w:tcMar>
                    <w:top w:w="0" w:type="dxa"/>
                    <w:left w:w="6" w:type="dxa"/>
                    <w:bottom w:w="0" w:type="dxa"/>
                    <w:right w:w="6" w:type="dxa"/>
                  </w:tcMar>
                  <w:vAlign w:val="center"/>
                </w:tcPr>
                <w:p>
                  <w:pPr>
                    <w:topLinePunct/>
                    <w:jc w:val="left"/>
                    <w:rPr>
                      <w:b/>
                      <w:color w:val="auto"/>
                      <w:kern w:val="0"/>
                      <w:szCs w:val="21"/>
                    </w:rPr>
                  </w:pPr>
                  <w:r>
                    <w:rPr>
                      <w:bCs/>
                      <w:color w:val="auto"/>
                      <w:kern w:val="0"/>
                      <w:szCs w:val="21"/>
                    </w:rPr>
                    <w:t>本项目产生的危险废物主要有</w:t>
                  </w:r>
                  <w:r>
                    <w:rPr>
                      <w:rFonts w:hint="eastAsia"/>
                      <w:bCs/>
                      <w:color w:val="auto"/>
                      <w:kern w:val="0"/>
                      <w:szCs w:val="21"/>
                    </w:rPr>
                    <w:t>脱脂废渣（液）、陶化废渣（液）、废包装桶、废活性炭、废油、含油废抹布手套、废油类包装桶、压滤污泥、浓缩蒸发液、废水过滤材料</w:t>
                  </w:r>
                  <w:r>
                    <w:rPr>
                      <w:bCs/>
                      <w:color w:val="auto"/>
                      <w:kern w:val="0"/>
                      <w:szCs w:val="21"/>
                    </w:rPr>
                    <w:t>等，本次环评已对项目可能产生的</w:t>
                  </w:r>
                  <w:r>
                    <w:rPr>
                      <w:color w:val="auto"/>
                      <w:szCs w:val="21"/>
                    </w:rPr>
                    <w:t>危险废物种类、数量、属性、贮存设施、利用及处置方式进行了分析描述，详见主要环境影响和分析章节。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26" w:type="pct"/>
                  <w:tcMar>
                    <w:top w:w="0" w:type="dxa"/>
                    <w:left w:w="6" w:type="dxa"/>
                    <w:bottom w:w="0" w:type="dxa"/>
                    <w:right w:w="6" w:type="dxa"/>
                  </w:tcMar>
                  <w:vAlign w:val="center"/>
                </w:tcPr>
                <w:p>
                  <w:pPr>
                    <w:jc w:val="center"/>
                    <w:rPr>
                      <w:b/>
                      <w:color w:val="auto"/>
                      <w:szCs w:val="21"/>
                    </w:rPr>
                  </w:pPr>
                  <w:r>
                    <w:rPr>
                      <w:bCs/>
                      <w:color w:val="auto"/>
                      <w:szCs w:val="21"/>
                    </w:rPr>
                    <w:t>2</w:t>
                  </w:r>
                </w:p>
              </w:tc>
              <w:tc>
                <w:tcPr>
                  <w:tcW w:w="2232" w:type="pct"/>
                  <w:tcMar>
                    <w:top w:w="0" w:type="dxa"/>
                    <w:left w:w="6" w:type="dxa"/>
                    <w:bottom w:w="0" w:type="dxa"/>
                    <w:right w:w="6" w:type="dxa"/>
                  </w:tcMar>
                  <w:vAlign w:val="center"/>
                </w:tcPr>
                <w:p>
                  <w:pPr>
                    <w:topLinePunct/>
                    <w:jc w:val="left"/>
                    <w:rPr>
                      <w:b/>
                      <w:color w:val="auto"/>
                      <w:kern w:val="0"/>
                      <w:szCs w:val="21"/>
                    </w:rPr>
                  </w:pPr>
                  <w:r>
                    <w:rPr>
                      <w:color w:val="auto"/>
                      <w:szCs w:val="21"/>
                    </w:rPr>
                    <w:t>对建设项目危险废物的环境影响以及环境风险评价，并提出切实可行的污染防治对策措施</w:t>
                  </w:r>
                </w:p>
              </w:tc>
              <w:tc>
                <w:tcPr>
                  <w:tcW w:w="2340" w:type="pct"/>
                  <w:tcMar>
                    <w:top w:w="0" w:type="dxa"/>
                    <w:left w:w="6" w:type="dxa"/>
                    <w:bottom w:w="0" w:type="dxa"/>
                    <w:right w:w="6" w:type="dxa"/>
                  </w:tcMar>
                  <w:vAlign w:val="center"/>
                </w:tcPr>
                <w:p>
                  <w:pPr>
                    <w:topLinePunct/>
                    <w:jc w:val="left"/>
                    <w:rPr>
                      <w:bCs/>
                      <w:color w:val="auto"/>
                      <w:kern w:val="0"/>
                      <w:szCs w:val="21"/>
                    </w:rPr>
                  </w:pPr>
                  <w:r>
                    <w:rPr>
                      <w:bCs/>
                      <w:color w:val="auto"/>
                      <w:kern w:val="0"/>
                      <w:szCs w:val="21"/>
                    </w:rPr>
                    <w:t>液态危废</w:t>
                  </w:r>
                  <w:r>
                    <w:rPr>
                      <w:color w:val="auto"/>
                      <w:szCs w:val="21"/>
                    </w:rPr>
                    <w:t>采用密闭桶贮存，危废仓库地面采取防渗措施，并设置托盘，可基本防止其流失、渗漏。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26" w:type="pct"/>
                  <w:tcMar>
                    <w:top w:w="0" w:type="dxa"/>
                    <w:left w:w="6" w:type="dxa"/>
                    <w:bottom w:w="0" w:type="dxa"/>
                    <w:right w:w="6" w:type="dxa"/>
                  </w:tcMar>
                  <w:vAlign w:val="center"/>
                </w:tcPr>
                <w:p>
                  <w:pPr>
                    <w:jc w:val="center"/>
                    <w:rPr>
                      <w:bCs/>
                      <w:color w:val="auto"/>
                      <w:szCs w:val="21"/>
                    </w:rPr>
                  </w:pPr>
                  <w:r>
                    <w:rPr>
                      <w:bCs/>
                      <w:color w:val="auto"/>
                      <w:szCs w:val="21"/>
                    </w:rPr>
                    <w:t>3</w:t>
                  </w:r>
                </w:p>
              </w:tc>
              <w:tc>
                <w:tcPr>
                  <w:tcW w:w="2232" w:type="pct"/>
                  <w:tcMar>
                    <w:top w:w="0" w:type="dxa"/>
                    <w:left w:w="6" w:type="dxa"/>
                    <w:bottom w:w="0" w:type="dxa"/>
                    <w:right w:w="6" w:type="dxa"/>
                  </w:tcMar>
                  <w:vAlign w:val="center"/>
                </w:tcPr>
                <w:p>
                  <w:pPr>
                    <w:topLinePunct/>
                    <w:jc w:val="left"/>
                    <w:rPr>
                      <w:b/>
                      <w:color w:val="auto"/>
                      <w:kern w:val="0"/>
                      <w:szCs w:val="21"/>
                    </w:rPr>
                  </w:pPr>
                  <w:r>
                    <w:rPr>
                      <w:color w:val="auto"/>
                      <w:szCs w:val="21"/>
                    </w:rPr>
                    <w:t>企业应根据危险废物的种类和特性进行分区、分类贮存</w:t>
                  </w:r>
                </w:p>
              </w:tc>
              <w:tc>
                <w:tcPr>
                  <w:tcW w:w="2340" w:type="pct"/>
                  <w:tcMar>
                    <w:top w:w="0" w:type="dxa"/>
                    <w:left w:w="6" w:type="dxa"/>
                    <w:bottom w:w="0" w:type="dxa"/>
                    <w:right w:w="6" w:type="dxa"/>
                  </w:tcMar>
                  <w:vAlign w:val="center"/>
                </w:tcPr>
                <w:p>
                  <w:pPr>
                    <w:topLinePunct/>
                    <w:jc w:val="left"/>
                    <w:rPr>
                      <w:bCs/>
                      <w:color w:val="auto"/>
                      <w:kern w:val="0"/>
                      <w:szCs w:val="21"/>
                    </w:rPr>
                  </w:pPr>
                  <w:r>
                    <w:rPr>
                      <w:bCs/>
                      <w:color w:val="auto"/>
                      <w:kern w:val="0"/>
                      <w:szCs w:val="21"/>
                    </w:rPr>
                    <w:t>本项目产生的危险废物设置危废仓库将其分类安全贮存。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426" w:type="pct"/>
                  <w:tcMar>
                    <w:top w:w="0" w:type="dxa"/>
                    <w:left w:w="6" w:type="dxa"/>
                    <w:bottom w:w="0" w:type="dxa"/>
                    <w:right w:w="6" w:type="dxa"/>
                  </w:tcMar>
                  <w:vAlign w:val="center"/>
                </w:tcPr>
                <w:p>
                  <w:pPr>
                    <w:jc w:val="center"/>
                    <w:rPr>
                      <w:bCs/>
                      <w:color w:val="auto"/>
                      <w:szCs w:val="21"/>
                    </w:rPr>
                  </w:pPr>
                  <w:r>
                    <w:rPr>
                      <w:bCs/>
                      <w:color w:val="auto"/>
                      <w:szCs w:val="21"/>
                    </w:rPr>
                    <w:t>4</w:t>
                  </w:r>
                </w:p>
              </w:tc>
              <w:tc>
                <w:tcPr>
                  <w:tcW w:w="2232" w:type="pct"/>
                  <w:tcMar>
                    <w:top w:w="0" w:type="dxa"/>
                    <w:left w:w="6" w:type="dxa"/>
                    <w:bottom w:w="0" w:type="dxa"/>
                    <w:right w:w="6" w:type="dxa"/>
                  </w:tcMar>
                  <w:vAlign w:val="center"/>
                </w:tcPr>
                <w:p>
                  <w:pPr>
                    <w:topLinePunct/>
                    <w:jc w:val="left"/>
                    <w:rPr>
                      <w:b/>
                      <w:color w:val="auto"/>
                      <w:kern w:val="0"/>
                      <w:szCs w:val="21"/>
                    </w:rPr>
                  </w:pPr>
                  <w:r>
                    <w:rPr>
                      <w:color w:val="auto"/>
                      <w:szCs w:val="21"/>
                    </w:rPr>
                    <w:t>危险废物贮存设置防雨、防火、防雷、防扬散、防渗漏装置及泄漏液体收集装置</w:t>
                  </w:r>
                </w:p>
              </w:tc>
              <w:tc>
                <w:tcPr>
                  <w:tcW w:w="2340" w:type="pct"/>
                  <w:tcMar>
                    <w:top w:w="0" w:type="dxa"/>
                    <w:left w:w="6" w:type="dxa"/>
                    <w:bottom w:w="0" w:type="dxa"/>
                    <w:right w:w="6" w:type="dxa"/>
                  </w:tcMar>
                  <w:vAlign w:val="center"/>
                </w:tcPr>
                <w:p>
                  <w:pPr>
                    <w:topLinePunct/>
                    <w:jc w:val="left"/>
                    <w:rPr>
                      <w:bCs/>
                      <w:color w:val="auto"/>
                      <w:kern w:val="0"/>
                      <w:szCs w:val="21"/>
                    </w:rPr>
                  </w:pPr>
                  <w:r>
                    <w:rPr>
                      <w:color w:val="auto"/>
                      <w:szCs w:val="21"/>
                    </w:rPr>
                    <w:t>危废仓库已设置在厂区</w:t>
                  </w:r>
                  <w:r>
                    <w:rPr>
                      <w:rFonts w:hint="eastAsia"/>
                      <w:color w:val="auto"/>
                      <w:szCs w:val="21"/>
                    </w:rPr>
                    <w:t>西北</w:t>
                  </w:r>
                  <w:r>
                    <w:rPr>
                      <w:color w:val="auto"/>
                      <w:szCs w:val="21"/>
                    </w:rPr>
                    <w:t>侧，平时加强管理做好防雨、防火措施，且拟设置防渗措施及防漏托盘等装置；仓库内</w:t>
                  </w:r>
                  <w:r>
                    <w:rPr>
                      <w:color w:val="auto"/>
                      <w:kern w:val="0"/>
                      <w:szCs w:val="21"/>
                    </w:rPr>
                    <w:t>设禁火标志，配置灭火器等设施。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tcMar>
                    <w:top w:w="0" w:type="dxa"/>
                    <w:left w:w="6" w:type="dxa"/>
                    <w:bottom w:w="0" w:type="dxa"/>
                    <w:right w:w="6" w:type="dxa"/>
                  </w:tcMar>
                  <w:vAlign w:val="center"/>
                </w:tcPr>
                <w:p>
                  <w:pPr>
                    <w:jc w:val="center"/>
                    <w:rPr>
                      <w:color w:val="auto"/>
                      <w:szCs w:val="21"/>
                    </w:rPr>
                  </w:pPr>
                  <w:r>
                    <w:rPr>
                      <w:color w:val="auto"/>
                      <w:szCs w:val="21"/>
                    </w:rPr>
                    <w:t>5</w:t>
                  </w:r>
                </w:p>
              </w:tc>
              <w:tc>
                <w:tcPr>
                  <w:tcW w:w="2232" w:type="pct"/>
                  <w:tcMar>
                    <w:top w:w="0" w:type="dxa"/>
                    <w:left w:w="6" w:type="dxa"/>
                    <w:bottom w:w="0" w:type="dxa"/>
                    <w:right w:w="6" w:type="dxa"/>
                  </w:tcMar>
                  <w:vAlign w:val="center"/>
                </w:tcPr>
                <w:p>
                  <w:pPr>
                    <w:jc w:val="left"/>
                    <w:rPr>
                      <w:color w:val="auto"/>
                      <w:szCs w:val="21"/>
                    </w:rPr>
                  </w:pPr>
                  <w:r>
                    <w:rPr>
                      <w:color w:val="auto"/>
                      <w:szCs w:val="21"/>
                    </w:rPr>
                    <w:t>对易爆、易燃及排出有毒气体的危险废物进行预处理，稳定后贮存</w:t>
                  </w:r>
                </w:p>
              </w:tc>
              <w:tc>
                <w:tcPr>
                  <w:tcW w:w="2340" w:type="pct"/>
                  <w:tcMar>
                    <w:top w:w="0" w:type="dxa"/>
                    <w:left w:w="6" w:type="dxa"/>
                    <w:bottom w:w="0" w:type="dxa"/>
                    <w:right w:w="6" w:type="dxa"/>
                  </w:tcMar>
                  <w:vAlign w:val="center"/>
                </w:tcPr>
                <w:p>
                  <w:pPr>
                    <w:topLinePunct/>
                    <w:jc w:val="left"/>
                    <w:rPr>
                      <w:bCs/>
                      <w:color w:val="auto"/>
                      <w:kern w:val="0"/>
                      <w:szCs w:val="21"/>
                    </w:rPr>
                  </w:pPr>
                  <w:r>
                    <w:rPr>
                      <w:color w:val="auto"/>
                      <w:kern w:val="0"/>
                      <w:szCs w:val="21"/>
                    </w:rPr>
                    <w:t>本项目不涉及易燃、易爆及排放有毒气体的危险废物</w:t>
                  </w:r>
                  <w:r>
                    <w:rPr>
                      <w:rFonts w:hint="eastAsia"/>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26" w:type="pct"/>
                  <w:tcMar>
                    <w:top w:w="0" w:type="dxa"/>
                    <w:left w:w="6" w:type="dxa"/>
                    <w:bottom w:w="0" w:type="dxa"/>
                    <w:right w:w="6" w:type="dxa"/>
                  </w:tcMar>
                  <w:vAlign w:val="center"/>
                </w:tcPr>
                <w:p>
                  <w:pPr>
                    <w:jc w:val="center"/>
                    <w:rPr>
                      <w:b/>
                      <w:color w:val="auto"/>
                      <w:szCs w:val="21"/>
                    </w:rPr>
                  </w:pPr>
                  <w:r>
                    <w:rPr>
                      <w:bCs/>
                      <w:color w:val="auto"/>
                      <w:szCs w:val="21"/>
                    </w:rPr>
                    <w:t>6</w:t>
                  </w:r>
                </w:p>
              </w:tc>
              <w:tc>
                <w:tcPr>
                  <w:tcW w:w="2232" w:type="pct"/>
                  <w:tcMar>
                    <w:top w:w="0" w:type="dxa"/>
                    <w:left w:w="6" w:type="dxa"/>
                    <w:bottom w:w="0" w:type="dxa"/>
                    <w:right w:w="6" w:type="dxa"/>
                  </w:tcMar>
                  <w:vAlign w:val="center"/>
                </w:tcPr>
                <w:p>
                  <w:pPr>
                    <w:jc w:val="left"/>
                    <w:rPr>
                      <w:color w:val="auto"/>
                      <w:szCs w:val="21"/>
                    </w:rPr>
                  </w:pPr>
                  <w:r>
                    <w:rPr>
                      <w:color w:val="auto"/>
                      <w:szCs w:val="21"/>
                    </w:rPr>
                    <w:t>贮存废弃剧毒化学品的，应按照公安机关要求落实治安防范措施</w:t>
                  </w:r>
                </w:p>
              </w:tc>
              <w:tc>
                <w:tcPr>
                  <w:tcW w:w="2340" w:type="pct"/>
                  <w:tcMar>
                    <w:top w:w="0" w:type="dxa"/>
                    <w:left w:w="6" w:type="dxa"/>
                    <w:bottom w:w="0" w:type="dxa"/>
                    <w:right w:w="6" w:type="dxa"/>
                  </w:tcMar>
                  <w:vAlign w:val="center"/>
                </w:tcPr>
                <w:p>
                  <w:pPr>
                    <w:topLinePunct/>
                    <w:jc w:val="left"/>
                    <w:rPr>
                      <w:bCs/>
                      <w:color w:val="auto"/>
                      <w:kern w:val="0"/>
                      <w:szCs w:val="21"/>
                    </w:rPr>
                  </w:pPr>
                  <w:r>
                    <w:rPr>
                      <w:bCs/>
                      <w:color w:val="auto"/>
                      <w:kern w:val="0"/>
                      <w:szCs w:val="21"/>
                    </w:rPr>
                    <w:t>本项目不涉及废弃剧毒化学品</w:t>
                  </w:r>
                  <w:r>
                    <w:rPr>
                      <w:rFonts w:hint="eastAsia"/>
                      <w:bCs/>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26" w:type="pct"/>
                  <w:tcMar>
                    <w:top w:w="0" w:type="dxa"/>
                    <w:left w:w="6" w:type="dxa"/>
                    <w:bottom w:w="0" w:type="dxa"/>
                    <w:right w:w="6" w:type="dxa"/>
                  </w:tcMar>
                  <w:vAlign w:val="center"/>
                </w:tcPr>
                <w:p>
                  <w:pPr>
                    <w:jc w:val="center"/>
                    <w:rPr>
                      <w:color w:val="auto"/>
                      <w:szCs w:val="21"/>
                    </w:rPr>
                  </w:pPr>
                  <w:r>
                    <w:rPr>
                      <w:color w:val="auto"/>
                      <w:szCs w:val="21"/>
                    </w:rPr>
                    <w:t>7</w:t>
                  </w:r>
                </w:p>
              </w:tc>
              <w:tc>
                <w:tcPr>
                  <w:tcW w:w="2232" w:type="pct"/>
                  <w:tcMar>
                    <w:top w:w="0" w:type="dxa"/>
                    <w:left w:w="6" w:type="dxa"/>
                    <w:bottom w:w="0" w:type="dxa"/>
                    <w:right w:w="6" w:type="dxa"/>
                  </w:tcMar>
                  <w:vAlign w:val="center"/>
                </w:tcPr>
                <w:p>
                  <w:pPr>
                    <w:jc w:val="left"/>
                    <w:rPr>
                      <w:color w:val="auto"/>
                      <w:szCs w:val="21"/>
                    </w:rPr>
                  </w:pPr>
                  <w:r>
                    <w:rPr>
                      <w:color w:val="auto"/>
                      <w:szCs w:val="21"/>
                    </w:rPr>
                    <w:t>企业严格执行《省生态环境厅关于印发江苏省危险废物贮存规范化管理专项整治行动方案的通知》（苏环办〔2019〕149号）要求，按照《环境保护图形标志固体废物贮存（处置）场》（GB15562.2-1995）和危险废物识别标识设置规范设置标志（具体要求必须符合苏环办[2019]327号附件1“危险废物识别标识规范化设置要求”的规定）</w:t>
                  </w:r>
                </w:p>
              </w:tc>
              <w:tc>
                <w:tcPr>
                  <w:tcW w:w="2340" w:type="pct"/>
                  <w:tcMar>
                    <w:top w:w="0" w:type="dxa"/>
                    <w:left w:w="6" w:type="dxa"/>
                    <w:bottom w:w="0" w:type="dxa"/>
                    <w:right w:w="6" w:type="dxa"/>
                  </w:tcMar>
                  <w:vAlign w:val="center"/>
                </w:tcPr>
                <w:p>
                  <w:pPr>
                    <w:topLinePunct/>
                    <w:jc w:val="left"/>
                    <w:rPr>
                      <w:bCs/>
                      <w:color w:val="auto"/>
                      <w:kern w:val="0"/>
                      <w:szCs w:val="21"/>
                    </w:rPr>
                  </w:pPr>
                  <w:r>
                    <w:rPr>
                      <w:color w:val="auto"/>
                      <w:kern w:val="0"/>
                      <w:szCs w:val="21"/>
                    </w:rPr>
                    <w:t>企业已设置危废信息公开栏，危废仓库外墙及各类危险固废贮存处墙面设置贮存设施警示标志牌。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26" w:type="pct"/>
                  <w:tcMar>
                    <w:top w:w="0" w:type="dxa"/>
                    <w:left w:w="6" w:type="dxa"/>
                    <w:bottom w:w="0" w:type="dxa"/>
                    <w:right w:w="6" w:type="dxa"/>
                  </w:tcMar>
                  <w:vAlign w:val="center"/>
                </w:tcPr>
                <w:p>
                  <w:pPr>
                    <w:jc w:val="center"/>
                    <w:rPr>
                      <w:color w:val="auto"/>
                      <w:szCs w:val="21"/>
                    </w:rPr>
                  </w:pPr>
                  <w:r>
                    <w:rPr>
                      <w:color w:val="auto"/>
                      <w:szCs w:val="21"/>
                    </w:rPr>
                    <w:t>8</w:t>
                  </w:r>
                </w:p>
              </w:tc>
              <w:tc>
                <w:tcPr>
                  <w:tcW w:w="2232" w:type="pct"/>
                  <w:tcMar>
                    <w:top w:w="0" w:type="dxa"/>
                    <w:left w:w="6" w:type="dxa"/>
                    <w:bottom w:w="0" w:type="dxa"/>
                    <w:right w:w="6" w:type="dxa"/>
                  </w:tcMar>
                  <w:vAlign w:val="center"/>
                </w:tcPr>
                <w:p>
                  <w:pPr>
                    <w:jc w:val="left"/>
                    <w:rPr>
                      <w:color w:val="auto"/>
                      <w:szCs w:val="21"/>
                    </w:rPr>
                  </w:pPr>
                  <w:r>
                    <w:rPr>
                      <w:color w:val="auto"/>
                      <w:szCs w:val="21"/>
                    </w:rPr>
                    <w:t>危废仓库须配备通讯设备、照明设施和消防设施</w:t>
                  </w:r>
                </w:p>
              </w:tc>
              <w:tc>
                <w:tcPr>
                  <w:tcW w:w="2340" w:type="pct"/>
                  <w:tcMar>
                    <w:top w:w="0" w:type="dxa"/>
                    <w:left w:w="6" w:type="dxa"/>
                    <w:bottom w:w="0" w:type="dxa"/>
                    <w:right w:w="6" w:type="dxa"/>
                  </w:tcMar>
                  <w:vAlign w:val="center"/>
                </w:tcPr>
                <w:p>
                  <w:pPr>
                    <w:topLinePunct/>
                    <w:jc w:val="left"/>
                    <w:rPr>
                      <w:bCs/>
                      <w:color w:val="auto"/>
                      <w:kern w:val="0"/>
                      <w:szCs w:val="21"/>
                      <w:highlight w:val="yellow"/>
                    </w:rPr>
                  </w:pPr>
                  <w:r>
                    <w:rPr>
                      <w:color w:val="auto"/>
                      <w:szCs w:val="21"/>
                    </w:rPr>
                    <w:t>危废仓库已配备通讯设备、照明设施和</w:t>
                  </w:r>
                  <w:r>
                    <w:rPr>
                      <w:color w:val="auto"/>
                      <w:kern w:val="0"/>
                      <w:szCs w:val="21"/>
                    </w:rPr>
                    <w:t>禁火标志、灭火器等</w:t>
                  </w:r>
                  <w:r>
                    <w:rPr>
                      <w:rFonts w:hint="eastAsia"/>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26" w:type="pct"/>
                  <w:tcMar>
                    <w:top w:w="0" w:type="dxa"/>
                    <w:left w:w="6" w:type="dxa"/>
                    <w:bottom w:w="0" w:type="dxa"/>
                    <w:right w:w="6" w:type="dxa"/>
                  </w:tcMar>
                  <w:vAlign w:val="center"/>
                </w:tcPr>
                <w:p>
                  <w:pPr>
                    <w:jc w:val="center"/>
                    <w:rPr>
                      <w:color w:val="auto"/>
                      <w:szCs w:val="21"/>
                    </w:rPr>
                  </w:pPr>
                  <w:r>
                    <w:rPr>
                      <w:color w:val="auto"/>
                      <w:szCs w:val="21"/>
                    </w:rPr>
                    <w:t>9</w:t>
                  </w:r>
                </w:p>
              </w:tc>
              <w:tc>
                <w:tcPr>
                  <w:tcW w:w="2232" w:type="pct"/>
                  <w:tcMar>
                    <w:top w:w="0" w:type="dxa"/>
                    <w:left w:w="6" w:type="dxa"/>
                    <w:bottom w:w="0" w:type="dxa"/>
                    <w:right w:w="6" w:type="dxa"/>
                  </w:tcMar>
                  <w:vAlign w:val="center"/>
                </w:tcPr>
                <w:p>
                  <w:pPr>
                    <w:widowControl/>
                    <w:jc w:val="left"/>
                    <w:rPr>
                      <w:color w:val="auto"/>
                      <w:szCs w:val="21"/>
                    </w:rPr>
                  </w:pPr>
                  <w:r>
                    <w:rPr>
                      <w:color w:val="auto"/>
                      <w:kern w:val="0"/>
                      <w:szCs w:val="21"/>
                    </w:rPr>
                    <w:t>危险废物仓库须设置气体导出口及气体净化装置，确保废气达标排放</w:t>
                  </w:r>
                </w:p>
              </w:tc>
              <w:tc>
                <w:tcPr>
                  <w:tcW w:w="2340" w:type="pct"/>
                  <w:tcMar>
                    <w:top w:w="0" w:type="dxa"/>
                    <w:left w:w="6" w:type="dxa"/>
                    <w:bottom w:w="0" w:type="dxa"/>
                    <w:right w:w="6" w:type="dxa"/>
                  </w:tcMar>
                  <w:vAlign w:val="center"/>
                </w:tcPr>
                <w:p>
                  <w:pPr>
                    <w:widowControl/>
                    <w:jc w:val="left"/>
                    <w:rPr>
                      <w:color w:val="auto"/>
                      <w:szCs w:val="21"/>
                    </w:rPr>
                  </w:pPr>
                  <w:r>
                    <w:rPr>
                      <w:color w:val="auto"/>
                      <w:kern w:val="0"/>
                      <w:szCs w:val="21"/>
                    </w:rPr>
                    <w:t>本项目产生的危险废物密闭储存，拟设置气体净化装置</w:t>
                  </w:r>
                  <w:r>
                    <w:rPr>
                      <w:rFonts w:hint="eastAsia"/>
                      <w:color w:val="auto"/>
                      <w:kern w:val="0"/>
                      <w:szCs w:val="21"/>
                    </w:rPr>
                    <w:t>，危废仓库废气经换风收集后进二级活性炭吸附装置处理后无组织排放。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426" w:type="pct"/>
                  <w:tcMar>
                    <w:top w:w="0" w:type="dxa"/>
                    <w:left w:w="6" w:type="dxa"/>
                    <w:bottom w:w="0" w:type="dxa"/>
                    <w:right w:w="6" w:type="dxa"/>
                  </w:tcMar>
                  <w:vAlign w:val="center"/>
                </w:tcPr>
                <w:p>
                  <w:pPr>
                    <w:jc w:val="center"/>
                    <w:rPr>
                      <w:color w:val="auto"/>
                      <w:szCs w:val="21"/>
                    </w:rPr>
                  </w:pPr>
                  <w:r>
                    <w:rPr>
                      <w:color w:val="auto"/>
                      <w:szCs w:val="21"/>
                    </w:rPr>
                    <w:t>10</w:t>
                  </w:r>
                </w:p>
              </w:tc>
              <w:tc>
                <w:tcPr>
                  <w:tcW w:w="2232" w:type="pct"/>
                  <w:tcMar>
                    <w:top w:w="0" w:type="dxa"/>
                    <w:left w:w="6" w:type="dxa"/>
                    <w:bottom w:w="0" w:type="dxa"/>
                    <w:right w:w="6" w:type="dxa"/>
                  </w:tcMar>
                  <w:vAlign w:val="center"/>
                </w:tcPr>
                <w:p>
                  <w:pPr>
                    <w:jc w:val="left"/>
                    <w:rPr>
                      <w:color w:val="auto"/>
                      <w:szCs w:val="21"/>
                    </w:rPr>
                  </w:pPr>
                  <w:r>
                    <w:rPr>
                      <w:color w:val="auto"/>
                      <w:szCs w:val="21"/>
                    </w:rPr>
                    <w:t>在危险废物仓库出入口、设施内部、危险废物运输车辆通道等关键位置按照危险废物贮存设施视频监控布设要求设置视频监控，并与中控室联网（具体要求必须符合苏环办[2019]327号附件2“危险废物贮存设施视频监控布设要求”的规定）</w:t>
                  </w:r>
                </w:p>
              </w:tc>
              <w:tc>
                <w:tcPr>
                  <w:tcW w:w="2340" w:type="pct"/>
                  <w:tcMar>
                    <w:top w:w="0" w:type="dxa"/>
                    <w:left w:w="6" w:type="dxa"/>
                    <w:bottom w:w="0" w:type="dxa"/>
                    <w:right w:w="6" w:type="dxa"/>
                  </w:tcMar>
                  <w:vAlign w:val="center"/>
                </w:tcPr>
                <w:p>
                  <w:pPr>
                    <w:topLinePunct/>
                    <w:jc w:val="left"/>
                    <w:rPr>
                      <w:bCs/>
                      <w:color w:val="auto"/>
                      <w:kern w:val="0"/>
                      <w:szCs w:val="21"/>
                      <w:highlight w:val="yellow"/>
                    </w:rPr>
                  </w:pPr>
                  <w:r>
                    <w:rPr>
                      <w:color w:val="auto"/>
                      <w:szCs w:val="21"/>
                    </w:rPr>
                    <w:t>企业在危险废物仓库出入口、设施内部、危险废物运输车辆通道等关键位置按照危险废物贮存设施视频监控布设要求设置视频监控，并与中控室联网。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26" w:type="pct"/>
                  <w:tcMar>
                    <w:top w:w="0" w:type="dxa"/>
                    <w:left w:w="6" w:type="dxa"/>
                    <w:bottom w:w="0" w:type="dxa"/>
                    <w:right w:w="6" w:type="dxa"/>
                  </w:tcMar>
                  <w:vAlign w:val="center"/>
                </w:tcPr>
                <w:p>
                  <w:pPr>
                    <w:jc w:val="center"/>
                    <w:rPr>
                      <w:color w:val="auto"/>
                      <w:szCs w:val="21"/>
                    </w:rPr>
                  </w:pPr>
                  <w:r>
                    <w:rPr>
                      <w:color w:val="auto"/>
                      <w:szCs w:val="21"/>
                    </w:rPr>
                    <w:t>11</w:t>
                  </w:r>
                </w:p>
              </w:tc>
              <w:tc>
                <w:tcPr>
                  <w:tcW w:w="2232" w:type="pct"/>
                  <w:tcMar>
                    <w:top w:w="0" w:type="dxa"/>
                    <w:left w:w="6" w:type="dxa"/>
                    <w:bottom w:w="0" w:type="dxa"/>
                    <w:right w:w="6" w:type="dxa"/>
                  </w:tcMar>
                  <w:vAlign w:val="center"/>
                </w:tcPr>
                <w:p>
                  <w:pPr>
                    <w:jc w:val="left"/>
                    <w:rPr>
                      <w:color w:val="auto"/>
                      <w:szCs w:val="21"/>
                    </w:rPr>
                  </w:pPr>
                  <w:r>
                    <w:rPr>
                      <w:color w:val="auto"/>
                      <w:szCs w:val="21"/>
                    </w:rPr>
                    <w:t>环评文件中涉及有副产品内容的，应严格对照《固体废物鉴别标准通则》（GB34330-2017），依据其产生来源、利用和处置过程等进行鉴别，禁止以副产品的名义逃避监管。</w:t>
                  </w:r>
                </w:p>
              </w:tc>
              <w:tc>
                <w:tcPr>
                  <w:tcW w:w="2340" w:type="pct"/>
                  <w:tcMar>
                    <w:top w:w="0" w:type="dxa"/>
                    <w:left w:w="6" w:type="dxa"/>
                    <w:bottom w:w="0" w:type="dxa"/>
                    <w:right w:w="6" w:type="dxa"/>
                  </w:tcMar>
                  <w:vAlign w:val="center"/>
                </w:tcPr>
                <w:p>
                  <w:pPr>
                    <w:topLinePunct/>
                    <w:jc w:val="left"/>
                    <w:rPr>
                      <w:bCs/>
                      <w:color w:val="auto"/>
                      <w:kern w:val="0"/>
                      <w:szCs w:val="21"/>
                    </w:rPr>
                  </w:pPr>
                  <w:r>
                    <w:rPr>
                      <w:bCs/>
                      <w:color w:val="auto"/>
                      <w:kern w:val="0"/>
                      <w:szCs w:val="21"/>
                    </w:rPr>
                    <w:t>本次环评已对项目可能产生的</w:t>
                  </w:r>
                  <w:r>
                    <w:rPr>
                      <w:color w:val="auto"/>
                      <w:szCs w:val="21"/>
                    </w:rPr>
                    <w:t>副产物，</w:t>
                  </w:r>
                  <w:r>
                    <w:rPr>
                      <w:color w:val="auto"/>
                      <w:kern w:val="0"/>
                      <w:szCs w:val="21"/>
                    </w:rPr>
                    <w:t>均对照《固体废物鉴别标准通则》（GB34330-2017）进行分析，</w:t>
                  </w:r>
                  <w:r>
                    <w:rPr>
                      <w:color w:val="auto"/>
                      <w:szCs w:val="21"/>
                    </w:rPr>
                    <w:t>依据其产生来源、利用和处置过程等进行鉴别，</w:t>
                  </w:r>
                  <w:r>
                    <w:rPr>
                      <w:color w:val="auto"/>
                      <w:kern w:val="0"/>
                      <w:szCs w:val="21"/>
                    </w:rPr>
                    <w:t>定位为固体废物，不属于副产品，</w:t>
                  </w:r>
                  <w:r>
                    <w:rPr>
                      <w:color w:val="auto"/>
                      <w:szCs w:val="21"/>
                    </w:rPr>
                    <w:t>详见主要环境影响和分析章节。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26" w:type="pct"/>
                  <w:tcMar>
                    <w:top w:w="0" w:type="dxa"/>
                    <w:left w:w="6" w:type="dxa"/>
                    <w:bottom w:w="0" w:type="dxa"/>
                    <w:right w:w="6" w:type="dxa"/>
                  </w:tcMar>
                  <w:vAlign w:val="center"/>
                </w:tcPr>
                <w:p>
                  <w:pPr>
                    <w:jc w:val="center"/>
                    <w:rPr>
                      <w:color w:val="auto"/>
                      <w:szCs w:val="21"/>
                    </w:rPr>
                  </w:pPr>
                  <w:r>
                    <w:rPr>
                      <w:color w:val="auto"/>
                      <w:szCs w:val="21"/>
                    </w:rPr>
                    <w:t>12</w:t>
                  </w:r>
                </w:p>
              </w:tc>
              <w:tc>
                <w:tcPr>
                  <w:tcW w:w="2232" w:type="pct"/>
                  <w:tcMar>
                    <w:top w:w="0" w:type="dxa"/>
                    <w:left w:w="6" w:type="dxa"/>
                    <w:bottom w:w="0" w:type="dxa"/>
                    <w:right w:w="6" w:type="dxa"/>
                  </w:tcMar>
                  <w:vAlign w:val="center"/>
                </w:tcPr>
                <w:p>
                  <w:pPr>
                    <w:widowControl/>
                    <w:jc w:val="left"/>
                    <w:rPr>
                      <w:color w:val="auto"/>
                      <w:szCs w:val="21"/>
                    </w:rPr>
                  </w:pPr>
                  <w:r>
                    <w:rPr>
                      <w:color w:val="auto"/>
                      <w:kern w:val="0"/>
                      <w:szCs w:val="21"/>
                    </w:rPr>
                    <w:t>贮存易爆、易燃及排出有毒气体的危险废物贮存设施应按照应急管理、消防、规划建设等相关职能部门的要求办理相关手续</w:t>
                  </w:r>
                </w:p>
              </w:tc>
              <w:tc>
                <w:tcPr>
                  <w:tcW w:w="2340" w:type="pct"/>
                  <w:tcMar>
                    <w:top w:w="0" w:type="dxa"/>
                    <w:left w:w="6" w:type="dxa"/>
                    <w:bottom w:w="0" w:type="dxa"/>
                    <w:right w:w="6" w:type="dxa"/>
                  </w:tcMar>
                  <w:vAlign w:val="center"/>
                </w:tcPr>
                <w:p>
                  <w:pPr>
                    <w:widowControl/>
                    <w:jc w:val="left"/>
                    <w:rPr>
                      <w:bCs/>
                      <w:color w:val="auto"/>
                      <w:kern w:val="0"/>
                      <w:szCs w:val="21"/>
                    </w:rPr>
                  </w:pPr>
                  <w:r>
                    <w:rPr>
                      <w:color w:val="auto"/>
                      <w:kern w:val="0"/>
                      <w:szCs w:val="21"/>
                    </w:rPr>
                    <w:t>全厂不涉及易燃、易爆及挥发有毒气体的危险废物</w:t>
                  </w:r>
                  <w:r>
                    <w:rPr>
                      <w:rFonts w:hint="eastAsia"/>
                      <w:color w:val="auto"/>
                      <w:kern w:val="0"/>
                      <w:szCs w:val="21"/>
                    </w:rPr>
                    <w:t>。</w:t>
                  </w:r>
                </w:p>
              </w:tc>
            </w:tr>
          </w:tbl>
          <w:p>
            <w:pPr>
              <w:spacing w:line="360" w:lineRule="auto"/>
              <w:ind w:firstLine="480" w:firstLineChars="200"/>
              <w:contextualSpacing/>
              <w:rPr>
                <w:rFonts w:ascii="Calibri" w:hAnsi="Calibri" w:cs="Calibri"/>
                <w:color w:val="auto"/>
                <w:sz w:val="24"/>
              </w:rPr>
            </w:pPr>
            <w:r>
              <w:rPr>
                <w:rFonts w:ascii="Calibri" w:hAnsi="Calibri" w:cs="Calibri"/>
                <w:color w:val="auto"/>
                <w:sz w:val="24"/>
              </w:rPr>
              <w:t>综上所述，建设项目固废采取上述治理措施后，各类固废均能得到合理处置，不产生二次污染，不会对周围环境产生影响。</w:t>
            </w:r>
          </w:p>
          <w:p>
            <w:pPr>
              <w:spacing w:line="360" w:lineRule="auto"/>
              <w:ind w:firstLine="480" w:firstLineChars="200"/>
              <w:contextualSpacing/>
              <w:rPr>
                <w:rFonts w:ascii="Calibri" w:hAnsi="Calibri" w:cs="Calibri"/>
                <w:color w:val="auto"/>
                <w:sz w:val="24"/>
              </w:rPr>
            </w:pPr>
            <w:r>
              <w:rPr>
                <w:rFonts w:ascii="Calibri" w:hAnsi="Calibri" w:cs="Calibri"/>
                <w:color w:val="auto"/>
                <w:sz w:val="24"/>
              </w:rPr>
              <w:t>危险固废：对危险废物，应送往有资质的单位进行集中统一的处理，危废转移处置的应遵守国家和省有关规定，并严格执行转移联单制度。</w:t>
            </w:r>
          </w:p>
          <w:p>
            <w:pPr>
              <w:topLinePunct/>
              <w:snapToGrid w:val="0"/>
              <w:spacing w:line="360" w:lineRule="auto"/>
              <w:ind w:firstLine="480" w:firstLineChars="200"/>
              <w:contextualSpacing/>
              <w:outlineLvl w:val="2"/>
              <w:rPr>
                <w:rFonts w:ascii="Calibri" w:hAnsi="Calibri" w:cs="Calibri"/>
                <w:color w:val="auto"/>
                <w:sz w:val="24"/>
              </w:rPr>
            </w:pPr>
            <w:r>
              <w:rPr>
                <w:rFonts w:ascii="Calibri" w:hAnsi="Calibri" w:cs="Calibri"/>
                <w:color w:val="auto"/>
                <w:sz w:val="24"/>
              </w:rPr>
              <w:t>④运输过程中的环境影响分析</w:t>
            </w:r>
          </w:p>
          <w:p>
            <w:pPr>
              <w:adjustRightInd w:val="0"/>
              <w:snapToGrid w:val="0"/>
              <w:spacing w:line="360" w:lineRule="auto"/>
              <w:ind w:firstLine="480" w:firstLineChars="200"/>
              <w:rPr>
                <w:rFonts w:ascii="Calibri" w:hAnsi="Calibri" w:cs="Calibri"/>
                <w:color w:val="auto"/>
                <w:sz w:val="24"/>
              </w:rPr>
            </w:pPr>
            <w:r>
              <w:rPr>
                <w:rFonts w:ascii="Calibri" w:hAnsi="Calibri" w:cs="Calibri"/>
                <w:color w:val="auto"/>
                <w:sz w:val="24"/>
              </w:rPr>
              <w:t>危险废物的收集、运输按照《危险废物收集、贮存、运输技术规范》（HJ2025-2012）的要求进行。在运输过程中，按照《江苏省固体废物污染环境防治条例》中对危险废物的包装、运输的有关标准、技术规范和要求进行，有效防止危险废物转移过程中污染环境。项目需处理的危险废物采用专门的车辆，密闭运输，严格禁止抛洒滴漏，杜绝在运输过程中造成环境的二次污染。在危险废物的运输中执行《危险废物转移联单管理办法》中有关的规定和要求。建设单位须针对此对员工进行培训，加强安全生产及防止污染的意识，培训通过后方可上岗。</w:t>
            </w:r>
          </w:p>
          <w:p>
            <w:pPr>
              <w:numPr>
                <w:ilvl w:val="0"/>
                <w:numId w:val="13"/>
              </w:numPr>
              <w:autoSpaceDE w:val="0"/>
              <w:spacing w:line="360" w:lineRule="auto"/>
              <w:rPr>
                <w:rFonts w:ascii="Calibri" w:hAnsi="Calibri" w:cs="Calibri"/>
                <w:b/>
                <w:bCs/>
                <w:color w:val="auto"/>
                <w:sz w:val="24"/>
              </w:rPr>
            </w:pPr>
            <w:r>
              <w:rPr>
                <w:rFonts w:hint="eastAsia" w:ascii="Calibri" w:hAnsi="Calibri" w:cs="Calibri"/>
                <w:b/>
                <w:bCs/>
                <w:color w:val="auto"/>
                <w:sz w:val="24"/>
              </w:rPr>
              <w:t>振动</w:t>
            </w:r>
          </w:p>
          <w:p>
            <w:pPr>
              <w:tabs>
                <w:tab w:val="left" w:pos="3635"/>
              </w:tabs>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（1）振动产生情况</w:t>
            </w:r>
          </w:p>
          <w:p>
            <w:pPr>
              <w:tabs>
                <w:tab w:val="left" w:pos="363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的主要振动源为车间的压制成型、冲孔，产生振动的原因：转动部分（电动机和飞轮）的不平衡力；曲轴连杆和冲头组成的曲柄连杆机构的不平衡扰力；冲头与工作接触时的冲击力、冲压过程完成瞬间由于力的释放，曲轴及立柱的弹性收缩引起的振动力等。前几种力的作用产生的振动不大，振动设备振动主要是在下料完成的瞬间，冲头与工件相互作用力突然消失后，因曲轴和立柱形变状态恢复到原状态的回弹作用引起的。</w:t>
            </w:r>
          </w:p>
          <w:p>
            <w:pPr>
              <w:tabs>
                <w:tab w:val="left" w:pos="363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振动设备的振动主要与设备加工的压力大小有关，压力大由曲轴承受的剪应力大，立柱的压坐力亦大，每次冲压完成时回弹力亦大，所以冲床冲压吨位越高，振动越强烈。设备振动功率见下表。</w:t>
            </w:r>
          </w:p>
          <w:p>
            <w:pPr>
              <w:pStyle w:val="6"/>
              <w:numPr>
                <w:ilvl w:val="0"/>
                <w:numId w:val="16"/>
              </w:numPr>
              <w:adjustRightInd w:val="0"/>
              <w:snapToGrid w:val="0"/>
              <w:spacing w:line="360" w:lineRule="auto"/>
              <w:ind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项目振动设备表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817"/>
              <w:gridCol w:w="2347"/>
              <w:gridCol w:w="25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jc w:val="center"/>
              </w:trPr>
              <w:tc>
                <w:tcPr>
                  <w:tcW w:w="3493" w:type="dxa"/>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设备名称</w:t>
                  </w:r>
                </w:p>
              </w:tc>
              <w:tc>
                <w:tcPr>
                  <w:tcW w:w="2906" w:type="dxa"/>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数量（台）</w:t>
                  </w:r>
                </w:p>
              </w:tc>
              <w:tc>
                <w:tcPr>
                  <w:tcW w:w="3144" w:type="dxa"/>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振动功率dB</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jc w:val="center"/>
              </w:trPr>
              <w:tc>
                <w:tcPr>
                  <w:tcW w:w="349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压力机</w:t>
                  </w:r>
                </w:p>
              </w:tc>
              <w:tc>
                <w:tcPr>
                  <w:tcW w:w="290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44</w:t>
                  </w:r>
                </w:p>
              </w:tc>
              <w:tc>
                <w:tcPr>
                  <w:tcW w:w="314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jc w:val="center"/>
              </w:trPr>
              <w:tc>
                <w:tcPr>
                  <w:tcW w:w="3493"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液压机</w:t>
                  </w:r>
                </w:p>
              </w:tc>
              <w:tc>
                <w:tcPr>
                  <w:tcW w:w="2906"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3144" w:type="dxa"/>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60-70</w:t>
                  </w:r>
                </w:p>
              </w:tc>
            </w:tr>
          </w:tbl>
          <w:p>
            <w:pPr>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（2）振动控制措施</w:t>
            </w:r>
          </w:p>
          <w:p>
            <w:pPr>
              <w:tabs>
                <w:tab w:val="left" w:pos="363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振动源污染防治途径有三个：①振动源控制；②传递过程中衰减作用；③对受振对象的防护。</w:t>
            </w:r>
          </w:p>
          <w:p>
            <w:pPr>
              <w:tabs>
                <w:tab w:val="left" w:pos="3635"/>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振动源控制是一种积极隔振方法，就是讲振源产生的振动大部分隔离掉，不是指向外传给环境，即减少了振动的输出。建设单位拟在冲床设备与地面基础之间设置橡胶隔振垫，橡胶隔振垫振动级的衰减量可达到10dB，通过橡胶垫减振后，最大振动可减至60dB，厂界振动达到《城市区域环境振动标准》（GB10070-88）混合区中昼间（6:00-22:00）≤75dB，昼间（22:00-6:00）≤72dB。</w:t>
            </w:r>
          </w:p>
          <w:p>
            <w:pPr>
              <w:autoSpaceDE w:val="0"/>
              <w:spacing w:line="360" w:lineRule="auto"/>
              <w:rPr>
                <w:rFonts w:ascii="Calibri" w:hAnsi="Calibri" w:cs="Calibri"/>
                <w:b/>
                <w:bCs/>
                <w:color w:val="auto"/>
                <w:sz w:val="24"/>
              </w:rPr>
            </w:pPr>
            <w:r>
              <w:rPr>
                <w:rFonts w:hint="eastAsia" w:ascii="Calibri" w:hAnsi="Calibri" w:cs="Calibri"/>
                <w:b/>
                <w:bCs/>
                <w:color w:val="auto"/>
                <w:sz w:val="24"/>
              </w:rPr>
              <w:t>6、</w:t>
            </w:r>
            <w:r>
              <w:rPr>
                <w:rFonts w:ascii="Calibri" w:hAnsi="Calibri" w:cs="Calibri"/>
                <w:b/>
                <w:bCs/>
                <w:color w:val="auto"/>
                <w:sz w:val="24"/>
              </w:rPr>
              <w:t>地下水、土壤</w:t>
            </w:r>
          </w:p>
          <w:p>
            <w:pPr>
              <w:snapToGrid w:val="0"/>
              <w:spacing w:line="360" w:lineRule="auto"/>
              <w:ind w:firstLine="480" w:firstLineChars="200"/>
              <w:rPr>
                <w:rFonts w:ascii="Calibri" w:hAnsi="Calibri" w:cs="Calibri"/>
                <w:color w:val="auto"/>
                <w:sz w:val="24"/>
              </w:rPr>
            </w:pPr>
            <w:r>
              <w:rPr>
                <w:rFonts w:hint="eastAsia" w:ascii="Calibri" w:hAnsi="Calibri" w:cs="Calibri"/>
                <w:color w:val="auto"/>
                <w:sz w:val="24"/>
              </w:rPr>
              <w:t>本项目地下水、土壤潜在污染源主要是：危废仓库、生产车间中液态原料或危废在储存、使用等过程中发生泄漏事故通过垂直入渗、地表漫流的污染途径污染地下水、土壤环境。</w:t>
            </w:r>
          </w:p>
          <w:p>
            <w:pPr>
              <w:snapToGrid w:val="0"/>
              <w:spacing w:line="360" w:lineRule="auto"/>
              <w:ind w:firstLine="480" w:firstLineChars="200"/>
              <w:rPr>
                <w:rFonts w:ascii="Calibri" w:hAnsi="Calibri" w:cs="Calibri"/>
                <w:color w:val="auto"/>
                <w:sz w:val="24"/>
              </w:rPr>
            </w:pPr>
            <w:r>
              <w:rPr>
                <w:rFonts w:ascii="Calibri" w:hAnsi="Calibri" w:cs="Calibri"/>
                <w:color w:val="auto"/>
                <w:sz w:val="24"/>
              </w:rPr>
              <w:t>按照“源头控制”、“分区防控”的要求，一般固废堆放场采取“黏土铺底+水泥硬化”的防渗措施、危废堆放场采取“黏土铺底+水泥硬化+环氧地坪”、“液体废桶配套托盘”的防渗措施，危废仓库按照《危险废物贮存污染控制标准》（GB18597-2001）及修改单、《省生态环境厅关于进一步加强危险废物污染防治工作的实施意见》[苏环办（2019）327号]等文件做到“防风防雨防渗漏”等防渗措施后，本项目在正常运营下对地下水、土壤影响较小。</w:t>
            </w:r>
          </w:p>
          <w:p>
            <w:pPr>
              <w:pStyle w:val="50"/>
              <w:ind w:firstLine="0" w:firstLineChars="0"/>
              <w:rPr>
                <w:rFonts w:ascii="Times New Roman" w:hAnsi="Times New Roman" w:eastAsia="宋体" w:cs="Times New Roman"/>
                <w:b/>
                <w:bCs w:val="0"/>
                <w:color w:val="auto"/>
              </w:rPr>
            </w:pPr>
            <w:r>
              <w:rPr>
                <w:rFonts w:ascii="Times New Roman" w:hAnsi="Times New Roman" w:eastAsia="宋体" w:cs="Times New Roman"/>
                <w:b/>
                <w:bCs w:val="0"/>
                <w:color w:val="auto"/>
              </w:rPr>
              <w:t>6、生态</w:t>
            </w:r>
          </w:p>
          <w:p>
            <w:pPr>
              <w:spacing w:line="360" w:lineRule="auto"/>
              <w:ind w:firstLine="480" w:firstLineChars="200"/>
              <w:jc w:val="left"/>
              <w:rPr>
                <w:rFonts w:ascii="Calibri" w:hAnsi="Calibri" w:cs="Calibri"/>
                <w:color w:val="auto"/>
                <w:sz w:val="24"/>
              </w:rPr>
            </w:pPr>
            <w:r>
              <w:rPr>
                <w:rFonts w:ascii="Calibri" w:hAnsi="Calibri" w:cs="Calibri"/>
                <w:color w:val="auto"/>
                <w:sz w:val="24"/>
              </w:rPr>
              <w:t>本项目位于无锡市新吴区</w:t>
            </w:r>
            <w:r>
              <w:rPr>
                <w:rFonts w:hint="eastAsia" w:ascii="Calibri" w:hAnsi="Calibri" w:cs="Calibri"/>
                <w:color w:val="auto"/>
                <w:sz w:val="24"/>
              </w:rPr>
              <w:t>新风路</w:t>
            </w:r>
            <w:r>
              <w:rPr>
                <w:rFonts w:ascii="Calibri" w:hAnsi="Calibri" w:cs="Calibri"/>
                <w:color w:val="auto"/>
                <w:sz w:val="24"/>
              </w:rPr>
              <w:t>6</w:t>
            </w:r>
            <w:r>
              <w:rPr>
                <w:rFonts w:hint="eastAsia" w:ascii="Calibri" w:hAnsi="Calibri" w:cs="Calibri"/>
                <w:color w:val="auto"/>
                <w:sz w:val="24"/>
              </w:rPr>
              <w:t>9</w:t>
            </w:r>
            <w:r>
              <w:rPr>
                <w:rFonts w:ascii="Calibri" w:hAnsi="Calibri" w:cs="Calibri"/>
                <w:color w:val="auto"/>
                <w:sz w:val="24"/>
              </w:rPr>
              <w:t>号，不新增用地，范围内不涉及生态环境保护目标，项目产生的废气、废水、噪声经过合理处置后达标排放，固体废物合理处置零排放，对生态影响较小。</w:t>
            </w:r>
          </w:p>
          <w:p>
            <w:pPr>
              <w:pStyle w:val="50"/>
              <w:ind w:firstLine="0" w:firstLineChars="0"/>
              <w:rPr>
                <w:rFonts w:ascii="Times New Roman" w:hAnsi="Times New Roman" w:eastAsia="宋体" w:cs="Times New Roman"/>
                <w:b/>
                <w:bCs w:val="0"/>
                <w:color w:val="auto"/>
              </w:rPr>
            </w:pPr>
            <w:r>
              <w:rPr>
                <w:rFonts w:ascii="Times New Roman" w:hAnsi="Times New Roman" w:eastAsia="宋体" w:cs="Times New Roman"/>
                <w:b/>
                <w:bCs w:val="0"/>
                <w:color w:val="auto"/>
              </w:rPr>
              <w:t>7、环境风险</w:t>
            </w:r>
          </w:p>
          <w:p>
            <w:pPr>
              <w:spacing w:line="360" w:lineRule="auto"/>
              <w:ind w:firstLine="482" w:firstLineChars="200"/>
              <w:rPr>
                <w:rFonts w:ascii="Calibri" w:hAnsi="Calibri" w:cs="Calibri"/>
                <w:b/>
                <w:bCs/>
                <w:color w:val="auto"/>
                <w:sz w:val="24"/>
              </w:rPr>
            </w:pPr>
            <w:r>
              <w:rPr>
                <w:rFonts w:ascii="Calibri" w:hAnsi="Calibri" w:cs="Calibri"/>
                <w:b/>
                <w:bCs/>
                <w:color w:val="auto"/>
                <w:sz w:val="24"/>
              </w:rPr>
              <w:t>（1）风险调查</w:t>
            </w:r>
          </w:p>
          <w:p>
            <w:pPr>
              <w:spacing w:line="360" w:lineRule="auto"/>
              <w:ind w:firstLine="480" w:firstLineChars="200"/>
              <w:jc w:val="left"/>
              <w:rPr>
                <w:rFonts w:ascii="Calibri" w:hAnsi="Calibri" w:cs="Calibri"/>
                <w:color w:val="auto"/>
                <w:sz w:val="24"/>
              </w:rPr>
            </w:pPr>
            <w:r>
              <w:rPr>
                <w:rFonts w:ascii="Calibri" w:hAnsi="Calibri" w:cs="Calibri"/>
                <w:color w:val="auto"/>
                <w:sz w:val="24"/>
              </w:rPr>
              <w:t>建设项目主要环境风险物质分布存储情况见下表。</w:t>
            </w:r>
          </w:p>
          <w:p>
            <w:pPr>
              <w:pStyle w:val="6"/>
              <w:numPr>
                <w:ilvl w:val="0"/>
                <w:numId w:val="16"/>
              </w:numPr>
              <w:adjustRightInd w:val="0"/>
              <w:snapToGrid w:val="0"/>
              <w:ind w:firstLineChars="0"/>
              <w:jc w:val="center"/>
              <w:rPr>
                <w:rFonts w:ascii="Calibri" w:hAnsi="Calibri" w:cs="Calibri"/>
                <w:b/>
                <w:bCs/>
                <w:color w:val="auto"/>
                <w:sz w:val="24"/>
              </w:rPr>
            </w:pPr>
            <w:r>
              <w:rPr>
                <w:rFonts w:ascii="Calibri" w:hAnsi="Calibri" w:cs="Calibri"/>
                <w:b/>
                <w:bCs/>
                <w:color w:val="auto"/>
                <w:sz w:val="24"/>
              </w:rPr>
              <w:t>全厂涉及的主要危险物质及其数量</w:t>
            </w:r>
          </w:p>
          <w:tbl>
            <w:tblPr>
              <w:tblStyle w:val="26"/>
              <w:tblW w:w="75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4"/>
              <w:gridCol w:w="2115"/>
              <w:gridCol w:w="835"/>
              <w:gridCol w:w="1955"/>
              <w:gridCol w:w="984"/>
              <w:gridCol w:w="9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autoSpaceDE w:val="0"/>
                    <w:adjustRightInd w:val="0"/>
                    <w:snapToGrid w:val="0"/>
                    <w:jc w:val="center"/>
                    <w:rPr>
                      <w:b/>
                      <w:bCs/>
                      <w:color w:val="auto"/>
                      <w:szCs w:val="21"/>
                    </w:rPr>
                  </w:pPr>
                  <w:r>
                    <w:rPr>
                      <w:b/>
                      <w:bCs/>
                      <w:color w:val="auto"/>
                      <w:szCs w:val="21"/>
                    </w:rPr>
                    <w:t>编号</w:t>
                  </w:r>
                </w:p>
              </w:tc>
              <w:tc>
                <w:tcPr>
                  <w:tcW w:w="1403" w:type="pct"/>
                  <w:tcBorders>
                    <w:tl2br w:val="nil"/>
                    <w:tr2bl w:val="nil"/>
                  </w:tcBorders>
                  <w:vAlign w:val="center"/>
                </w:tcPr>
                <w:p>
                  <w:pPr>
                    <w:autoSpaceDE w:val="0"/>
                    <w:adjustRightInd w:val="0"/>
                    <w:snapToGrid w:val="0"/>
                    <w:jc w:val="center"/>
                    <w:rPr>
                      <w:b/>
                      <w:bCs/>
                      <w:color w:val="auto"/>
                      <w:szCs w:val="21"/>
                    </w:rPr>
                  </w:pPr>
                  <w:r>
                    <w:rPr>
                      <w:b/>
                      <w:bCs/>
                      <w:color w:val="auto"/>
                      <w:szCs w:val="21"/>
                    </w:rPr>
                    <w:t>名称</w:t>
                  </w:r>
                </w:p>
              </w:tc>
              <w:tc>
                <w:tcPr>
                  <w:tcW w:w="554" w:type="pct"/>
                  <w:tcBorders>
                    <w:tl2br w:val="nil"/>
                    <w:tr2bl w:val="nil"/>
                  </w:tcBorders>
                  <w:vAlign w:val="center"/>
                </w:tcPr>
                <w:p>
                  <w:pPr>
                    <w:autoSpaceDE w:val="0"/>
                    <w:adjustRightInd w:val="0"/>
                    <w:snapToGrid w:val="0"/>
                    <w:jc w:val="center"/>
                    <w:rPr>
                      <w:b/>
                      <w:bCs/>
                      <w:color w:val="auto"/>
                      <w:szCs w:val="21"/>
                    </w:rPr>
                  </w:pPr>
                  <w:r>
                    <w:rPr>
                      <w:b/>
                      <w:bCs/>
                      <w:color w:val="auto"/>
                      <w:szCs w:val="21"/>
                    </w:rPr>
                    <w:t>分布情况</w:t>
                  </w:r>
                </w:p>
              </w:tc>
              <w:tc>
                <w:tcPr>
                  <w:tcW w:w="1297" w:type="pct"/>
                  <w:tcBorders>
                    <w:tl2br w:val="nil"/>
                    <w:tr2bl w:val="nil"/>
                  </w:tcBorders>
                  <w:vAlign w:val="center"/>
                </w:tcPr>
                <w:p>
                  <w:pPr>
                    <w:jc w:val="center"/>
                    <w:rPr>
                      <w:b/>
                      <w:bCs/>
                      <w:color w:val="auto"/>
                      <w:szCs w:val="21"/>
                    </w:rPr>
                  </w:pPr>
                  <w:r>
                    <w:rPr>
                      <w:b/>
                      <w:bCs/>
                      <w:color w:val="auto"/>
                      <w:szCs w:val="21"/>
                    </w:rPr>
                    <w:t>单元最大储存量+在线量（t）qn</w:t>
                  </w:r>
                </w:p>
              </w:tc>
              <w:tc>
                <w:tcPr>
                  <w:tcW w:w="651" w:type="pct"/>
                  <w:tcBorders>
                    <w:tl2br w:val="nil"/>
                    <w:tr2bl w:val="nil"/>
                  </w:tcBorders>
                  <w:vAlign w:val="center"/>
                </w:tcPr>
                <w:p>
                  <w:pPr>
                    <w:jc w:val="center"/>
                    <w:rPr>
                      <w:b/>
                      <w:bCs/>
                      <w:color w:val="auto"/>
                      <w:szCs w:val="21"/>
                    </w:rPr>
                  </w:pPr>
                  <w:r>
                    <w:rPr>
                      <w:b/>
                      <w:bCs/>
                      <w:color w:val="auto"/>
                      <w:szCs w:val="21"/>
                    </w:rPr>
                    <w:t>临界量（t）Qn</w:t>
                  </w:r>
                </w:p>
              </w:tc>
              <w:tc>
                <w:tcPr>
                  <w:tcW w:w="659" w:type="pct"/>
                  <w:tcBorders>
                    <w:tl2br w:val="nil"/>
                    <w:tr2bl w:val="nil"/>
                  </w:tcBorders>
                  <w:vAlign w:val="center"/>
                </w:tcPr>
                <w:p>
                  <w:pPr>
                    <w:jc w:val="center"/>
                    <w:rPr>
                      <w:b/>
                      <w:bCs/>
                      <w:color w:val="auto"/>
                      <w:szCs w:val="21"/>
                    </w:rPr>
                  </w:pPr>
                  <w:r>
                    <w:rPr>
                      <w:b/>
                      <w:bCs/>
                      <w:color w:val="auto"/>
                      <w:szCs w:val="21"/>
                    </w:rPr>
                    <w:t>qn/Qn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color w:val="auto"/>
                      <w:szCs w:val="21"/>
                    </w:rPr>
                    <w:t>1</w:t>
                  </w:r>
                </w:p>
              </w:tc>
              <w:tc>
                <w:tcPr>
                  <w:tcW w:w="1403" w:type="pct"/>
                  <w:tcBorders>
                    <w:tl2br w:val="nil"/>
                    <w:tr2bl w:val="nil"/>
                  </w:tcBorders>
                  <w:vAlign w:val="center"/>
                </w:tcPr>
                <w:p>
                  <w:pPr>
                    <w:widowControl/>
                    <w:jc w:val="center"/>
                    <w:rPr>
                      <w:snapToGrid w:val="0"/>
                      <w:color w:val="auto"/>
                      <w:kern w:val="0"/>
                      <w:szCs w:val="21"/>
                    </w:rPr>
                  </w:pPr>
                  <w:r>
                    <w:rPr>
                      <w:rFonts w:hint="eastAsia"/>
                      <w:snapToGrid w:val="0"/>
                      <w:color w:val="auto"/>
                      <w:kern w:val="0"/>
                      <w:szCs w:val="21"/>
                    </w:rPr>
                    <w:t>无磷转化液</w:t>
                  </w:r>
                </w:p>
              </w:tc>
              <w:tc>
                <w:tcPr>
                  <w:tcW w:w="554" w:type="pct"/>
                  <w:vMerge w:val="restart"/>
                  <w:tcBorders>
                    <w:tl2br w:val="nil"/>
                    <w:tr2bl w:val="nil"/>
                  </w:tcBorders>
                  <w:vAlign w:val="center"/>
                </w:tcPr>
                <w:p>
                  <w:pPr>
                    <w:jc w:val="center"/>
                    <w:rPr>
                      <w:color w:val="auto"/>
                      <w:szCs w:val="21"/>
                    </w:rPr>
                  </w:pPr>
                  <w:r>
                    <w:rPr>
                      <w:color w:val="auto"/>
                      <w:szCs w:val="21"/>
                    </w:rPr>
                    <w:t>原料仓库</w:t>
                  </w:r>
                </w:p>
              </w:tc>
              <w:tc>
                <w:tcPr>
                  <w:tcW w:w="1297" w:type="pct"/>
                  <w:tcBorders>
                    <w:tl2br w:val="nil"/>
                    <w:tr2bl w:val="nil"/>
                  </w:tcBorders>
                  <w:vAlign w:val="center"/>
                </w:tcPr>
                <w:p>
                  <w:pPr>
                    <w:widowControl/>
                    <w:jc w:val="center"/>
                    <w:textAlignment w:val="center"/>
                    <w:rPr>
                      <w:color w:val="auto"/>
                      <w:kern w:val="0"/>
                      <w:szCs w:val="21"/>
                    </w:rPr>
                  </w:pPr>
                  <w:r>
                    <w:rPr>
                      <w:rFonts w:hint="eastAsia"/>
                      <w:color w:val="auto"/>
                      <w:kern w:val="0"/>
                      <w:szCs w:val="21"/>
                      <w:lang w:bidi="ar"/>
                    </w:rPr>
                    <w:t>2</w:t>
                  </w:r>
                </w:p>
              </w:tc>
              <w:tc>
                <w:tcPr>
                  <w:tcW w:w="651" w:type="pct"/>
                  <w:tcBorders>
                    <w:tl2br w:val="nil"/>
                    <w:tr2bl w:val="nil"/>
                  </w:tcBorders>
                  <w:vAlign w:val="center"/>
                </w:tcPr>
                <w:p>
                  <w:pPr>
                    <w:widowControl/>
                    <w:jc w:val="center"/>
                    <w:textAlignment w:val="center"/>
                    <w:rPr>
                      <w:color w:val="auto"/>
                      <w:szCs w:val="21"/>
                    </w:rPr>
                  </w:pPr>
                  <w:r>
                    <w:rPr>
                      <w:color w:val="auto"/>
                      <w:kern w:val="0"/>
                      <w:szCs w:val="21"/>
                      <w:lang w:bidi="ar"/>
                    </w:rPr>
                    <w:t>100*</w:t>
                  </w:r>
                </w:p>
              </w:tc>
              <w:tc>
                <w:tcPr>
                  <w:tcW w:w="659" w:type="pct"/>
                  <w:tcBorders>
                    <w:tl2br w:val="nil"/>
                    <w:tr2bl w:val="nil"/>
                  </w:tcBorders>
                  <w:vAlign w:val="center"/>
                </w:tcPr>
                <w:p>
                  <w:pPr>
                    <w:widowControl/>
                    <w:jc w:val="center"/>
                    <w:textAlignment w:val="center"/>
                    <w:rPr>
                      <w:color w:val="auto"/>
                      <w:szCs w:val="21"/>
                    </w:rPr>
                  </w:pPr>
                  <w:r>
                    <w:rPr>
                      <w:color w:val="auto"/>
                      <w:kern w:val="0"/>
                      <w:szCs w:val="21"/>
                      <w:lang w:bidi="ar"/>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color w:val="auto"/>
                      <w:szCs w:val="21"/>
                    </w:rPr>
                    <w:t>3</w:t>
                  </w:r>
                </w:p>
              </w:tc>
              <w:tc>
                <w:tcPr>
                  <w:tcW w:w="1403" w:type="pct"/>
                  <w:tcBorders>
                    <w:tl2br w:val="nil"/>
                    <w:tr2bl w:val="nil"/>
                  </w:tcBorders>
                  <w:vAlign w:val="center"/>
                </w:tcPr>
                <w:p>
                  <w:pPr>
                    <w:adjustRightInd w:val="0"/>
                    <w:snapToGrid w:val="0"/>
                    <w:spacing w:line="240" w:lineRule="exact"/>
                    <w:jc w:val="center"/>
                    <w:rPr>
                      <w:color w:val="auto"/>
                      <w:szCs w:val="21"/>
                    </w:rPr>
                  </w:pPr>
                  <w:r>
                    <w:rPr>
                      <w:rFonts w:hint="eastAsia"/>
                      <w:snapToGrid w:val="0"/>
                      <w:color w:val="auto"/>
                      <w:kern w:val="0"/>
                      <w:szCs w:val="21"/>
                    </w:rPr>
                    <w:t>脱脂剂</w:t>
                  </w:r>
                </w:p>
              </w:tc>
              <w:tc>
                <w:tcPr>
                  <w:tcW w:w="554" w:type="pct"/>
                  <w:vMerge w:val="continue"/>
                  <w:tcBorders>
                    <w:tl2br w:val="nil"/>
                    <w:tr2bl w:val="nil"/>
                  </w:tcBorders>
                  <w:vAlign w:val="center"/>
                </w:tcPr>
                <w:p>
                  <w:pPr>
                    <w:jc w:val="center"/>
                    <w:rPr>
                      <w:color w:val="auto"/>
                      <w:szCs w:val="21"/>
                    </w:rPr>
                  </w:pPr>
                </w:p>
              </w:tc>
              <w:tc>
                <w:tcPr>
                  <w:tcW w:w="1297" w:type="pct"/>
                  <w:tcBorders>
                    <w:tl2br w:val="nil"/>
                    <w:tr2bl w:val="nil"/>
                  </w:tcBorders>
                  <w:vAlign w:val="center"/>
                </w:tcPr>
                <w:p>
                  <w:pPr>
                    <w:widowControl/>
                    <w:jc w:val="center"/>
                    <w:textAlignment w:val="center"/>
                    <w:rPr>
                      <w:color w:val="auto"/>
                      <w:szCs w:val="21"/>
                    </w:rPr>
                  </w:pPr>
                  <w:r>
                    <w:rPr>
                      <w:rFonts w:hint="eastAsia"/>
                      <w:color w:val="auto"/>
                      <w:kern w:val="0"/>
                      <w:szCs w:val="21"/>
                      <w:lang w:bidi="ar"/>
                    </w:rPr>
                    <w:t>2</w:t>
                  </w:r>
                </w:p>
              </w:tc>
              <w:tc>
                <w:tcPr>
                  <w:tcW w:w="651" w:type="pct"/>
                  <w:tcBorders>
                    <w:tl2br w:val="nil"/>
                    <w:tr2bl w:val="nil"/>
                  </w:tcBorders>
                  <w:vAlign w:val="center"/>
                </w:tcPr>
                <w:p>
                  <w:pPr>
                    <w:widowControl/>
                    <w:jc w:val="center"/>
                    <w:textAlignment w:val="center"/>
                    <w:rPr>
                      <w:color w:val="auto"/>
                      <w:szCs w:val="21"/>
                    </w:rPr>
                  </w:pPr>
                  <w:r>
                    <w:rPr>
                      <w:color w:val="auto"/>
                      <w:kern w:val="0"/>
                      <w:szCs w:val="21"/>
                      <w:lang w:bidi="ar"/>
                    </w:rPr>
                    <w:t>100*</w:t>
                  </w:r>
                </w:p>
              </w:tc>
              <w:tc>
                <w:tcPr>
                  <w:tcW w:w="659"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color w:val="auto"/>
                      <w:szCs w:val="21"/>
                    </w:rPr>
                    <w:t>4</w:t>
                  </w:r>
                </w:p>
              </w:tc>
              <w:tc>
                <w:tcPr>
                  <w:tcW w:w="1403" w:type="pct"/>
                  <w:tcBorders>
                    <w:tl2br w:val="nil"/>
                    <w:tr2bl w:val="nil"/>
                  </w:tcBorders>
                  <w:vAlign w:val="center"/>
                </w:tcPr>
                <w:p>
                  <w:pPr>
                    <w:adjustRightInd w:val="0"/>
                    <w:snapToGrid w:val="0"/>
                    <w:spacing w:line="240" w:lineRule="exact"/>
                    <w:jc w:val="center"/>
                    <w:rPr>
                      <w:color w:val="auto"/>
                      <w:szCs w:val="21"/>
                    </w:rPr>
                  </w:pPr>
                  <w:r>
                    <w:rPr>
                      <w:rFonts w:hint="eastAsia"/>
                      <w:color w:val="auto"/>
                      <w:szCs w:val="21"/>
                    </w:rPr>
                    <w:t>脱脂助剂</w:t>
                  </w:r>
                </w:p>
              </w:tc>
              <w:tc>
                <w:tcPr>
                  <w:tcW w:w="554" w:type="pct"/>
                  <w:vMerge w:val="continue"/>
                  <w:tcBorders>
                    <w:tl2br w:val="nil"/>
                    <w:tr2bl w:val="nil"/>
                  </w:tcBorders>
                  <w:vAlign w:val="center"/>
                </w:tcPr>
                <w:p>
                  <w:pPr>
                    <w:jc w:val="center"/>
                    <w:rPr>
                      <w:color w:val="auto"/>
                      <w:szCs w:val="21"/>
                    </w:rPr>
                  </w:pPr>
                </w:p>
              </w:tc>
              <w:tc>
                <w:tcPr>
                  <w:tcW w:w="1297" w:type="pct"/>
                  <w:tcBorders>
                    <w:tl2br w:val="nil"/>
                    <w:tr2bl w:val="nil"/>
                  </w:tcBorders>
                  <w:vAlign w:val="center"/>
                </w:tcPr>
                <w:p>
                  <w:pPr>
                    <w:widowControl/>
                    <w:jc w:val="center"/>
                    <w:textAlignment w:val="center"/>
                    <w:rPr>
                      <w:color w:val="auto"/>
                      <w:szCs w:val="21"/>
                    </w:rPr>
                  </w:pPr>
                  <w:r>
                    <w:rPr>
                      <w:rFonts w:hint="eastAsia"/>
                      <w:color w:val="auto"/>
                      <w:kern w:val="0"/>
                      <w:szCs w:val="21"/>
                      <w:lang w:bidi="ar"/>
                    </w:rPr>
                    <w:t>0.5</w:t>
                  </w:r>
                </w:p>
              </w:tc>
              <w:tc>
                <w:tcPr>
                  <w:tcW w:w="651" w:type="pct"/>
                  <w:tcBorders>
                    <w:tl2br w:val="nil"/>
                    <w:tr2bl w:val="nil"/>
                  </w:tcBorders>
                  <w:vAlign w:val="center"/>
                </w:tcPr>
                <w:p>
                  <w:pPr>
                    <w:widowControl/>
                    <w:jc w:val="center"/>
                    <w:textAlignment w:val="center"/>
                    <w:rPr>
                      <w:color w:val="auto"/>
                      <w:szCs w:val="21"/>
                    </w:rPr>
                  </w:pPr>
                  <w:r>
                    <w:rPr>
                      <w:color w:val="auto"/>
                      <w:kern w:val="0"/>
                      <w:szCs w:val="21"/>
                      <w:lang w:bidi="ar"/>
                    </w:rPr>
                    <w:t>100*</w:t>
                  </w:r>
                </w:p>
              </w:tc>
              <w:tc>
                <w:tcPr>
                  <w:tcW w:w="659"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0</w:t>
                  </w:r>
                  <w:r>
                    <w:rPr>
                      <w:rFonts w:hint="eastAsia"/>
                      <w:color w:val="auto"/>
                      <w:kern w:val="0"/>
                      <w:szCs w:val="21"/>
                      <w:lang w:bidi="ar"/>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color w:val="auto"/>
                      <w:szCs w:val="21"/>
                    </w:rPr>
                    <w:t>5</w:t>
                  </w:r>
                </w:p>
              </w:tc>
              <w:tc>
                <w:tcPr>
                  <w:tcW w:w="1403" w:type="pct"/>
                  <w:tcBorders>
                    <w:tl2br w:val="nil"/>
                    <w:tr2bl w:val="nil"/>
                  </w:tcBorders>
                  <w:vAlign w:val="center"/>
                </w:tcPr>
                <w:p>
                  <w:pPr>
                    <w:jc w:val="center"/>
                    <w:rPr>
                      <w:snapToGrid w:val="0"/>
                      <w:color w:val="auto"/>
                      <w:kern w:val="0"/>
                      <w:szCs w:val="21"/>
                    </w:rPr>
                  </w:pPr>
                  <w:r>
                    <w:rPr>
                      <w:rFonts w:hint="eastAsia"/>
                      <w:snapToGrid w:val="0"/>
                      <w:color w:val="auto"/>
                      <w:kern w:val="0"/>
                      <w:szCs w:val="21"/>
                    </w:rPr>
                    <w:t>硅烷转化剂</w:t>
                  </w:r>
                </w:p>
              </w:tc>
              <w:tc>
                <w:tcPr>
                  <w:tcW w:w="554" w:type="pct"/>
                  <w:vMerge w:val="continue"/>
                  <w:tcBorders>
                    <w:tl2br w:val="nil"/>
                    <w:tr2bl w:val="nil"/>
                  </w:tcBorders>
                  <w:vAlign w:val="center"/>
                </w:tcPr>
                <w:p>
                  <w:pPr>
                    <w:jc w:val="center"/>
                    <w:rPr>
                      <w:color w:val="auto"/>
                      <w:szCs w:val="21"/>
                    </w:rPr>
                  </w:pPr>
                </w:p>
              </w:tc>
              <w:tc>
                <w:tcPr>
                  <w:tcW w:w="1297" w:type="pct"/>
                  <w:tcBorders>
                    <w:tl2br w:val="nil"/>
                    <w:tr2bl w:val="nil"/>
                  </w:tcBorders>
                  <w:vAlign w:val="center"/>
                </w:tcPr>
                <w:p>
                  <w:pPr>
                    <w:widowControl/>
                    <w:jc w:val="center"/>
                    <w:textAlignment w:val="center"/>
                    <w:rPr>
                      <w:color w:val="auto"/>
                      <w:szCs w:val="21"/>
                    </w:rPr>
                  </w:pPr>
                  <w:r>
                    <w:rPr>
                      <w:rFonts w:hint="eastAsia"/>
                      <w:color w:val="auto"/>
                      <w:kern w:val="0"/>
                      <w:szCs w:val="21"/>
                      <w:lang w:bidi="ar"/>
                    </w:rPr>
                    <w:t>0.5</w:t>
                  </w:r>
                </w:p>
              </w:tc>
              <w:tc>
                <w:tcPr>
                  <w:tcW w:w="651" w:type="pct"/>
                  <w:tcBorders>
                    <w:tl2br w:val="nil"/>
                    <w:tr2bl w:val="nil"/>
                  </w:tcBorders>
                  <w:vAlign w:val="center"/>
                </w:tcPr>
                <w:p>
                  <w:pPr>
                    <w:widowControl/>
                    <w:jc w:val="center"/>
                    <w:textAlignment w:val="center"/>
                    <w:rPr>
                      <w:color w:val="auto"/>
                      <w:szCs w:val="21"/>
                    </w:rPr>
                  </w:pPr>
                  <w:r>
                    <w:rPr>
                      <w:color w:val="auto"/>
                      <w:kern w:val="0"/>
                      <w:szCs w:val="21"/>
                      <w:lang w:bidi="ar"/>
                    </w:rPr>
                    <w:t>100*</w:t>
                  </w:r>
                </w:p>
              </w:tc>
              <w:tc>
                <w:tcPr>
                  <w:tcW w:w="659" w:type="pct"/>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color w:val="auto"/>
                      <w:szCs w:val="21"/>
                    </w:rPr>
                    <w:t>6</w:t>
                  </w:r>
                </w:p>
              </w:tc>
              <w:tc>
                <w:tcPr>
                  <w:tcW w:w="1403" w:type="pct"/>
                  <w:tcBorders>
                    <w:tl2br w:val="nil"/>
                    <w:tr2bl w:val="nil"/>
                  </w:tcBorders>
                  <w:vAlign w:val="center"/>
                </w:tcPr>
                <w:p>
                  <w:pPr>
                    <w:jc w:val="center"/>
                    <w:rPr>
                      <w:snapToGrid w:val="0"/>
                      <w:color w:val="auto"/>
                      <w:kern w:val="0"/>
                      <w:szCs w:val="21"/>
                    </w:rPr>
                  </w:pPr>
                  <w:r>
                    <w:rPr>
                      <w:rFonts w:hint="eastAsia"/>
                      <w:snapToGrid w:val="0"/>
                      <w:color w:val="auto"/>
                      <w:kern w:val="0"/>
                      <w:szCs w:val="21"/>
                    </w:rPr>
                    <w:t>液压油</w:t>
                  </w:r>
                </w:p>
              </w:tc>
              <w:tc>
                <w:tcPr>
                  <w:tcW w:w="554" w:type="pct"/>
                  <w:vMerge w:val="continue"/>
                  <w:tcBorders>
                    <w:tl2br w:val="nil"/>
                    <w:tr2bl w:val="nil"/>
                  </w:tcBorders>
                  <w:vAlign w:val="center"/>
                </w:tcPr>
                <w:p>
                  <w:pPr>
                    <w:jc w:val="center"/>
                    <w:rPr>
                      <w:color w:val="auto"/>
                      <w:szCs w:val="21"/>
                    </w:rPr>
                  </w:pPr>
                </w:p>
              </w:tc>
              <w:tc>
                <w:tcPr>
                  <w:tcW w:w="1297" w:type="pct"/>
                  <w:tcBorders>
                    <w:tl2br w:val="nil"/>
                    <w:tr2bl w:val="nil"/>
                  </w:tcBorders>
                  <w:vAlign w:val="center"/>
                </w:tcPr>
                <w:p>
                  <w:pPr>
                    <w:widowControl/>
                    <w:jc w:val="center"/>
                    <w:textAlignment w:val="center"/>
                    <w:rPr>
                      <w:color w:val="auto"/>
                      <w:szCs w:val="21"/>
                    </w:rPr>
                  </w:pPr>
                  <w:r>
                    <w:rPr>
                      <w:color w:val="auto"/>
                      <w:kern w:val="0"/>
                      <w:szCs w:val="21"/>
                      <w:lang w:bidi="ar"/>
                    </w:rPr>
                    <w:t>0.3</w:t>
                  </w:r>
                </w:p>
              </w:tc>
              <w:tc>
                <w:tcPr>
                  <w:tcW w:w="651" w:type="pct"/>
                  <w:tcBorders>
                    <w:tl2br w:val="nil"/>
                    <w:tr2bl w:val="nil"/>
                  </w:tcBorders>
                  <w:vAlign w:val="center"/>
                </w:tcPr>
                <w:p>
                  <w:pPr>
                    <w:widowControl/>
                    <w:jc w:val="center"/>
                    <w:textAlignment w:val="center"/>
                    <w:rPr>
                      <w:color w:val="auto"/>
                      <w:szCs w:val="21"/>
                    </w:rPr>
                  </w:pPr>
                  <w:r>
                    <w:rPr>
                      <w:rFonts w:hint="eastAsia"/>
                      <w:color w:val="auto"/>
                      <w:kern w:val="0"/>
                      <w:szCs w:val="21"/>
                      <w:lang w:bidi="ar"/>
                    </w:rPr>
                    <w:t>2500</w:t>
                  </w:r>
                </w:p>
              </w:tc>
              <w:tc>
                <w:tcPr>
                  <w:tcW w:w="659" w:type="pct"/>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0.00012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color w:val="auto"/>
                      <w:szCs w:val="21"/>
                    </w:rPr>
                    <w:t>7</w:t>
                  </w:r>
                </w:p>
              </w:tc>
              <w:tc>
                <w:tcPr>
                  <w:tcW w:w="1403" w:type="pct"/>
                  <w:tcBorders>
                    <w:tl2br w:val="nil"/>
                    <w:tr2bl w:val="nil"/>
                  </w:tcBorders>
                  <w:vAlign w:val="center"/>
                </w:tcPr>
                <w:p>
                  <w:pPr>
                    <w:jc w:val="center"/>
                    <w:rPr>
                      <w:snapToGrid w:val="0"/>
                      <w:color w:val="auto"/>
                      <w:kern w:val="0"/>
                      <w:szCs w:val="21"/>
                    </w:rPr>
                  </w:pPr>
                  <w:r>
                    <w:rPr>
                      <w:rFonts w:hint="eastAsia"/>
                      <w:snapToGrid w:val="0"/>
                      <w:color w:val="auto"/>
                      <w:kern w:val="0"/>
                      <w:szCs w:val="21"/>
                    </w:rPr>
                    <w:t>润滑油</w:t>
                  </w:r>
                </w:p>
              </w:tc>
              <w:tc>
                <w:tcPr>
                  <w:tcW w:w="554" w:type="pct"/>
                  <w:vMerge w:val="continue"/>
                  <w:tcBorders>
                    <w:tl2br w:val="nil"/>
                    <w:tr2bl w:val="nil"/>
                  </w:tcBorders>
                  <w:vAlign w:val="center"/>
                </w:tcPr>
                <w:p>
                  <w:pPr>
                    <w:jc w:val="center"/>
                    <w:rPr>
                      <w:color w:val="auto"/>
                      <w:szCs w:val="21"/>
                    </w:rPr>
                  </w:pPr>
                </w:p>
              </w:tc>
              <w:tc>
                <w:tcPr>
                  <w:tcW w:w="1297" w:type="pct"/>
                  <w:tcBorders>
                    <w:tl2br w:val="nil"/>
                    <w:tr2bl w:val="nil"/>
                  </w:tcBorders>
                  <w:vAlign w:val="center"/>
                </w:tcPr>
                <w:p>
                  <w:pPr>
                    <w:widowControl/>
                    <w:jc w:val="center"/>
                    <w:textAlignment w:val="center"/>
                    <w:rPr>
                      <w:color w:val="auto"/>
                      <w:szCs w:val="21"/>
                    </w:rPr>
                  </w:pPr>
                  <w:r>
                    <w:rPr>
                      <w:color w:val="auto"/>
                      <w:kern w:val="0"/>
                      <w:szCs w:val="21"/>
                      <w:lang w:bidi="ar"/>
                    </w:rPr>
                    <w:t>0.5</w:t>
                  </w:r>
                </w:p>
              </w:tc>
              <w:tc>
                <w:tcPr>
                  <w:tcW w:w="651" w:type="pct"/>
                  <w:tcBorders>
                    <w:tl2br w:val="nil"/>
                    <w:tr2bl w:val="nil"/>
                  </w:tcBorders>
                  <w:vAlign w:val="center"/>
                </w:tcPr>
                <w:p>
                  <w:pPr>
                    <w:widowControl/>
                    <w:jc w:val="center"/>
                    <w:textAlignment w:val="center"/>
                    <w:rPr>
                      <w:color w:val="auto"/>
                      <w:szCs w:val="21"/>
                    </w:rPr>
                  </w:pPr>
                  <w:r>
                    <w:rPr>
                      <w:color w:val="auto"/>
                      <w:kern w:val="0"/>
                      <w:szCs w:val="21"/>
                      <w:lang w:bidi="ar"/>
                    </w:rPr>
                    <w:t>2500</w:t>
                  </w:r>
                </w:p>
              </w:tc>
              <w:tc>
                <w:tcPr>
                  <w:tcW w:w="659" w:type="pct"/>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color w:val="auto"/>
                      <w:szCs w:val="21"/>
                    </w:rPr>
                    <w:t>8</w:t>
                  </w:r>
                </w:p>
              </w:tc>
              <w:tc>
                <w:tcPr>
                  <w:tcW w:w="1403" w:type="pct"/>
                  <w:tcBorders>
                    <w:tl2br w:val="nil"/>
                    <w:tr2bl w:val="nil"/>
                  </w:tcBorders>
                  <w:vAlign w:val="center"/>
                </w:tcPr>
                <w:p>
                  <w:pPr>
                    <w:jc w:val="center"/>
                    <w:rPr>
                      <w:color w:val="auto"/>
                      <w:szCs w:val="21"/>
                    </w:rPr>
                  </w:pPr>
                  <w:r>
                    <w:rPr>
                      <w:rFonts w:hint="eastAsia"/>
                      <w:color w:val="auto"/>
                      <w:szCs w:val="21"/>
                    </w:rPr>
                    <w:t>P</w:t>
                  </w:r>
                  <w:r>
                    <w:rPr>
                      <w:color w:val="auto"/>
                      <w:szCs w:val="21"/>
                    </w:rPr>
                    <w:t>AC</w:t>
                  </w:r>
                </w:p>
              </w:tc>
              <w:tc>
                <w:tcPr>
                  <w:tcW w:w="554" w:type="pct"/>
                  <w:vMerge w:val="continue"/>
                  <w:tcBorders>
                    <w:tl2br w:val="nil"/>
                    <w:tr2bl w:val="nil"/>
                  </w:tcBorders>
                  <w:vAlign w:val="center"/>
                </w:tcPr>
                <w:p>
                  <w:pPr>
                    <w:jc w:val="center"/>
                    <w:rPr>
                      <w:color w:val="auto"/>
                      <w:szCs w:val="21"/>
                    </w:rPr>
                  </w:pPr>
                </w:p>
              </w:tc>
              <w:tc>
                <w:tcPr>
                  <w:tcW w:w="1297" w:type="pct"/>
                  <w:tcBorders>
                    <w:tl2br w:val="nil"/>
                    <w:tr2bl w:val="nil"/>
                  </w:tcBorders>
                  <w:vAlign w:val="center"/>
                </w:tcPr>
                <w:p>
                  <w:pPr>
                    <w:widowControl/>
                    <w:jc w:val="center"/>
                    <w:textAlignment w:val="center"/>
                    <w:rPr>
                      <w:color w:val="auto"/>
                      <w:szCs w:val="21"/>
                    </w:rPr>
                  </w:pPr>
                  <w:r>
                    <w:rPr>
                      <w:rFonts w:hint="eastAsia"/>
                      <w:color w:val="auto"/>
                      <w:szCs w:val="21"/>
                    </w:rPr>
                    <w:t>3</w:t>
                  </w:r>
                </w:p>
              </w:tc>
              <w:tc>
                <w:tcPr>
                  <w:tcW w:w="651" w:type="pct"/>
                  <w:tcBorders>
                    <w:tl2br w:val="nil"/>
                    <w:tr2bl w:val="nil"/>
                  </w:tcBorders>
                  <w:vAlign w:val="center"/>
                </w:tcPr>
                <w:p>
                  <w:pPr>
                    <w:widowControl/>
                    <w:jc w:val="center"/>
                    <w:textAlignment w:val="center"/>
                    <w:rPr>
                      <w:color w:val="auto"/>
                      <w:szCs w:val="21"/>
                    </w:rPr>
                  </w:pPr>
                  <w:r>
                    <w:rPr>
                      <w:color w:val="auto"/>
                      <w:kern w:val="0"/>
                      <w:szCs w:val="21"/>
                      <w:lang w:bidi="ar"/>
                    </w:rPr>
                    <w:t>100*</w:t>
                  </w:r>
                </w:p>
              </w:tc>
              <w:tc>
                <w:tcPr>
                  <w:tcW w:w="659" w:type="pct"/>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color w:val="auto"/>
                      <w:szCs w:val="21"/>
                    </w:rPr>
                    <w:t>9</w:t>
                  </w:r>
                </w:p>
              </w:tc>
              <w:tc>
                <w:tcPr>
                  <w:tcW w:w="1403" w:type="pct"/>
                  <w:tcBorders>
                    <w:tl2br w:val="nil"/>
                    <w:tr2bl w:val="nil"/>
                  </w:tcBorders>
                  <w:vAlign w:val="center"/>
                </w:tcPr>
                <w:p>
                  <w:pPr>
                    <w:jc w:val="center"/>
                    <w:rPr>
                      <w:snapToGrid w:val="0"/>
                      <w:color w:val="auto"/>
                      <w:kern w:val="0"/>
                      <w:szCs w:val="21"/>
                    </w:rPr>
                  </w:pPr>
                  <w:r>
                    <w:rPr>
                      <w:rFonts w:hint="eastAsia"/>
                      <w:snapToGrid w:val="0"/>
                      <w:color w:val="auto"/>
                      <w:kern w:val="0"/>
                      <w:szCs w:val="21"/>
                    </w:rPr>
                    <w:t>P</w:t>
                  </w:r>
                  <w:r>
                    <w:rPr>
                      <w:snapToGrid w:val="0"/>
                      <w:color w:val="auto"/>
                      <w:kern w:val="0"/>
                      <w:szCs w:val="21"/>
                    </w:rPr>
                    <w:t>AM</w:t>
                  </w:r>
                </w:p>
              </w:tc>
              <w:tc>
                <w:tcPr>
                  <w:tcW w:w="554" w:type="pct"/>
                  <w:vMerge w:val="continue"/>
                  <w:tcBorders>
                    <w:tl2br w:val="nil"/>
                    <w:tr2bl w:val="nil"/>
                  </w:tcBorders>
                  <w:vAlign w:val="center"/>
                </w:tcPr>
                <w:p>
                  <w:pPr>
                    <w:jc w:val="center"/>
                    <w:rPr>
                      <w:color w:val="auto"/>
                      <w:szCs w:val="21"/>
                    </w:rPr>
                  </w:pPr>
                </w:p>
              </w:tc>
              <w:tc>
                <w:tcPr>
                  <w:tcW w:w="1297" w:type="pct"/>
                  <w:tcBorders>
                    <w:tl2br w:val="nil"/>
                    <w:tr2bl w:val="nil"/>
                  </w:tcBorders>
                  <w:vAlign w:val="center"/>
                </w:tcPr>
                <w:p>
                  <w:pPr>
                    <w:widowControl/>
                    <w:jc w:val="center"/>
                    <w:textAlignment w:val="center"/>
                    <w:rPr>
                      <w:color w:val="auto"/>
                      <w:szCs w:val="21"/>
                    </w:rPr>
                  </w:pPr>
                  <w:r>
                    <w:rPr>
                      <w:rFonts w:hint="eastAsia"/>
                      <w:color w:val="auto"/>
                      <w:szCs w:val="21"/>
                    </w:rPr>
                    <w:t>3</w:t>
                  </w:r>
                </w:p>
              </w:tc>
              <w:tc>
                <w:tcPr>
                  <w:tcW w:w="651" w:type="pct"/>
                  <w:tcBorders>
                    <w:tl2br w:val="nil"/>
                    <w:tr2bl w:val="nil"/>
                  </w:tcBorders>
                  <w:vAlign w:val="center"/>
                </w:tcPr>
                <w:p>
                  <w:pPr>
                    <w:widowControl/>
                    <w:jc w:val="center"/>
                    <w:textAlignment w:val="center"/>
                    <w:rPr>
                      <w:bCs/>
                      <w:color w:val="auto"/>
                      <w:szCs w:val="21"/>
                    </w:rPr>
                  </w:pPr>
                  <w:r>
                    <w:rPr>
                      <w:color w:val="auto"/>
                      <w:kern w:val="0"/>
                      <w:szCs w:val="21"/>
                      <w:lang w:bidi="ar"/>
                    </w:rPr>
                    <w:t>100*</w:t>
                  </w:r>
                </w:p>
              </w:tc>
              <w:tc>
                <w:tcPr>
                  <w:tcW w:w="659" w:type="pct"/>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color w:val="auto"/>
                      <w:szCs w:val="21"/>
                    </w:rPr>
                    <w:t>10</w:t>
                  </w:r>
                </w:p>
              </w:tc>
              <w:tc>
                <w:tcPr>
                  <w:tcW w:w="1403" w:type="pct"/>
                  <w:tcBorders>
                    <w:tl2br w:val="nil"/>
                    <w:tr2bl w:val="nil"/>
                  </w:tcBorders>
                  <w:vAlign w:val="center"/>
                </w:tcPr>
                <w:p>
                  <w:pPr>
                    <w:jc w:val="center"/>
                    <w:rPr>
                      <w:snapToGrid w:val="0"/>
                      <w:color w:val="auto"/>
                      <w:kern w:val="0"/>
                      <w:szCs w:val="21"/>
                    </w:rPr>
                  </w:pPr>
                  <w:r>
                    <w:rPr>
                      <w:rFonts w:hint="eastAsia"/>
                      <w:color w:val="auto"/>
                      <w:szCs w:val="21"/>
                    </w:rPr>
                    <w:t>脱脂废渣（液）</w:t>
                  </w:r>
                </w:p>
              </w:tc>
              <w:tc>
                <w:tcPr>
                  <w:tcW w:w="554" w:type="pct"/>
                  <w:vMerge w:val="restart"/>
                  <w:tcBorders>
                    <w:tl2br w:val="nil"/>
                    <w:tr2bl w:val="nil"/>
                  </w:tcBorders>
                  <w:vAlign w:val="center"/>
                </w:tcPr>
                <w:p>
                  <w:pPr>
                    <w:jc w:val="center"/>
                    <w:rPr>
                      <w:color w:val="auto"/>
                      <w:szCs w:val="21"/>
                    </w:rPr>
                  </w:pPr>
                  <w:r>
                    <w:rPr>
                      <w:rFonts w:hint="eastAsia"/>
                      <w:color w:val="auto"/>
                      <w:szCs w:val="21"/>
                    </w:rPr>
                    <w:t>危废仓库</w:t>
                  </w:r>
                </w:p>
              </w:tc>
              <w:tc>
                <w:tcPr>
                  <w:tcW w:w="1297" w:type="pct"/>
                  <w:tcBorders>
                    <w:tl2br w:val="nil"/>
                    <w:tr2bl w:val="nil"/>
                  </w:tcBorders>
                  <w:vAlign w:val="center"/>
                </w:tcPr>
                <w:p>
                  <w:pPr>
                    <w:widowControl/>
                    <w:jc w:val="center"/>
                    <w:textAlignment w:val="center"/>
                    <w:rPr>
                      <w:color w:val="auto"/>
                      <w:szCs w:val="21"/>
                    </w:rPr>
                  </w:pPr>
                  <w:r>
                    <w:rPr>
                      <w:rFonts w:hint="eastAsia"/>
                      <w:color w:val="auto"/>
                      <w:szCs w:val="21"/>
                    </w:rPr>
                    <w:t>1.5</w:t>
                  </w:r>
                </w:p>
              </w:tc>
              <w:tc>
                <w:tcPr>
                  <w:tcW w:w="651" w:type="pct"/>
                  <w:tcBorders>
                    <w:tl2br w:val="nil"/>
                    <w:tr2bl w:val="nil"/>
                  </w:tcBorders>
                  <w:vAlign w:val="center"/>
                </w:tcPr>
                <w:p>
                  <w:pPr>
                    <w:widowControl/>
                    <w:jc w:val="center"/>
                    <w:textAlignment w:val="center"/>
                    <w:rPr>
                      <w:color w:val="auto"/>
                      <w:szCs w:val="21"/>
                    </w:rPr>
                  </w:pPr>
                  <w:r>
                    <w:rPr>
                      <w:color w:val="auto"/>
                      <w:kern w:val="0"/>
                      <w:szCs w:val="21"/>
                      <w:lang w:bidi="ar"/>
                    </w:rPr>
                    <w:t>100*</w:t>
                  </w:r>
                </w:p>
              </w:tc>
              <w:tc>
                <w:tcPr>
                  <w:tcW w:w="659" w:type="pct"/>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color w:val="auto"/>
                      <w:szCs w:val="21"/>
                    </w:rPr>
                    <w:t>11</w:t>
                  </w:r>
                </w:p>
              </w:tc>
              <w:tc>
                <w:tcPr>
                  <w:tcW w:w="1403" w:type="pct"/>
                  <w:tcBorders>
                    <w:tl2br w:val="nil"/>
                    <w:tr2bl w:val="nil"/>
                  </w:tcBorders>
                  <w:vAlign w:val="center"/>
                </w:tcPr>
                <w:p>
                  <w:pPr>
                    <w:jc w:val="center"/>
                    <w:rPr>
                      <w:snapToGrid w:val="0"/>
                      <w:color w:val="auto"/>
                      <w:kern w:val="0"/>
                      <w:szCs w:val="21"/>
                    </w:rPr>
                  </w:pPr>
                  <w:r>
                    <w:rPr>
                      <w:rFonts w:hint="eastAsia"/>
                      <w:color w:val="auto"/>
                      <w:szCs w:val="21"/>
                    </w:rPr>
                    <w:t>陶化废渣（液）</w:t>
                  </w:r>
                </w:p>
              </w:tc>
              <w:tc>
                <w:tcPr>
                  <w:tcW w:w="554" w:type="pct"/>
                  <w:vMerge w:val="continue"/>
                  <w:tcBorders>
                    <w:tl2br w:val="nil"/>
                    <w:tr2bl w:val="nil"/>
                  </w:tcBorders>
                  <w:vAlign w:val="center"/>
                </w:tcPr>
                <w:p>
                  <w:pPr>
                    <w:jc w:val="center"/>
                    <w:rPr>
                      <w:color w:val="auto"/>
                      <w:szCs w:val="21"/>
                    </w:rPr>
                  </w:pPr>
                </w:p>
              </w:tc>
              <w:tc>
                <w:tcPr>
                  <w:tcW w:w="1297" w:type="pct"/>
                  <w:tcBorders>
                    <w:tl2br w:val="nil"/>
                    <w:tr2bl w:val="nil"/>
                  </w:tcBorders>
                  <w:vAlign w:val="center"/>
                </w:tcPr>
                <w:p>
                  <w:pPr>
                    <w:widowControl/>
                    <w:jc w:val="center"/>
                    <w:textAlignment w:val="center"/>
                    <w:rPr>
                      <w:color w:val="auto"/>
                      <w:szCs w:val="21"/>
                    </w:rPr>
                  </w:pPr>
                  <w:r>
                    <w:rPr>
                      <w:rFonts w:hint="eastAsia"/>
                      <w:color w:val="auto"/>
                      <w:szCs w:val="21"/>
                    </w:rPr>
                    <w:t>0.5</w:t>
                  </w:r>
                </w:p>
              </w:tc>
              <w:tc>
                <w:tcPr>
                  <w:tcW w:w="651" w:type="pct"/>
                  <w:tcBorders>
                    <w:tl2br w:val="nil"/>
                    <w:tr2bl w:val="nil"/>
                  </w:tcBorders>
                  <w:vAlign w:val="center"/>
                </w:tcPr>
                <w:p>
                  <w:pPr>
                    <w:widowControl/>
                    <w:jc w:val="center"/>
                    <w:textAlignment w:val="center"/>
                    <w:rPr>
                      <w:color w:val="auto"/>
                      <w:szCs w:val="21"/>
                    </w:rPr>
                  </w:pPr>
                  <w:r>
                    <w:rPr>
                      <w:color w:val="auto"/>
                      <w:kern w:val="0"/>
                      <w:szCs w:val="21"/>
                      <w:lang w:bidi="ar"/>
                    </w:rPr>
                    <w:t>100*</w:t>
                  </w:r>
                </w:p>
              </w:tc>
              <w:tc>
                <w:tcPr>
                  <w:tcW w:w="659" w:type="pct"/>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0.0025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color w:val="auto"/>
                      <w:szCs w:val="21"/>
                    </w:rPr>
                    <w:t>12</w:t>
                  </w:r>
                </w:p>
              </w:tc>
              <w:tc>
                <w:tcPr>
                  <w:tcW w:w="1403" w:type="pct"/>
                  <w:tcBorders>
                    <w:tl2br w:val="nil"/>
                    <w:tr2bl w:val="nil"/>
                  </w:tcBorders>
                  <w:vAlign w:val="center"/>
                </w:tcPr>
                <w:p>
                  <w:pPr>
                    <w:jc w:val="center"/>
                    <w:rPr>
                      <w:color w:val="auto"/>
                      <w:szCs w:val="21"/>
                    </w:rPr>
                  </w:pPr>
                  <w:r>
                    <w:rPr>
                      <w:color w:val="auto"/>
                      <w:kern w:val="0"/>
                      <w:szCs w:val="21"/>
                      <w:lang w:bidi="ar"/>
                    </w:rPr>
                    <w:t>废包装桶</w:t>
                  </w:r>
                </w:p>
              </w:tc>
              <w:tc>
                <w:tcPr>
                  <w:tcW w:w="554" w:type="pct"/>
                  <w:vMerge w:val="continue"/>
                  <w:tcBorders>
                    <w:tl2br w:val="nil"/>
                    <w:tr2bl w:val="nil"/>
                  </w:tcBorders>
                  <w:vAlign w:val="center"/>
                </w:tcPr>
                <w:p>
                  <w:pPr>
                    <w:jc w:val="center"/>
                    <w:rPr>
                      <w:color w:val="auto"/>
                      <w:szCs w:val="21"/>
                    </w:rPr>
                  </w:pPr>
                </w:p>
              </w:tc>
              <w:tc>
                <w:tcPr>
                  <w:tcW w:w="1297" w:type="pct"/>
                  <w:tcBorders>
                    <w:tl2br w:val="nil"/>
                    <w:tr2bl w:val="nil"/>
                  </w:tcBorders>
                  <w:vAlign w:val="center"/>
                </w:tcPr>
                <w:p>
                  <w:pPr>
                    <w:widowControl/>
                    <w:jc w:val="center"/>
                    <w:textAlignment w:val="center"/>
                    <w:rPr>
                      <w:color w:val="auto"/>
                      <w:kern w:val="0"/>
                      <w:szCs w:val="21"/>
                      <w:lang w:bidi="ar"/>
                    </w:rPr>
                  </w:pPr>
                  <w:r>
                    <w:rPr>
                      <w:rFonts w:hint="eastAsia"/>
                      <w:color w:val="auto"/>
                      <w:szCs w:val="21"/>
                    </w:rPr>
                    <w:t>1</w:t>
                  </w:r>
                </w:p>
              </w:tc>
              <w:tc>
                <w:tcPr>
                  <w:tcW w:w="651"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w:t>
                  </w:r>
                </w:p>
              </w:tc>
              <w:tc>
                <w:tcPr>
                  <w:tcW w:w="659"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color w:val="auto"/>
                      <w:szCs w:val="21"/>
                    </w:rPr>
                    <w:t>13</w:t>
                  </w:r>
                </w:p>
              </w:tc>
              <w:tc>
                <w:tcPr>
                  <w:tcW w:w="1403" w:type="pct"/>
                  <w:tcBorders>
                    <w:tl2br w:val="nil"/>
                    <w:tr2bl w:val="nil"/>
                  </w:tcBorders>
                  <w:vAlign w:val="center"/>
                </w:tcPr>
                <w:p>
                  <w:pPr>
                    <w:jc w:val="center"/>
                    <w:rPr>
                      <w:color w:val="auto"/>
                      <w:szCs w:val="21"/>
                    </w:rPr>
                  </w:pPr>
                  <w:r>
                    <w:rPr>
                      <w:color w:val="auto"/>
                      <w:szCs w:val="21"/>
                    </w:rPr>
                    <w:t>废活性炭</w:t>
                  </w:r>
                </w:p>
              </w:tc>
              <w:tc>
                <w:tcPr>
                  <w:tcW w:w="554" w:type="pct"/>
                  <w:vMerge w:val="continue"/>
                  <w:tcBorders>
                    <w:tl2br w:val="nil"/>
                    <w:tr2bl w:val="nil"/>
                  </w:tcBorders>
                  <w:vAlign w:val="center"/>
                </w:tcPr>
                <w:p>
                  <w:pPr>
                    <w:jc w:val="center"/>
                    <w:rPr>
                      <w:color w:val="auto"/>
                      <w:szCs w:val="21"/>
                    </w:rPr>
                  </w:pPr>
                </w:p>
              </w:tc>
              <w:tc>
                <w:tcPr>
                  <w:tcW w:w="1297" w:type="pct"/>
                  <w:tcBorders>
                    <w:tl2br w:val="nil"/>
                    <w:tr2bl w:val="nil"/>
                  </w:tcBorders>
                  <w:vAlign w:val="center"/>
                </w:tcPr>
                <w:p>
                  <w:pPr>
                    <w:widowControl/>
                    <w:jc w:val="center"/>
                    <w:textAlignment w:val="center"/>
                    <w:rPr>
                      <w:color w:val="auto"/>
                      <w:kern w:val="0"/>
                      <w:szCs w:val="21"/>
                      <w:lang w:bidi="ar"/>
                    </w:rPr>
                  </w:pPr>
                  <w:r>
                    <w:rPr>
                      <w:rFonts w:hint="eastAsia"/>
                      <w:color w:val="auto"/>
                      <w:szCs w:val="21"/>
                    </w:rPr>
                    <w:t>3.264</w:t>
                  </w:r>
                </w:p>
              </w:tc>
              <w:tc>
                <w:tcPr>
                  <w:tcW w:w="651"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w:t>
                  </w:r>
                </w:p>
              </w:tc>
              <w:tc>
                <w:tcPr>
                  <w:tcW w:w="659"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color w:val="auto"/>
                      <w:szCs w:val="21"/>
                    </w:rPr>
                    <w:t>14</w:t>
                  </w:r>
                </w:p>
              </w:tc>
              <w:tc>
                <w:tcPr>
                  <w:tcW w:w="1403" w:type="pct"/>
                  <w:tcBorders>
                    <w:tl2br w:val="nil"/>
                    <w:tr2bl w:val="nil"/>
                  </w:tcBorders>
                  <w:vAlign w:val="center"/>
                </w:tcPr>
                <w:p>
                  <w:pPr>
                    <w:jc w:val="center"/>
                    <w:rPr>
                      <w:snapToGrid w:val="0"/>
                      <w:color w:val="auto"/>
                      <w:kern w:val="0"/>
                      <w:szCs w:val="21"/>
                    </w:rPr>
                  </w:pPr>
                  <w:r>
                    <w:rPr>
                      <w:color w:val="auto"/>
                      <w:kern w:val="0"/>
                      <w:szCs w:val="21"/>
                      <w:lang w:bidi="ar"/>
                    </w:rPr>
                    <w:t>废油</w:t>
                  </w:r>
                </w:p>
              </w:tc>
              <w:tc>
                <w:tcPr>
                  <w:tcW w:w="554" w:type="pct"/>
                  <w:vMerge w:val="continue"/>
                  <w:tcBorders>
                    <w:tl2br w:val="nil"/>
                    <w:tr2bl w:val="nil"/>
                  </w:tcBorders>
                  <w:vAlign w:val="center"/>
                </w:tcPr>
                <w:p>
                  <w:pPr>
                    <w:jc w:val="center"/>
                    <w:rPr>
                      <w:color w:val="auto"/>
                      <w:szCs w:val="21"/>
                    </w:rPr>
                  </w:pPr>
                </w:p>
              </w:tc>
              <w:tc>
                <w:tcPr>
                  <w:tcW w:w="1297" w:type="pct"/>
                  <w:tcBorders>
                    <w:tl2br w:val="nil"/>
                    <w:tr2bl w:val="nil"/>
                  </w:tcBorders>
                  <w:vAlign w:val="center"/>
                </w:tcPr>
                <w:p>
                  <w:pPr>
                    <w:widowControl/>
                    <w:jc w:val="center"/>
                    <w:textAlignment w:val="center"/>
                    <w:rPr>
                      <w:color w:val="auto"/>
                      <w:szCs w:val="21"/>
                    </w:rPr>
                  </w:pPr>
                  <w:r>
                    <w:rPr>
                      <w:rFonts w:hint="eastAsia"/>
                      <w:color w:val="auto"/>
                      <w:kern w:val="0"/>
                      <w:szCs w:val="21"/>
                      <w:lang w:bidi="ar"/>
                    </w:rPr>
                    <w:t>0.06</w:t>
                  </w:r>
                </w:p>
              </w:tc>
              <w:tc>
                <w:tcPr>
                  <w:tcW w:w="651" w:type="pct"/>
                  <w:tcBorders>
                    <w:tl2br w:val="nil"/>
                    <w:tr2bl w:val="nil"/>
                  </w:tcBorders>
                  <w:vAlign w:val="center"/>
                </w:tcPr>
                <w:p>
                  <w:pPr>
                    <w:widowControl/>
                    <w:jc w:val="center"/>
                    <w:textAlignment w:val="center"/>
                    <w:rPr>
                      <w:color w:val="auto"/>
                      <w:szCs w:val="21"/>
                    </w:rPr>
                  </w:pPr>
                  <w:r>
                    <w:rPr>
                      <w:rFonts w:hint="eastAsia"/>
                      <w:color w:val="auto"/>
                      <w:kern w:val="0"/>
                      <w:szCs w:val="21"/>
                      <w:lang w:bidi="ar"/>
                    </w:rPr>
                    <w:t>2500</w:t>
                  </w:r>
                </w:p>
              </w:tc>
              <w:tc>
                <w:tcPr>
                  <w:tcW w:w="659" w:type="pct"/>
                  <w:tcBorders>
                    <w:tl2br w:val="nil"/>
                    <w:tr2bl w:val="nil"/>
                  </w:tcBorders>
                  <w:vAlign w:val="center"/>
                </w:tcPr>
                <w:p>
                  <w:pPr>
                    <w:widowControl/>
                    <w:jc w:val="center"/>
                    <w:textAlignment w:val="center"/>
                    <w:rPr>
                      <w:color w:val="auto"/>
                      <w:kern w:val="0"/>
                      <w:szCs w:val="21"/>
                      <w:lang w:bidi="ar"/>
                    </w:rPr>
                  </w:pPr>
                  <w:r>
                    <w:rPr>
                      <w:rFonts w:hint="eastAsia"/>
                      <w:color w:val="auto"/>
                      <w:kern w:val="0"/>
                      <w:szCs w:val="21"/>
                      <w:lang w:bidi="ar"/>
                    </w:rPr>
                    <w:t>0.00002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color w:val="auto"/>
                      <w:szCs w:val="21"/>
                    </w:rPr>
                    <w:t>15</w:t>
                  </w:r>
                </w:p>
              </w:tc>
              <w:tc>
                <w:tcPr>
                  <w:tcW w:w="1403" w:type="pct"/>
                  <w:tcBorders>
                    <w:tl2br w:val="nil"/>
                    <w:tr2bl w:val="nil"/>
                  </w:tcBorders>
                  <w:vAlign w:val="center"/>
                </w:tcPr>
                <w:p>
                  <w:pPr>
                    <w:jc w:val="center"/>
                    <w:rPr>
                      <w:snapToGrid w:val="0"/>
                      <w:color w:val="auto"/>
                      <w:kern w:val="0"/>
                      <w:szCs w:val="21"/>
                    </w:rPr>
                  </w:pPr>
                  <w:r>
                    <w:rPr>
                      <w:color w:val="auto"/>
                      <w:szCs w:val="21"/>
                    </w:rPr>
                    <w:t>含油废抹布手套</w:t>
                  </w:r>
                </w:p>
              </w:tc>
              <w:tc>
                <w:tcPr>
                  <w:tcW w:w="554" w:type="pct"/>
                  <w:vMerge w:val="continue"/>
                  <w:tcBorders>
                    <w:tl2br w:val="nil"/>
                    <w:tr2bl w:val="nil"/>
                  </w:tcBorders>
                  <w:vAlign w:val="center"/>
                </w:tcPr>
                <w:p>
                  <w:pPr>
                    <w:jc w:val="center"/>
                    <w:rPr>
                      <w:color w:val="auto"/>
                      <w:szCs w:val="21"/>
                    </w:rPr>
                  </w:pPr>
                </w:p>
              </w:tc>
              <w:tc>
                <w:tcPr>
                  <w:tcW w:w="1297" w:type="pct"/>
                  <w:tcBorders>
                    <w:tl2br w:val="nil"/>
                    <w:tr2bl w:val="nil"/>
                  </w:tcBorders>
                  <w:vAlign w:val="center"/>
                </w:tcPr>
                <w:p>
                  <w:pPr>
                    <w:widowControl/>
                    <w:jc w:val="center"/>
                    <w:textAlignment w:val="center"/>
                    <w:rPr>
                      <w:color w:val="auto"/>
                      <w:szCs w:val="21"/>
                    </w:rPr>
                  </w:pPr>
                  <w:r>
                    <w:rPr>
                      <w:rFonts w:hint="eastAsia"/>
                      <w:color w:val="auto"/>
                      <w:kern w:val="0"/>
                      <w:szCs w:val="21"/>
                    </w:rPr>
                    <w:t>1</w:t>
                  </w:r>
                </w:p>
              </w:tc>
              <w:tc>
                <w:tcPr>
                  <w:tcW w:w="651" w:type="pct"/>
                  <w:tcBorders>
                    <w:tl2br w:val="nil"/>
                    <w:tr2bl w:val="nil"/>
                  </w:tcBorders>
                  <w:vAlign w:val="center"/>
                </w:tcPr>
                <w:p>
                  <w:pPr>
                    <w:widowControl/>
                    <w:jc w:val="center"/>
                    <w:textAlignment w:val="center"/>
                    <w:rPr>
                      <w:color w:val="auto"/>
                      <w:szCs w:val="21"/>
                    </w:rPr>
                  </w:pPr>
                  <w:r>
                    <w:rPr>
                      <w:color w:val="auto"/>
                      <w:kern w:val="0"/>
                      <w:szCs w:val="21"/>
                      <w:lang w:bidi="ar"/>
                    </w:rPr>
                    <w:t>—</w:t>
                  </w:r>
                </w:p>
              </w:tc>
              <w:tc>
                <w:tcPr>
                  <w:tcW w:w="659"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color w:val="auto"/>
                      <w:szCs w:val="21"/>
                    </w:rPr>
                    <w:t>1</w:t>
                  </w:r>
                  <w:r>
                    <w:rPr>
                      <w:rFonts w:hint="eastAsia"/>
                      <w:color w:val="auto"/>
                      <w:szCs w:val="21"/>
                    </w:rPr>
                    <w:t>6</w:t>
                  </w:r>
                </w:p>
              </w:tc>
              <w:tc>
                <w:tcPr>
                  <w:tcW w:w="1403" w:type="pct"/>
                  <w:tcBorders>
                    <w:tl2br w:val="nil"/>
                    <w:tr2bl w:val="nil"/>
                  </w:tcBorders>
                  <w:vAlign w:val="center"/>
                </w:tcPr>
                <w:p>
                  <w:pPr>
                    <w:widowControl/>
                    <w:jc w:val="center"/>
                    <w:textAlignment w:val="center"/>
                    <w:rPr>
                      <w:color w:val="auto"/>
                      <w:kern w:val="0"/>
                      <w:szCs w:val="21"/>
                      <w:highlight w:val="yellow"/>
                      <w:lang w:bidi="ar"/>
                    </w:rPr>
                  </w:pPr>
                  <w:r>
                    <w:rPr>
                      <w:color w:val="auto"/>
                      <w:szCs w:val="21"/>
                    </w:rPr>
                    <w:t>废油类包装桶</w:t>
                  </w:r>
                </w:p>
              </w:tc>
              <w:tc>
                <w:tcPr>
                  <w:tcW w:w="554" w:type="pct"/>
                  <w:vMerge w:val="continue"/>
                  <w:tcBorders>
                    <w:tl2br w:val="nil"/>
                    <w:tr2bl w:val="nil"/>
                  </w:tcBorders>
                  <w:vAlign w:val="center"/>
                </w:tcPr>
                <w:p>
                  <w:pPr>
                    <w:jc w:val="center"/>
                    <w:rPr>
                      <w:color w:val="auto"/>
                      <w:szCs w:val="21"/>
                      <w:highlight w:val="yellow"/>
                    </w:rPr>
                  </w:pPr>
                </w:p>
              </w:tc>
              <w:tc>
                <w:tcPr>
                  <w:tcW w:w="1297" w:type="pct"/>
                  <w:tcBorders>
                    <w:tl2br w:val="nil"/>
                    <w:tr2bl w:val="nil"/>
                  </w:tcBorders>
                  <w:vAlign w:val="center"/>
                </w:tcPr>
                <w:p>
                  <w:pPr>
                    <w:widowControl/>
                    <w:jc w:val="center"/>
                    <w:textAlignment w:val="center"/>
                    <w:rPr>
                      <w:color w:val="auto"/>
                      <w:kern w:val="0"/>
                      <w:szCs w:val="21"/>
                      <w:highlight w:val="yellow"/>
                      <w:lang w:bidi="ar"/>
                    </w:rPr>
                  </w:pPr>
                  <w:r>
                    <w:rPr>
                      <w:rFonts w:hint="eastAsia"/>
                      <w:color w:val="auto"/>
                      <w:kern w:val="0"/>
                      <w:szCs w:val="21"/>
                    </w:rPr>
                    <w:t>1</w:t>
                  </w:r>
                </w:p>
              </w:tc>
              <w:tc>
                <w:tcPr>
                  <w:tcW w:w="651" w:type="pct"/>
                  <w:tcBorders>
                    <w:tl2br w:val="nil"/>
                    <w:tr2bl w:val="nil"/>
                  </w:tcBorders>
                  <w:vAlign w:val="center"/>
                </w:tcPr>
                <w:p>
                  <w:pPr>
                    <w:widowControl/>
                    <w:jc w:val="center"/>
                    <w:textAlignment w:val="center"/>
                    <w:rPr>
                      <w:color w:val="auto"/>
                      <w:kern w:val="0"/>
                      <w:szCs w:val="21"/>
                      <w:highlight w:val="yellow"/>
                      <w:lang w:bidi="ar"/>
                    </w:rPr>
                  </w:pPr>
                  <w:r>
                    <w:rPr>
                      <w:color w:val="auto"/>
                      <w:kern w:val="0"/>
                      <w:szCs w:val="21"/>
                      <w:lang w:bidi="ar"/>
                    </w:rPr>
                    <w:t>—</w:t>
                  </w:r>
                </w:p>
              </w:tc>
              <w:tc>
                <w:tcPr>
                  <w:tcW w:w="659" w:type="pct"/>
                  <w:tcBorders>
                    <w:tl2br w:val="nil"/>
                    <w:tr2bl w:val="nil"/>
                  </w:tcBorders>
                  <w:vAlign w:val="center"/>
                </w:tcPr>
                <w:p>
                  <w:pPr>
                    <w:widowControl/>
                    <w:jc w:val="center"/>
                    <w:textAlignment w:val="center"/>
                    <w:rPr>
                      <w:color w:val="auto"/>
                      <w:kern w:val="0"/>
                      <w:szCs w:val="21"/>
                      <w:lang w:bidi="ar"/>
                    </w:rPr>
                  </w:pPr>
                  <w:r>
                    <w:rPr>
                      <w:color w:val="auto"/>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color w:val="auto"/>
                      <w:szCs w:val="21"/>
                    </w:rPr>
                    <w:t>1</w:t>
                  </w:r>
                  <w:r>
                    <w:rPr>
                      <w:rFonts w:hint="eastAsia"/>
                      <w:color w:val="auto"/>
                      <w:szCs w:val="21"/>
                    </w:rPr>
                    <w:t>7</w:t>
                  </w:r>
                </w:p>
              </w:tc>
              <w:tc>
                <w:tcPr>
                  <w:tcW w:w="1403" w:type="pct"/>
                  <w:tcBorders>
                    <w:tl2br w:val="nil"/>
                    <w:tr2bl w:val="nil"/>
                  </w:tcBorders>
                  <w:vAlign w:val="center"/>
                </w:tcPr>
                <w:p>
                  <w:pPr>
                    <w:widowControl/>
                    <w:jc w:val="center"/>
                    <w:textAlignment w:val="center"/>
                    <w:rPr>
                      <w:color w:val="auto"/>
                      <w:kern w:val="0"/>
                      <w:szCs w:val="21"/>
                      <w:lang w:bidi="ar"/>
                    </w:rPr>
                  </w:pPr>
                  <w:r>
                    <w:rPr>
                      <w:color w:val="auto"/>
                      <w:szCs w:val="21"/>
                    </w:rPr>
                    <w:t>压滤污泥</w:t>
                  </w:r>
                </w:p>
              </w:tc>
              <w:tc>
                <w:tcPr>
                  <w:tcW w:w="554" w:type="pct"/>
                  <w:vMerge w:val="continue"/>
                  <w:tcBorders>
                    <w:tl2br w:val="nil"/>
                    <w:tr2bl w:val="nil"/>
                  </w:tcBorders>
                  <w:vAlign w:val="center"/>
                </w:tcPr>
                <w:p>
                  <w:pPr>
                    <w:jc w:val="center"/>
                    <w:rPr>
                      <w:color w:val="auto"/>
                      <w:szCs w:val="21"/>
                    </w:rPr>
                  </w:pPr>
                </w:p>
              </w:tc>
              <w:tc>
                <w:tcPr>
                  <w:tcW w:w="1297" w:type="pct"/>
                  <w:tcBorders>
                    <w:tl2br w:val="nil"/>
                    <w:tr2bl w:val="nil"/>
                  </w:tcBorders>
                  <w:vAlign w:val="center"/>
                </w:tcPr>
                <w:p>
                  <w:pPr>
                    <w:widowControl/>
                    <w:jc w:val="center"/>
                    <w:textAlignment w:val="center"/>
                    <w:rPr>
                      <w:color w:val="auto"/>
                      <w:szCs w:val="21"/>
                    </w:rPr>
                  </w:pPr>
                  <w:r>
                    <w:rPr>
                      <w:rFonts w:hint="eastAsia"/>
                      <w:color w:val="auto"/>
                      <w:szCs w:val="21"/>
                    </w:rPr>
                    <w:t>5</w:t>
                  </w:r>
                </w:p>
              </w:tc>
              <w:tc>
                <w:tcPr>
                  <w:tcW w:w="651" w:type="pct"/>
                  <w:tcBorders>
                    <w:tl2br w:val="nil"/>
                    <w:tr2bl w:val="nil"/>
                  </w:tcBorders>
                  <w:vAlign w:val="center"/>
                </w:tcPr>
                <w:p>
                  <w:pPr>
                    <w:widowControl/>
                    <w:jc w:val="center"/>
                    <w:textAlignment w:val="center"/>
                    <w:rPr>
                      <w:color w:val="auto"/>
                      <w:szCs w:val="21"/>
                    </w:rPr>
                  </w:pPr>
                  <w:r>
                    <w:rPr>
                      <w:color w:val="auto"/>
                      <w:kern w:val="0"/>
                      <w:szCs w:val="21"/>
                      <w:lang w:bidi="ar"/>
                    </w:rPr>
                    <w:t>100*</w:t>
                  </w:r>
                </w:p>
              </w:tc>
              <w:tc>
                <w:tcPr>
                  <w:tcW w:w="659" w:type="pct"/>
                  <w:tcBorders>
                    <w:tl2br w:val="nil"/>
                    <w:tr2bl w:val="nil"/>
                  </w:tcBorders>
                  <w:vAlign w:val="center"/>
                </w:tcPr>
                <w:p>
                  <w:pPr>
                    <w:widowControl/>
                    <w:jc w:val="center"/>
                    <w:textAlignment w:val="center"/>
                    <w:rPr>
                      <w:color w:val="auto"/>
                      <w:szCs w:val="21"/>
                    </w:rPr>
                  </w:pPr>
                  <w:r>
                    <w:rPr>
                      <w:rFonts w:hint="eastAsia"/>
                      <w:color w:val="auto"/>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rFonts w:hint="eastAsia"/>
                      <w:color w:val="auto"/>
                      <w:szCs w:val="21"/>
                    </w:rPr>
                    <w:t>18</w:t>
                  </w:r>
                </w:p>
              </w:tc>
              <w:tc>
                <w:tcPr>
                  <w:tcW w:w="1403" w:type="pct"/>
                  <w:tcBorders>
                    <w:tl2br w:val="nil"/>
                    <w:tr2bl w:val="nil"/>
                  </w:tcBorders>
                  <w:vAlign w:val="center"/>
                </w:tcPr>
                <w:p>
                  <w:pPr>
                    <w:widowControl/>
                    <w:jc w:val="center"/>
                    <w:textAlignment w:val="center"/>
                    <w:rPr>
                      <w:color w:val="auto"/>
                      <w:szCs w:val="21"/>
                    </w:rPr>
                  </w:pPr>
                  <w:r>
                    <w:rPr>
                      <w:color w:val="auto"/>
                      <w:szCs w:val="21"/>
                    </w:rPr>
                    <w:t>浓缩蒸发液</w:t>
                  </w:r>
                </w:p>
              </w:tc>
              <w:tc>
                <w:tcPr>
                  <w:tcW w:w="554" w:type="pct"/>
                  <w:vMerge w:val="continue"/>
                  <w:tcBorders>
                    <w:tl2br w:val="nil"/>
                    <w:tr2bl w:val="nil"/>
                  </w:tcBorders>
                  <w:vAlign w:val="center"/>
                </w:tcPr>
                <w:p>
                  <w:pPr>
                    <w:jc w:val="center"/>
                    <w:rPr>
                      <w:color w:val="auto"/>
                      <w:szCs w:val="21"/>
                    </w:rPr>
                  </w:pPr>
                </w:p>
              </w:tc>
              <w:tc>
                <w:tcPr>
                  <w:tcW w:w="1297" w:type="pct"/>
                  <w:tcBorders>
                    <w:tl2br w:val="nil"/>
                    <w:tr2bl w:val="nil"/>
                  </w:tcBorders>
                  <w:vAlign w:val="center"/>
                </w:tcPr>
                <w:p>
                  <w:pPr>
                    <w:widowControl/>
                    <w:jc w:val="center"/>
                    <w:textAlignment w:val="center"/>
                    <w:rPr>
                      <w:color w:val="auto"/>
                      <w:szCs w:val="21"/>
                    </w:rPr>
                  </w:pPr>
                  <w:r>
                    <w:rPr>
                      <w:rFonts w:hint="eastAsia"/>
                      <w:color w:val="auto"/>
                      <w:szCs w:val="21"/>
                    </w:rPr>
                    <w:t>8</w:t>
                  </w:r>
                </w:p>
              </w:tc>
              <w:tc>
                <w:tcPr>
                  <w:tcW w:w="651" w:type="pct"/>
                  <w:tcBorders>
                    <w:tl2br w:val="nil"/>
                    <w:tr2bl w:val="nil"/>
                  </w:tcBorders>
                  <w:vAlign w:val="center"/>
                </w:tcPr>
                <w:p>
                  <w:pPr>
                    <w:widowControl/>
                    <w:jc w:val="center"/>
                    <w:textAlignment w:val="center"/>
                    <w:rPr>
                      <w:color w:val="auto"/>
                      <w:szCs w:val="21"/>
                    </w:rPr>
                  </w:pPr>
                  <w:r>
                    <w:rPr>
                      <w:color w:val="auto"/>
                      <w:kern w:val="0"/>
                      <w:szCs w:val="21"/>
                      <w:lang w:bidi="ar"/>
                    </w:rPr>
                    <w:t>100*</w:t>
                  </w:r>
                </w:p>
              </w:tc>
              <w:tc>
                <w:tcPr>
                  <w:tcW w:w="659" w:type="pct"/>
                  <w:tcBorders>
                    <w:tl2br w:val="nil"/>
                    <w:tr2bl w:val="nil"/>
                  </w:tcBorders>
                  <w:vAlign w:val="center"/>
                </w:tcPr>
                <w:p>
                  <w:pPr>
                    <w:widowControl/>
                    <w:jc w:val="center"/>
                    <w:textAlignment w:val="center"/>
                    <w:rPr>
                      <w:color w:val="auto"/>
                      <w:szCs w:val="21"/>
                    </w:rPr>
                  </w:pPr>
                  <w:r>
                    <w:rPr>
                      <w:rFonts w:hint="eastAsia"/>
                      <w:color w:val="auto"/>
                      <w:szCs w:val="21"/>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 w:type="pct"/>
                  <w:tcBorders>
                    <w:tl2br w:val="nil"/>
                    <w:tr2bl w:val="nil"/>
                  </w:tcBorders>
                  <w:vAlign w:val="center"/>
                </w:tcPr>
                <w:p>
                  <w:pPr>
                    <w:jc w:val="center"/>
                    <w:rPr>
                      <w:color w:val="auto"/>
                      <w:szCs w:val="21"/>
                    </w:rPr>
                  </w:pPr>
                  <w:r>
                    <w:rPr>
                      <w:rFonts w:hint="eastAsia"/>
                      <w:color w:val="auto"/>
                      <w:szCs w:val="21"/>
                    </w:rPr>
                    <w:t>19</w:t>
                  </w:r>
                </w:p>
              </w:tc>
              <w:tc>
                <w:tcPr>
                  <w:tcW w:w="1403" w:type="pct"/>
                  <w:tcBorders>
                    <w:tl2br w:val="nil"/>
                    <w:tr2bl w:val="nil"/>
                  </w:tcBorders>
                  <w:vAlign w:val="center"/>
                </w:tcPr>
                <w:p>
                  <w:pPr>
                    <w:widowControl/>
                    <w:jc w:val="center"/>
                    <w:textAlignment w:val="center"/>
                    <w:rPr>
                      <w:color w:val="auto"/>
                      <w:szCs w:val="21"/>
                    </w:rPr>
                  </w:pPr>
                  <w:r>
                    <w:rPr>
                      <w:rFonts w:hint="eastAsia"/>
                      <w:color w:val="auto"/>
                      <w:szCs w:val="21"/>
                    </w:rPr>
                    <w:t>废水过滤材料</w:t>
                  </w:r>
                </w:p>
              </w:tc>
              <w:tc>
                <w:tcPr>
                  <w:tcW w:w="554" w:type="pct"/>
                  <w:vMerge w:val="continue"/>
                  <w:tcBorders>
                    <w:tl2br w:val="nil"/>
                    <w:tr2bl w:val="nil"/>
                  </w:tcBorders>
                  <w:vAlign w:val="center"/>
                </w:tcPr>
                <w:p>
                  <w:pPr>
                    <w:jc w:val="center"/>
                    <w:rPr>
                      <w:color w:val="auto"/>
                      <w:szCs w:val="21"/>
                    </w:rPr>
                  </w:pPr>
                </w:p>
              </w:tc>
              <w:tc>
                <w:tcPr>
                  <w:tcW w:w="1297" w:type="pct"/>
                  <w:tcBorders>
                    <w:tl2br w:val="nil"/>
                    <w:tr2bl w:val="nil"/>
                  </w:tcBorders>
                  <w:vAlign w:val="center"/>
                </w:tcPr>
                <w:p>
                  <w:pPr>
                    <w:widowControl/>
                    <w:jc w:val="center"/>
                    <w:textAlignment w:val="center"/>
                    <w:rPr>
                      <w:color w:val="auto"/>
                      <w:szCs w:val="21"/>
                    </w:rPr>
                  </w:pPr>
                  <w:r>
                    <w:rPr>
                      <w:color w:val="auto"/>
                      <w:szCs w:val="21"/>
                    </w:rPr>
                    <w:t>0.0</w:t>
                  </w:r>
                  <w:r>
                    <w:rPr>
                      <w:rFonts w:hint="eastAsia"/>
                      <w:color w:val="auto"/>
                      <w:szCs w:val="21"/>
                    </w:rPr>
                    <w:t>1</w:t>
                  </w:r>
                </w:p>
              </w:tc>
              <w:tc>
                <w:tcPr>
                  <w:tcW w:w="651" w:type="pct"/>
                  <w:tcBorders>
                    <w:tl2br w:val="nil"/>
                    <w:tr2bl w:val="nil"/>
                  </w:tcBorders>
                  <w:vAlign w:val="center"/>
                </w:tcPr>
                <w:p>
                  <w:pPr>
                    <w:widowControl/>
                    <w:jc w:val="center"/>
                    <w:textAlignment w:val="center"/>
                    <w:rPr>
                      <w:color w:val="auto"/>
                      <w:szCs w:val="21"/>
                    </w:rPr>
                  </w:pPr>
                  <w:r>
                    <w:rPr>
                      <w:color w:val="auto"/>
                      <w:kern w:val="0"/>
                      <w:szCs w:val="21"/>
                      <w:lang w:bidi="ar"/>
                    </w:rPr>
                    <w:t>—</w:t>
                  </w:r>
                </w:p>
              </w:tc>
              <w:tc>
                <w:tcPr>
                  <w:tcW w:w="659" w:type="pct"/>
                  <w:tcBorders>
                    <w:tl2br w:val="nil"/>
                    <w:tr2bl w:val="nil"/>
                  </w:tcBorders>
                  <w:vAlign w:val="center"/>
                </w:tcPr>
                <w:p>
                  <w:pPr>
                    <w:widowControl/>
                    <w:jc w:val="center"/>
                    <w:textAlignment w:val="center"/>
                    <w:rPr>
                      <w:color w:val="auto"/>
                      <w:szCs w:val="21"/>
                    </w:rPr>
                  </w:pPr>
                  <w:r>
                    <w:rPr>
                      <w:color w:val="auto"/>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40" w:type="pct"/>
                  <w:gridSpan w:val="5"/>
                  <w:tcBorders>
                    <w:tl2br w:val="nil"/>
                    <w:tr2bl w:val="nil"/>
                  </w:tcBorders>
                  <w:vAlign w:val="center"/>
                </w:tcPr>
                <w:p>
                  <w:pPr>
                    <w:autoSpaceDE w:val="0"/>
                    <w:adjustRightInd w:val="0"/>
                    <w:snapToGrid w:val="0"/>
                    <w:jc w:val="center"/>
                    <w:rPr>
                      <w:color w:val="auto"/>
                      <w:szCs w:val="21"/>
                    </w:rPr>
                  </w:pPr>
                  <w:r>
                    <w:rPr>
                      <w:bCs/>
                      <w:color w:val="auto"/>
                      <w:szCs w:val="21"/>
                    </w:rPr>
                    <w:t>∑qn/Qn</w:t>
                  </w:r>
                </w:p>
              </w:tc>
              <w:tc>
                <w:tcPr>
                  <w:tcW w:w="659" w:type="pct"/>
                  <w:tcBorders>
                    <w:tl2br w:val="nil"/>
                    <w:tr2bl w:val="nil"/>
                  </w:tcBorders>
                  <w:vAlign w:val="center"/>
                </w:tcPr>
                <w:p>
                  <w:pPr>
                    <w:autoSpaceDE w:val="0"/>
                    <w:adjustRightInd w:val="0"/>
                    <w:snapToGrid w:val="0"/>
                    <w:jc w:val="center"/>
                    <w:rPr>
                      <w:color w:val="auto"/>
                      <w:szCs w:val="21"/>
                    </w:rPr>
                  </w:pPr>
                  <w:r>
                    <w:rPr>
                      <w:rFonts w:hint="eastAsia"/>
                      <w:color w:val="auto"/>
                      <w:szCs w:val="21"/>
                    </w:rPr>
                    <w:t>0.18234</w:t>
                  </w:r>
                </w:p>
              </w:tc>
            </w:tr>
          </w:tbl>
          <w:p>
            <w:pPr>
              <w:spacing w:line="360" w:lineRule="auto"/>
              <w:ind w:firstLine="420" w:firstLineChars="200"/>
              <w:rPr>
                <w:rFonts w:ascii="Calibri" w:hAnsi="Calibri" w:cs="Calibri"/>
                <w:color w:val="auto"/>
              </w:rPr>
            </w:pPr>
            <w:r>
              <w:rPr>
                <w:rFonts w:ascii="Calibri" w:hAnsi="Calibri" w:cs="Calibri"/>
                <w:color w:val="auto"/>
                <w:szCs w:val="16"/>
              </w:rPr>
              <w:t>*表示该物质临界值参考危害水环境物质临界值。</w:t>
            </w:r>
          </w:p>
          <w:p>
            <w:pPr>
              <w:spacing w:line="360" w:lineRule="auto"/>
              <w:ind w:firstLine="482" w:firstLineChars="200"/>
              <w:rPr>
                <w:rFonts w:ascii="Calibri" w:hAnsi="Calibri" w:cs="Calibri"/>
                <w:b/>
                <w:bCs/>
                <w:color w:val="auto"/>
                <w:sz w:val="24"/>
              </w:rPr>
            </w:pPr>
            <w:r>
              <w:rPr>
                <w:rFonts w:ascii="Calibri" w:hAnsi="Calibri" w:cs="Calibri"/>
                <w:b/>
                <w:bCs/>
                <w:color w:val="auto"/>
                <w:sz w:val="24"/>
              </w:rPr>
              <w:t>（2）环境风险识别</w:t>
            </w:r>
          </w:p>
          <w:p>
            <w:pPr>
              <w:spacing w:line="360" w:lineRule="auto"/>
              <w:ind w:firstLine="480" w:firstLineChars="200"/>
              <w:rPr>
                <w:rFonts w:ascii="Calibri" w:hAnsi="Calibri" w:cs="Calibri"/>
                <w:color w:val="auto"/>
                <w:sz w:val="24"/>
              </w:rPr>
            </w:pPr>
            <w:r>
              <w:rPr>
                <w:rFonts w:ascii="Calibri" w:hAnsi="Calibri" w:cs="Calibri"/>
                <w:color w:val="auto"/>
                <w:sz w:val="24"/>
              </w:rPr>
              <w:t>本项目主要危险物质环境风险识别见下表：</w:t>
            </w:r>
          </w:p>
          <w:p>
            <w:pPr>
              <w:pStyle w:val="6"/>
              <w:numPr>
                <w:ilvl w:val="0"/>
                <w:numId w:val="16"/>
              </w:numPr>
              <w:adjustRightInd w:val="0"/>
              <w:snapToGrid w:val="0"/>
              <w:ind w:firstLineChars="0"/>
              <w:jc w:val="center"/>
              <w:rPr>
                <w:rFonts w:ascii="Calibri" w:hAnsi="Calibri" w:cs="Calibri"/>
                <w:b/>
                <w:bCs/>
                <w:color w:val="auto"/>
                <w:sz w:val="24"/>
              </w:rPr>
            </w:pPr>
            <w:r>
              <w:rPr>
                <w:rFonts w:ascii="Calibri" w:hAnsi="Calibri" w:cs="Calibri"/>
                <w:b/>
                <w:bCs/>
                <w:color w:val="auto"/>
                <w:sz w:val="24"/>
              </w:rPr>
              <w:t>本项目涉及的主要危险物质环境风险识别</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3309"/>
              <w:gridCol w:w="1441"/>
              <w:gridCol w:w="17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49" w:type="pct"/>
                  <w:vAlign w:val="center"/>
                </w:tcPr>
                <w:p>
                  <w:pPr>
                    <w:jc w:val="center"/>
                    <w:rPr>
                      <w:b/>
                      <w:bCs/>
                      <w:color w:val="auto"/>
                      <w:szCs w:val="21"/>
                    </w:rPr>
                  </w:pPr>
                  <w:r>
                    <w:rPr>
                      <w:b/>
                      <w:bCs/>
                      <w:color w:val="auto"/>
                      <w:szCs w:val="21"/>
                    </w:rPr>
                    <w:t>风险单元</w:t>
                  </w:r>
                </w:p>
              </w:tc>
              <w:tc>
                <w:tcPr>
                  <w:tcW w:w="2149" w:type="pct"/>
                  <w:vAlign w:val="center"/>
                </w:tcPr>
                <w:p>
                  <w:pPr>
                    <w:jc w:val="center"/>
                    <w:rPr>
                      <w:b/>
                      <w:bCs/>
                      <w:color w:val="auto"/>
                      <w:szCs w:val="21"/>
                    </w:rPr>
                  </w:pPr>
                  <w:r>
                    <w:rPr>
                      <w:b/>
                      <w:bCs/>
                      <w:color w:val="auto"/>
                      <w:szCs w:val="21"/>
                    </w:rPr>
                    <w:t>涉及风险物质</w:t>
                  </w:r>
                </w:p>
              </w:tc>
              <w:tc>
                <w:tcPr>
                  <w:tcW w:w="936" w:type="pct"/>
                  <w:vAlign w:val="center"/>
                </w:tcPr>
                <w:p>
                  <w:pPr>
                    <w:jc w:val="center"/>
                    <w:rPr>
                      <w:b/>
                      <w:bCs/>
                      <w:color w:val="auto"/>
                      <w:szCs w:val="21"/>
                    </w:rPr>
                  </w:pPr>
                  <w:r>
                    <w:rPr>
                      <w:b/>
                      <w:bCs/>
                      <w:color w:val="auto"/>
                      <w:szCs w:val="21"/>
                    </w:rPr>
                    <w:t>环境风险类型</w:t>
                  </w:r>
                </w:p>
              </w:tc>
              <w:tc>
                <w:tcPr>
                  <w:tcW w:w="1164" w:type="pct"/>
                  <w:vAlign w:val="center"/>
                </w:tcPr>
                <w:p>
                  <w:pPr>
                    <w:jc w:val="center"/>
                    <w:rPr>
                      <w:b/>
                      <w:bCs/>
                      <w:color w:val="auto"/>
                      <w:szCs w:val="21"/>
                    </w:rPr>
                  </w:pPr>
                  <w:r>
                    <w:rPr>
                      <w:b/>
                      <w:bCs/>
                      <w:color w:val="auto"/>
                      <w:szCs w:val="21"/>
                    </w:rPr>
                    <w:t>环境影响途径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49" w:type="pct"/>
                  <w:vAlign w:val="center"/>
                </w:tcPr>
                <w:p>
                  <w:pPr>
                    <w:snapToGrid w:val="0"/>
                    <w:jc w:val="center"/>
                    <w:rPr>
                      <w:color w:val="auto"/>
                      <w:szCs w:val="21"/>
                    </w:rPr>
                  </w:pPr>
                  <w:r>
                    <w:rPr>
                      <w:color w:val="auto"/>
                      <w:szCs w:val="21"/>
                    </w:rPr>
                    <w:t>原</w:t>
                  </w:r>
                  <w:r>
                    <w:rPr>
                      <w:rFonts w:hint="eastAsia"/>
                      <w:color w:val="auto"/>
                      <w:szCs w:val="21"/>
                    </w:rPr>
                    <w:t>料仓库、生产车间</w:t>
                  </w:r>
                </w:p>
              </w:tc>
              <w:tc>
                <w:tcPr>
                  <w:tcW w:w="2149" w:type="pct"/>
                  <w:vAlign w:val="center"/>
                </w:tcPr>
                <w:p>
                  <w:pPr>
                    <w:jc w:val="center"/>
                    <w:rPr>
                      <w:color w:val="auto"/>
                      <w:szCs w:val="21"/>
                    </w:rPr>
                  </w:pPr>
                  <w:r>
                    <w:rPr>
                      <w:rFonts w:hint="eastAsia"/>
                      <w:color w:val="auto"/>
                      <w:szCs w:val="21"/>
                    </w:rPr>
                    <w:t>无磷转化液</w:t>
                  </w:r>
                  <w:r>
                    <w:rPr>
                      <w:rFonts w:hint="eastAsia" w:ascii="宋体" w:hAnsi="宋体"/>
                      <w:color w:val="auto"/>
                      <w:szCs w:val="21"/>
                    </w:rPr>
                    <w:t>、</w:t>
                  </w:r>
                  <w:r>
                    <w:rPr>
                      <w:rFonts w:hint="eastAsia"/>
                      <w:color w:val="auto"/>
                      <w:szCs w:val="21"/>
                    </w:rPr>
                    <w:t>脱脂剂</w:t>
                  </w:r>
                  <w:r>
                    <w:rPr>
                      <w:rFonts w:hint="eastAsia" w:ascii="宋体" w:hAnsi="宋体"/>
                      <w:color w:val="auto"/>
                      <w:szCs w:val="21"/>
                    </w:rPr>
                    <w:t>、</w:t>
                  </w:r>
                  <w:r>
                    <w:rPr>
                      <w:rFonts w:hint="eastAsia"/>
                      <w:color w:val="auto"/>
                      <w:szCs w:val="21"/>
                    </w:rPr>
                    <w:t>脱脂助剂</w:t>
                  </w:r>
                  <w:r>
                    <w:rPr>
                      <w:rFonts w:hint="eastAsia" w:ascii="宋体" w:hAnsi="宋体"/>
                      <w:color w:val="auto"/>
                      <w:szCs w:val="21"/>
                    </w:rPr>
                    <w:t>、</w:t>
                  </w:r>
                  <w:r>
                    <w:rPr>
                      <w:rFonts w:hint="eastAsia"/>
                      <w:color w:val="auto"/>
                      <w:szCs w:val="21"/>
                    </w:rPr>
                    <w:t>硅烷转化剂</w:t>
                  </w:r>
                  <w:r>
                    <w:rPr>
                      <w:rFonts w:hint="eastAsia" w:ascii="宋体" w:hAnsi="宋体"/>
                      <w:color w:val="auto"/>
                      <w:szCs w:val="21"/>
                    </w:rPr>
                    <w:t>、</w:t>
                  </w:r>
                  <w:r>
                    <w:rPr>
                      <w:rFonts w:hint="eastAsia"/>
                      <w:color w:val="auto"/>
                      <w:szCs w:val="21"/>
                    </w:rPr>
                    <w:t>液压油</w:t>
                  </w:r>
                  <w:r>
                    <w:rPr>
                      <w:rFonts w:hint="eastAsia" w:ascii="宋体" w:hAnsi="宋体"/>
                      <w:color w:val="auto"/>
                      <w:szCs w:val="21"/>
                    </w:rPr>
                    <w:t>、</w:t>
                  </w:r>
                  <w:r>
                    <w:rPr>
                      <w:rFonts w:hint="eastAsia"/>
                      <w:color w:val="auto"/>
                      <w:szCs w:val="21"/>
                    </w:rPr>
                    <w:t>润滑油</w:t>
                  </w:r>
                  <w:r>
                    <w:rPr>
                      <w:rFonts w:hint="eastAsia" w:ascii="宋体" w:hAnsi="宋体"/>
                      <w:color w:val="auto"/>
                      <w:szCs w:val="21"/>
                    </w:rPr>
                    <w:t>、</w:t>
                  </w:r>
                  <w:r>
                    <w:rPr>
                      <w:color w:val="auto"/>
                      <w:szCs w:val="21"/>
                    </w:rPr>
                    <w:t>PAC</w:t>
                  </w:r>
                  <w:r>
                    <w:rPr>
                      <w:rFonts w:hint="eastAsia" w:ascii="宋体" w:hAnsi="宋体"/>
                      <w:color w:val="auto"/>
                      <w:szCs w:val="21"/>
                    </w:rPr>
                    <w:t>、</w:t>
                  </w:r>
                  <w:r>
                    <w:rPr>
                      <w:color w:val="auto"/>
                      <w:szCs w:val="21"/>
                    </w:rPr>
                    <w:t>PAM</w:t>
                  </w:r>
                </w:p>
              </w:tc>
              <w:tc>
                <w:tcPr>
                  <w:tcW w:w="936" w:type="pct"/>
                  <w:vAlign w:val="center"/>
                </w:tcPr>
                <w:p>
                  <w:pPr>
                    <w:jc w:val="center"/>
                    <w:rPr>
                      <w:color w:val="auto"/>
                      <w:szCs w:val="21"/>
                    </w:rPr>
                  </w:pPr>
                  <w:r>
                    <w:rPr>
                      <w:color w:val="auto"/>
                      <w:szCs w:val="21"/>
                    </w:rPr>
                    <w:t>泄漏、火灾、爆炸</w:t>
                  </w:r>
                </w:p>
              </w:tc>
              <w:tc>
                <w:tcPr>
                  <w:tcW w:w="1164" w:type="pct"/>
                  <w:vAlign w:val="center"/>
                </w:tcPr>
                <w:p>
                  <w:pPr>
                    <w:jc w:val="center"/>
                    <w:rPr>
                      <w:color w:val="auto"/>
                      <w:szCs w:val="21"/>
                    </w:rPr>
                  </w:pPr>
                  <w:r>
                    <w:rPr>
                      <w:color w:val="auto"/>
                      <w:szCs w:val="21"/>
                    </w:rPr>
                    <w:t>大气、地表水、土壤、地下水环境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49" w:type="pct"/>
                  <w:vAlign w:val="center"/>
                </w:tcPr>
                <w:p>
                  <w:pPr>
                    <w:jc w:val="center"/>
                    <w:rPr>
                      <w:color w:val="auto"/>
                      <w:szCs w:val="21"/>
                    </w:rPr>
                  </w:pPr>
                  <w:r>
                    <w:rPr>
                      <w:color w:val="auto"/>
                      <w:szCs w:val="21"/>
                    </w:rPr>
                    <w:t>危废仓库</w:t>
                  </w:r>
                </w:p>
              </w:tc>
              <w:tc>
                <w:tcPr>
                  <w:tcW w:w="2149" w:type="pct"/>
                  <w:vAlign w:val="center"/>
                </w:tcPr>
                <w:p>
                  <w:pPr>
                    <w:jc w:val="center"/>
                    <w:rPr>
                      <w:color w:val="auto"/>
                      <w:szCs w:val="21"/>
                    </w:rPr>
                  </w:pPr>
                  <w:r>
                    <w:rPr>
                      <w:rFonts w:hint="eastAsia"/>
                      <w:color w:val="auto"/>
                      <w:szCs w:val="21"/>
                    </w:rPr>
                    <w:t>脱脂废渣（液）、陶化废渣（液）、废包装桶</w:t>
                  </w:r>
                  <w:r>
                    <w:rPr>
                      <w:rFonts w:hint="eastAsia" w:ascii="宋体" w:hAnsi="宋体"/>
                      <w:color w:val="auto"/>
                      <w:szCs w:val="21"/>
                    </w:rPr>
                    <w:t>、</w:t>
                  </w:r>
                  <w:r>
                    <w:rPr>
                      <w:rFonts w:hint="eastAsia"/>
                      <w:color w:val="auto"/>
                      <w:szCs w:val="21"/>
                    </w:rPr>
                    <w:t>废活性炭</w:t>
                  </w:r>
                  <w:r>
                    <w:rPr>
                      <w:rFonts w:hint="eastAsia" w:ascii="宋体" w:hAnsi="宋体"/>
                      <w:color w:val="auto"/>
                      <w:szCs w:val="21"/>
                    </w:rPr>
                    <w:t>、</w:t>
                  </w:r>
                  <w:r>
                    <w:rPr>
                      <w:rFonts w:hint="eastAsia"/>
                      <w:color w:val="auto"/>
                      <w:szCs w:val="21"/>
                    </w:rPr>
                    <w:t>废油</w:t>
                  </w:r>
                  <w:r>
                    <w:rPr>
                      <w:rFonts w:hint="eastAsia" w:ascii="宋体" w:hAnsi="宋体"/>
                      <w:color w:val="auto"/>
                      <w:szCs w:val="21"/>
                    </w:rPr>
                    <w:t>、</w:t>
                  </w:r>
                  <w:r>
                    <w:rPr>
                      <w:rFonts w:hint="eastAsia"/>
                      <w:color w:val="auto"/>
                      <w:szCs w:val="21"/>
                    </w:rPr>
                    <w:t>含油废抹布手套</w:t>
                  </w:r>
                  <w:r>
                    <w:rPr>
                      <w:rFonts w:hint="eastAsia" w:ascii="宋体" w:hAnsi="宋体"/>
                      <w:color w:val="auto"/>
                      <w:szCs w:val="21"/>
                    </w:rPr>
                    <w:t>、</w:t>
                  </w:r>
                  <w:r>
                    <w:rPr>
                      <w:rFonts w:hint="eastAsia"/>
                      <w:color w:val="auto"/>
                      <w:szCs w:val="21"/>
                    </w:rPr>
                    <w:t>废油类包装桶</w:t>
                  </w:r>
                  <w:r>
                    <w:rPr>
                      <w:rFonts w:hint="eastAsia" w:ascii="宋体" w:hAnsi="宋体"/>
                      <w:color w:val="auto"/>
                      <w:szCs w:val="21"/>
                    </w:rPr>
                    <w:t>、</w:t>
                  </w:r>
                  <w:r>
                    <w:rPr>
                      <w:rFonts w:hint="eastAsia"/>
                      <w:color w:val="auto"/>
                      <w:szCs w:val="21"/>
                    </w:rPr>
                    <w:t>压滤污泥</w:t>
                  </w:r>
                  <w:r>
                    <w:rPr>
                      <w:rFonts w:hint="eastAsia" w:ascii="宋体" w:hAnsi="宋体"/>
                      <w:color w:val="auto"/>
                      <w:szCs w:val="21"/>
                    </w:rPr>
                    <w:t>、</w:t>
                  </w:r>
                  <w:r>
                    <w:rPr>
                      <w:rFonts w:hint="eastAsia"/>
                      <w:color w:val="auto"/>
                      <w:szCs w:val="21"/>
                    </w:rPr>
                    <w:t>浓缩蒸发液</w:t>
                  </w:r>
                  <w:r>
                    <w:rPr>
                      <w:rFonts w:hint="eastAsia" w:ascii="宋体" w:hAnsi="宋体"/>
                      <w:color w:val="auto"/>
                      <w:szCs w:val="21"/>
                    </w:rPr>
                    <w:t>、</w:t>
                  </w:r>
                  <w:r>
                    <w:rPr>
                      <w:rFonts w:hint="eastAsia"/>
                      <w:color w:val="auto"/>
                      <w:szCs w:val="21"/>
                    </w:rPr>
                    <w:t>废水过滤材料</w:t>
                  </w:r>
                </w:p>
              </w:tc>
              <w:tc>
                <w:tcPr>
                  <w:tcW w:w="936" w:type="pct"/>
                  <w:vAlign w:val="center"/>
                </w:tcPr>
                <w:p>
                  <w:pPr>
                    <w:jc w:val="center"/>
                    <w:rPr>
                      <w:color w:val="auto"/>
                      <w:szCs w:val="21"/>
                    </w:rPr>
                  </w:pPr>
                  <w:r>
                    <w:rPr>
                      <w:color w:val="auto"/>
                      <w:szCs w:val="21"/>
                    </w:rPr>
                    <w:t>泄漏、火灾</w:t>
                  </w:r>
                </w:p>
              </w:tc>
              <w:tc>
                <w:tcPr>
                  <w:tcW w:w="1164" w:type="pct"/>
                  <w:vAlign w:val="center"/>
                </w:tcPr>
                <w:p>
                  <w:pPr>
                    <w:jc w:val="center"/>
                    <w:rPr>
                      <w:color w:val="auto"/>
                      <w:szCs w:val="21"/>
                    </w:rPr>
                  </w:pPr>
                  <w:r>
                    <w:rPr>
                      <w:color w:val="auto"/>
                      <w:szCs w:val="21"/>
                    </w:rPr>
                    <w:t>大气、地表水、土壤、地下水环境</w:t>
                  </w:r>
                </w:p>
              </w:tc>
            </w:tr>
          </w:tbl>
          <w:p>
            <w:pPr>
              <w:pStyle w:val="50"/>
              <w:numPr>
                <w:ilvl w:val="0"/>
                <w:numId w:val="23"/>
              </w:numPr>
              <w:ind w:firstLine="482"/>
              <w:rPr>
                <w:rFonts w:ascii="Times New Roman" w:hAnsi="Times New Roman" w:eastAsia="宋体" w:cs="Times New Roman"/>
                <w:b/>
                <w:bCs w:val="0"/>
                <w:color w:val="auto"/>
              </w:rPr>
            </w:pPr>
            <w:r>
              <w:rPr>
                <w:rFonts w:ascii="Times New Roman" w:hAnsi="Times New Roman" w:eastAsia="宋体" w:cs="Times New Roman"/>
                <w:b/>
                <w:bCs w:val="0"/>
                <w:color w:val="auto"/>
              </w:rPr>
              <w:t>环境风险分析</w:t>
            </w:r>
          </w:p>
          <w:p>
            <w:pPr>
              <w:pStyle w:val="50"/>
              <w:rPr>
                <w:rFonts w:cs="Times New Roman" w:asciiTheme="minorEastAsia" w:hAnsiTheme="minorEastAsia" w:eastAsiaTheme="minorEastAsia"/>
                <w:color w:val="auto"/>
              </w:rPr>
            </w:pPr>
            <w:r>
              <w:rPr>
                <w:rFonts w:cs="Times New Roman" w:asciiTheme="minorEastAsia" w:hAnsiTheme="minorEastAsia" w:eastAsiaTheme="minorEastAsia"/>
                <w:color w:val="auto"/>
              </w:rPr>
              <w:t>经识别，本项目涉及的主要风险物质为</w:t>
            </w:r>
            <w:r>
              <w:rPr>
                <w:rFonts w:hint="eastAsia" w:asciiTheme="minorEastAsia" w:hAnsiTheme="minorEastAsia" w:eastAsiaTheme="minorEastAsia"/>
                <w:color w:val="auto"/>
              </w:rPr>
              <w:t>无磷转化液、脱脂剂、脱脂助剂、硅烷转化剂、液压油、润滑油、</w:t>
            </w:r>
            <w:r>
              <w:rPr>
                <w:rFonts w:asciiTheme="minorEastAsia" w:hAnsiTheme="minorEastAsia" w:eastAsiaTheme="minorEastAsia"/>
                <w:color w:val="auto"/>
              </w:rPr>
              <w:t>PAC</w:t>
            </w:r>
            <w:r>
              <w:rPr>
                <w:rFonts w:hint="eastAsia" w:asciiTheme="minorEastAsia" w:hAnsiTheme="minorEastAsia" w:eastAsiaTheme="minorEastAsia"/>
                <w:color w:val="auto"/>
              </w:rPr>
              <w:t>、</w:t>
            </w:r>
            <w:r>
              <w:rPr>
                <w:rFonts w:asciiTheme="minorEastAsia" w:hAnsiTheme="minorEastAsia" w:eastAsiaTheme="minorEastAsia"/>
                <w:color w:val="auto"/>
              </w:rPr>
              <w:t>PAM</w:t>
            </w:r>
            <w:r>
              <w:rPr>
                <w:rFonts w:hint="eastAsia" w:asciiTheme="minorEastAsia" w:hAnsiTheme="minorEastAsia" w:eastAsiaTheme="minorEastAsia"/>
                <w:color w:val="auto"/>
              </w:rPr>
              <w:t>、脱脂废渣（液）、陶化废渣（液）、废包装桶、废活性炭、废油、含油废抹布手套、废油类包装桶、压滤污泥、浓缩蒸发液、废水过滤材料</w:t>
            </w:r>
            <w:r>
              <w:rPr>
                <w:rFonts w:cs="Times New Roman" w:asciiTheme="minorEastAsia" w:hAnsiTheme="minorEastAsia" w:eastAsiaTheme="minorEastAsia"/>
                <w:color w:val="auto"/>
              </w:rPr>
              <w:t>。</w:t>
            </w:r>
          </w:p>
          <w:p>
            <w:pPr>
              <w:pStyle w:val="50"/>
              <w:rPr>
                <w:rFonts w:cs="Times New Roman" w:asciiTheme="minorEastAsia" w:hAnsiTheme="minorEastAsia" w:eastAsiaTheme="minorEastAsia"/>
                <w:color w:val="auto"/>
              </w:rPr>
            </w:pPr>
            <w:r>
              <w:rPr>
                <w:rFonts w:hint="eastAsia" w:asciiTheme="minorEastAsia" w:hAnsiTheme="minorEastAsia" w:eastAsiaTheme="minorEastAsia"/>
                <w:color w:val="auto"/>
              </w:rPr>
              <w:t>无磷转化液、脱脂剂、脱脂助剂、硅烷转化剂、液压油、润滑油、</w:t>
            </w:r>
            <w:r>
              <w:rPr>
                <w:rFonts w:asciiTheme="minorEastAsia" w:hAnsiTheme="minorEastAsia" w:eastAsiaTheme="minorEastAsia"/>
                <w:color w:val="auto"/>
              </w:rPr>
              <w:t>PAC</w:t>
            </w:r>
            <w:r>
              <w:rPr>
                <w:rFonts w:hint="eastAsia" w:asciiTheme="minorEastAsia" w:hAnsiTheme="minorEastAsia" w:eastAsiaTheme="minorEastAsia"/>
                <w:color w:val="auto"/>
              </w:rPr>
              <w:t>、</w:t>
            </w:r>
            <w:r>
              <w:rPr>
                <w:rFonts w:asciiTheme="minorEastAsia" w:hAnsiTheme="minorEastAsia" w:eastAsiaTheme="minorEastAsia"/>
                <w:color w:val="auto"/>
              </w:rPr>
              <w:t>PAM</w:t>
            </w:r>
            <w:r>
              <w:rPr>
                <w:rFonts w:hint="eastAsia" w:asciiTheme="minorEastAsia" w:hAnsiTheme="minorEastAsia" w:eastAsiaTheme="minorEastAsia"/>
                <w:color w:val="auto"/>
              </w:rPr>
              <w:t>、脱脂废渣（液）、陶化废渣（液）、废油、压滤污泥、浓缩蒸发液</w:t>
            </w:r>
            <w:r>
              <w:rPr>
                <w:rFonts w:cs="Times New Roman" w:asciiTheme="minorEastAsia" w:hAnsiTheme="minorEastAsia" w:eastAsiaTheme="minorEastAsia"/>
                <w:color w:val="auto"/>
              </w:rPr>
              <w:t>等均为液体，如发生泄漏污染水环境，同时泄漏挥发会产生有机废气进入大气环境中，如遇明火、火花则可能发生火灾事故，燃烧产物主要为一氧化碳、二氧化碳、氮氧化物及有机废气，同时还有消防废水产生，泄漏废液、消防废水等如拦截不当则可能会进入周围水环境中；</w:t>
            </w:r>
          </w:p>
          <w:p>
            <w:pPr>
              <w:pStyle w:val="50"/>
              <w:numPr>
                <w:ilvl w:val="0"/>
                <w:numId w:val="23"/>
              </w:numPr>
              <w:ind w:firstLine="482"/>
              <w:rPr>
                <w:rFonts w:cs="Times New Roman" w:asciiTheme="minorEastAsia" w:hAnsiTheme="minorEastAsia" w:eastAsiaTheme="minorEastAsia"/>
                <w:b/>
                <w:bCs w:val="0"/>
                <w:color w:val="auto"/>
              </w:rPr>
            </w:pPr>
            <w:r>
              <w:rPr>
                <w:rFonts w:cs="Times New Roman" w:asciiTheme="minorEastAsia" w:hAnsiTheme="minorEastAsia" w:eastAsiaTheme="minorEastAsia"/>
                <w:b/>
                <w:bCs w:val="0"/>
                <w:color w:val="auto"/>
              </w:rPr>
              <w:t>环境风险防范急应急措施</w:t>
            </w:r>
          </w:p>
          <w:p>
            <w:pPr>
              <w:pStyle w:val="50"/>
              <w:rPr>
                <w:rFonts w:cs="Times New Roman" w:asciiTheme="minorEastAsia" w:hAnsiTheme="minorEastAsia" w:eastAsiaTheme="minorEastAsia"/>
                <w:color w:val="auto"/>
              </w:rPr>
            </w:pPr>
            <w:r>
              <w:rPr>
                <w:rFonts w:cs="Times New Roman" w:asciiTheme="minorEastAsia" w:hAnsiTheme="minorEastAsia" w:eastAsiaTheme="minorEastAsia"/>
                <w:color w:val="auto"/>
              </w:rPr>
              <w:t>为减少</w:t>
            </w:r>
            <w:r>
              <w:rPr>
                <w:rFonts w:hint="eastAsia" w:cs="Times New Roman" w:asciiTheme="minorEastAsia" w:hAnsiTheme="minorEastAsia" w:eastAsiaTheme="minorEastAsia"/>
                <w:color w:val="auto"/>
              </w:rPr>
              <w:t>风险物质</w:t>
            </w:r>
            <w:r>
              <w:rPr>
                <w:rFonts w:cs="Times New Roman" w:asciiTheme="minorEastAsia" w:hAnsiTheme="minorEastAsia" w:eastAsiaTheme="minorEastAsia"/>
                <w:color w:val="auto"/>
              </w:rPr>
              <w:t>可能造成的环境风险，宜采取以下风险防范及应急措施：</w:t>
            </w:r>
          </w:p>
          <w:p>
            <w:pPr>
              <w:pStyle w:val="50"/>
              <w:rPr>
                <w:rFonts w:cs="Times New Roman" w:asciiTheme="minorEastAsia" w:hAnsiTheme="minorEastAsia" w:eastAsiaTheme="minorEastAsia"/>
                <w:color w:val="auto"/>
              </w:rPr>
            </w:pPr>
            <w:r>
              <w:rPr>
                <w:rFonts w:cs="Times New Roman" w:asciiTheme="minorEastAsia" w:hAnsiTheme="minorEastAsia" w:eastAsiaTheme="minorEastAsia"/>
                <w:color w:val="auto"/>
              </w:rPr>
              <w:t>①从生产管理、危险化学品贮存、工艺技术设计、自动控制设计、电气及电讯、消防及火灾报警系统等方面制定相应的环境风险防范措施。</w:t>
            </w:r>
          </w:p>
          <w:p>
            <w:pPr>
              <w:spacing w:line="360" w:lineRule="auto"/>
              <w:ind w:firstLine="480" w:firstLineChars="200"/>
              <w:rPr>
                <w:rFonts w:cs="Calibri" w:asciiTheme="minorEastAsia" w:hAnsiTheme="minorEastAsia" w:eastAsiaTheme="minorEastAsia"/>
                <w:color w:val="auto"/>
                <w:sz w:val="24"/>
              </w:rPr>
            </w:pPr>
            <w:r>
              <w:rPr>
                <w:rFonts w:cs="Calibri" w:asciiTheme="minorEastAsia" w:hAnsiTheme="minorEastAsia" w:eastAsiaTheme="minorEastAsia"/>
                <w:color w:val="auto"/>
                <w:sz w:val="24"/>
              </w:rPr>
              <w:t>②提高设备自动控制水平，设置集中控制室、工人操作值班室等，对关键设备的操作条件进行自动控制及安全报警，及时预报和切断泄漏源，在紧急情况下可自动停车，以减少和降低危险出现概率。</w:t>
            </w:r>
          </w:p>
          <w:p>
            <w:pPr>
              <w:spacing w:line="360" w:lineRule="auto"/>
              <w:ind w:firstLine="480" w:firstLineChars="200"/>
              <w:rPr>
                <w:rFonts w:cs="Calibri" w:asciiTheme="minorEastAsia" w:hAnsiTheme="minorEastAsia" w:eastAsiaTheme="minorEastAsia"/>
                <w:color w:val="auto"/>
                <w:sz w:val="24"/>
              </w:rPr>
            </w:pPr>
            <w:r>
              <w:rPr>
                <w:rFonts w:cs="Calibri" w:asciiTheme="minorEastAsia" w:hAnsiTheme="minorEastAsia" w:eastAsiaTheme="minorEastAsia"/>
                <w:color w:val="auto"/>
                <w:sz w:val="24"/>
              </w:rPr>
              <w:t>③本项目</w:t>
            </w:r>
            <w:r>
              <w:rPr>
                <w:rFonts w:hint="eastAsia" w:cs="Calibri" w:asciiTheme="minorEastAsia" w:hAnsiTheme="minorEastAsia" w:eastAsiaTheme="minorEastAsia"/>
                <w:color w:val="auto"/>
                <w:sz w:val="24"/>
              </w:rPr>
              <w:t>无磷转化液、脱脂剂、脱脂助剂、硅烷转化剂、液压油、润滑油、</w:t>
            </w:r>
            <w:r>
              <w:rPr>
                <w:rFonts w:cs="Calibri" w:asciiTheme="minorEastAsia" w:hAnsiTheme="minorEastAsia" w:eastAsiaTheme="minorEastAsia"/>
                <w:color w:val="auto"/>
                <w:sz w:val="24"/>
              </w:rPr>
              <w:t>PAC</w:t>
            </w:r>
            <w:r>
              <w:rPr>
                <w:rFonts w:hint="eastAsia" w:cs="Calibri" w:asciiTheme="minorEastAsia" w:hAnsiTheme="minorEastAsia" w:eastAsiaTheme="minorEastAsia"/>
                <w:color w:val="auto"/>
                <w:sz w:val="24"/>
              </w:rPr>
              <w:t>、</w:t>
            </w:r>
            <w:r>
              <w:rPr>
                <w:rFonts w:cs="Calibri" w:asciiTheme="minorEastAsia" w:hAnsiTheme="minorEastAsia" w:eastAsiaTheme="minorEastAsia"/>
                <w:color w:val="auto"/>
                <w:sz w:val="24"/>
              </w:rPr>
              <w:t>PAM等原料均使用桶装，定期检查桶的密封性，谨防泄露，加强风险源监控。</w:t>
            </w:r>
          </w:p>
          <w:p>
            <w:pPr>
              <w:autoSpaceDE w:val="0"/>
              <w:autoSpaceDN w:val="0"/>
              <w:spacing w:line="360" w:lineRule="auto"/>
              <w:ind w:firstLine="480" w:firstLineChars="200"/>
              <w:rPr>
                <w:rFonts w:cs="Calibri" w:asciiTheme="minorEastAsia" w:hAnsiTheme="minorEastAsia" w:eastAsiaTheme="minorEastAsia"/>
                <w:color w:val="auto"/>
                <w:sz w:val="24"/>
              </w:rPr>
            </w:pPr>
            <w:r>
              <w:rPr>
                <w:rFonts w:cs="Calibri" w:asciiTheme="minorEastAsia" w:hAnsiTheme="minorEastAsia" w:eastAsiaTheme="minorEastAsia"/>
                <w:color w:val="auto"/>
                <w:sz w:val="24"/>
              </w:rPr>
              <w:t>④加强废气处理设施监管，定期进行环境安全隐患排查。若废气处理设施发生故障后，需立即停车停止生产，杜绝废气事故排放。</w:t>
            </w:r>
          </w:p>
          <w:p>
            <w:pPr>
              <w:spacing w:line="360" w:lineRule="auto"/>
              <w:ind w:firstLine="480" w:firstLineChars="200"/>
              <w:rPr>
                <w:rFonts w:cs="Calibri" w:asciiTheme="minorEastAsia" w:hAnsiTheme="minorEastAsia" w:eastAsiaTheme="minorEastAsia"/>
                <w:color w:val="auto"/>
                <w:sz w:val="24"/>
              </w:rPr>
            </w:pPr>
            <w:r>
              <w:rPr>
                <w:rFonts w:cs="Calibri" w:asciiTheme="minorEastAsia" w:hAnsiTheme="minorEastAsia" w:eastAsiaTheme="minorEastAsia"/>
                <w:color w:val="auto"/>
                <w:sz w:val="24"/>
                <w:lang w:val="zh-CN"/>
              </w:rPr>
              <w:t>⑤设置办公室专职安全员，并注重引鉴同类生产工艺中操作经验，形成了有效的管理制度。</w:t>
            </w:r>
            <w:r>
              <w:rPr>
                <w:rFonts w:cs="Calibri" w:asciiTheme="minorEastAsia" w:hAnsiTheme="minorEastAsia" w:eastAsiaTheme="minorEastAsia"/>
                <w:color w:val="auto"/>
                <w:sz w:val="24"/>
              </w:rPr>
              <w:t>加强管理，提高操作人员业务素质。</w:t>
            </w:r>
          </w:p>
          <w:p>
            <w:pPr>
              <w:spacing w:line="360" w:lineRule="auto"/>
              <w:ind w:firstLine="480" w:firstLineChars="200"/>
              <w:rPr>
                <w:rFonts w:cs="Calibri" w:asciiTheme="minorEastAsia" w:hAnsiTheme="minorEastAsia" w:eastAsiaTheme="minorEastAsia"/>
                <w:color w:val="auto"/>
                <w:sz w:val="24"/>
              </w:rPr>
            </w:pPr>
            <w:r>
              <w:rPr>
                <w:rFonts w:cs="Calibri" w:asciiTheme="minorEastAsia" w:hAnsiTheme="minorEastAsia" w:eastAsiaTheme="minorEastAsia"/>
                <w:color w:val="auto"/>
                <w:sz w:val="24"/>
              </w:rPr>
              <w:t>⑥危险废物暂存区域应严格按照《危险废物贮存污染控制标准》（GB18597-2001）及其修改单中的相关规定，地面进行耐腐蚀硬化处理，地基须防渗，地面表面无裂缝；不相容的危险废物需分类存放，并设置隔离间隔断；满足防风、防雨、防晒、防渗漏，具备警示标识等方面内容。</w:t>
            </w:r>
          </w:p>
          <w:p>
            <w:pPr>
              <w:pStyle w:val="16"/>
              <w:spacing w:after="0" w:line="360" w:lineRule="auto"/>
              <w:ind w:left="0" w:leftChars="0" w:firstLine="480"/>
              <w:rPr>
                <w:rFonts w:ascii="Calibri" w:hAnsi="Calibri" w:cs="Calibri"/>
                <w:color w:val="auto"/>
                <w:kern w:val="2"/>
                <w:sz w:val="24"/>
                <w:szCs w:val="24"/>
              </w:rPr>
            </w:pPr>
            <w:r>
              <w:rPr>
                <w:rFonts w:ascii="Calibri" w:hAnsi="Calibri" w:cs="Calibri"/>
                <w:color w:val="auto"/>
                <w:kern w:val="2"/>
                <w:sz w:val="24"/>
                <w:szCs w:val="24"/>
              </w:rPr>
              <w:t>⑦在雨水排口设置雨水切断阀，并对事故废水进行收集，避免事故废水对周围环境产生影响。</w:t>
            </w:r>
          </w:p>
          <w:p>
            <w:pPr>
              <w:pStyle w:val="17"/>
              <w:snapToGrid/>
              <w:spacing w:before="0" w:after="0" w:line="360" w:lineRule="auto"/>
              <w:ind w:firstLine="480" w:firstLineChars="200"/>
              <w:rPr>
                <w:rFonts w:ascii="Calibri" w:hAnsi="Calibri" w:cs="Calibri"/>
                <w:color w:val="auto"/>
                <w:sz w:val="24"/>
                <w:szCs w:val="24"/>
              </w:rPr>
            </w:pPr>
            <w:r>
              <w:rPr>
                <w:rFonts w:ascii="Calibri" w:hAnsi="Calibri" w:cs="Calibri"/>
                <w:color w:val="auto"/>
                <w:kern w:val="2"/>
                <w:sz w:val="24"/>
                <w:szCs w:val="24"/>
              </w:rPr>
              <w:t>⑧建议根据要求编制突发环境应急预案并备案，并按照要求进行定期演练。</w:t>
            </w:r>
          </w:p>
          <w:p>
            <w:pPr>
              <w:spacing w:line="360" w:lineRule="auto"/>
              <w:ind w:firstLine="482" w:firstLineChars="200"/>
              <w:rPr>
                <w:rFonts w:ascii="Calibri" w:hAnsi="Calibri" w:cs="Calibri"/>
                <w:b/>
                <w:bCs/>
                <w:color w:val="auto"/>
                <w:sz w:val="24"/>
              </w:rPr>
            </w:pPr>
            <w:r>
              <w:rPr>
                <w:rFonts w:ascii="Calibri" w:hAnsi="Calibri" w:cs="Calibri"/>
                <w:b/>
                <w:bCs/>
                <w:color w:val="auto"/>
                <w:sz w:val="24"/>
              </w:rPr>
              <w:t>（5）风险结论</w:t>
            </w:r>
          </w:p>
          <w:p>
            <w:pPr>
              <w:pStyle w:val="51"/>
              <w:ind w:firstLine="480"/>
              <w:rPr>
                <w:rFonts w:ascii="Calibri" w:hAnsi="Calibri" w:cs="Calibri"/>
                <w:color w:val="auto"/>
              </w:rPr>
            </w:pPr>
            <w:r>
              <w:rPr>
                <w:rFonts w:ascii="Calibri" w:hAnsi="Calibri" w:cs="Calibri"/>
                <w:color w:val="auto"/>
              </w:rPr>
              <w:t>在各环境风险防范措施落实到位的情况下，可降低本项目的环境风险，最大程度减少对环境可能造成的危害，项目对环境的风险影响可接受。</w:t>
            </w:r>
          </w:p>
          <w:p>
            <w:pPr>
              <w:pStyle w:val="51"/>
              <w:ind w:firstLine="480"/>
              <w:rPr>
                <w:rFonts w:ascii="Calibri" w:hAnsi="Calibri" w:cs="Calibri"/>
                <w:color w:val="auto"/>
              </w:rPr>
            </w:pPr>
            <w:r>
              <w:rPr>
                <w:rFonts w:ascii="Calibri" w:hAnsi="Calibri" w:cs="Calibri"/>
                <w:color w:val="auto"/>
              </w:rPr>
              <w:t>本项目环境风险简单分析内容见下表。</w:t>
            </w:r>
          </w:p>
          <w:p>
            <w:pPr>
              <w:pStyle w:val="6"/>
              <w:numPr>
                <w:ilvl w:val="0"/>
                <w:numId w:val="16"/>
              </w:numPr>
              <w:adjustRightInd w:val="0"/>
              <w:snapToGrid w:val="0"/>
              <w:ind w:firstLineChars="0"/>
              <w:jc w:val="center"/>
              <w:rPr>
                <w:rFonts w:ascii="Calibri" w:hAnsi="Calibri" w:cs="Calibri"/>
                <w:b/>
                <w:bCs/>
                <w:color w:val="auto"/>
                <w:sz w:val="24"/>
              </w:rPr>
            </w:pPr>
            <w:r>
              <w:rPr>
                <w:rFonts w:ascii="Calibri" w:hAnsi="Calibri" w:cs="Calibri"/>
                <w:b/>
                <w:bCs/>
                <w:color w:val="auto"/>
                <w:sz w:val="24"/>
              </w:rPr>
              <w:t>建设项目环境风险简单分析内容表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85" w:type="dxa"/>
                <w:bottom w:w="0" w:type="dxa"/>
                <w:right w:w="85" w:type="dxa"/>
              </w:tblCellMar>
            </w:tblPr>
            <w:tblGrid>
              <w:gridCol w:w="1514"/>
              <w:gridCol w:w="618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983" w:type="pct"/>
                  <w:tcBorders>
                    <w:top w:val="single" w:color="auto" w:sz="12" w:space="0"/>
                    <w:left w:val="nil"/>
                    <w:bottom w:val="single" w:color="auto" w:sz="2" w:space="0"/>
                    <w:right w:val="single" w:color="auto" w:sz="2" w:space="0"/>
                  </w:tcBorders>
                  <w:vAlign w:val="center"/>
                </w:tcPr>
                <w:p>
                  <w:pPr>
                    <w:pStyle w:val="53"/>
                    <w:adjustRightInd/>
                    <w:snapToGrid/>
                    <w:rPr>
                      <w:color w:val="auto"/>
                      <w:sz w:val="21"/>
                      <w:szCs w:val="21"/>
                    </w:rPr>
                  </w:pPr>
                  <w:r>
                    <w:rPr>
                      <w:color w:val="auto"/>
                      <w:sz w:val="21"/>
                      <w:szCs w:val="21"/>
                    </w:rPr>
                    <w:t>建设项目名称</w:t>
                  </w:r>
                </w:p>
              </w:tc>
              <w:tc>
                <w:tcPr>
                  <w:tcW w:w="4016" w:type="pct"/>
                  <w:tcBorders>
                    <w:top w:val="single" w:color="auto" w:sz="12" w:space="0"/>
                    <w:left w:val="single" w:color="auto" w:sz="2" w:space="0"/>
                    <w:bottom w:val="single" w:color="auto" w:sz="2" w:space="0"/>
                    <w:right w:val="nil"/>
                  </w:tcBorders>
                  <w:vAlign w:val="center"/>
                </w:tcPr>
                <w:p>
                  <w:pPr>
                    <w:pStyle w:val="53"/>
                    <w:adjustRightInd/>
                    <w:snapToGrid/>
                    <w:rPr>
                      <w:color w:val="auto"/>
                      <w:sz w:val="21"/>
                      <w:szCs w:val="21"/>
                    </w:rPr>
                  </w:pPr>
                  <w:r>
                    <w:rPr>
                      <w:rFonts w:hint="eastAsia"/>
                      <w:color w:val="auto"/>
                      <w:sz w:val="21"/>
                      <w:szCs w:val="21"/>
                    </w:rPr>
                    <w:t>无锡丰科金属制品</w:t>
                  </w:r>
                  <w:r>
                    <w:rPr>
                      <w:color w:val="auto"/>
                      <w:sz w:val="21"/>
                      <w:szCs w:val="21"/>
                    </w:rPr>
                    <w:t>有限公司</w:t>
                  </w:r>
                  <w:r>
                    <w:rPr>
                      <w:rFonts w:hint="eastAsia"/>
                      <w:color w:val="auto"/>
                      <w:sz w:val="21"/>
                      <w:szCs w:val="21"/>
                    </w:rPr>
                    <w:t>年产洗衣机冲压件200万件、热水器冲压件300万件、模具40副建设项目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983" w:type="pct"/>
                  <w:tcBorders>
                    <w:top w:val="single" w:color="auto" w:sz="2" w:space="0"/>
                    <w:left w:val="nil"/>
                    <w:bottom w:val="single" w:color="auto" w:sz="2" w:space="0"/>
                    <w:right w:val="single" w:color="auto" w:sz="2" w:space="0"/>
                  </w:tcBorders>
                  <w:vAlign w:val="center"/>
                </w:tcPr>
                <w:p>
                  <w:pPr>
                    <w:pStyle w:val="53"/>
                    <w:adjustRightInd/>
                    <w:snapToGrid/>
                    <w:rPr>
                      <w:color w:val="auto"/>
                      <w:sz w:val="21"/>
                      <w:szCs w:val="21"/>
                    </w:rPr>
                  </w:pPr>
                  <w:r>
                    <w:rPr>
                      <w:color w:val="auto"/>
                      <w:sz w:val="21"/>
                      <w:szCs w:val="21"/>
                    </w:rPr>
                    <w:t>建设地点</w:t>
                  </w:r>
                </w:p>
              </w:tc>
              <w:tc>
                <w:tcPr>
                  <w:tcW w:w="4016" w:type="pct"/>
                  <w:tcBorders>
                    <w:top w:val="single" w:color="auto" w:sz="2" w:space="0"/>
                    <w:left w:val="single" w:color="auto" w:sz="2" w:space="0"/>
                    <w:bottom w:val="single" w:color="auto" w:sz="2" w:space="0"/>
                    <w:right w:val="nil"/>
                  </w:tcBorders>
                  <w:vAlign w:val="center"/>
                </w:tcPr>
                <w:p>
                  <w:pPr>
                    <w:pStyle w:val="53"/>
                    <w:adjustRightInd/>
                    <w:snapToGrid/>
                    <w:rPr>
                      <w:color w:val="auto"/>
                      <w:sz w:val="21"/>
                      <w:szCs w:val="21"/>
                    </w:rPr>
                  </w:pPr>
                  <w:r>
                    <w:rPr>
                      <w:color w:val="auto"/>
                      <w:sz w:val="21"/>
                      <w:szCs w:val="21"/>
                    </w:rPr>
                    <w:t>无锡市新吴区</w:t>
                  </w:r>
                  <w:r>
                    <w:rPr>
                      <w:rFonts w:hint="eastAsia"/>
                      <w:color w:val="auto"/>
                      <w:sz w:val="21"/>
                      <w:szCs w:val="21"/>
                    </w:rPr>
                    <w:t>新风路</w:t>
                  </w:r>
                  <w:r>
                    <w:rPr>
                      <w:color w:val="auto"/>
                      <w:sz w:val="21"/>
                      <w:szCs w:val="21"/>
                    </w:rPr>
                    <w:t>6</w:t>
                  </w:r>
                  <w:r>
                    <w:rPr>
                      <w:rFonts w:hint="eastAsia"/>
                      <w:color w:val="auto"/>
                      <w:sz w:val="21"/>
                      <w:szCs w:val="21"/>
                    </w:rPr>
                    <w:t>9</w:t>
                  </w:r>
                  <w:r>
                    <w:rPr>
                      <w:color w:val="auto"/>
                      <w:sz w:val="21"/>
                      <w:szCs w:val="21"/>
                    </w:rPr>
                    <w:t>号</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983" w:type="pct"/>
                  <w:tcBorders>
                    <w:top w:val="single" w:color="auto" w:sz="2" w:space="0"/>
                    <w:left w:val="nil"/>
                    <w:bottom w:val="single" w:color="auto" w:sz="2" w:space="0"/>
                    <w:right w:val="single" w:color="auto" w:sz="2" w:space="0"/>
                  </w:tcBorders>
                  <w:vAlign w:val="center"/>
                </w:tcPr>
                <w:p>
                  <w:pPr>
                    <w:pStyle w:val="53"/>
                    <w:adjustRightInd/>
                    <w:snapToGrid/>
                    <w:rPr>
                      <w:color w:val="auto"/>
                      <w:sz w:val="21"/>
                      <w:szCs w:val="21"/>
                    </w:rPr>
                  </w:pPr>
                  <w:r>
                    <w:rPr>
                      <w:color w:val="auto"/>
                      <w:sz w:val="21"/>
                      <w:szCs w:val="21"/>
                    </w:rPr>
                    <w:t>地理坐标</w:t>
                  </w:r>
                </w:p>
              </w:tc>
              <w:tc>
                <w:tcPr>
                  <w:tcW w:w="4016" w:type="pct"/>
                  <w:tcBorders>
                    <w:top w:val="single" w:color="auto" w:sz="2" w:space="0"/>
                    <w:left w:val="single" w:color="auto" w:sz="2" w:space="0"/>
                    <w:bottom w:val="single" w:color="auto" w:sz="2" w:space="0"/>
                    <w:right w:val="nil"/>
                  </w:tcBorders>
                  <w:vAlign w:val="center"/>
                </w:tcPr>
                <w:p>
                  <w:pPr>
                    <w:pStyle w:val="53"/>
                    <w:adjustRightInd/>
                    <w:snapToGrid/>
                    <w:ind w:firstLine="436" w:firstLineChars="200"/>
                    <w:rPr>
                      <w:color w:val="auto"/>
                      <w:sz w:val="21"/>
                      <w:szCs w:val="21"/>
                      <w:highlight w:val="yellow"/>
                    </w:rPr>
                  </w:pPr>
                  <w:r>
                    <w:rPr>
                      <w:rFonts w:hint="eastAsia"/>
                      <w:color w:val="auto"/>
                      <w:sz w:val="21"/>
                      <w:szCs w:val="21"/>
                    </w:rPr>
                    <w:t>120 度 24 分43.6 秒， 31 度 34 分 29.3 秒</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90" w:hRule="atLeast"/>
                <w:jc w:val="center"/>
              </w:trPr>
              <w:tc>
                <w:tcPr>
                  <w:tcW w:w="983" w:type="pct"/>
                  <w:tcBorders>
                    <w:top w:val="single" w:color="auto" w:sz="2" w:space="0"/>
                    <w:left w:val="nil"/>
                    <w:bottom w:val="single" w:color="auto" w:sz="2" w:space="0"/>
                    <w:right w:val="single" w:color="auto" w:sz="2" w:space="0"/>
                  </w:tcBorders>
                  <w:vAlign w:val="center"/>
                </w:tcPr>
                <w:p>
                  <w:pPr>
                    <w:pStyle w:val="53"/>
                    <w:adjustRightInd/>
                    <w:snapToGrid/>
                    <w:rPr>
                      <w:color w:val="auto"/>
                      <w:sz w:val="21"/>
                      <w:szCs w:val="21"/>
                    </w:rPr>
                  </w:pPr>
                  <w:r>
                    <w:rPr>
                      <w:color w:val="auto"/>
                      <w:sz w:val="21"/>
                      <w:szCs w:val="21"/>
                    </w:rPr>
                    <w:t>主要危险物质及分布</w:t>
                  </w:r>
                </w:p>
              </w:tc>
              <w:tc>
                <w:tcPr>
                  <w:tcW w:w="4016" w:type="pct"/>
                  <w:tcBorders>
                    <w:top w:val="single" w:color="auto" w:sz="2" w:space="0"/>
                    <w:left w:val="single" w:color="auto" w:sz="2" w:space="0"/>
                    <w:bottom w:val="single" w:color="auto" w:sz="2" w:space="0"/>
                    <w:right w:val="nil"/>
                  </w:tcBorders>
                  <w:vAlign w:val="center"/>
                </w:tcPr>
                <w:p>
                  <w:pPr>
                    <w:pStyle w:val="53"/>
                    <w:adjustRightInd/>
                    <w:snapToGrid/>
                    <w:ind w:firstLine="436" w:firstLineChars="200"/>
                    <w:jc w:val="left"/>
                    <w:rPr>
                      <w:color w:val="auto"/>
                      <w:sz w:val="21"/>
                      <w:szCs w:val="21"/>
                    </w:rPr>
                  </w:pPr>
                  <w:r>
                    <w:rPr>
                      <w:color w:val="auto"/>
                      <w:sz w:val="21"/>
                      <w:szCs w:val="21"/>
                      <w:lang w:bidi="ar"/>
                    </w:rPr>
                    <w:t>本项目使用的无磷转化液、脱脂剂、脱脂助剂、硅烷转化剂、液压油、润滑油、PAC、PAM储存在原料仓库，</w:t>
                  </w:r>
                  <w:r>
                    <w:rPr>
                      <w:rFonts w:hint="eastAsia"/>
                      <w:color w:val="auto"/>
                      <w:sz w:val="21"/>
                      <w:szCs w:val="21"/>
                    </w:rPr>
                    <w:t>脱脂废渣（液）、陶化废渣（液）</w:t>
                  </w:r>
                  <w:r>
                    <w:rPr>
                      <w:color w:val="auto"/>
                      <w:sz w:val="21"/>
                      <w:szCs w:val="21"/>
                    </w:rPr>
                    <w:t>、废包装桶、废活性炭、废油、含油废抹布手套、废油类包装桶、压滤污泥、浓缩蒸发液、</w:t>
                  </w:r>
                  <w:r>
                    <w:rPr>
                      <w:rFonts w:hint="eastAsia"/>
                      <w:color w:val="auto"/>
                      <w:sz w:val="21"/>
                      <w:szCs w:val="21"/>
                    </w:rPr>
                    <w:t>废水过滤材料</w:t>
                  </w:r>
                  <w:r>
                    <w:rPr>
                      <w:color w:val="auto"/>
                      <w:sz w:val="21"/>
                      <w:szCs w:val="21"/>
                      <w:lang w:bidi="ar"/>
                    </w:rPr>
                    <w:t>等危废主要储存在危废仓库。</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340" w:hRule="atLeast"/>
                <w:jc w:val="center"/>
              </w:trPr>
              <w:tc>
                <w:tcPr>
                  <w:tcW w:w="983" w:type="pct"/>
                  <w:tcBorders>
                    <w:top w:val="single" w:color="auto" w:sz="2" w:space="0"/>
                    <w:left w:val="nil"/>
                    <w:bottom w:val="single" w:color="auto" w:sz="2" w:space="0"/>
                    <w:right w:val="single" w:color="auto" w:sz="2" w:space="0"/>
                  </w:tcBorders>
                  <w:vAlign w:val="center"/>
                </w:tcPr>
                <w:p>
                  <w:pPr>
                    <w:pStyle w:val="53"/>
                    <w:adjustRightInd/>
                    <w:snapToGrid/>
                    <w:rPr>
                      <w:color w:val="auto"/>
                      <w:sz w:val="21"/>
                      <w:szCs w:val="21"/>
                    </w:rPr>
                  </w:pPr>
                  <w:r>
                    <w:rPr>
                      <w:color w:val="auto"/>
                      <w:sz w:val="21"/>
                      <w:szCs w:val="21"/>
                    </w:rPr>
                    <w:t>环境影响途径及危害后果（大气、地表水、地下水等）</w:t>
                  </w:r>
                </w:p>
              </w:tc>
              <w:tc>
                <w:tcPr>
                  <w:tcW w:w="4016" w:type="pct"/>
                  <w:tcBorders>
                    <w:top w:val="single" w:color="auto" w:sz="2" w:space="0"/>
                    <w:left w:val="single" w:color="auto" w:sz="2" w:space="0"/>
                    <w:bottom w:val="single" w:color="auto" w:sz="2" w:space="0"/>
                    <w:right w:val="nil"/>
                  </w:tcBorders>
                  <w:vAlign w:val="center"/>
                </w:tcPr>
                <w:p>
                  <w:pPr>
                    <w:pStyle w:val="50"/>
                    <w:spacing w:line="240" w:lineRule="auto"/>
                    <w:ind w:firstLine="4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经识别，本项目涉及的主要风险物质为</w:t>
                  </w:r>
                  <w:r>
                    <w:rPr>
                      <w:rFonts w:hint="eastAsia" w:ascii="Times New Roman" w:hAnsi="Times New Roman" w:eastAsia="宋体" w:cs="Times New Roman"/>
                      <w:color w:val="auto"/>
                      <w:sz w:val="21"/>
                      <w:szCs w:val="21"/>
                    </w:rPr>
                    <w:t>无磷转化液、脱脂剂、脱脂助剂、硅烷转化剂、液压油、润滑油、PAC、PAM</w:t>
                  </w:r>
                  <w:r>
                    <w:rPr>
                      <w:rFonts w:hint="eastAsia" w:eastAsia="宋体" w:cs="Times New Roman"/>
                      <w:color w:val="auto"/>
                      <w:sz w:val="21"/>
                      <w:szCs w:val="21"/>
                    </w:rPr>
                    <w:t>、</w:t>
                  </w:r>
                  <w:r>
                    <w:rPr>
                      <w:rFonts w:hint="eastAsia" w:ascii="Times New Roman" w:hAnsi="Times New Roman" w:eastAsia="宋体" w:cs="Times New Roman"/>
                      <w:color w:val="auto"/>
                      <w:sz w:val="21"/>
                      <w:szCs w:val="21"/>
                    </w:rPr>
                    <w:t>脱脂废渣（液）、陶化废渣（液）、废包装桶、废活性炭、废油、含油废抹布手套、废油类包装桶、压滤污泥、浓缩蒸发液、废水过滤材料</w:t>
                  </w:r>
                  <w:r>
                    <w:rPr>
                      <w:rFonts w:ascii="Times New Roman" w:hAnsi="Times New Roman" w:eastAsia="宋体" w:cs="Times New Roman"/>
                      <w:color w:val="auto"/>
                      <w:sz w:val="21"/>
                      <w:szCs w:val="21"/>
                    </w:rPr>
                    <w:t>。</w:t>
                  </w:r>
                </w:p>
                <w:p>
                  <w:pPr>
                    <w:pStyle w:val="50"/>
                    <w:spacing w:line="240" w:lineRule="auto"/>
                    <w:ind w:firstLine="42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风险物质</w:t>
                  </w:r>
                  <w:r>
                    <w:rPr>
                      <w:rFonts w:ascii="Times New Roman" w:hAnsi="Times New Roman" w:eastAsia="宋体" w:cs="Times New Roman"/>
                      <w:color w:val="auto"/>
                      <w:sz w:val="21"/>
                      <w:szCs w:val="21"/>
                    </w:rPr>
                    <w:t xml:space="preserve">如发生泄漏污染水环境，同时泄漏挥发会产生有机废气进入大气环境中，如遇明火、火花则可能发生火灾事故，燃烧产物主要为一氧化碳、二氧化碳、氮氧化物及有机废气，同时还有消防废水产生，泄漏废液、消防废水等如拦截不当则可能会进入周围水环境中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1042" w:hRule="atLeast"/>
                <w:jc w:val="center"/>
              </w:trPr>
              <w:tc>
                <w:tcPr>
                  <w:tcW w:w="983" w:type="pct"/>
                  <w:tcBorders>
                    <w:top w:val="single" w:color="auto" w:sz="2" w:space="0"/>
                    <w:left w:val="nil"/>
                    <w:bottom w:val="single" w:color="auto" w:sz="2" w:space="0"/>
                    <w:right w:val="single" w:color="auto" w:sz="2" w:space="0"/>
                  </w:tcBorders>
                  <w:vAlign w:val="center"/>
                </w:tcPr>
                <w:p>
                  <w:pPr>
                    <w:pStyle w:val="53"/>
                    <w:adjustRightInd/>
                    <w:snapToGrid/>
                    <w:rPr>
                      <w:color w:val="auto"/>
                      <w:sz w:val="21"/>
                      <w:szCs w:val="21"/>
                    </w:rPr>
                  </w:pPr>
                  <w:r>
                    <w:rPr>
                      <w:color w:val="auto"/>
                      <w:sz w:val="21"/>
                      <w:szCs w:val="21"/>
                    </w:rPr>
                    <w:t>风险防范措施要求</w:t>
                  </w:r>
                </w:p>
              </w:tc>
              <w:tc>
                <w:tcPr>
                  <w:tcW w:w="4016" w:type="pct"/>
                  <w:tcBorders>
                    <w:top w:val="single" w:color="auto" w:sz="2" w:space="0"/>
                    <w:left w:val="single" w:color="auto" w:sz="2" w:space="0"/>
                    <w:bottom w:val="single" w:color="auto" w:sz="2" w:space="0"/>
                    <w:right w:val="nil"/>
                  </w:tcBorders>
                  <w:vAlign w:val="center"/>
                </w:tcPr>
                <w:p>
                  <w:pPr>
                    <w:pStyle w:val="53"/>
                    <w:adjustRightInd/>
                    <w:snapToGrid/>
                    <w:ind w:firstLine="436" w:firstLineChars="200"/>
                    <w:jc w:val="left"/>
                    <w:rPr>
                      <w:color w:val="auto"/>
                      <w:sz w:val="21"/>
                      <w:szCs w:val="21"/>
                    </w:rPr>
                  </w:pPr>
                  <w:r>
                    <w:rPr>
                      <w:color w:val="auto"/>
                      <w:sz w:val="21"/>
                      <w:szCs w:val="21"/>
                    </w:rPr>
                    <w:t>为了防范事故和减少危害，项目从生产管理、危险化学品贮存、工艺技术设计、自动控制设计、电气及电讯、消防及火灾报警系统等方面制定相应的环境风险防范措施。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85" w:type="dxa"/>
                  <w:bottom w:w="0" w:type="dxa"/>
                  <w:right w:w="85" w:type="dxa"/>
                </w:tblCellMar>
              </w:tblPrEx>
              <w:trPr>
                <w:trHeight w:val="1197" w:hRule="atLeast"/>
                <w:jc w:val="center"/>
              </w:trPr>
              <w:tc>
                <w:tcPr>
                  <w:tcW w:w="5000" w:type="pct"/>
                  <w:gridSpan w:val="2"/>
                  <w:tcBorders>
                    <w:top w:val="single" w:color="auto" w:sz="2" w:space="0"/>
                    <w:left w:val="nil"/>
                    <w:bottom w:val="single" w:color="auto" w:sz="12" w:space="0"/>
                    <w:right w:val="nil"/>
                  </w:tcBorders>
                  <w:vAlign w:val="center"/>
                </w:tcPr>
                <w:p>
                  <w:pPr>
                    <w:pStyle w:val="51"/>
                    <w:spacing w:line="240" w:lineRule="auto"/>
                    <w:ind w:firstLine="420"/>
                    <w:rPr>
                      <w:color w:val="auto"/>
                      <w:sz w:val="21"/>
                      <w:szCs w:val="21"/>
                    </w:rPr>
                  </w:pPr>
                  <w:r>
                    <w:rPr>
                      <w:color w:val="auto"/>
                      <w:sz w:val="21"/>
                      <w:szCs w:val="21"/>
                    </w:rPr>
                    <w:t>分析结论：在各环境风险防范措施落实到位的情况下，将可大大降低建设项目的环境风险，最大程度减少对环境可能造成的危害。在企业落实本评价提出的各项风险防范措施后，项目对环境的风险影响可接受。</w:t>
                  </w:r>
                </w:p>
              </w:tc>
            </w:tr>
          </w:tbl>
          <w:p>
            <w:pPr>
              <w:numPr>
                <w:ilvl w:val="0"/>
                <w:numId w:val="12"/>
              </w:numPr>
              <w:spacing w:before="159" w:beforeLines="50" w:line="360" w:lineRule="auto"/>
              <w:rPr>
                <w:rFonts w:ascii="Calibri" w:hAnsi="Calibri" w:cs="Calibri"/>
                <w:b/>
                <w:bCs/>
                <w:color w:val="auto"/>
                <w:sz w:val="24"/>
              </w:rPr>
            </w:pPr>
            <w:r>
              <w:rPr>
                <w:rFonts w:ascii="Calibri" w:hAnsi="Calibri" w:cs="Calibri"/>
                <w:b/>
                <w:bCs/>
                <w:color w:val="auto"/>
                <w:sz w:val="24"/>
              </w:rPr>
              <w:t>电磁辐射</w:t>
            </w:r>
          </w:p>
          <w:p>
            <w:pPr>
              <w:adjustRightInd w:val="0"/>
              <w:snapToGrid w:val="0"/>
              <w:spacing w:line="360" w:lineRule="auto"/>
              <w:ind w:firstLine="480" w:firstLineChars="200"/>
              <w:rPr>
                <w:rFonts w:ascii="Calibri" w:hAnsi="Calibri" w:cs="Calibri"/>
                <w:color w:val="auto"/>
                <w:sz w:val="24"/>
              </w:rPr>
            </w:pPr>
            <w:r>
              <w:rPr>
                <w:rFonts w:ascii="Calibri" w:hAnsi="Calibri" w:cs="Calibri"/>
                <w:color w:val="auto"/>
                <w:sz w:val="24"/>
              </w:rPr>
              <w:t>本项目不涉及电磁辐射。</w:t>
            </w:r>
          </w:p>
          <w:p>
            <w:pPr>
              <w:adjustRightInd w:val="0"/>
              <w:snapToGrid w:val="0"/>
              <w:spacing w:line="360" w:lineRule="auto"/>
              <w:ind w:firstLine="480" w:firstLineChars="200"/>
              <w:rPr>
                <w:rFonts w:ascii="Calibri" w:hAnsi="Calibri" w:cs="Calibri"/>
                <w:color w:val="auto"/>
                <w:sz w:val="24"/>
              </w:rPr>
            </w:pPr>
          </w:p>
          <w:p>
            <w:pPr>
              <w:pStyle w:val="2"/>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pStyle w:val="3"/>
              <w:numPr>
                <w:ilvl w:val="0"/>
                <w:numId w:val="0"/>
              </w:numPr>
              <w:rPr>
                <w:rFonts w:ascii="Calibri" w:hAnsi="Calibri" w:cs="Calibri"/>
                <w:color w:val="auto"/>
                <w:sz w:val="24"/>
              </w:rPr>
            </w:pPr>
          </w:p>
          <w:p>
            <w:pPr>
              <w:adjustRightInd w:val="0"/>
              <w:snapToGrid w:val="0"/>
              <w:spacing w:line="360" w:lineRule="auto"/>
              <w:rPr>
                <w:rFonts w:ascii="Calibri" w:hAnsi="Calibri" w:cs="Calibri"/>
                <w:snapToGrid w:val="0"/>
                <w:color w:val="auto"/>
                <w:sz w:val="30"/>
                <w:szCs w:val="30"/>
              </w:rPr>
            </w:pPr>
          </w:p>
        </w:tc>
      </w:tr>
    </w:tbl>
    <w:p>
      <w:pPr>
        <w:pStyle w:val="23"/>
        <w:jc w:val="center"/>
        <w:outlineLvl w:val="0"/>
        <w:rPr>
          <w:rFonts w:ascii="Times New Roman" w:hAnsi="Times New Roman"/>
          <w:snapToGrid w:val="0"/>
          <w:color w:val="auto"/>
          <w:sz w:val="30"/>
          <w:szCs w:val="30"/>
        </w:rPr>
        <w:sectPr>
          <w:pgSz w:w="11906" w:h="16838"/>
          <w:pgMar w:top="1440" w:right="1797" w:bottom="1440" w:left="1797" w:header="851" w:footer="992" w:gutter="0"/>
          <w:pgBorders>
            <w:top w:val="none" w:sz="0" w:space="0"/>
            <w:left w:val="none" w:sz="0" w:space="0"/>
            <w:bottom w:val="none" w:sz="0" w:space="0"/>
            <w:right w:val="none" w:sz="0" w:space="0"/>
          </w:pgBorders>
          <w:cols w:space="0" w:num="1"/>
          <w:docGrid w:type="lines" w:linePitch="319" w:charSpace="0"/>
        </w:sectPr>
      </w:pPr>
    </w:p>
    <w:p>
      <w:pPr>
        <w:pStyle w:val="23"/>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w:t>
      </w:r>
      <w:bookmarkStart w:id="1" w:name="_Hlk54167917"/>
      <w:r>
        <w:rPr>
          <w:rFonts w:ascii="Times New Roman" w:hAnsi="Times New Roman" w:eastAsia="黑体"/>
          <w:snapToGrid w:val="0"/>
          <w:color w:val="auto"/>
          <w:sz w:val="30"/>
          <w:szCs w:val="30"/>
        </w:rPr>
        <w:t>环境保护措施监督检查清单</w:t>
      </w:r>
      <w:bookmarkEnd w:id="1"/>
    </w:p>
    <w:tbl>
      <w:tblPr>
        <w:tblStyle w:val="26"/>
        <w:tblW w:w="512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928"/>
        <w:gridCol w:w="1771"/>
        <w:gridCol w:w="1228"/>
        <w:gridCol w:w="1409"/>
        <w:gridCol w:w="200"/>
        <w:gridCol w:w="20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tcBorders>
              <w:tl2br w:val="single" w:color="auto" w:sz="4" w:space="0"/>
            </w:tcBorders>
          </w:tcPr>
          <w:p>
            <w:pPr>
              <w:adjustRightInd w:val="0"/>
              <w:snapToGrid w:val="0"/>
              <w:ind w:firstLine="422" w:firstLineChars="200"/>
              <w:rPr>
                <w:b/>
                <w:bCs/>
                <w:color w:val="auto"/>
                <w:szCs w:val="21"/>
              </w:rPr>
            </w:pPr>
            <w:r>
              <w:rPr>
                <w:b/>
                <w:bCs/>
                <w:color w:val="auto"/>
                <w:szCs w:val="21"/>
              </w:rPr>
              <w:t>内容</w:t>
            </w:r>
          </w:p>
          <w:p>
            <w:pPr>
              <w:adjustRightInd w:val="0"/>
              <w:snapToGrid w:val="0"/>
              <w:rPr>
                <w:b/>
                <w:bCs/>
                <w:color w:val="auto"/>
                <w:szCs w:val="21"/>
              </w:rPr>
            </w:pPr>
          </w:p>
          <w:p>
            <w:pPr>
              <w:adjustRightInd w:val="0"/>
              <w:snapToGrid w:val="0"/>
              <w:rPr>
                <w:b/>
                <w:bCs/>
                <w:color w:val="auto"/>
                <w:szCs w:val="21"/>
              </w:rPr>
            </w:pPr>
            <w:r>
              <w:rPr>
                <w:b/>
                <w:bCs/>
                <w:color w:val="auto"/>
                <w:szCs w:val="21"/>
              </w:rPr>
              <w:t>要素</w:t>
            </w:r>
          </w:p>
        </w:tc>
        <w:tc>
          <w:tcPr>
            <w:tcW w:w="1545" w:type="pct"/>
            <w:gridSpan w:val="2"/>
            <w:vAlign w:val="center"/>
          </w:tcPr>
          <w:p>
            <w:pPr>
              <w:adjustRightInd w:val="0"/>
              <w:snapToGrid w:val="0"/>
              <w:jc w:val="center"/>
              <w:rPr>
                <w:b/>
                <w:bCs/>
                <w:color w:val="auto"/>
                <w:szCs w:val="21"/>
              </w:rPr>
            </w:pPr>
            <w:r>
              <w:rPr>
                <w:b/>
                <w:bCs/>
                <w:color w:val="auto"/>
                <w:szCs w:val="21"/>
              </w:rPr>
              <w:t>排放口（编号、</w:t>
            </w:r>
          </w:p>
          <w:p>
            <w:pPr>
              <w:adjustRightInd w:val="0"/>
              <w:snapToGrid w:val="0"/>
              <w:jc w:val="center"/>
              <w:rPr>
                <w:b/>
                <w:bCs/>
                <w:color w:val="auto"/>
                <w:szCs w:val="21"/>
              </w:rPr>
            </w:pPr>
            <w:r>
              <w:rPr>
                <w:b/>
                <w:bCs/>
                <w:color w:val="auto"/>
                <w:szCs w:val="21"/>
              </w:rPr>
              <w:t>名称）/污染源</w:t>
            </w:r>
          </w:p>
        </w:tc>
        <w:tc>
          <w:tcPr>
            <w:tcW w:w="702" w:type="pct"/>
            <w:vAlign w:val="center"/>
          </w:tcPr>
          <w:p>
            <w:pPr>
              <w:adjustRightInd w:val="0"/>
              <w:snapToGrid w:val="0"/>
              <w:jc w:val="center"/>
              <w:rPr>
                <w:b/>
                <w:bCs/>
                <w:color w:val="auto"/>
                <w:szCs w:val="21"/>
              </w:rPr>
            </w:pPr>
            <w:r>
              <w:rPr>
                <w:b/>
                <w:bCs/>
                <w:color w:val="auto"/>
                <w:szCs w:val="21"/>
              </w:rPr>
              <w:t>污染物项目</w:t>
            </w:r>
          </w:p>
        </w:tc>
        <w:tc>
          <w:tcPr>
            <w:tcW w:w="806" w:type="pct"/>
            <w:vAlign w:val="center"/>
          </w:tcPr>
          <w:p>
            <w:pPr>
              <w:adjustRightInd w:val="0"/>
              <w:snapToGrid w:val="0"/>
              <w:jc w:val="center"/>
              <w:rPr>
                <w:b/>
                <w:bCs/>
                <w:color w:val="auto"/>
                <w:szCs w:val="21"/>
              </w:rPr>
            </w:pPr>
            <w:r>
              <w:rPr>
                <w:b/>
                <w:bCs/>
                <w:color w:val="auto"/>
                <w:szCs w:val="21"/>
              </w:rPr>
              <w:t>环境保护措施</w:t>
            </w:r>
          </w:p>
        </w:tc>
        <w:tc>
          <w:tcPr>
            <w:tcW w:w="1288" w:type="pct"/>
            <w:gridSpan w:val="2"/>
            <w:vAlign w:val="center"/>
          </w:tcPr>
          <w:p>
            <w:pPr>
              <w:adjustRightInd w:val="0"/>
              <w:snapToGrid w:val="0"/>
              <w:jc w:val="center"/>
              <w:rPr>
                <w:b/>
                <w:bCs/>
                <w:color w:val="auto"/>
                <w:szCs w:val="21"/>
              </w:rPr>
            </w:pPr>
            <w:r>
              <w:rPr>
                <w:b/>
                <w:bCs/>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56" w:type="pct"/>
            <w:vMerge w:val="restart"/>
            <w:vAlign w:val="center"/>
          </w:tcPr>
          <w:p>
            <w:pPr>
              <w:adjustRightInd w:val="0"/>
              <w:snapToGrid w:val="0"/>
              <w:jc w:val="center"/>
              <w:rPr>
                <w:color w:val="auto"/>
                <w:szCs w:val="21"/>
              </w:rPr>
            </w:pPr>
            <w:r>
              <w:rPr>
                <w:color w:val="auto"/>
                <w:szCs w:val="21"/>
              </w:rPr>
              <w:t>大气环境</w:t>
            </w:r>
          </w:p>
        </w:tc>
        <w:tc>
          <w:tcPr>
            <w:tcW w:w="531" w:type="pct"/>
            <w:vAlign w:val="center"/>
          </w:tcPr>
          <w:p>
            <w:pPr>
              <w:widowControl/>
              <w:jc w:val="center"/>
              <w:textAlignment w:val="center"/>
              <w:rPr>
                <w:snapToGrid w:val="0"/>
                <w:color w:val="auto"/>
                <w:kern w:val="0"/>
                <w:szCs w:val="21"/>
              </w:rPr>
            </w:pPr>
            <w:r>
              <w:rPr>
                <w:color w:val="auto"/>
                <w:kern w:val="0"/>
                <w:szCs w:val="21"/>
                <w:lang w:bidi="ar"/>
              </w:rPr>
              <w:t>DA001</w:t>
            </w:r>
          </w:p>
        </w:tc>
        <w:tc>
          <w:tcPr>
            <w:tcW w:w="1013" w:type="pct"/>
            <w:vAlign w:val="center"/>
          </w:tcPr>
          <w:p>
            <w:pPr>
              <w:widowControl/>
              <w:jc w:val="center"/>
              <w:textAlignment w:val="center"/>
              <w:rPr>
                <w:color w:val="auto"/>
                <w:kern w:val="0"/>
                <w:szCs w:val="21"/>
                <w:lang w:bidi="ar"/>
              </w:rPr>
            </w:pPr>
            <w:r>
              <w:rPr>
                <w:rFonts w:hint="eastAsia"/>
                <w:color w:val="auto"/>
                <w:kern w:val="0"/>
                <w:szCs w:val="21"/>
                <w:lang w:bidi="ar"/>
              </w:rPr>
              <w:t>天然气燃烧废气</w:t>
            </w:r>
          </w:p>
        </w:tc>
        <w:tc>
          <w:tcPr>
            <w:tcW w:w="702" w:type="pct"/>
            <w:vAlign w:val="center"/>
          </w:tcPr>
          <w:p>
            <w:pPr>
              <w:adjustRightInd w:val="0"/>
              <w:snapToGrid w:val="0"/>
              <w:jc w:val="center"/>
              <w:rPr>
                <w:snapToGrid w:val="0"/>
                <w:color w:val="auto"/>
                <w:kern w:val="0"/>
                <w:szCs w:val="21"/>
              </w:rPr>
            </w:pPr>
            <w:r>
              <w:rPr>
                <w:color w:val="auto"/>
                <w:szCs w:val="21"/>
              </w:rPr>
              <w:t>颗粒物、SO</w:t>
            </w:r>
            <w:r>
              <w:rPr>
                <w:color w:val="auto"/>
                <w:szCs w:val="21"/>
                <w:vertAlign w:val="subscript"/>
              </w:rPr>
              <w:t>2</w:t>
            </w:r>
            <w:r>
              <w:rPr>
                <w:color w:val="auto"/>
                <w:szCs w:val="21"/>
              </w:rPr>
              <w:t>、NO</w:t>
            </w:r>
            <w:r>
              <w:rPr>
                <w:color w:val="auto"/>
                <w:szCs w:val="21"/>
                <w:vertAlign w:val="subscript"/>
              </w:rPr>
              <w:t>X</w:t>
            </w:r>
          </w:p>
        </w:tc>
        <w:tc>
          <w:tcPr>
            <w:tcW w:w="806" w:type="pct"/>
            <w:vAlign w:val="center"/>
          </w:tcPr>
          <w:p>
            <w:pPr>
              <w:adjustRightInd w:val="0"/>
              <w:snapToGrid w:val="0"/>
              <w:jc w:val="center"/>
              <w:rPr>
                <w:color w:val="auto"/>
                <w:szCs w:val="21"/>
              </w:rPr>
            </w:pPr>
            <w:r>
              <w:rPr>
                <w:rFonts w:hint="eastAsia"/>
                <w:color w:val="auto"/>
                <w:szCs w:val="21"/>
              </w:rPr>
              <w:t>15m高排气筒排放</w:t>
            </w:r>
          </w:p>
        </w:tc>
        <w:tc>
          <w:tcPr>
            <w:tcW w:w="1288" w:type="pct"/>
            <w:gridSpan w:val="2"/>
            <w:vAlign w:val="center"/>
          </w:tcPr>
          <w:p>
            <w:pPr>
              <w:adjustRightInd w:val="0"/>
              <w:snapToGrid w:val="0"/>
              <w:jc w:val="center"/>
              <w:rPr>
                <w:snapToGrid w:val="0"/>
                <w:color w:val="auto"/>
                <w:kern w:val="0"/>
                <w:szCs w:val="21"/>
                <w:highlight w:val="yellow"/>
              </w:rPr>
            </w:pPr>
            <w:r>
              <w:rPr>
                <w:rFonts w:hint="eastAsia"/>
                <w:color w:val="auto"/>
              </w:rPr>
              <w:t>江苏省地方标准《工业炉窑大气污染物排放标准》（DB 32/3728-2020）表1标准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56" w:type="pct"/>
            <w:vMerge w:val="continue"/>
            <w:vAlign w:val="center"/>
          </w:tcPr>
          <w:p>
            <w:pPr>
              <w:adjustRightInd w:val="0"/>
              <w:snapToGrid w:val="0"/>
              <w:jc w:val="center"/>
              <w:rPr>
                <w:color w:val="auto"/>
                <w:szCs w:val="21"/>
              </w:rPr>
            </w:pPr>
          </w:p>
        </w:tc>
        <w:tc>
          <w:tcPr>
            <w:tcW w:w="531" w:type="pct"/>
            <w:vAlign w:val="center"/>
          </w:tcPr>
          <w:p>
            <w:pPr>
              <w:widowControl/>
              <w:jc w:val="center"/>
              <w:textAlignment w:val="center"/>
              <w:rPr>
                <w:color w:val="auto"/>
                <w:szCs w:val="21"/>
              </w:rPr>
            </w:pPr>
            <w:r>
              <w:rPr>
                <w:color w:val="auto"/>
                <w:kern w:val="0"/>
                <w:szCs w:val="21"/>
                <w:lang w:bidi="ar"/>
              </w:rPr>
              <w:t>DA002</w:t>
            </w:r>
          </w:p>
        </w:tc>
        <w:tc>
          <w:tcPr>
            <w:tcW w:w="1013" w:type="pct"/>
            <w:vAlign w:val="center"/>
          </w:tcPr>
          <w:p>
            <w:pPr>
              <w:widowControl/>
              <w:jc w:val="center"/>
              <w:textAlignment w:val="center"/>
              <w:rPr>
                <w:color w:val="auto"/>
                <w:kern w:val="0"/>
                <w:szCs w:val="21"/>
                <w:lang w:bidi="ar"/>
              </w:rPr>
            </w:pPr>
            <w:r>
              <w:rPr>
                <w:rFonts w:hint="eastAsia"/>
                <w:color w:val="auto"/>
                <w:kern w:val="0"/>
                <w:szCs w:val="21"/>
                <w:lang w:bidi="ar"/>
              </w:rPr>
              <w:t>静电喷粉</w:t>
            </w:r>
          </w:p>
        </w:tc>
        <w:tc>
          <w:tcPr>
            <w:tcW w:w="702" w:type="pct"/>
            <w:vAlign w:val="center"/>
          </w:tcPr>
          <w:p>
            <w:pPr>
              <w:adjustRightInd w:val="0"/>
              <w:snapToGrid w:val="0"/>
              <w:jc w:val="center"/>
              <w:rPr>
                <w:snapToGrid w:val="0"/>
                <w:color w:val="auto"/>
                <w:kern w:val="0"/>
                <w:szCs w:val="21"/>
              </w:rPr>
            </w:pPr>
            <w:r>
              <w:rPr>
                <w:rFonts w:hint="eastAsia"/>
                <w:snapToGrid w:val="0"/>
                <w:color w:val="auto"/>
                <w:kern w:val="0"/>
                <w:szCs w:val="21"/>
              </w:rPr>
              <w:t>颗粒物</w:t>
            </w:r>
          </w:p>
        </w:tc>
        <w:tc>
          <w:tcPr>
            <w:tcW w:w="806" w:type="pct"/>
            <w:vAlign w:val="center"/>
          </w:tcPr>
          <w:p>
            <w:pPr>
              <w:adjustRightInd w:val="0"/>
              <w:snapToGrid w:val="0"/>
              <w:jc w:val="center"/>
              <w:rPr>
                <w:color w:val="auto"/>
                <w:szCs w:val="21"/>
              </w:rPr>
            </w:pPr>
            <w:r>
              <w:rPr>
                <w:rFonts w:hint="eastAsia"/>
                <w:color w:val="auto"/>
                <w:szCs w:val="21"/>
              </w:rPr>
              <w:t>1套旋风+滤芯回收系统处理+15m高排气筒排放</w:t>
            </w:r>
          </w:p>
        </w:tc>
        <w:tc>
          <w:tcPr>
            <w:tcW w:w="1288" w:type="pct"/>
            <w:gridSpan w:val="2"/>
            <w:vMerge w:val="restart"/>
            <w:vAlign w:val="center"/>
          </w:tcPr>
          <w:p>
            <w:pPr>
              <w:adjustRightInd w:val="0"/>
              <w:snapToGrid w:val="0"/>
              <w:jc w:val="center"/>
              <w:rPr>
                <w:snapToGrid w:val="0"/>
                <w:color w:val="auto"/>
                <w:kern w:val="0"/>
                <w:szCs w:val="21"/>
                <w:highlight w:val="yellow"/>
              </w:rPr>
            </w:pPr>
            <w:r>
              <w:rPr>
                <w:rFonts w:hint="eastAsia"/>
                <w:color w:val="auto"/>
                <w:kern w:val="0"/>
                <w:szCs w:val="21"/>
              </w:rPr>
              <w:t>江苏省地方标准《表面涂装（工程机械和钢结构行业）大气污染物排放标准》（DB32/4147-2021）表1标准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7" w:hRule="atLeast"/>
          <w:jc w:val="center"/>
          <w:ins w:id="967" w:author="Sunny" w:date="2022-12-29T17:44:00Z"/>
        </w:trPr>
        <w:tc>
          <w:tcPr>
            <w:tcW w:w="656" w:type="pct"/>
            <w:vMerge w:val="continue"/>
            <w:vAlign w:val="center"/>
          </w:tcPr>
          <w:p>
            <w:pPr>
              <w:adjustRightInd w:val="0"/>
              <w:snapToGrid w:val="0"/>
              <w:jc w:val="center"/>
              <w:rPr>
                <w:ins w:id="968" w:author="Sunny" w:date="2022-12-29T17:44:00Z"/>
                <w:color w:val="auto"/>
                <w:szCs w:val="21"/>
              </w:rPr>
            </w:pPr>
          </w:p>
        </w:tc>
        <w:tc>
          <w:tcPr>
            <w:tcW w:w="531" w:type="pct"/>
            <w:vAlign w:val="center"/>
          </w:tcPr>
          <w:p>
            <w:pPr>
              <w:widowControl/>
              <w:jc w:val="center"/>
              <w:textAlignment w:val="center"/>
              <w:rPr>
                <w:ins w:id="969" w:author="Sunny" w:date="2022-12-29T17:44:00Z"/>
                <w:color w:val="auto"/>
                <w:szCs w:val="21"/>
              </w:rPr>
            </w:pPr>
            <w:r>
              <w:rPr>
                <w:color w:val="auto"/>
                <w:kern w:val="0"/>
                <w:szCs w:val="21"/>
                <w:lang w:bidi="ar"/>
              </w:rPr>
              <w:t>DA00</w:t>
            </w:r>
            <w:r>
              <w:rPr>
                <w:rFonts w:hint="eastAsia"/>
                <w:color w:val="auto"/>
                <w:kern w:val="0"/>
                <w:szCs w:val="21"/>
                <w:lang w:bidi="ar"/>
              </w:rPr>
              <w:t>3</w:t>
            </w:r>
          </w:p>
        </w:tc>
        <w:tc>
          <w:tcPr>
            <w:tcW w:w="1013" w:type="pct"/>
            <w:vAlign w:val="center"/>
          </w:tcPr>
          <w:p>
            <w:pPr>
              <w:widowControl/>
              <w:jc w:val="center"/>
              <w:textAlignment w:val="center"/>
              <w:rPr>
                <w:ins w:id="970" w:author="Sunny" w:date="2022-12-29T17:44:00Z"/>
                <w:color w:val="auto"/>
                <w:kern w:val="0"/>
                <w:szCs w:val="21"/>
                <w:lang w:bidi="ar"/>
              </w:rPr>
            </w:pPr>
            <w:r>
              <w:rPr>
                <w:rFonts w:hint="eastAsia"/>
                <w:color w:val="auto"/>
                <w:kern w:val="0"/>
                <w:szCs w:val="21"/>
                <w:lang w:bidi="ar"/>
              </w:rPr>
              <w:t>喷粉固化工序产生有机废气</w:t>
            </w:r>
          </w:p>
        </w:tc>
        <w:tc>
          <w:tcPr>
            <w:tcW w:w="702" w:type="pct"/>
            <w:vAlign w:val="center"/>
          </w:tcPr>
          <w:p>
            <w:pPr>
              <w:adjustRightInd w:val="0"/>
              <w:snapToGrid w:val="0"/>
              <w:jc w:val="center"/>
              <w:rPr>
                <w:ins w:id="971" w:author="Sunny" w:date="2022-12-29T17:44:00Z"/>
                <w:snapToGrid w:val="0"/>
                <w:color w:val="auto"/>
                <w:kern w:val="0"/>
                <w:szCs w:val="21"/>
              </w:rPr>
            </w:pPr>
            <w:r>
              <w:rPr>
                <w:rFonts w:hint="eastAsia"/>
                <w:snapToGrid w:val="0"/>
                <w:color w:val="auto"/>
                <w:kern w:val="0"/>
                <w:szCs w:val="21"/>
              </w:rPr>
              <w:t>非甲烷总烃</w:t>
            </w:r>
          </w:p>
        </w:tc>
        <w:tc>
          <w:tcPr>
            <w:tcW w:w="806" w:type="pct"/>
            <w:vAlign w:val="center"/>
          </w:tcPr>
          <w:p>
            <w:pPr>
              <w:adjustRightInd w:val="0"/>
              <w:snapToGrid w:val="0"/>
              <w:jc w:val="center"/>
              <w:rPr>
                <w:ins w:id="972" w:author="Sunny" w:date="2022-12-29T17:44:00Z"/>
                <w:color w:val="auto"/>
                <w:szCs w:val="21"/>
              </w:rPr>
            </w:pPr>
            <w:r>
              <w:rPr>
                <w:rFonts w:hint="eastAsia"/>
                <w:color w:val="auto"/>
                <w:szCs w:val="21"/>
              </w:rPr>
              <w:t>二级活性炭吸附+15m高排气筒排放</w:t>
            </w:r>
          </w:p>
        </w:tc>
        <w:tc>
          <w:tcPr>
            <w:tcW w:w="1288" w:type="pct"/>
            <w:gridSpan w:val="2"/>
            <w:vMerge w:val="continue"/>
            <w:vAlign w:val="center"/>
          </w:tcPr>
          <w:p>
            <w:pPr>
              <w:adjustRightInd w:val="0"/>
              <w:snapToGrid w:val="0"/>
              <w:jc w:val="center"/>
              <w:rPr>
                <w:ins w:id="973" w:author="Sunny" w:date="2022-12-29T17:44:00Z"/>
                <w:snapToGrid w:val="0"/>
                <w:color w:val="auto"/>
                <w:kern w:val="0"/>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6" w:type="pct"/>
            <w:vMerge w:val="continue"/>
            <w:vAlign w:val="center"/>
          </w:tcPr>
          <w:p>
            <w:pPr>
              <w:adjustRightInd w:val="0"/>
              <w:snapToGrid w:val="0"/>
              <w:jc w:val="center"/>
              <w:rPr>
                <w:snapToGrid w:val="0"/>
                <w:color w:val="auto"/>
                <w:kern w:val="0"/>
                <w:szCs w:val="21"/>
              </w:rPr>
            </w:pPr>
          </w:p>
        </w:tc>
        <w:tc>
          <w:tcPr>
            <w:tcW w:w="531" w:type="pct"/>
            <w:vMerge w:val="restart"/>
            <w:vAlign w:val="center"/>
          </w:tcPr>
          <w:p>
            <w:pPr>
              <w:widowControl/>
              <w:jc w:val="center"/>
              <w:textAlignment w:val="center"/>
              <w:rPr>
                <w:color w:val="auto"/>
                <w:kern w:val="0"/>
                <w:szCs w:val="21"/>
                <w:lang w:bidi="ar"/>
              </w:rPr>
            </w:pPr>
            <w:r>
              <w:rPr>
                <w:color w:val="auto"/>
                <w:kern w:val="0"/>
                <w:szCs w:val="21"/>
                <w:lang w:bidi="ar"/>
              </w:rPr>
              <w:t>无组织</w:t>
            </w:r>
          </w:p>
        </w:tc>
        <w:tc>
          <w:tcPr>
            <w:tcW w:w="1013" w:type="pct"/>
            <w:vAlign w:val="center"/>
          </w:tcPr>
          <w:p>
            <w:pPr>
              <w:adjustRightInd w:val="0"/>
              <w:snapToGrid w:val="0"/>
              <w:jc w:val="center"/>
              <w:rPr>
                <w:color w:val="auto"/>
                <w:szCs w:val="21"/>
              </w:rPr>
            </w:pPr>
            <w:r>
              <w:rPr>
                <w:rFonts w:hint="eastAsia"/>
                <w:color w:val="auto"/>
                <w:szCs w:val="21"/>
              </w:rPr>
              <w:t>静电喷粉</w:t>
            </w:r>
          </w:p>
        </w:tc>
        <w:tc>
          <w:tcPr>
            <w:tcW w:w="702" w:type="pct"/>
            <w:vMerge w:val="restart"/>
            <w:vAlign w:val="center"/>
          </w:tcPr>
          <w:p>
            <w:pPr>
              <w:adjustRightInd w:val="0"/>
              <w:snapToGrid w:val="0"/>
              <w:jc w:val="center"/>
              <w:rPr>
                <w:color w:val="auto"/>
                <w:szCs w:val="21"/>
              </w:rPr>
            </w:pPr>
            <w:r>
              <w:rPr>
                <w:color w:val="auto"/>
                <w:szCs w:val="21"/>
              </w:rPr>
              <w:t>颗粒物</w:t>
            </w:r>
          </w:p>
        </w:tc>
        <w:tc>
          <w:tcPr>
            <w:tcW w:w="806" w:type="pct"/>
            <w:tcBorders>
              <w:bottom w:val="single" w:color="000000" w:sz="4" w:space="0"/>
            </w:tcBorders>
            <w:vAlign w:val="center"/>
          </w:tcPr>
          <w:p>
            <w:pPr>
              <w:adjustRightInd w:val="0"/>
              <w:snapToGrid w:val="0"/>
              <w:jc w:val="center"/>
              <w:rPr>
                <w:color w:val="auto"/>
                <w:szCs w:val="21"/>
              </w:rPr>
            </w:pPr>
            <w:r>
              <w:rPr>
                <w:color w:val="auto"/>
                <w:szCs w:val="21"/>
              </w:rPr>
              <w:t>/</w:t>
            </w:r>
            <w:r>
              <w:rPr>
                <w:color w:val="auto"/>
              </w:rPr>
              <w:commentReference w:id="36"/>
            </w:r>
          </w:p>
        </w:tc>
        <w:tc>
          <w:tcPr>
            <w:tcW w:w="1288" w:type="pct"/>
            <w:gridSpan w:val="2"/>
            <w:vMerge w:val="restart"/>
            <w:vAlign w:val="center"/>
          </w:tcPr>
          <w:p>
            <w:pPr>
              <w:adjustRightInd w:val="0"/>
              <w:snapToGrid w:val="0"/>
              <w:jc w:val="center"/>
              <w:rPr>
                <w:snapToGrid w:val="0"/>
                <w:color w:val="auto"/>
                <w:kern w:val="0"/>
                <w:szCs w:val="21"/>
                <w:highlight w:val="yellow"/>
              </w:rPr>
            </w:pPr>
            <w:r>
              <w:rPr>
                <w:rFonts w:hint="eastAsia"/>
                <w:color w:val="auto"/>
                <w:kern w:val="0"/>
                <w:szCs w:val="21"/>
              </w:rPr>
              <w:t>江苏省地方标准《大气污染物综合排放标准》（DB32/4041—2021）表3标准、</w:t>
            </w:r>
            <w:r>
              <w:rPr>
                <w:rFonts w:hint="eastAsia"/>
                <w:color w:val="auto"/>
                <w:szCs w:val="21"/>
              </w:rPr>
              <w:t>江苏省地方标准《表面涂装（工程机械和钢结构行业）大气污染物排放标准》（DB32/4147-2021）表3</w:t>
            </w:r>
            <w:r>
              <w:rPr>
                <w:bCs/>
                <w:color w:val="auto"/>
                <w:szCs w:val="21"/>
              </w:rPr>
              <w:t>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56" w:type="pct"/>
            <w:vMerge w:val="continue"/>
            <w:vAlign w:val="center"/>
          </w:tcPr>
          <w:p>
            <w:pPr>
              <w:adjustRightInd w:val="0"/>
              <w:snapToGrid w:val="0"/>
              <w:jc w:val="center"/>
              <w:rPr>
                <w:snapToGrid w:val="0"/>
                <w:color w:val="auto"/>
                <w:kern w:val="0"/>
                <w:szCs w:val="21"/>
              </w:rPr>
            </w:pPr>
          </w:p>
        </w:tc>
        <w:tc>
          <w:tcPr>
            <w:tcW w:w="531" w:type="pct"/>
            <w:vMerge w:val="continue"/>
            <w:vAlign w:val="center"/>
          </w:tcPr>
          <w:p>
            <w:pPr>
              <w:widowControl/>
              <w:jc w:val="center"/>
              <w:textAlignment w:val="center"/>
              <w:rPr>
                <w:color w:val="auto"/>
                <w:kern w:val="0"/>
                <w:szCs w:val="21"/>
                <w:lang w:bidi="ar"/>
              </w:rPr>
            </w:pPr>
          </w:p>
        </w:tc>
        <w:tc>
          <w:tcPr>
            <w:tcW w:w="1013" w:type="pct"/>
            <w:vAlign w:val="center"/>
          </w:tcPr>
          <w:p>
            <w:pPr>
              <w:adjustRightInd w:val="0"/>
              <w:snapToGrid w:val="0"/>
              <w:jc w:val="center"/>
              <w:rPr>
                <w:color w:val="auto"/>
                <w:szCs w:val="21"/>
              </w:rPr>
            </w:pPr>
            <w:r>
              <w:rPr>
                <w:rFonts w:hint="eastAsia"/>
                <w:color w:val="auto"/>
                <w:szCs w:val="21"/>
              </w:rPr>
              <w:t>冲压件检验打磨</w:t>
            </w:r>
          </w:p>
        </w:tc>
        <w:tc>
          <w:tcPr>
            <w:tcW w:w="702" w:type="pct"/>
            <w:vMerge w:val="continue"/>
            <w:vAlign w:val="center"/>
          </w:tcPr>
          <w:p>
            <w:pPr>
              <w:adjustRightInd w:val="0"/>
              <w:snapToGrid w:val="0"/>
              <w:jc w:val="center"/>
              <w:rPr>
                <w:color w:val="auto"/>
                <w:szCs w:val="21"/>
              </w:rPr>
            </w:pPr>
          </w:p>
        </w:tc>
        <w:tc>
          <w:tcPr>
            <w:tcW w:w="806" w:type="pct"/>
            <w:tcBorders>
              <w:top w:val="single" w:color="000000" w:sz="4" w:space="0"/>
            </w:tcBorders>
            <w:vAlign w:val="center"/>
          </w:tcPr>
          <w:p>
            <w:pPr>
              <w:adjustRightInd w:val="0"/>
              <w:snapToGrid w:val="0"/>
              <w:jc w:val="center"/>
              <w:rPr>
                <w:rFonts w:hint="default" w:eastAsia="宋体"/>
                <w:color w:val="auto"/>
                <w:szCs w:val="21"/>
                <w:lang w:val="en-US" w:eastAsia="zh-CN"/>
              </w:rPr>
            </w:pPr>
            <w:r>
              <w:rPr>
                <w:rFonts w:hint="default" w:eastAsia="宋体"/>
                <w:color w:val="auto"/>
                <w:szCs w:val="21"/>
                <w:lang w:val="en-US" w:eastAsia="zh-CN"/>
              </w:rPr>
              <w:t>布袋除尘器</w:t>
            </w:r>
          </w:p>
        </w:tc>
        <w:tc>
          <w:tcPr>
            <w:tcW w:w="1288" w:type="pct"/>
            <w:gridSpan w:val="2"/>
            <w:vMerge w:val="continue"/>
            <w:vAlign w:val="center"/>
          </w:tcPr>
          <w:p>
            <w:pPr>
              <w:adjustRightInd w:val="0"/>
              <w:snapToGrid w:val="0"/>
              <w:jc w:val="center"/>
              <w:rPr>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56" w:type="pct"/>
            <w:vMerge w:val="continue"/>
            <w:vAlign w:val="center"/>
          </w:tcPr>
          <w:p>
            <w:pPr>
              <w:adjustRightInd w:val="0"/>
              <w:snapToGrid w:val="0"/>
              <w:jc w:val="center"/>
              <w:rPr>
                <w:snapToGrid w:val="0"/>
                <w:color w:val="auto"/>
                <w:kern w:val="0"/>
                <w:szCs w:val="21"/>
              </w:rPr>
            </w:pPr>
          </w:p>
        </w:tc>
        <w:tc>
          <w:tcPr>
            <w:tcW w:w="531" w:type="pct"/>
            <w:vMerge w:val="continue"/>
            <w:vAlign w:val="center"/>
          </w:tcPr>
          <w:p>
            <w:pPr>
              <w:widowControl/>
              <w:jc w:val="center"/>
              <w:textAlignment w:val="center"/>
              <w:rPr>
                <w:color w:val="auto"/>
                <w:kern w:val="0"/>
                <w:szCs w:val="21"/>
                <w:lang w:bidi="ar"/>
              </w:rPr>
            </w:pPr>
          </w:p>
        </w:tc>
        <w:tc>
          <w:tcPr>
            <w:tcW w:w="1013" w:type="pct"/>
            <w:vAlign w:val="center"/>
          </w:tcPr>
          <w:p>
            <w:pPr>
              <w:adjustRightInd w:val="0"/>
              <w:snapToGrid w:val="0"/>
              <w:jc w:val="center"/>
              <w:rPr>
                <w:color w:val="auto"/>
                <w:szCs w:val="21"/>
              </w:rPr>
            </w:pPr>
            <w:r>
              <w:rPr>
                <w:rFonts w:hint="eastAsia"/>
                <w:color w:val="auto"/>
                <w:kern w:val="0"/>
                <w:szCs w:val="21"/>
                <w:lang w:bidi="ar"/>
              </w:rPr>
              <w:t>喷粉固化工序</w:t>
            </w:r>
          </w:p>
        </w:tc>
        <w:tc>
          <w:tcPr>
            <w:tcW w:w="702" w:type="pct"/>
            <w:vAlign w:val="center"/>
          </w:tcPr>
          <w:p>
            <w:pPr>
              <w:adjustRightInd w:val="0"/>
              <w:snapToGrid w:val="0"/>
              <w:jc w:val="center"/>
              <w:rPr>
                <w:color w:val="auto"/>
                <w:szCs w:val="21"/>
              </w:rPr>
            </w:pPr>
            <w:r>
              <w:rPr>
                <w:color w:val="auto"/>
                <w:szCs w:val="21"/>
              </w:rPr>
              <w:t>非甲烷总烃</w:t>
            </w:r>
          </w:p>
        </w:tc>
        <w:tc>
          <w:tcPr>
            <w:tcW w:w="806" w:type="pct"/>
            <w:vAlign w:val="center"/>
          </w:tcPr>
          <w:p>
            <w:pPr>
              <w:adjustRightInd w:val="0"/>
              <w:snapToGrid w:val="0"/>
              <w:jc w:val="center"/>
              <w:rPr>
                <w:color w:val="auto"/>
                <w:szCs w:val="21"/>
              </w:rPr>
            </w:pPr>
            <w:r>
              <w:rPr>
                <w:color w:val="auto"/>
                <w:szCs w:val="21"/>
              </w:rPr>
              <w:t>/</w:t>
            </w:r>
          </w:p>
        </w:tc>
        <w:tc>
          <w:tcPr>
            <w:tcW w:w="1288" w:type="pct"/>
            <w:gridSpan w:val="2"/>
            <w:vMerge w:val="continue"/>
            <w:vAlign w:val="center"/>
          </w:tcPr>
          <w:p>
            <w:pPr>
              <w:adjustRightInd w:val="0"/>
              <w:snapToGrid w:val="0"/>
              <w:jc w:val="center"/>
              <w:rPr>
                <w:snapToGrid w:val="0"/>
                <w:color w:val="auto"/>
                <w:kern w:val="0"/>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656" w:type="pct"/>
            <w:vMerge w:val="continue"/>
            <w:vAlign w:val="center"/>
          </w:tcPr>
          <w:p>
            <w:pPr>
              <w:adjustRightInd w:val="0"/>
              <w:snapToGrid w:val="0"/>
              <w:jc w:val="center"/>
              <w:rPr>
                <w:snapToGrid w:val="0"/>
                <w:color w:val="auto"/>
                <w:kern w:val="0"/>
                <w:szCs w:val="21"/>
              </w:rPr>
            </w:pPr>
          </w:p>
        </w:tc>
        <w:tc>
          <w:tcPr>
            <w:tcW w:w="531" w:type="pct"/>
            <w:vMerge w:val="continue"/>
            <w:vAlign w:val="center"/>
          </w:tcPr>
          <w:p>
            <w:pPr>
              <w:widowControl/>
              <w:jc w:val="center"/>
              <w:textAlignment w:val="center"/>
              <w:rPr>
                <w:color w:val="auto"/>
                <w:kern w:val="0"/>
                <w:szCs w:val="21"/>
                <w:lang w:bidi="ar"/>
              </w:rPr>
            </w:pPr>
          </w:p>
        </w:tc>
        <w:tc>
          <w:tcPr>
            <w:tcW w:w="1013" w:type="pct"/>
            <w:vAlign w:val="center"/>
          </w:tcPr>
          <w:p>
            <w:pPr>
              <w:adjustRightInd w:val="0"/>
              <w:snapToGrid w:val="0"/>
              <w:jc w:val="center"/>
              <w:rPr>
                <w:color w:val="auto"/>
                <w:kern w:val="0"/>
                <w:szCs w:val="21"/>
                <w:lang w:bidi="ar"/>
              </w:rPr>
            </w:pPr>
            <w:r>
              <w:rPr>
                <w:rFonts w:hint="eastAsia"/>
                <w:color w:val="auto"/>
                <w:kern w:val="0"/>
                <w:szCs w:val="21"/>
                <w:lang w:bidi="ar"/>
              </w:rPr>
              <w:t>危废仓库</w:t>
            </w:r>
          </w:p>
        </w:tc>
        <w:tc>
          <w:tcPr>
            <w:tcW w:w="702" w:type="pct"/>
            <w:vAlign w:val="center"/>
          </w:tcPr>
          <w:p>
            <w:pPr>
              <w:adjustRightInd w:val="0"/>
              <w:snapToGrid w:val="0"/>
              <w:jc w:val="center"/>
              <w:rPr>
                <w:color w:val="auto"/>
                <w:szCs w:val="21"/>
              </w:rPr>
            </w:pPr>
            <w:r>
              <w:rPr>
                <w:rFonts w:hint="eastAsia"/>
                <w:snapToGrid w:val="0"/>
                <w:color w:val="auto"/>
                <w:kern w:val="0"/>
                <w:szCs w:val="21"/>
              </w:rPr>
              <w:t>非甲烷总烃</w:t>
            </w:r>
          </w:p>
        </w:tc>
        <w:tc>
          <w:tcPr>
            <w:tcW w:w="806" w:type="pct"/>
            <w:vAlign w:val="center"/>
          </w:tcPr>
          <w:p>
            <w:pPr>
              <w:adjustRightInd w:val="0"/>
              <w:snapToGrid w:val="0"/>
              <w:jc w:val="center"/>
              <w:rPr>
                <w:color w:val="auto"/>
                <w:szCs w:val="21"/>
              </w:rPr>
            </w:pPr>
            <w:r>
              <w:rPr>
                <w:rFonts w:hint="eastAsia"/>
                <w:color w:val="auto"/>
                <w:szCs w:val="21"/>
              </w:rPr>
              <w:t>二级活性炭吸附</w:t>
            </w:r>
          </w:p>
        </w:tc>
        <w:tc>
          <w:tcPr>
            <w:tcW w:w="1288" w:type="pct"/>
            <w:gridSpan w:val="2"/>
            <w:vMerge w:val="continue"/>
            <w:vAlign w:val="center"/>
          </w:tcPr>
          <w:p>
            <w:pPr>
              <w:adjustRightInd w:val="0"/>
              <w:snapToGrid w:val="0"/>
              <w:jc w:val="center"/>
              <w:rPr>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restart"/>
            <w:vAlign w:val="center"/>
          </w:tcPr>
          <w:p>
            <w:pPr>
              <w:adjustRightInd w:val="0"/>
              <w:snapToGrid w:val="0"/>
              <w:jc w:val="center"/>
              <w:rPr>
                <w:color w:val="auto"/>
                <w:szCs w:val="21"/>
              </w:rPr>
            </w:pPr>
            <w:r>
              <w:rPr>
                <w:color w:val="auto"/>
                <w:szCs w:val="21"/>
              </w:rPr>
              <w:t>地表水环境</w:t>
            </w:r>
          </w:p>
        </w:tc>
        <w:tc>
          <w:tcPr>
            <w:tcW w:w="531" w:type="pct"/>
            <w:vAlign w:val="center"/>
          </w:tcPr>
          <w:p>
            <w:pPr>
              <w:adjustRightInd w:val="0"/>
              <w:snapToGrid w:val="0"/>
              <w:jc w:val="center"/>
              <w:rPr>
                <w:color w:val="auto"/>
                <w:szCs w:val="21"/>
              </w:rPr>
            </w:pPr>
            <w:r>
              <w:rPr>
                <w:snapToGrid w:val="0"/>
                <w:color w:val="auto"/>
                <w:szCs w:val="21"/>
              </w:rPr>
              <w:t>DW001</w:t>
            </w:r>
          </w:p>
        </w:tc>
        <w:tc>
          <w:tcPr>
            <w:tcW w:w="1013" w:type="pct"/>
            <w:vAlign w:val="center"/>
          </w:tcPr>
          <w:p>
            <w:pPr>
              <w:adjustRightInd w:val="0"/>
              <w:snapToGrid w:val="0"/>
              <w:jc w:val="center"/>
              <w:rPr>
                <w:snapToGrid w:val="0"/>
                <w:color w:val="auto"/>
                <w:szCs w:val="21"/>
              </w:rPr>
            </w:pPr>
            <w:r>
              <w:rPr>
                <w:snapToGrid w:val="0"/>
                <w:color w:val="auto"/>
                <w:szCs w:val="21"/>
              </w:rPr>
              <w:t>生活污水、纯水制备浓水、</w:t>
            </w:r>
            <w:r>
              <w:rPr>
                <w:rFonts w:hint="eastAsia"/>
                <w:snapToGrid w:val="0"/>
                <w:color w:val="auto"/>
                <w:szCs w:val="21"/>
              </w:rPr>
              <w:t>纯水设备</w:t>
            </w:r>
            <w:r>
              <w:rPr>
                <w:snapToGrid w:val="0"/>
                <w:color w:val="auto"/>
                <w:szCs w:val="21"/>
              </w:rPr>
              <w:t>反冲洗废水</w:t>
            </w:r>
          </w:p>
        </w:tc>
        <w:tc>
          <w:tcPr>
            <w:tcW w:w="702" w:type="pct"/>
            <w:vAlign w:val="center"/>
          </w:tcPr>
          <w:p>
            <w:pPr>
              <w:adjustRightInd w:val="0"/>
              <w:snapToGrid w:val="0"/>
              <w:spacing w:line="320" w:lineRule="exact"/>
              <w:jc w:val="center"/>
              <w:rPr>
                <w:color w:val="auto"/>
                <w:szCs w:val="21"/>
              </w:rPr>
            </w:pPr>
            <w:r>
              <w:rPr>
                <w:color w:val="auto"/>
                <w:szCs w:val="21"/>
              </w:rPr>
              <w:t>pH、COD、SS、NH</w:t>
            </w:r>
            <w:r>
              <w:rPr>
                <w:color w:val="auto"/>
                <w:szCs w:val="21"/>
                <w:vertAlign w:val="subscript"/>
              </w:rPr>
              <w:t>3</w:t>
            </w:r>
            <w:r>
              <w:rPr>
                <w:color w:val="auto"/>
                <w:szCs w:val="21"/>
              </w:rPr>
              <w:t>-N、TN、TP</w:t>
            </w:r>
          </w:p>
        </w:tc>
        <w:tc>
          <w:tcPr>
            <w:tcW w:w="806" w:type="pct"/>
            <w:vAlign w:val="center"/>
          </w:tcPr>
          <w:p>
            <w:pPr>
              <w:adjustRightInd w:val="0"/>
              <w:snapToGrid w:val="0"/>
              <w:jc w:val="center"/>
              <w:outlineLvl w:val="0"/>
              <w:rPr>
                <w:color w:val="auto"/>
                <w:szCs w:val="21"/>
              </w:rPr>
            </w:pPr>
            <w:r>
              <w:rPr>
                <w:rFonts w:hint="eastAsia"/>
                <w:color w:val="auto"/>
                <w:szCs w:val="21"/>
              </w:rPr>
              <w:t>生活污水</w:t>
            </w:r>
            <w:r>
              <w:rPr>
                <w:color w:val="auto"/>
                <w:szCs w:val="21"/>
              </w:rPr>
              <w:t>经化粪池预处理后</w:t>
            </w:r>
            <w:r>
              <w:rPr>
                <w:rFonts w:hint="eastAsia"/>
                <w:color w:val="auto"/>
                <w:szCs w:val="21"/>
              </w:rPr>
              <w:t>与</w:t>
            </w:r>
            <w:r>
              <w:rPr>
                <w:color w:val="auto"/>
                <w:szCs w:val="21"/>
              </w:rPr>
              <w:t>纯水制备浓水、反冲洗废水接管梅村水处理厂处理</w:t>
            </w:r>
          </w:p>
        </w:tc>
        <w:tc>
          <w:tcPr>
            <w:tcW w:w="1288" w:type="pct"/>
            <w:gridSpan w:val="2"/>
            <w:vAlign w:val="center"/>
          </w:tcPr>
          <w:p>
            <w:pPr>
              <w:adjustRightInd w:val="0"/>
              <w:snapToGrid w:val="0"/>
              <w:jc w:val="center"/>
              <w:outlineLvl w:val="0"/>
              <w:rPr>
                <w:color w:val="auto"/>
                <w:szCs w:val="21"/>
              </w:rPr>
            </w:pPr>
            <w:r>
              <w:rPr>
                <w:color w:val="auto"/>
                <w:szCs w:val="21"/>
              </w:rPr>
              <w:t>《污水综合排放标准》（GB8978-1996）表4中的三级标准及《污水排入城镇下水道水质标准》（GB/T 31962-2015）表1标准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Merge w:val="continue"/>
            <w:vAlign w:val="center"/>
          </w:tcPr>
          <w:p>
            <w:pPr>
              <w:adjustRightInd w:val="0"/>
              <w:snapToGrid w:val="0"/>
              <w:jc w:val="center"/>
              <w:rPr>
                <w:color w:val="auto"/>
                <w:szCs w:val="21"/>
              </w:rPr>
            </w:pPr>
          </w:p>
        </w:tc>
        <w:tc>
          <w:tcPr>
            <w:tcW w:w="531" w:type="pct"/>
            <w:vAlign w:val="center"/>
          </w:tcPr>
          <w:p>
            <w:pPr>
              <w:adjustRightInd w:val="0"/>
              <w:snapToGrid w:val="0"/>
              <w:jc w:val="center"/>
              <w:rPr>
                <w:snapToGrid w:val="0"/>
                <w:color w:val="auto"/>
                <w:szCs w:val="21"/>
              </w:rPr>
            </w:pPr>
            <w:r>
              <w:rPr>
                <w:snapToGrid w:val="0"/>
                <w:color w:val="auto"/>
                <w:szCs w:val="21"/>
              </w:rPr>
              <w:t>/</w:t>
            </w:r>
          </w:p>
        </w:tc>
        <w:tc>
          <w:tcPr>
            <w:tcW w:w="1013" w:type="pct"/>
            <w:vAlign w:val="center"/>
          </w:tcPr>
          <w:p>
            <w:pPr>
              <w:adjustRightInd w:val="0"/>
              <w:snapToGrid w:val="0"/>
              <w:jc w:val="center"/>
              <w:rPr>
                <w:snapToGrid w:val="0"/>
                <w:color w:val="auto"/>
                <w:szCs w:val="21"/>
              </w:rPr>
            </w:pPr>
            <w:r>
              <w:rPr>
                <w:rFonts w:hint="eastAsia"/>
                <w:snapToGrid w:val="0"/>
                <w:color w:val="auto"/>
                <w:szCs w:val="21"/>
              </w:rPr>
              <w:t>喷粉工艺清槽废水、水洗水</w:t>
            </w:r>
          </w:p>
        </w:tc>
        <w:tc>
          <w:tcPr>
            <w:tcW w:w="702" w:type="pct"/>
            <w:vAlign w:val="center"/>
          </w:tcPr>
          <w:p>
            <w:pPr>
              <w:adjustRightInd w:val="0"/>
              <w:snapToGrid w:val="0"/>
              <w:jc w:val="center"/>
              <w:rPr>
                <w:color w:val="auto"/>
                <w:szCs w:val="21"/>
              </w:rPr>
            </w:pPr>
            <w:r>
              <w:rPr>
                <w:color w:val="auto"/>
                <w:szCs w:val="21"/>
              </w:rPr>
              <w:t>pH、COD、SS、</w:t>
            </w:r>
            <w:r>
              <w:rPr>
                <w:rFonts w:hint="eastAsia"/>
                <w:color w:val="auto"/>
                <w:szCs w:val="21"/>
              </w:rPr>
              <w:t>石油类</w:t>
            </w:r>
            <w:r>
              <w:rPr>
                <w:color w:val="auto"/>
                <w:szCs w:val="21"/>
              </w:rPr>
              <w:t>、LAS、</w:t>
            </w:r>
            <w:r>
              <w:rPr>
                <w:rFonts w:hint="eastAsia"/>
                <w:color w:val="auto"/>
                <w:szCs w:val="21"/>
              </w:rPr>
              <w:t>氟化物</w:t>
            </w:r>
          </w:p>
        </w:tc>
        <w:tc>
          <w:tcPr>
            <w:tcW w:w="806" w:type="pct"/>
            <w:vAlign w:val="center"/>
          </w:tcPr>
          <w:p>
            <w:pPr>
              <w:jc w:val="center"/>
              <w:outlineLvl w:val="0"/>
              <w:rPr>
                <w:color w:val="auto"/>
                <w:szCs w:val="21"/>
              </w:rPr>
            </w:pPr>
            <w:r>
              <w:rPr>
                <w:rFonts w:hint="eastAsia"/>
                <w:color w:val="auto"/>
                <w:szCs w:val="21"/>
              </w:rPr>
              <w:t>厂内污水处理设施</w:t>
            </w:r>
          </w:p>
        </w:tc>
        <w:tc>
          <w:tcPr>
            <w:tcW w:w="1288" w:type="pct"/>
            <w:gridSpan w:val="2"/>
            <w:vAlign w:val="center"/>
          </w:tcPr>
          <w:p>
            <w:pPr>
              <w:jc w:val="center"/>
              <w:outlineLvl w:val="0"/>
              <w:rPr>
                <w:color w:val="auto"/>
                <w:szCs w:val="21"/>
              </w:rPr>
            </w:pPr>
            <w:r>
              <w:rPr>
                <w:color w:val="auto"/>
                <w:szCs w:val="21"/>
              </w:rPr>
              <w:t>回用至</w:t>
            </w:r>
            <w:r>
              <w:rPr>
                <w:rFonts w:hint="eastAsia"/>
                <w:color w:val="auto"/>
                <w:szCs w:val="21"/>
              </w:rPr>
              <w:t>喷粉</w:t>
            </w:r>
            <w:r>
              <w:rPr>
                <w:rFonts w:hint="eastAsia"/>
                <w:color w:val="auto"/>
                <w:szCs w:val="21"/>
                <w:lang w:eastAsia="zh-CN"/>
              </w:rPr>
              <w:t>前处理</w:t>
            </w:r>
            <w:r>
              <w:rPr>
                <w:color w:val="auto"/>
                <w:szCs w:val="21"/>
              </w:rPr>
              <w:t>，不排放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pPr>
              <w:adjustRightInd w:val="0"/>
              <w:snapToGrid w:val="0"/>
              <w:jc w:val="center"/>
              <w:rPr>
                <w:color w:val="auto"/>
                <w:szCs w:val="21"/>
              </w:rPr>
            </w:pPr>
            <w:r>
              <w:rPr>
                <w:color w:val="auto"/>
                <w:szCs w:val="21"/>
              </w:rPr>
              <w:t>声环境</w:t>
            </w:r>
          </w:p>
        </w:tc>
        <w:tc>
          <w:tcPr>
            <w:tcW w:w="1545" w:type="pct"/>
            <w:gridSpan w:val="2"/>
            <w:vAlign w:val="center"/>
          </w:tcPr>
          <w:p>
            <w:pPr>
              <w:widowControl/>
              <w:jc w:val="center"/>
              <w:textAlignment w:val="center"/>
              <w:rPr>
                <w:color w:val="auto"/>
                <w:szCs w:val="21"/>
              </w:rPr>
            </w:pPr>
            <w:r>
              <w:rPr>
                <w:color w:val="auto"/>
                <w:szCs w:val="21"/>
              </w:rPr>
              <w:t>液压机、压力机、压缩机、钻床、磨床、切割机、钻孔机、冲压设备等</w:t>
            </w:r>
          </w:p>
        </w:tc>
        <w:tc>
          <w:tcPr>
            <w:tcW w:w="702" w:type="pct"/>
            <w:vAlign w:val="center"/>
          </w:tcPr>
          <w:p>
            <w:pPr>
              <w:adjustRightInd w:val="0"/>
              <w:snapToGrid w:val="0"/>
              <w:jc w:val="center"/>
              <w:rPr>
                <w:color w:val="auto"/>
                <w:szCs w:val="21"/>
              </w:rPr>
            </w:pPr>
            <w:r>
              <w:rPr>
                <w:color w:val="auto"/>
                <w:szCs w:val="21"/>
              </w:rPr>
              <w:t>噪声</w:t>
            </w:r>
          </w:p>
        </w:tc>
        <w:tc>
          <w:tcPr>
            <w:tcW w:w="806" w:type="pct"/>
            <w:vAlign w:val="center"/>
          </w:tcPr>
          <w:p>
            <w:pPr>
              <w:adjustRightInd w:val="0"/>
              <w:snapToGrid w:val="0"/>
              <w:jc w:val="center"/>
              <w:rPr>
                <w:color w:val="auto"/>
                <w:szCs w:val="21"/>
              </w:rPr>
            </w:pPr>
            <w:r>
              <w:rPr>
                <w:color w:val="auto"/>
                <w:szCs w:val="21"/>
              </w:rPr>
              <w:t>厂房隔声、合理布局、距离衰减</w:t>
            </w:r>
          </w:p>
        </w:tc>
        <w:tc>
          <w:tcPr>
            <w:tcW w:w="1288" w:type="pct"/>
            <w:gridSpan w:val="2"/>
            <w:vAlign w:val="center"/>
          </w:tcPr>
          <w:p>
            <w:pPr>
              <w:adjustRightInd w:val="0"/>
              <w:snapToGrid w:val="0"/>
              <w:jc w:val="center"/>
              <w:rPr>
                <w:color w:val="auto"/>
                <w:szCs w:val="21"/>
              </w:rPr>
            </w:pPr>
            <w:r>
              <w:rPr>
                <w:color w:val="auto"/>
                <w:szCs w:val="21"/>
              </w:rPr>
              <w:t>《工业企业厂界环境噪声排放标准》（GB12348-2008）中3类标准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pPr>
              <w:adjustRightInd w:val="0"/>
              <w:snapToGrid w:val="0"/>
              <w:jc w:val="center"/>
              <w:rPr>
                <w:color w:val="auto"/>
                <w:szCs w:val="21"/>
              </w:rPr>
            </w:pPr>
            <w:r>
              <w:rPr>
                <w:color w:val="auto"/>
                <w:szCs w:val="21"/>
              </w:rPr>
              <w:t>电磁辐射</w:t>
            </w:r>
          </w:p>
        </w:tc>
        <w:tc>
          <w:tcPr>
            <w:tcW w:w="1545" w:type="pct"/>
            <w:gridSpan w:val="2"/>
            <w:vAlign w:val="center"/>
          </w:tcPr>
          <w:p>
            <w:pPr>
              <w:adjustRightInd w:val="0"/>
              <w:snapToGrid w:val="0"/>
              <w:jc w:val="center"/>
              <w:rPr>
                <w:color w:val="auto"/>
                <w:szCs w:val="21"/>
              </w:rPr>
            </w:pPr>
            <w:r>
              <w:rPr>
                <w:color w:val="auto"/>
                <w:szCs w:val="21"/>
              </w:rPr>
              <w:t>/</w:t>
            </w:r>
          </w:p>
        </w:tc>
        <w:tc>
          <w:tcPr>
            <w:tcW w:w="702" w:type="pct"/>
            <w:vAlign w:val="center"/>
          </w:tcPr>
          <w:p>
            <w:pPr>
              <w:adjustRightInd w:val="0"/>
              <w:snapToGrid w:val="0"/>
              <w:jc w:val="center"/>
              <w:rPr>
                <w:color w:val="auto"/>
                <w:szCs w:val="21"/>
              </w:rPr>
            </w:pPr>
            <w:r>
              <w:rPr>
                <w:color w:val="auto"/>
                <w:szCs w:val="21"/>
              </w:rPr>
              <w:t>/</w:t>
            </w:r>
          </w:p>
        </w:tc>
        <w:tc>
          <w:tcPr>
            <w:tcW w:w="806" w:type="pct"/>
            <w:vAlign w:val="center"/>
          </w:tcPr>
          <w:p>
            <w:pPr>
              <w:adjustRightInd w:val="0"/>
              <w:snapToGrid w:val="0"/>
              <w:jc w:val="center"/>
              <w:rPr>
                <w:color w:val="auto"/>
                <w:szCs w:val="21"/>
              </w:rPr>
            </w:pPr>
            <w:r>
              <w:rPr>
                <w:color w:val="auto"/>
                <w:szCs w:val="21"/>
              </w:rPr>
              <w:t>/</w:t>
            </w:r>
          </w:p>
        </w:tc>
        <w:tc>
          <w:tcPr>
            <w:tcW w:w="1288" w:type="pct"/>
            <w:gridSpan w:val="2"/>
            <w:vAlign w:val="center"/>
          </w:tcPr>
          <w:p>
            <w:pPr>
              <w:adjustRightInd w:val="0"/>
              <w:snapToGrid w:val="0"/>
              <w:jc w:val="center"/>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656" w:type="pct"/>
            <w:vAlign w:val="center"/>
          </w:tcPr>
          <w:p>
            <w:pPr>
              <w:adjustRightInd w:val="0"/>
              <w:snapToGrid w:val="0"/>
              <w:jc w:val="center"/>
              <w:rPr>
                <w:color w:val="auto"/>
                <w:szCs w:val="21"/>
              </w:rPr>
            </w:pPr>
            <w:r>
              <w:rPr>
                <w:color w:val="auto"/>
                <w:szCs w:val="21"/>
              </w:rPr>
              <w:t>固体废物</w:t>
            </w:r>
          </w:p>
        </w:tc>
        <w:tc>
          <w:tcPr>
            <w:tcW w:w="4343" w:type="pct"/>
            <w:gridSpan w:val="6"/>
            <w:vAlign w:val="center"/>
          </w:tcPr>
          <w:p>
            <w:pPr>
              <w:adjustRightInd w:val="0"/>
              <w:snapToGrid w:val="0"/>
              <w:ind w:firstLine="420" w:firstLineChars="200"/>
              <w:rPr>
                <w:color w:val="auto"/>
                <w:szCs w:val="21"/>
              </w:rPr>
            </w:pPr>
            <w:r>
              <w:rPr>
                <w:color w:val="auto"/>
                <w:szCs w:val="21"/>
              </w:rPr>
              <w:t>本项目</w:t>
            </w:r>
            <w:r>
              <w:rPr>
                <w:rFonts w:hint="eastAsia"/>
                <w:color w:val="auto"/>
                <w:szCs w:val="21"/>
                <w:lang w:eastAsia="zh-CN"/>
              </w:rPr>
              <w:t>设置</w:t>
            </w:r>
            <w:r>
              <w:rPr>
                <w:rFonts w:hint="eastAsia"/>
                <w:color w:val="auto"/>
                <w:szCs w:val="21"/>
              </w:rPr>
              <w:t>一</w:t>
            </w:r>
            <w:r>
              <w:rPr>
                <w:color w:val="auto"/>
                <w:szCs w:val="21"/>
              </w:rPr>
              <w:t>般固废仓库</w:t>
            </w:r>
            <w:r>
              <w:rPr>
                <w:rFonts w:hint="eastAsia"/>
                <w:color w:val="auto"/>
                <w:szCs w:val="21"/>
              </w:rPr>
              <w:t>300</w:t>
            </w:r>
            <w:r>
              <w:rPr>
                <w:color w:val="auto"/>
                <w:szCs w:val="21"/>
              </w:rPr>
              <w:t>m</w:t>
            </w:r>
            <w:r>
              <w:rPr>
                <w:color w:val="auto"/>
                <w:szCs w:val="21"/>
                <w:vertAlign w:val="superscript"/>
              </w:rPr>
              <w:t>2</w:t>
            </w:r>
            <w:r>
              <w:rPr>
                <w:color w:val="auto"/>
                <w:szCs w:val="21"/>
              </w:rPr>
              <w:t>，一般固废贮存按照《一般工业固体废物贮存和填埋 污染控制标准》（GB18599-2020）贮存。</w:t>
            </w:r>
          </w:p>
          <w:p>
            <w:pPr>
              <w:adjustRightInd w:val="0"/>
              <w:snapToGrid w:val="0"/>
              <w:ind w:firstLine="420" w:firstLineChars="200"/>
              <w:rPr>
                <w:color w:val="auto"/>
                <w:szCs w:val="21"/>
              </w:rPr>
            </w:pPr>
            <w:r>
              <w:rPr>
                <w:color w:val="auto"/>
                <w:szCs w:val="21"/>
              </w:rPr>
              <w:t>本项目</w:t>
            </w:r>
            <w:r>
              <w:rPr>
                <w:rFonts w:hint="eastAsia"/>
                <w:color w:val="auto"/>
                <w:szCs w:val="21"/>
                <w:lang w:eastAsia="zh-CN"/>
              </w:rPr>
              <w:t>设置</w:t>
            </w:r>
            <w:r>
              <w:rPr>
                <w:rFonts w:hint="eastAsia"/>
                <w:color w:val="auto"/>
                <w:szCs w:val="21"/>
              </w:rPr>
              <w:t>30m</w:t>
            </w:r>
            <w:r>
              <w:rPr>
                <w:rFonts w:hint="eastAsia"/>
                <w:color w:val="auto"/>
                <w:szCs w:val="21"/>
                <w:vertAlign w:val="superscript"/>
              </w:rPr>
              <w:t>2</w:t>
            </w:r>
            <w:r>
              <w:rPr>
                <w:rFonts w:hint="eastAsia"/>
                <w:color w:val="auto"/>
                <w:szCs w:val="21"/>
              </w:rPr>
              <w:t>危废仓库，</w:t>
            </w:r>
            <w:r>
              <w:rPr>
                <w:color w:val="auto"/>
                <w:szCs w:val="21"/>
              </w:rPr>
              <w:t>危险废物贮存按照《危险废物贮存污染控制标准》（GB18597-2001）及修改单要求、《危险废物收集储存运输技术规范》（HJ2025-2012）相关规定要求以及《省生态环境厅关于进一步加强危险废物污染防治工作的实施意见》（苏环办[2019]327号）要求进行危险废物的贮存；建设项目产生的</w:t>
            </w:r>
            <w:r>
              <w:rPr>
                <w:rFonts w:hint="eastAsia"/>
                <w:color w:val="auto"/>
                <w:szCs w:val="21"/>
              </w:rPr>
              <w:t>脱脂废渣（液）、陶化废渣（液）、</w:t>
            </w:r>
            <w:r>
              <w:rPr>
                <w:rFonts w:hint="eastAsia"/>
                <w:color w:val="auto"/>
              </w:rPr>
              <w:t>废包装桶、废活性炭、废油、含油废抹布手套、废油类包装桶、压滤污泥、浓缩蒸发液、废水过滤材料</w:t>
            </w:r>
            <w:r>
              <w:rPr>
                <w:color w:val="auto"/>
                <w:szCs w:val="21"/>
              </w:rPr>
              <w:t>危险废物分类密封、分区存放，委托有资质单位处置。全厂固废得到有效处置，零排放，对周围环境无明显影响。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656" w:type="pct"/>
            <w:vAlign w:val="center"/>
          </w:tcPr>
          <w:p>
            <w:pPr>
              <w:adjustRightInd w:val="0"/>
              <w:snapToGrid w:val="0"/>
              <w:jc w:val="center"/>
              <w:rPr>
                <w:color w:val="auto"/>
                <w:szCs w:val="21"/>
              </w:rPr>
            </w:pPr>
            <w:r>
              <w:rPr>
                <w:rFonts w:hint="eastAsia"/>
                <w:color w:val="auto"/>
                <w:szCs w:val="21"/>
              </w:rPr>
              <w:t>振动</w:t>
            </w:r>
          </w:p>
        </w:tc>
        <w:tc>
          <w:tcPr>
            <w:tcW w:w="3169" w:type="pct"/>
            <w:gridSpan w:val="5"/>
            <w:vAlign w:val="center"/>
          </w:tcPr>
          <w:p>
            <w:pPr>
              <w:tabs>
                <w:tab w:val="left" w:pos="3635"/>
              </w:tabs>
              <w:ind w:firstLine="420" w:firstLineChars="200"/>
              <w:rPr>
                <w:color w:val="auto"/>
                <w:szCs w:val="21"/>
              </w:rPr>
            </w:pPr>
            <w:r>
              <w:rPr>
                <w:color w:val="auto"/>
                <w:szCs w:val="21"/>
              </w:rPr>
              <w:t>建设单位拟在冲床设备与地面基础之间设置橡胶隔振垫，橡胶隔振垫振动级的衰减量可达到10dB，通过橡胶垫减振后，最大振动可减至60dB。</w:t>
            </w:r>
          </w:p>
        </w:tc>
        <w:tc>
          <w:tcPr>
            <w:tcW w:w="1174" w:type="pct"/>
            <w:vAlign w:val="center"/>
          </w:tcPr>
          <w:p>
            <w:pPr>
              <w:adjustRightInd w:val="0"/>
              <w:snapToGrid w:val="0"/>
              <w:jc w:val="left"/>
              <w:rPr>
                <w:color w:val="auto"/>
                <w:szCs w:val="21"/>
              </w:rPr>
            </w:pPr>
            <w:r>
              <w:rPr>
                <w:color w:val="auto"/>
                <w:szCs w:val="21"/>
              </w:rPr>
              <w:t>《城市区域环境振动标准》（GB10070-88）</w:t>
            </w:r>
            <w:r>
              <w:rPr>
                <w:color w:val="auto"/>
                <w:szCs w:val="21"/>
                <w:shd w:val="clear" w:color="auto" w:fill="FFFFFF"/>
              </w:rPr>
              <w:t>工业集中区</w:t>
            </w:r>
            <w:r>
              <w:rPr>
                <w:rFonts w:hint="eastAsia"/>
                <w:color w:val="auto"/>
                <w:szCs w:val="21"/>
                <w:shd w:val="clear" w:color="auto" w:fill="FFFFFF"/>
              </w:rPr>
              <w:t>昼间</w:t>
            </w:r>
            <w:r>
              <w:rPr>
                <w:color w:val="auto"/>
                <w:szCs w:val="21"/>
                <w:shd w:val="clear" w:color="auto" w:fill="FFFFFF"/>
              </w:rPr>
              <w:t>75</w:t>
            </w:r>
            <w:r>
              <w:rPr>
                <w:color w:val="auto"/>
                <w:szCs w:val="21"/>
              </w:rPr>
              <w:t>dB</w:t>
            </w:r>
            <w:r>
              <w:rPr>
                <w:color w:val="auto"/>
                <w:szCs w:val="21"/>
                <w:shd w:val="clear" w:color="auto" w:fill="FFFFFF"/>
              </w:rPr>
              <w:t>，</w:t>
            </w:r>
            <w:r>
              <w:rPr>
                <w:rFonts w:hint="eastAsia"/>
                <w:color w:val="auto"/>
                <w:szCs w:val="21"/>
                <w:shd w:val="clear" w:color="auto" w:fill="FFFFFF"/>
              </w:rPr>
              <w:t>夜间</w:t>
            </w:r>
            <w:r>
              <w:rPr>
                <w:color w:val="auto"/>
                <w:szCs w:val="21"/>
                <w:shd w:val="clear" w:color="auto" w:fill="FFFFFF"/>
              </w:rPr>
              <w:t>72</w:t>
            </w:r>
            <w:r>
              <w:rPr>
                <w:color w:val="auto"/>
                <w:szCs w:val="21"/>
              </w:rPr>
              <w:t>dB</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19" w:hRule="atLeast"/>
          <w:jc w:val="center"/>
        </w:trPr>
        <w:tc>
          <w:tcPr>
            <w:tcW w:w="656" w:type="pct"/>
            <w:vAlign w:val="center"/>
          </w:tcPr>
          <w:p>
            <w:pPr>
              <w:adjustRightInd w:val="0"/>
              <w:snapToGrid w:val="0"/>
              <w:jc w:val="center"/>
              <w:rPr>
                <w:color w:val="auto"/>
                <w:szCs w:val="21"/>
              </w:rPr>
            </w:pPr>
            <w:r>
              <w:rPr>
                <w:color w:val="auto"/>
                <w:szCs w:val="21"/>
              </w:rPr>
              <w:t>土壤及地下水</w:t>
            </w:r>
          </w:p>
          <w:p>
            <w:pPr>
              <w:adjustRightInd w:val="0"/>
              <w:snapToGrid w:val="0"/>
              <w:jc w:val="center"/>
              <w:rPr>
                <w:color w:val="auto"/>
                <w:szCs w:val="21"/>
              </w:rPr>
            </w:pPr>
            <w:r>
              <w:rPr>
                <w:color w:val="auto"/>
                <w:szCs w:val="21"/>
              </w:rPr>
              <w:t>污染防治措施</w:t>
            </w:r>
          </w:p>
        </w:tc>
        <w:tc>
          <w:tcPr>
            <w:tcW w:w="4343" w:type="pct"/>
            <w:gridSpan w:val="6"/>
            <w:vAlign w:val="center"/>
          </w:tcPr>
          <w:p>
            <w:pPr>
              <w:adjustRightInd w:val="0"/>
              <w:snapToGrid w:val="0"/>
              <w:ind w:firstLine="420" w:firstLineChars="200"/>
              <w:rPr>
                <w:color w:val="auto"/>
                <w:szCs w:val="21"/>
              </w:rPr>
            </w:pPr>
            <w:r>
              <w:rPr>
                <w:color w:val="auto"/>
                <w:szCs w:val="21"/>
              </w:rPr>
              <w:t>项目采取“源头控制”、“分区防控”的防渗措施，废气均经合理处置后达标排放，固废均堆放于室内，满足“防风、防雨、防晒”的要求，建立一般固废堆放场、危废堆放场，合理分类收集堆放，一般固废堆放场采取“黏土铺底+水泥硬化”的防渗措施、危废堆放场采取“黏土铺底+水泥硬化+环氧地坪”、“液体废桶配套托盘”的防渗措施，废液储存配套有防渗漏托盘，杜绝固废接触土壤及室外堆放，防止降水淋溶、地表径流，危废定期委托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56" w:type="pct"/>
            <w:vAlign w:val="center"/>
          </w:tcPr>
          <w:p>
            <w:pPr>
              <w:adjustRightInd w:val="0"/>
              <w:snapToGrid w:val="0"/>
              <w:jc w:val="center"/>
              <w:rPr>
                <w:color w:val="auto"/>
                <w:szCs w:val="21"/>
              </w:rPr>
            </w:pPr>
            <w:r>
              <w:rPr>
                <w:color w:val="auto"/>
                <w:szCs w:val="21"/>
              </w:rPr>
              <w:t>生态保护措施</w:t>
            </w:r>
          </w:p>
        </w:tc>
        <w:tc>
          <w:tcPr>
            <w:tcW w:w="4343" w:type="pct"/>
            <w:gridSpan w:val="6"/>
            <w:vAlign w:val="center"/>
          </w:tcPr>
          <w:p>
            <w:pPr>
              <w:adjustRightInd w:val="0"/>
              <w:snapToGrid w:val="0"/>
              <w:ind w:firstLine="420" w:firstLineChars="200"/>
              <w:jc w:val="left"/>
              <w:rPr>
                <w:color w:val="auto"/>
                <w:szCs w:val="21"/>
              </w:rPr>
            </w:pPr>
            <w:r>
              <w:rPr>
                <w:color w:val="auto"/>
                <w:szCs w:val="21"/>
              </w:rPr>
              <w:t>项目产生的废气、噪声和固体废物经过合理处置后达标排放，对生态影响较小。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2" w:hRule="atLeast"/>
          <w:jc w:val="center"/>
        </w:trPr>
        <w:tc>
          <w:tcPr>
            <w:tcW w:w="656" w:type="pct"/>
            <w:vAlign w:val="center"/>
          </w:tcPr>
          <w:p>
            <w:pPr>
              <w:adjustRightInd w:val="0"/>
              <w:snapToGrid w:val="0"/>
              <w:jc w:val="center"/>
              <w:rPr>
                <w:color w:val="auto"/>
                <w:spacing w:val="-8"/>
                <w:szCs w:val="21"/>
              </w:rPr>
            </w:pPr>
            <w:r>
              <w:rPr>
                <w:color w:val="auto"/>
                <w:spacing w:val="-8"/>
                <w:szCs w:val="21"/>
              </w:rPr>
              <w:t>环境风险</w:t>
            </w:r>
          </w:p>
          <w:p>
            <w:pPr>
              <w:adjustRightInd w:val="0"/>
              <w:snapToGrid w:val="0"/>
              <w:jc w:val="center"/>
              <w:rPr>
                <w:color w:val="auto"/>
                <w:spacing w:val="-8"/>
                <w:szCs w:val="21"/>
              </w:rPr>
            </w:pPr>
            <w:r>
              <w:rPr>
                <w:color w:val="auto"/>
                <w:spacing w:val="-8"/>
                <w:szCs w:val="21"/>
              </w:rPr>
              <w:t>防范措施</w:t>
            </w:r>
          </w:p>
        </w:tc>
        <w:tc>
          <w:tcPr>
            <w:tcW w:w="4343" w:type="pct"/>
            <w:gridSpan w:val="6"/>
            <w:vAlign w:val="center"/>
          </w:tcPr>
          <w:p>
            <w:pPr>
              <w:pStyle w:val="50"/>
              <w:snapToGrid w:val="0"/>
              <w:spacing w:before="159" w:beforeLines="50" w:line="240" w:lineRule="auto"/>
              <w:ind w:firstLine="42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①从生产管理、危险化学品贮存、工艺技术设计、自动控制设计、电气及电讯、消防及火灾报警系统等方面制定相应的环境风险防范措施。</w:t>
            </w:r>
          </w:p>
          <w:p>
            <w:pPr>
              <w:ind w:firstLine="420" w:firstLineChars="200"/>
              <w:rPr>
                <w:color w:val="auto"/>
                <w:szCs w:val="21"/>
              </w:rPr>
            </w:pPr>
            <w:r>
              <w:rPr>
                <w:color w:val="auto"/>
                <w:szCs w:val="21"/>
              </w:rPr>
              <w:t>②提高设备自动控制水平，设置集中控制室、工人操作值班室等，对关键设备的操作条件进行自动控制及安全报警，及时预报和切断泄漏源，在紧急情况下可自动停车，以减少和降低危险出现概率。</w:t>
            </w:r>
          </w:p>
          <w:p>
            <w:pPr>
              <w:ind w:firstLine="420" w:firstLineChars="200"/>
              <w:rPr>
                <w:color w:val="auto"/>
                <w:szCs w:val="21"/>
              </w:rPr>
            </w:pPr>
            <w:r>
              <w:rPr>
                <w:color w:val="auto"/>
                <w:szCs w:val="21"/>
              </w:rPr>
              <w:t>③本项目</w:t>
            </w:r>
            <w:r>
              <w:rPr>
                <w:rFonts w:hint="eastAsia"/>
                <w:color w:val="auto"/>
                <w:szCs w:val="21"/>
              </w:rPr>
              <w:t>脱脂液</w:t>
            </w:r>
            <w:r>
              <w:rPr>
                <w:color w:val="auto"/>
                <w:szCs w:val="21"/>
              </w:rPr>
              <w:t>、</w:t>
            </w:r>
            <w:r>
              <w:rPr>
                <w:rFonts w:hint="eastAsia"/>
                <w:color w:val="auto"/>
                <w:szCs w:val="21"/>
              </w:rPr>
              <w:t>脱脂助剂</w:t>
            </w:r>
            <w:r>
              <w:rPr>
                <w:color w:val="auto"/>
                <w:szCs w:val="21"/>
              </w:rPr>
              <w:t>、无磷转化剂、硅烷处理剂、</w:t>
            </w:r>
            <w:r>
              <w:rPr>
                <w:rFonts w:hint="eastAsia"/>
                <w:color w:val="auto"/>
                <w:szCs w:val="21"/>
              </w:rPr>
              <w:t>液压油、润滑油</w:t>
            </w:r>
            <w:r>
              <w:rPr>
                <w:color w:val="auto"/>
                <w:szCs w:val="21"/>
              </w:rPr>
              <w:t>等原料均使用桶装，定期检查桶的密封性，谨防泄露，加强风险源监控。</w:t>
            </w:r>
          </w:p>
          <w:p>
            <w:pPr>
              <w:autoSpaceDE w:val="0"/>
              <w:autoSpaceDN w:val="0"/>
              <w:ind w:firstLine="420" w:firstLineChars="200"/>
              <w:rPr>
                <w:color w:val="auto"/>
                <w:szCs w:val="21"/>
              </w:rPr>
            </w:pPr>
            <w:r>
              <w:rPr>
                <w:color w:val="auto"/>
                <w:szCs w:val="21"/>
              </w:rPr>
              <w:t>④加强废气处理设施监管，定期进行环境安全隐患排查。若废气处理设施发生故障后，需立即停车停止生产，杜绝废气事故排放，严格管控废气对生态环境的影响。</w:t>
            </w:r>
          </w:p>
          <w:p>
            <w:pPr>
              <w:ind w:firstLine="420" w:firstLineChars="200"/>
              <w:rPr>
                <w:color w:val="auto"/>
                <w:szCs w:val="21"/>
              </w:rPr>
            </w:pPr>
            <w:r>
              <w:rPr>
                <w:color w:val="auto"/>
                <w:szCs w:val="21"/>
              </w:rPr>
              <w:t>⑤</w:t>
            </w:r>
            <w:r>
              <w:rPr>
                <w:color w:val="auto"/>
                <w:szCs w:val="21"/>
                <w:lang w:val="zh-CN"/>
              </w:rPr>
              <w:t>设置办公室专职安全员，并注重引鉴同类生产工艺中操作经验，形成了有效的管理制度。</w:t>
            </w:r>
            <w:r>
              <w:rPr>
                <w:color w:val="auto"/>
                <w:szCs w:val="21"/>
              </w:rPr>
              <w:t>加强管理，提高操作人员业务素质。</w:t>
            </w:r>
          </w:p>
          <w:p>
            <w:pPr>
              <w:autoSpaceDE w:val="0"/>
              <w:autoSpaceDN w:val="0"/>
              <w:ind w:firstLine="420" w:firstLineChars="200"/>
              <w:rPr>
                <w:color w:val="auto"/>
                <w:szCs w:val="21"/>
              </w:rPr>
            </w:pPr>
            <w:r>
              <w:rPr>
                <w:color w:val="auto"/>
                <w:szCs w:val="21"/>
              </w:rPr>
              <w:t>⑥本项目危废堆场设置标志，配备通讯设备、照明设施和消防设施，根据危险废物的种类和特性进行分区、分类贮存，设置防雨、防火、防雷、防扬散、防渗漏装置及泄漏液体收集装置。</w:t>
            </w:r>
          </w:p>
          <w:p>
            <w:pPr>
              <w:pStyle w:val="16"/>
              <w:spacing w:after="0"/>
              <w:ind w:left="0" w:leftChars="0"/>
              <w:rPr>
                <w:color w:val="auto"/>
                <w:kern w:val="2"/>
                <w:szCs w:val="21"/>
              </w:rPr>
            </w:pPr>
            <w:r>
              <w:rPr>
                <w:color w:val="auto"/>
                <w:kern w:val="2"/>
                <w:szCs w:val="21"/>
              </w:rPr>
              <w:t>⑦在雨水排口设置雨水切断阀，并对事故废水进行收集，避免事故废水对周围环境产生影响。</w:t>
            </w:r>
          </w:p>
          <w:p>
            <w:pPr>
              <w:pStyle w:val="17"/>
              <w:spacing w:before="0" w:after="0"/>
              <w:ind w:firstLineChars="200"/>
              <w:rPr>
                <w:color w:val="auto"/>
                <w:szCs w:val="21"/>
              </w:rPr>
            </w:pPr>
            <w:r>
              <w:rPr>
                <w:color w:val="auto"/>
                <w:kern w:val="2"/>
                <w:szCs w:val="21"/>
              </w:rPr>
              <w:t>⑧建议根据要求编制突发环境应急预案并备案，并按照要求进行定期演练。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pct"/>
            <w:vAlign w:val="center"/>
          </w:tcPr>
          <w:p>
            <w:pPr>
              <w:adjustRightInd w:val="0"/>
              <w:snapToGrid w:val="0"/>
              <w:jc w:val="center"/>
              <w:rPr>
                <w:color w:val="auto"/>
                <w:spacing w:val="-8"/>
                <w:szCs w:val="21"/>
              </w:rPr>
            </w:pPr>
            <w:r>
              <w:rPr>
                <w:color w:val="auto"/>
                <w:spacing w:val="-8"/>
                <w:szCs w:val="21"/>
              </w:rPr>
              <w:t>其他环境</w:t>
            </w:r>
          </w:p>
          <w:p>
            <w:pPr>
              <w:adjustRightInd w:val="0"/>
              <w:snapToGrid w:val="0"/>
              <w:jc w:val="center"/>
              <w:rPr>
                <w:color w:val="auto"/>
                <w:spacing w:val="-8"/>
                <w:szCs w:val="21"/>
              </w:rPr>
            </w:pPr>
            <w:r>
              <w:rPr>
                <w:color w:val="auto"/>
                <w:spacing w:val="-8"/>
                <w:szCs w:val="21"/>
              </w:rPr>
              <w:t>管理要求</w:t>
            </w:r>
          </w:p>
        </w:tc>
        <w:tc>
          <w:tcPr>
            <w:tcW w:w="4343" w:type="pct"/>
            <w:gridSpan w:val="6"/>
          </w:tcPr>
          <w:p>
            <w:pPr>
              <w:ind w:firstLine="420" w:firstLineChars="200"/>
              <w:rPr>
                <w:color w:val="auto"/>
                <w:szCs w:val="21"/>
              </w:rPr>
            </w:pPr>
            <w:r>
              <w:rPr>
                <w:color w:val="auto"/>
                <w:szCs w:val="21"/>
              </w:rPr>
              <w:t>1、建设单位严格执行《排污许可管理条例（国令第736号》。</w:t>
            </w:r>
          </w:p>
          <w:p>
            <w:pPr>
              <w:ind w:firstLine="420" w:firstLineChars="200"/>
              <w:rPr>
                <w:color w:val="auto"/>
                <w:szCs w:val="21"/>
              </w:rPr>
            </w:pPr>
            <w:r>
              <w:rPr>
                <w:color w:val="auto"/>
                <w:szCs w:val="21"/>
              </w:rPr>
              <w:t>2、根据《江苏省排污口设置及规范化整治管理办法》规定，对排污口进行规范化整治。</w:t>
            </w:r>
          </w:p>
          <w:p>
            <w:pPr>
              <w:ind w:firstLine="420" w:firstLineChars="200"/>
              <w:rPr>
                <w:color w:val="auto"/>
                <w:szCs w:val="21"/>
              </w:rPr>
            </w:pPr>
            <w:r>
              <w:rPr>
                <w:color w:val="auto"/>
                <w:szCs w:val="21"/>
              </w:rPr>
              <w:t>3、建设单位要严格执行“三同时”，切实做到环保治理设施与主体工程同时设计、同时施工、同时投产使用。</w:t>
            </w:r>
          </w:p>
          <w:p>
            <w:pPr>
              <w:ind w:firstLine="420" w:firstLineChars="200"/>
              <w:rPr>
                <w:color w:val="auto"/>
                <w:szCs w:val="21"/>
              </w:rPr>
            </w:pPr>
            <w:r>
              <w:rPr>
                <w:color w:val="auto"/>
                <w:szCs w:val="21"/>
              </w:rPr>
              <w:t>4、各类原辅材料、生产固废应分类贮存，及时清运，防止堆积、泄漏，以免对周围环境产生影响。</w:t>
            </w:r>
          </w:p>
          <w:p>
            <w:pPr>
              <w:ind w:firstLine="420" w:firstLineChars="200"/>
              <w:rPr>
                <w:color w:val="auto"/>
                <w:szCs w:val="21"/>
              </w:rPr>
            </w:pPr>
            <w:r>
              <w:rPr>
                <w:color w:val="auto"/>
                <w:szCs w:val="21"/>
              </w:rPr>
              <w:t>5、加强废气污染治理设施的运行管理和维护保养的管理，加强车间通风换气。</w:t>
            </w:r>
          </w:p>
          <w:p>
            <w:pPr>
              <w:ind w:firstLine="420" w:firstLineChars="200"/>
              <w:rPr>
                <w:color w:val="auto"/>
                <w:szCs w:val="21"/>
              </w:rPr>
            </w:pPr>
            <w:r>
              <w:rPr>
                <w:color w:val="auto"/>
                <w:szCs w:val="21"/>
              </w:rPr>
              <w:t>6、建议加强生产车间、危废仓库、化学品仓库等环境风险单元的风险防治措施，加强污染设施安全风险自查，排除环保设施安全及环境风险隐患。</w:t>
            </w:r>
          </w:p>
          <w:p>
            <w:pPr>
              <w:ind w:firstLine="420" w:firstLineChars="200"/>
              <w:rPr>
                <w:color w:val="auto"/>
                <w:szCs w:val="21"/>
              </w:rPr>
            </w:pPr>
            <w:r>
              <w:rPr>
                <w:color w:val="auto"/>
                <w:szCs w:val="21"/>
              </w:rPr>
              <w:t>7、本项目建成后全厂卫生防护距离为以</w:t>
            </w:r>
            <w:r>
              <w:rPr>
                <w:rFonts w:hint="eastAsia"/>
                <w:color w:val="auto"/>
                <w:szCs w:val="21"/>
              </w:rPr>
              <w:t>车间一</w:t>
            </w:r>
            <w:r>
              <w:rPr>
                <w:color w:val="auto"/>
                <w:szCs w:val="21"/>
              </w:rPr>
              <w:t>为边界</w:t>
            </w:r>
            <w:r>
              <w:rPr>
                <w:rFonts w:hint="eastAsia"/>
                <w:color w:val="auto"/>
                <w:szCs w:val="21"/>
              </w:rPr>
              <w:t>50</w:t>
            </w:r>
            <w:r>
              <w:rPr>
                <w:color w:val="auto"/>
                <w:szCs w:val="21"/>
              </w:rPr>
              <w:t>m范围内</w:t>
            </w:r>
            <w:r>
              <w:rPr>
                <w:rFonts w:hint="eastAsia"/>
                <w:color w:val="auto"/>
                <w:szCs w:val="21"/>
              </w:rPr>
              <w:t>以及车间三为边界100m范围内</w:t>
            </w:r>
            <w:r>
              <w:rPr>
                <w:color w:val="auto"/>
                <w:szCs w:val="21"/>
              </w:rPr>
              <w:t>形成的包络线。</w:t>
            </w:r>
          </w:p>
          <w:p>
            <w:pPr>
              <w:ind w:firstLine="420" w:firstLineChars="200"/>
              <w:rPr>
                <w:color w:val="auto"/>
                <w:szCs w:val="21"/>
              </w:rPr>
            </w:pPr>
            <w:r>
              <w:rPr>
                <w:color w:val="auto"/>
                <w:szCs w:val="21"/>
              </w:rPr>
              <w:t>8、本项目涉及的安全、消防、卫生等问题不属于本次评价范围，请公司按照国家相关法律法规和有关标准执行。</w:t>
            </w:r>
          </w:p>
          <w:p>
            <w:pPr>
              <w:ind w:firstLine="420" w:firstLineChars="200"/>
              <w:rPr>
                <w:color w:val="auto"/>
                <w:szCs w:val="21"/>
              </w:rPr>
            </w:pPr>
          </w:p>
          <w:p>
            <w:pPr>
              <w:ind w:firstLine="420" w:firstLineChars="200"/>
              <w:rPr>
                <w:color w:val="auto"/>
                <w:szCs w:val="21"/>
              </w:rPr>
            </w:pPr>
          </w:p>
          <w:p>
            <w:pPr>
              <w:ind w:firstLine="420" w:firstLineChars="200"/>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pStyle w:val="3"/>
              <w:numPr>
                <w:ilvl w:val="0"/>
                <w:numId w:val="0"/>
              </w:numPr>
              <w:rPr>
                <w:color w:val="auto"/>
                <w:szCs w:val="21"/>
              </w:rPr>
            </w:pPr>
          </w:p>
          <w:p>
            <w:pPr>
              <w:rPr>
                <w:color w:val="auto"/>
                <w:szCs w:val="21"/>
              </w:rPr>
            </w:pPr>
          </w:p>
        </w:tc>
      </w:tr>
    </w:tbl>
    <w:p>
      <w:pPr>
        <w:pStyle w:val="23"/>
        <w:jc w:val="center"/>
        <w:outlineLvl w:val="0"/>
        <w:rPr>
          <w:rFonts w:ascii="Times New Roman" w:hAnsi="Times New Roman"/>
          <w:snapToGrid w:val="0"/>
          <w:color w:val="auto"/>
        </w:rPr>
        <w:sectPr>
          <w:pgSz w:w="11906" w:h="16838"/>
          <w:pgMar w:top="1440" w:right="1797" w:bottom="1440" w:left="1797" w:header="851" w:footer="992" w:gutter="0"/>
          <w:pgBorders>
            <w:top w:val="none" w:sz="0" w:space="0"/>
            <w:left w:val="none" w:sz="0" w:space="0"/>
            <w:bottom w:val="none" w:sz="0" w:space="0"/>
            <w:right w:val="none" w:sz="0" w:space="0"/>
          </w:pgBorders>
          <w:cols w:space="0" w:num="1"/>
          <w:docGrid w:type="lines" w:linePitch="319" w:charSpace="0"/>
        </w:sectPr>
      </w:pPr>
    </w:p>
    <w:p>
      <w:pPr>
        <w:pStyle w:val="23"/>
        <w:jc w:val="center"/>
        <w:outlineLvl w:val="0"/>
        <w:rPr>
          <w:rFonts w:ascii="Times New Roman" w:hAnsi="Times New Roman"/>
          <w:snapToGrid w:val="0"/>
          <w:color w:val="auto"/>
          <w:sz w:val="30"/>
          <w:szCs w:val="30"/>
        </w:rPr>
      </w:pPr>
      <w:r>
        <w:rPr>
          <w:rFonts w:ascii="Times New Roman" w:hAnsi="Times New Roman" w:eastAsia="黑体"/>
          <w:snapToGrid w:val="0"/>
          <w:color w:val="auto"/>
          <w:sz w:val="30"/>
          <w:szCs w:val="30"/>
        </w:rPr>
        <w:t>六、结论</w:t>
      </w:r>
      <w:r>
        <w:rPr>
          <w:color w:val="auto"/>
        </w:rPr>
        <w:commentReference w:id="37"/>
      </w:r>
    </w:p>
    <w:tbl>
      <w:tblPr>
        <w:tblStyle w:val="26"/>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7" w:hRule="atLeast"/>
          <w:jc w:val="center"/>
        </w:trPr>
        <w:tc>
          <w:tcPr>
            <w:tcW w:w="8800" w:type="dxa"/>
            <w:vAlign w:val="center"/>
          </w:tcPr>
          <w:p>
            <w:pPr>
              <w:adjustRightInd w:val="0"/>
              <w:snapToGrid w:val="0"/>
              <w:spacing w:line="360" w:lineRule="auto"/>
              <w:ind w:firstLine="480" w:firstLineChars="200"/>
              <w:rPr>
                <w:snapToGrid w:val="0"/>
                <w:color w:val="auto"/>
                <w:kern w:val="0"/>
                <w:sz w:val="24"/>
              </w:rPr>
            </w:pPr>
            <w:r>
              <w:rPr>
                <w:snapToGrid w:val="0"/>
                <w:color w:val="auto"/>
                <w:kern w:val="0"/>
                <w:sz w:val="24"/>
              </w:rPr>
              <w:t>本项目运营期产生的各类污染物在采取合理有效的污染防治措施后，排放总量如下：</w:t>
            </w:r>
          </w:p>
          <w:p>
            <w:pPr>
              <w:spacing w:line="360" w:lineRule="auto"/>
              <w:ind w:firstLine="482" w:firstLineChars="200"/>
              <w:rPr>
                <w:rFonts w:hint="eastAsia" w:eastAsia="宋体"/>
                <w:snapToGrid w:val="0"/>
                <w:color w:val="auto"/>
                <w:kern w:val="0"/>
                <w:sz w:val="24"/>
                <w:lang w:eastAsia="zh-CN"/>
              </w:rPr>
            </w:pPr>
            <w:r>
              <w:rPr>
                <w:b/>
                <w:bCs/>
                <w:snapToGrid w:val="0"/>
                <w:color w:val="auto"/>
                <w:kern w:val="0"/>
                <w:sz w:val="24"/>
              </w:rPr>
              <w:t>废气污染物：</w:t>
            </w:r>
            <w:r>
              <w:rPr>
                <w:snapToGrid w:val="0"/>
                <w:color w:val="auto"/>
                <w:kern w:val="0"/>
                <w:sz w:val="24"/>
              </w:rPr>
              <w:t>（有组织）颗粒物≤</w:t>
            </w:r>
            <w:r>
              <w:rPr>
                <w:rFonts w:hint="eastAsia"/>
                <w:snapToGrid w:val="0"/>
                <w:color w:val="auto"/>
                <w:kern w:val="0"/>
                <w:sz w:val="24"/>
              </w:rPr>
              <w:t>0.3365</w:t>
            </w:r>
            <w:r>
              <w:rPr>
                <w:snapToGrid w:val="0"/>
                <w:color w:val="auto"/>
                <w:kern w:val="0"/>
                <w:sz w:val="24"/>
              </w:rPr>
              <w:t>吨/年、二氧化硫≤</w:t>
            </w:r>
            <w:r>
              <w:rPr>
                <w:rFonts w:hint="eastAsia"/>
                <w:snapToGrid w:val="0"/>
                <w:color w:val="auto"/>
                <w:kern w:val="0"/>
                <w:sz w:val="24"/>
              </w:rPr>
              <w:t>0.0072</w:t>
            </w:r>
            <w:r>
              <w:rPr>
                <w:snapToGrid w:val="0"/>
                <w:color w:val="auto"/>
                <w:kern w:val="0"/>
                <w:sz w:val="24"/>
              </w:rPr>
              <w:t>吨/年、氮氧化物≤</w:t>
            </w:r>
            <w:r>
              <w:rPr>
                <w:rFonts w:hint="eastAsia"/>
                <w:snapToGrid w:val="0"/>
                <w:color w:val="auto"/>
                <w:kern w:val="0"/>
                <w:sz w:val="24"/>
              </w:rPr>
              <w:t>0.2857</w:t>
            </w:r>
            <w:r>
              <w:rPr>
                <w:snapToGrid w:val="0"/>
                <w:color w:val="auto"/>
                <w:kern w:val="0"/>
                <w:sz w:val="24"/>
              </w:rPr>
              <w:t>吨/年、非甲烷总烃≤</w:t>
            </w:r>
            <w:r>
              <w:rPr>
                <w:rFonts w:hint="eastAsia"/>
                <w:snapToGrid w:val="0"/>
                <w:color w:val="auto"/>
                <w:kern w:val="0"/>
                <w:sz w:val="24"/>
              </w:rPr>
              <w:t>0.0513</w:t>
            </w:r>
            <w:r>
              <w:rPr>
                <w:snapToGrid w:val="0"/>
                <w:color w:val="auto"/>
                <w:kern w:val="0"/>
                <w:sz w:val="24"/>
              </w:rPr>
              <w:t>吨/年；（无组织）颗粒物≤</w:t>
            </w:r>
            <w:r>
              <w:rPr>
                <w:rFonts w:hint="eastAsia"/>
                <w:snapToGrid w:val="0"/>
                <w:color w:val="auto"/>
                <w:kern w:val="0"/>
                <w:sz w:val="24"/>
              </w:rPr>
              <w:t>0.</w:t>
            </w:r>
            <w:r>
              <w:rPr>
                <w:rFonts w:hint="eastAsia"/>
                <w:snapToGrid w:val="0"/>
                <w:color w:val="auto"/>
                <w:kern w:val="0"/>
                <w:sz w:val="24"/>
                <w:lang w:val="en-US" w:eastAsia="zh-CN"/>
              </w:rPr>
              <w:t>3082</w:t>
            </w:r>
            <w:r>
              <w:rPr>
                <w:snapToGrid w:val="0"/>
                <w:color w:val="auto"/>
                <w:kern w:val="0"/>
                <w:sz w:val="24"/>
              </w:rPr>
              <w:t>吨/年、非甲烷总烃≤</w:t>
            </w:r>
            <w:r>
              <w:rPr>
                <w:rFonts w:hint="eastAsia"/>
                <w:snapToGrid w:val="0"/>
                <w:color w:val="auto"/>
                <w:kern w:val="0"/>
                <w:sz w:val="24"/>
              </w:rPr>
              <w:t>0.0406</w:t>
            </w:r>
            <w:r>
              <w:rPr>
                <w:snapToGrid w:val="0"/>
                <w:color w:val="auto"/>
                <w:kern w:val="0"/>
                <w:sz w:val="24"/>
              </w:rPr>
              <w:t>吨/年</w:t>
            </w:r>
            <w:r>
              <w:rPr>
                <w:rFonts w:hint="eastAsia"/>
                <w:snapToGrid w:val="0"/>
                <w:color w:val="auto"/>
                <w:kern w:val="0"/>
                <w:sz w:val="24"/>
                <w:lang w:eastAsia="zh-CN"/>
              </w:rPr>
              <w:t>。</w:t>
            </w:r>
          </w:p>
          <w:p>
            <w:pPr>
              <w:adjustRightInd w:val="0"/>
              <w:snapToGrid w:val="0"/>
              <w:spacing w:line="360" w:lineRule="auto"/>
              <w:ind w:firstLine="482" w:firstLineChars="200"/>
              <w:rPr>
                <w:snapToGrid w:val="0"/>
                <w:color w:val="auto"/>
                <w:kern w:val="0"/>
                <w:sz w:val="24"/>
              </w:rPr>
            </w:pPr>
            <w:r>
              <w:rPr>
                <w:b/>
                <w:bCs/>
                <w:snapToGrid w:val="0"/>
                <w:color w:val="auto"/>
                <w:kern w:val="0"/>
                <w:sz w:val="24"/>
              </w:rPr>
              <w:t>废水污染物（接管考核量）：</w:t>
            </w:r>
            <w:r>
              <w:rPr>
                <w:color w:val="auto"/>
                <w:sz w:val="24"/>
              </w:rPr>
              <w:t>废水量≤</w:t>
            </w:r>
            <w:r>
              <w:rPr>
                <w:rFonts w:hint="eastAsia"/>
                <w:color w:val="auto"/>
                <w:sz w:val="24"/>
              </w:rPr>
              <w:t>2436.3</w:t>
            </w:r>
            <w:r>
              <w:rPr>
                <w:color w:val="auto"/>
                <w:sz w:val="24"/>
              </w:rPr>
              <w:t>t/a、COD≤</w:t>
            </w:r>
            <w:r>
              <w:rPr>
                <w:rFonts w:hint="eastAsia"/>
                <w:color w:val="auto"/>
                <w:sz w:val="24"/>
              </w:rPr>
              <w:t>0.</w:t>
            </w:r>
            <w:r>
              <w:rPr>
                <w:rFonts w:hint="eastAsia"/>
                <w:color w:val="auto"/>
                <w:sz w:val="24"/>
                <w:lang w:val="en-US" w:eastAsia="zh-CN"/>
              </w:rPr>
              <w:t>8106</w:t>
            </w:r>
            <w:r>
              <w:rPr>
                <w:color w:val="auto"/>
                <w:sz w:val="24"/>
              </w:rPr>
              <w:t>t/a、SS≤</w:t>
            </w:r>
            <w:r>
              <w:rPr>
                <w:rFonts w:hint="eastAsia"/>
                <w:color w:val="auto"/>
                <w:sz w:val="24"/>
              </w:rPr>
              <w:t>0.</w:t>
            </w:r>
            <w:r>
              <w:rPr>
                <w:rFonts w:hint="eastAsia"/>
                <w:color w:val="auto"/>
                <w:sz w:val="24"/>
                <w:lang w:val="en-US" w:eastAsia="zh-CN"/>
              </w:rPr>
              <w:t>7434</w:t>
            </w:r>
            <w:r>
              <w:rPr>
                <w:color w:val="auto"/>
                <w:sz w:val="24"/>
              </w:rPr>
              <w:t>t/a、氨氮≤0.0</w:t>
            </w:r>
            <w:r>
              <w:rPr>
                <w:rFonts w:hint="eastAsia"/>
                <w:color w:val="auto"/>
                <w:sz w:val="24"/>
              </w:rPr>
              <w:t>662</w:t>
            </w:r>
            <w:r>
              <w:rPr>
                <w:color w:val="auto"/>
                <w:sz w:val="24"/>
              </w:rPr>
              <w:t>t/a、总氮≤0.0</w:t>
            </w:r>
            <w:r>
              <w:rPr>
                <w:rFonts w:hint="eastAsia"/>
                <w:color w:val="auto"/>
                <w:sz w:val="24"/>
              </w:rPr>
              <w:t>756</w:t>
            </w:r>
            <w:r>
              <w:rPr>
                <w:color w:val="auto"/>
                <w:sz w:val="24"/>
              </w:rPr>
              <w:t>t/a、总磷≤0.0</w:t>
            </w:r>
            <w:r>
              <w:rPr>
                <w:rFonts w:hint="eastAsia"/>
                <w:color w:val="auto"/>
                <w:sz w:val="24"/>
              </w:rPr>
              <w:t>095</w:t>
            </w:r>
            <w:r>
              <w:rPr>
                <w:color w:val="auto"/>
                <w:sz w:val="24"/>
              </w:rPr>
              <w:t>t/a</w:t>
            </w:r>
            <w:r>
              <w:rPr>
                <w:snapToGrid w:val="0"/>
                <w:color w:val="auto"/>
                <w:kern w:val="0"/>
                <w:sz w:val="24"/>
              </w:rPr>
              <w:t xml:space="preserve">。 </w:t>
            </w:r>
          </w:p>
          <w:p>
            <w:pPr>
              <w:tabs>
                <w:tab w:val="left" w:pos="7245"/>
              </w:tabs>
              <w:adjustRightInd w:val="0"/>
              <w:snapToGrid w:val="0"/>
              <w:spacing w:line="360" w:lineRule="auto"/>
              <w:ind w:firstLine="482" w:firstLineChars="200"/>
              <w:outlineLvl w:val="0"/>
              <w:rPr>
                <w:color w:val="auto"/>
                <w:sz w:val="24"/>
                <w:szCs w:val="32"/>
              </w:rPr>
            </w:pPr>
            <w:r>
              <w:rPr>
                <w:b/>
                <w:bCs/>
                <w:color w:val="auto"/>
                <w:sz w:val="24"/>
                <w:szCs w:val="32"/>
              </w:rPr>
              <w:t>固体废物：</w:t>
            </w:r>
            <w:r>
              <w:rPr>
                <w:color w:val="auto"/>
                <w:sz w:val="24"/>
                <w:szCs w:val="32"/>
              </w:rPr>
              <w:t>全部综合利用或安全处置。</w:t>
            </w:r>
          </w:p>
          <w:p>
            <w:pPr>
              <w:adjustRightInd w:val="0"/>
              <w:snapToGrid w:val="0"/>
              <w:spacing w:line="360" w:lineRule="auto"/>
              <w:ind w:firstLine="480" w:firstLineChars="200"/>
              <w:rPr>
                <w:color w:val="auto"/>
                <w:sz w:val="24"/>
                <w:szCs w:val="32"/>
              </w:rPr>
            </w:pPr>
            <w:r>
              <w:rPr>
                <w:color w:val="auto"/>
                <w:sz w:val="24"/>
                <w:szCs w:val="32"/>
              </w:rPr>
              <w:t>本项目颗粒物、二氧化硫、氮氧化物、非甲烷总烃的排放总量在</w:t>
            </w:r>
            <w:r>
              <w:rPr>
                <w:rFonts w:hint="eastAsia"/>
                <w:color w:val="auto"/>
                <w:sz w:val="24"/>
                <w:szCs w:val="32"/>
              </w:rPr>
              <w:t>新吴区</w:t>
            </w:r>
            <w:r>
              <w:rPr>
                <w:color w:val="auto"/>
                <w:sz w:val="24"/>
                <w:szCs w:val="32"/>
              </w:rPr>
              <w:t>现有项目总量内平衡；本项目废水排放总量纳入梅村水处理厂排放总量中，在梅村水处理厂的污染物排放总量控制指标内进行平衡。</w:t>
            </w:r>
          </w:p>
          <w:p>
            <w:pPr>
              <w:adjustRightInd w:val="0"/>
              <w:snapToGrid w:val="0"/>
              <w:spacing w:line="360" w:lineRule="auto"/>
              <w:ind w:firstLine="480" w:firstLineChars="200"/>
              <w:rPr>
                <w:color w:val="auto"/>
                <w:sz w:val="24"/>
                <w:szCs w:val="32"/>
              </w:rPr>
            </w:pPr>
            <w:r>
              <w:rPr>
                <w:color w:val="auto"/>
                <w:sz w:val="24"/>
                <w:szCs w:val="32"/>
              </w:rPr>
              <w:t>固废零排放。</w:t>
            </w:r>
          </w:p>
          <w:p>
            <w:pPr>
              <w:adjustRightInd w:val="0"/>
              <w:snapToGrid w:val="0"/>
              <w:spacing w:line="360" w:lineRule="auto"/>
              <w:ind w:firstLine="480" w:firstLineChars="200"/>
              <w:rPr>
                <w:color w:val="auto"/>
                <w:sz w:val="24"/>
                <w:szCs w:val="32"/>
              </w:rPr>
            </w:pPr>
            <w:r>
              <w:rPr>
                <w:color w:val="auto"/>
                <w:sz w:val="24"/>
                <w:szCs w:val="32"/>
              </w:rPr>
              <w:t>本项目为</w:t>
            </w:r>
            <w:r>
              <w:rPr>
                <w:color w:val="auto"/>
                <w:sz w:val="24"/>
              </w:rPr>
              <w:t>无锡丰科金属制品有限</w:t>
            </w:r>
            <w:r>
              <w:rPr>
                <w:color w:val="auto"/>
                <w:sz w:val="24"/>
                <w:szCs w:val="32"/>
              </w:rPr>
              <w:t>公司</w:t>
            </w:r>
            <w:r>
              <w:rPr>
                <w:rFonts w:hint="eastAsia"/>
                <w:color w:val="auto"/>
                <w:sz w:val="24"/>
              </w:rPr>
              <w:t>年产洗衣机冲压件200万件、热水器冲压件300万件、模具40副建设项目</w:t>
            </w:r>
            <w:r>
              <w:rPr>
                <w:color w:val="auto"/>
                <w:sz w:val="24"/>
                <w:szCs w:val="32"/>
              </w:rPr>
              <w:t>，位于</w:t>
            </w:r>
            <w:r>
              <w:rPr>
                <w:color w:val="auto"/>
                <w:sz w:val="24"/>
              </w:rPr>
              <w:t>无锡市新吴区</w:t>
            </w:r>
            <w:r>
              <w:rPr>
                <w:rFonts w:hint="eastAsia"/>
                <w:color w:val="auto"/>
                <w:sz w:val="24"/>
              </w:rPr>
              <w:t>新风路</w:t>
            </w:r>
            <w:r>
              <w:rPr>
                <w:color w:val="auto"/>
                <w:sz w:val="24"/>
              </w:rPr>
              <w:t>6</w:t>
            </w:r>
            <w:r>
              <w:rPr>
                <w:rFonts w:hint="eastAsia"/>
                <w:color w:val="auto"/>
                <w:sz w:val="24"/>
              </w:rPr>
              <w:t>9</w:t>
            </w:r>
            <w:r>
              <w:rPr>
                <w:color w:val="auto"/>
                <w:sz w:val="24"/>
              </w:rPr>
              <w:t>号</w:t>
            </w:r>
            <w:r>
              <w:rPr>
                <w:color w:val="auto"/>
                <w:sz w:val="24"/>
                <w:szCs w:val="32"/>
              </w:rPr>
              <w:t>，符合国家及地方产业政策，选址符合用地规划要求，符合“三线一单”要求；项目生产过程中产生的污染在采取有效的治理措施之后，对周围环境影响较小。因此，从环保的角度出发，该项目在坚持“三同时”原则并按照本报告中提出的各项环保措施治理后是可行的。</w:t>
            </w:r>
          </w:p>
          <w:p>
            <w:pPr>
              <w:spacing w:line="360" w:lineRule="auto"/>
              <w:ind w:firstLine="420" w:firstLineChars="200"/>
              <w:rPr>
                <w:color w:val="auto"/>
              </w:rPr>
            </w:pPr>
          </w:p>
          <w:p>
            <w:pPr>
              <w:pStyle w:val="2"/>
              <w:rPr>
                <w:color w:val="auto"/>
              </w:rPr>
            </w:pPr>
          </w:p>
          <w:p>
            <w:pPr>
              <w:pStyle w:val="3"/>
              <w:numPr>
                <w:ilvl w:val="0"/>
                <w:numId w:val="0"/>
              </w:numPr>
              <w:ind w:left="360" w:hanging="360"/>
              <w:rPr>
                <w:color w:val="auto"/>
              </w:rPr>
            </w:pPr>
          </w:p>
          <w:p>
            <w:pPr>
              <w:pStyle w:val="3"/>
              <w:numPr>
                <w:ilvl w:val="0"/>
                <w:numId w:val="0"/>
              </w:numPr>
              <w:ind w:left="360" w:hanging="360"/>
              <w:rPr>
                <w:color w:val="auto"/>
              </w:rPr>
            </w:pPr>
          </w:p>
          <w:p>
            <w:pPr>
              <w:pStyle w:val="3"/>
              <w:numPr>
                <w:ilvl w:val="0"/>
                <w:numId w:val="0"/>
              </w:numPr>
              <w:ind w:left="360" w:hanging="360"/>
              <w:rPr>
                <w:color w:val="auto"/>
              </w:rPr>
            </w:pPr>
          </w:p>
          <w:p>
            <w:pPr>
              <w:pStyle w:val="3"/>
              <w:numPr>
                <w:ilvl w:val="0"/>
                <w:numId w:val="0"/>
              </w:numPr>
              <w:ind w:left="360" w:hanging="360"/>
              <w:rPr>
                <w:color w:val="auto"/>
              </w:rPr>
            </w:pPr>
          </w:p>
          <w:p>
            <w:pPr>
              <w:pStyle w:val="3"/>
              <w:numPr>
                <w:ilvl w:val="0"/>
                <w:numId w:val="0"/>
              </w:numPr>
              <w:ind w:left="360" w:hanging="360"/>
              <w:rPr>
                <w:color w:val="auto"/>
              </w:rPr>
            </w:pPr>
          </w:p>
          <w:p>
            <w:pPr>
              <w:pStyle w:val="3"/>
              <w:numPr>
                <w:ilvl w:val="0"/>
                <w:numId w:val="0"/>
              </w:numPr>
              <w:ind w:left="360" w:hanging="360"/>
              <w:rPr>
                <w:color w:val="auto"/>
              </w:rPr>
            </w:pPr>
          </w:p>
          <w:p>
            <w:pPr>
              <w:pStyle w:val="3"/>
              <w:numPr>
                <w:ilvl w:val="0"/>
                <w:numId w:val="0"/>
              </w:numPr>
              <w:ind w:left="360" w:hanging="360"/>
              <w:rPr>
                <w:color w:val="auto"/>
              </w:rPr>
            </w:pPr>
          </w:p>
          <w:p>
            <w:pPr>
              <w:pStyle w:val="3"/>
              <w:numPr>
                <w:ilvl w:val="0"/>
                <w:numId w:val="0"/>
              </w:numPr>
              <w:ind w:left="360" w:hanging="360"/>
              <w:rPr>
                <w:color w:val="auto"/>
              </w:rPr>
            </w:pPr>
          </w:p>
          <w:p>
            <w:pPr>
              <w:pStyle w:val="16"/>
              <w:rPr>
                <w:color w:val="auto"/>
              </w:rPr>
            </w:pPr>
          </w:p>
          <w:p>
            <w:pPr>
              <w:pStyle w:val="17"/>
              <w:ind w:firstLine="0" w:firstLineChars="0"/>
              <w:rPr>
                <w:color w:val="auto"/>
              </w:rPr>
            </w:pPr>
          </w:p>
        </w:tc>
      </w:tr>
    </w:tbl>
    <w:p>
      <w:pPr>
        <w:pStyle w:val="3"/>
        <w:numPr>
          <w:ilvl w:val="0"/>
          <w:numId w:val="0"/>
        </w:numPr>
        <w:rPr>
          <w:color w:val="auto"/>
        </w:rPr>
        <w:sectPr>
          <w:pgSz w:w="11906" w:h="16838"/>
          <w:pgMar w:top="1440" w:right="1797" w:bottom="1440" w:left="1797" w:header="851" w:footer="992" w:gutter="0"/>
          <w:pgBorders>
            <w:top w:val="none" w:sz="0" w:space="0"/>
            <w:left w:val="none" w:sz="0" w:space="0"/>
            <w:bottom w:val="none" w:sz="0" w:space="0"/>
            <w:right w:val="none" w:sz="0" w:space="0"/>
          </w:pgBorders>
          <w:cols w:space="0" w:num="1"/>
          <w:docGrid w:type="lines" w:linePitch="319" w:charSpace="0"/>
        </w:sectPr>
      </w:pPr>
    </w:p>
    <w:p>
      <w:pPr>
        <w:pStyle w:val="4"/>
        <w:spacing w:before="159" w:after="159"/>
        <w:jc w:val="both"/>
        <w:rPr>
          <w:snapToGrid w:val="0"/>
          <w:color w:val="auto"/>
          <w:sz w:val="32"/>
          <w:szCs w:val="32"/>
        </w:rPr>
      </w:pPr>
      <w:bookmarkStart w:id="2" w:name="_Toc30968"/>
      <w:bookmarkStart w:id="3" w:name="_Toc14761"/>
      <w:bookmarkStart w:id="4" w:name="_Toc18202"/>
      <w:bookmarkStart w:id="5" w:name="_Toc6049"/>
      <w:r>
        <w:rPr>
          <w:snapToGrid w:val="0"/>
          <w:color w:val="auto"/>
          <w:szCs w:val="30"/>
        </w:rPr>
        <w:t>附表</w:t>
      </w:r>
      <w:bookmarkEnd w:id="2"/>
      <w:bookmarkEnd w:id="3"/>
      <w:bookmarkEnd w:id="4"/>
      <w:bookmarkEnd w:id="5"/>
    </w:p>
    <w:p>
      <w:pPr>
        <w:jc w:val="center"/>
        <w:rPr>
          <w:b/>
          <w:bCs/>
          <w:color w:val="auto"/>
          <w:sz w:val="38"/>
          <w:szCs w:val="38"/>
        </w:rPr>
      </w:pPr>
      <w:r>
        <w:rPr>
          <w:b/>
          <w:bCs/>
          <w:color w:val="auto"/>
          <w:sz w:val="38"/>
          <w:szCs w:val="38"/>
        </w:rPr>
        <w:t>建设项目污染物排放量汇总表</w:t>
      </w:r>
    </w:p>
    <w:tbl>
      <w:tblPr>
        <w:tblStyle w:val="26"/>
        <w:tblW w:w="13788" w:type="dxa"/>
        <w:tblInd w:w="-8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7"/>
        <w:gridCol w:w="785"/>
        <w:gridCol w:w="2352"/>
        <w:gridCol w:w="1487"/>
        <w:gridCol w:w="1185"/>
        <w:gridCol w:w="1410"/>
        <w:gridCol w:w="1485"/>
        <w:gridCol w:w="1575"/>
        <w:gridCol w:w="1785"/>
        <w:gridCol w:w="13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tcBorders>
              <w:tl2br w:val="single" w:color="auto" w:sz="4" w:space="0"/>
            </w:tcBorders>
            <w:tcMar>
              <w:left w:w="28" w:type="dxa"/>
              <w:right w:w="28" w:type="dxa"/>
            </w:tcMar>
            <w:vAlign w:val="center"/>
          </w:tcPr>
          <w:p>
            <w:pPr>
              <w:pStyle w:val="38"/>
              <w:jc w:val="right"/>
              <w:rPr>
                <w:snapToGrid w:val="0"/>
                <w:color w:val="auto"/>
                <w:spacing w:val="-6"/>
                <w:kern w:val="21"/>
                <w:sz w:val="21"/>
                <w:szCs w:val="21"/>
              </w:rPr>
            </w:pPr>
            <w:r>
              <w:rPr>
                <w:snapToGrid w:val="0"/>
                <w:color w:val="auto"/>
                <w:spacing w:val="-6"/>
                <w:kern w:val="21"/>
                <w:sz w:val="21"/>
                <w:szCs w:val="21"/>
              </w:rPr>
              <w:t>项目</w:t>
            </w:r>
          </w:p>
          <w:p>
            <w:pPr>
              <w:pStyle w:val="38"/>
              <w:jc w:val="left"/>
              <w:rPr>
                <w:snapToGrid w:val="0"/>
                <w:color w:val="auto"/>
                <w:spacing w:val="-6"/>
                <w:kern w:val="21"/>
                <w:sz w:val="21"/>
                <w:szCs w:val="21"/>
              </w:rPr>
            </w:pPr>
            <w:r>
              <w:rPr>
                <w:snapToGrid w:val="0"/>
                <w:color w:val="auto"/>
                <w:spacing w:val="-6"/>
                <w:kern w:val="21"/>
                <w:sz w:val="21"/>
                <w:szCs w:val="21"/>
              </w:rPr>
              <w:t>分类</w:t>
            </w:r>
          </w:p>
        </w:tc>
        <w:tc>
          <w:tcPr>
            <w:tcW w:w="2352" w:type="dxa"/>
            <w:tcMar>
              <w:left w:w="28" w:type="dxa"/>
              <w:right w:w="28" w:type="dxa"/>
            </w:tcMar>
            <w:vAlign w:val="center"/>
          </w:tcPr>
          <w:p>
            <w:pPr>
              <w:pStyle w:val="38"/>
              <w:rPr>
                <w:snapToGrid w:val="0"/>
                <w:color w:val="auto"/>
                <w:spacing w:val="-6"/>
                <w:kern w:val="21"/>
                <w:sz w:val="21"/>
                <w:szCs w:val="21"/>
              </w:rPr>
            </w:pPr>
            <w:r>
              <w:rPr>
                <w:snapToGrid w:val="0"/>
                <w:color w:val="auto"/>
                <w:spacing w:val="-6"/>
                <w:kern w:val="21"/>
                <w:sz w:val="21"/>
                <w:szCs w:val="21"/>
              </w:rPr>
              <w:t>污染物名称</w:t>
            </w:r>
          </w:p>
        </w:tc>
        <w:tc>
          <w:tcPr>
            <w:tcW w:w="1487" w:type="dxa"/>
            <w:tcMar>
              <w:left w:w="28" w:type="dxa"/>
              <w:right w:w="28" w:type="dxa"/>
            </w:tcMar>
            <w:vAlign w:val="center"/>
          </w:tcPr>
          <w:p>
            <w:pPr>
              <w:pStyle w:val="38"/>
              <w:rPr>
                <w:snapToGrid w:val="0"/>
                <w:color w:val="auto"/>
                <w:spacing w:val="-6"/>
                <w:kern w:val="21"/>
                <w:sz w:val="21"/>
                <w:szCs w:val="21"/>
              </w:rPr>
            </w:pPr>
            <w:r>
              <w:rPr>
                <w:snapToGrid w:val="0"/>
                <w:color w:val="auto"/>
                <w:spacing w:val="-6"/>
                <w:kern w:val="21"/>
                <w:sz w:val="21"/>
                <w:szCs w:val="21"/>
              </w:rPr>
              <w:t>现有工程</w:t>
            </w:r>
          </w:p>
          <w:p>
            <w:pPr>
              <w:pStyle w:val="38"/>
              <w:rPr>
                <w:snapToGrid w:val="0"/>
                <w:color w:val="auto"/>
                <w:spacing w:val="-6"/>
                <w:kern w:val="21"/>
                <w:sz w:val="21"/>
                <w:szCs w:val="21"/>
              </w:rPr>
            </w:pPr>
            <w:r>
              <w:rPr>
                <w:snapToGrid w:val="0"/>
                <w:color w:val="auto"/>
                <w:spacing w:val="-6"/>
                <w:kern w:val="21"/>
                <w:sz w:val="21"/>
                <w:szCs w:val="21"/>
              </w:rPr>
              <w:t>排放量（固体废物产生量）</w:t>
            </w:r>
            <w:r>
              <w:rPr>
                <w:snapToGrid w:val="0"/>
                <w:color w:val="auto"/>
                <w:spacing w:val="-6"/>
                <w:kern w:val="21"/>
                <w:sz w:val="21"/>
                <w:szCs w:val="21"/>
              </w:rPr>
              <w:fldChar w:fldCharType="begin"/>
            </w:r>
            <w:r>
              <w:rPr>
                <w:snapToGrid w:val="0"/>
                <w:color w:val="auto"/>
                <w:spacing w:val="-6"/>
                <w:kern w:val="21"/>
                <w:sz w:val="21"/>
                <w:szCs w:val="21"/>
              </w:rPr>
              <w:instrText xml:space="preserve"> = 1 \* GB3 \* MERGEFORMAT </w:instrText>
            </w:r>
            <w:r>
              <w:rPr>
                <w:snapToGrid w:val="0"/>
                <w:color w:val="auto"/>
                <w:spacing w:val="-6"/>
                <w:kern w:val="21"/>
                <w:sz w:val="21"/>
                <w:szCs w:val="21"/>
              </w:rPr>
              <w:fldChar w:fldCharType="separate"/>
            </w:r>
            <w:r>
              <w:rPr>
                <w:color w:val="auto"/>
                <w:sz w:val="21"/>
                <w:szCs w:val="21"/>
              </w:rPr>
              <w:t>①</w:t>
            </w:r>
            <w:r>
              <w:rPr>
                <w:snapToGrid w:val="0"/>
                <w:color w:val="auto"/>
                <w:spacing w:val="-6"/>
                <w:kern w:val="21"/>
                <w:sz w:val="21"/>
                <w:szCs w:val="21"/>
              </w:rPr>
              <w:fldChar w:fldCharType="end"/>
            </w:r>
          </w:p>
        </w:tc>
        <w:tc>
          <w:tcPr>
            <w:tcW w:w="1185" w:type="dxa"/>
            <w:tcMar>
              <w:left w:w="28" w:type="dxa"/>
              <w:right w:w="28" w:type="dxa"/>
            </w:tcMar>
            <w:vAlign w:val="center"/>
          </w:tcPr>
          <w:p>
            <w:pPr>
              <w:pStyle w:val="38"/>
              <w:rPr>
                <w:snapToGrid w:val="0"/>
                <w:color w:val="auto"/>
                <w:spacing w:val="-6"/>
                <w:kern w:val="21"/>
                <w:sz w:val="21"/>
                <w:szCs w:val="21"/>
              </w:rPr>
            </w:pPr>
            <w:r>
              <w:rPr>
                <w:snapToGrid w:val="0"/>
                <w:color w:val="auto"/>
                <w:spacing w:val="-6"/>
                <w:kern w:val="21"/>
                <w:sz w:val="21"/>
                <w:szCs w:val="21"/>
              </w:rPr>
              <w:t>现有工程</w:t>
            </w:r>
          </w:p>
          <w:p>
            <w:pPr>
              <w:pStyle w:val="38"/>
              <w:rPr>
                <w:snapToGrid w:val="0"/>
                <w:color w:val="auto"/>
                <w:spacing w:val="-6"/>
                <w:kern w:val="21"/>
                <w:sz w:val="21"/>
                <w:szCs w:val="21"/>
              </w:rPr>
            </w:pPr>
            <w:r>
              <w:rPr>
                <w:snapToGrid w:val="0"/>
                <w:color w:val="auto"/>
                <w:spacing w:val="-6"/>
                <w:kern w:val="21"/>
                <w:sz w:val="21"/>
                <w:szCs w:val="21"/>
              </w:rPr>
              <w:t>许可排放量</w:t>
            </w:r>
          </w:p>
          <w:p>
            <w:pPr>
              <w:pStyle w:val="38"/>
              <w:rPr>
                <w:snapToGrid w:val="0"/>
                <w:color w:val="auto"/>
                <w:spacing w:val="-6"/>
                <w:kern w:val="21"/>
                <w:sz w:val="21"/>
                <w:szCs w:val="21"/>
              </w:rPr>
            </w:pPr>
            <w:r>
              <w:rPr>
                <w:snapToGrid w:val="0"/>
                <w:color w:val="auto"/>
                <w:spacing w:val="-6"/>
                <w:kern w:val="21"/>
                <w:sz w:val="21"/>
                <w:szCs w:val="21"/>
              </w:rPr>
              <w:fldChar w:fldCharType="begin"/>
            </w:r>
            <w:r>
              <w:rPr>
                <w:snapToGrid w:val="0"/>
                <w:color w:val="auto"/>
                <w:spacing w:val="-6"/>
                <w:kern w:val="21"/>
                <w:sz w:val="21"/>
                <w:szCs w:val="21"/>
              </w:rPr>
              <w:instrText xml:space="preserve"> = 2 \* GB3 \* MERGEFORMAT </w:instrText>
            </w:r>
            <w:r>
              <w:rPr>
                <w:snapToGrid w:val="0"/>
                <w:color w:val="auto"/>
                <w:spacing w:val="-6"/>
                <w:kern w:val="21"/>
                <w:sz w:val="21"/>
                <w:szCs w:val="21"/>
              </w:rPr>
              <w:fldChar w:fldCharType="separate"/>
            </w:r>
            <w:r>
              <w:rPr>
                <w:snapToGrid w:val="0"/>
                <w:color w:val="auto"/>
                <w:spacing w:val="-6"/>
                <w:kern w:val="21"/>
                <w:sz w:val="21"/>
                <w:szCs w:val="21"/>
              </w:rPr>
              <w:t>②</w:t>
            </w:r>
            <w:r>
              <w:rPr>
                <w:snapToGrid w:val="0"/>
                <w:color w:val="auto"/>
                <w:spacing w:val="-6"/>
                <w:kern w:val="21"/>
                <w:sz w:val="21"/>
                <w:szCs w:val="21"/>
              </w:rPr>
              <w:fldChar w:fldCharType="end"/>
            </w:r>
          </w:p>
        </w:tc>
        <w:tc>
          <w:tcPr>
            <w:tcW w:w="1410" w:type="dxa"/>
            <w:tcMar>
              <w:left w:w="28" w:type="dxa"/>
              <w:right w:w="28" w:type="dxa"/>
            </w:tcMar>
            <w:vAlign w:val="center"/>
          </w:tcPr>
          <w:p>
            <w:pPr>
              <w:pStyle w:val="38"/>
              <w:rPr>
                <w:snapToGrid w:val="0"/>
                <w:color w:val="auto"/>
                <w:spacing w:val="-6"/>
                <w:kern w:val="21"/>
                <w:sz w:val="21"/>
                <w:szCs w:val="21"/>
              </w:rPr>
            </w:pPr>
            <w:r>
              <w:rPr>
                <w:snapToGrid w:val="0"/>
                <w:color w:val="auto"/>
                <w:spacing w:val="-6"/>
                <w:kern w:val="21"/>
                <w:sz w:val="21"/>
                <w:szCs w:val="21"/>
              </w:rPr>
              <w:t>在建工程</w:t>
            </w:r>
          </w:p>
          <w:p>
            <w:pPr>
              <w:pStyle w:val="38"/>
              <w:rPr>
                <w:snapToGrid w:val="0"/>
                <w:color w:val="auto"/>
                <w:spacing w:val="-6"/>
                <w:kern w:val="21"/>
                <w:sz w:val="21"/>
                <w:szCs w:val="21"/>
              </w:rPr>
            </w:pPr>
            <w:r>
              <w:rPr>
                <w:snapToGrid w:val="0"/>
                <w:color w:val="auto"/>
                <w:spacing w:val="-6"/>
                <w:kern w:val="21"/>
                <w:sz w:val="21"/>
                <w:szCs w:val="21"/>
              </w:rPr>
              <w:t>排放量（固体废物产生量）</w:t>
            </w:r>
            <w:r>
              <w:rPr>
                <w:snapToGrid w:val="0"/>
                <w:color w:val="auto"/>
                <w:spacing w:val="-6"/>
                <w:kern w:val="21"/>
                <w:sz w:val="21"/>
                <w:szCs w:val="21"/>
              </w:rPr>
              <w:fldChar w:fldCharType="begin"/>
            </w:r>
            <w:r>
              <w:rPr>
                <w:snapToGrid w:val="0"/>
                <w:color w:val="auto"/>
                <w:spacing w:val="-6"/>
                <w:kern w:val="21"/>
                <w:sz w:val="21"/>
                <w:szCs w:val="21"/>
              </w:rPr>
              <w:instrText xml:space="preserve"> = 3 \* GB3 \* MERGEFORMAT </w:instrText>
            </w:r>
            <w:r>
              <w:rPr>
                <w:snapToGrid w:val="0"/>
                <w:color w:val="auto"/>
                <w:spacing w:val="-6"/>
                <w:kern w:val="21"/>
                <w:sz w:val="21"/>
                <w:szCs w:val="21"/>
              </w:rPr>
              <w:fldChar w:fldCharType="separate"/>
            </w:r>
            <w:r>
              <w:rPr>
                <w:snapToGrid w:val="0"/>
                <w:color w:val="auto"/>
                <w:spacing w:val="-6"/>
                <w:kern w:val="21"/>
                <w:sz w:val="21"/>
                <w:szCs w:val="21"/>
              </w:rPr>
              <w:t>③</w:t>
            </w:r>
            <w:r>
              <w:rPr>
                <w:snapToGrid w:val="0"/>
                <w:color w:val="auto"/>
                <w:spacing w:val="-6"/>
                <w:kern w:val="21"/>
                <w:sz w:val="21"/>
                <w:szCs w:val="21"/>
              </w:rPr>
              <w:fldChar w:fldCharType="end"/>
            </w:r>
          </w:p>
        </w:tc>
        <w:tc>
          <w:tcPr>
            <w:tcW w:w="1485" w:type="dxa"/>
            <w:tcMar>
              <w:left w:w="28" w:type="dxa"/>
              <w:right w:w="28" w:type="dxa"/>
            </w:tcMar>
            <w:vAlign w:val="center"/>
          </w:tcPr>
          <w:p>
            <w:pPr>
              <w:pStyle w:val="38"/>
              <w:rPr>
                <w:snapToGrid w:val="0"/>
                <w:color w:val="auto"/>
                <w:spacing w:val="-6"/>
                <w:kern w:val="21"/>
                <w:sz w:val="21"/>
                <w:szCs w:val="21"/>
              </w:rPr>
            </w:pPr>
            <w:r>
              <w:rPr>
                <w:snapToGrid w:val="0"/>
                <w:color w:val="auto"/>
                <w:spacing w:val="-6"/>
                <w:kern w:val="21"/>
                <w:sz w:val="21"/>
                <w:szCs w:val="21"/>
              </w:rPr>
              <w:t>本项目</w:t>
            </w:r>
          </w:p>
          <w:p>
            <w:pPr>
              <w:pStyle w:val="38"/>
              <w:rPr>
                <w:snapToGrid w:val="0"/>
                <w:color w:val="auto"/>
                <w:spacing w:val="-6"/>
                <w:kern w:val="21"/>
                <w:sz w:val="21"/>
                <w:szCs w:val="21"/>
              </w:rPr>
            </w:pPr>
            <w:r>
              <w:rPr>
                <w:snapToGrid w:val="0"/>
                <w:color w:val="auto"/>
                <w:spacing w:val="-6"/>
                <w:kern w:val="21"/>
                <w:sz w:val="21"/>
                <w:szCs w:val="21"/>
              </w:rPr>
              <w:t>排放量（固体废物产生量）</w:t>
            </w:r>
            <w:r>
              <w:rPr>
                <w:snapToGrid w:val="0"/>
                <w:color w:val="auto"/>
                <w:spacing w:val="-6"/>
                <w:kern w:val="21"/>
                <w:sz w:val="21"/>
                <w:szCs w:val="21"/>
              </w:rPr>
              <w:fldChar w:fldCharType="begin"/>
            </w:r>
            <w:r>
              <w:rPr>
                <w:snapToGrid w:val="0"/>
                <w:color w:val="auto"/>
                <w:spacing w:val="-6"/>
                <w:kern w:val="21"/>
                <w:sz w:val="21"/>
                <w:szCs w:val="21"/>
              </w:rPr>
              <w:instrText xml:space="preserve"> = 4 \* GB3 \* MERGEFORMAT </w:instrText>
            </w:r>
            <w:r>
              <w:rPr>
                <w:snapToGrid w:val="0"/>
                <w:color w:val="auto"/>
                <w:spacing w:val="-6"/>
                <w:kern w:val="21"/>
                <w:sz w:val="21"/>
                <w:szCs w:val="21"/>
              </w:rPr>
              <w:fldChar w:fldCharType="separate"/>
            </w:r>
            <w:r>
              <w:rPr>
                <w:snapToGrid w:val="0"/>
                <w:color w:val="auto"/>
                <w:spacing w:val="-6"/>
                <w:kern w:val="21"/>
                <w:sz w:val="21"/>
                <w:szCs w:val="21"/>
              </w:rPr>
              <w:t>④</w:t>
            </w:r>
            <w:r>
              <w:rPr>
                <w:snapToGrid w:val="0"/>
                <w:color w:val="auto"/>
                <w:spacing w:val="-6"/>
                <w:kern w:val="21"/>
                <w:sz w:val="21"/>
                <w:szCs w:val="21"/>
              </w:rPr>
              <w:fldChar w:fldCharType="end"/>
            </w:r>
          </w:p>
        </w:tc>
        <w:tc>
          <w:tcPr>
            <w:tcW w:w="1575" w:type="dxa"/>
            <w:tcMar>
              <w:left w:w="28" w:type="dxa"/>
              <w:right w:w="28" w:type="dxa"/>
            </w:tcMar>
            <w:vAlign w:val="center"/>
          </w:tcPr>
          <w:p>
            <w:pPr>
              <w:pStyle w:val="38"/>
              <w:rPr>
                <w:snapToGrid w:val="0"/>
                <w:color w:val="auto"/>
                <w:spacing w:val="-6"/>
                <w:kern w:val="21"/>
                <w:sz w:val="21"/>
                <w:szCs w:val="21"/>
              </w:rPr>
            </w:pPr>
            <w:r>
              <w:rPr>
                <w:snapToGrid w:val="0"/>
                <w:color w:val="auto"/>
                <w:spacing w:val="-6"/>
                <w:kern w:val="21"/>
                <w:sz w:val="21"/>
                <w:szCs w:val="21"/>
              </w:rPr>
              <w:t>以新带老削减量</w:t>
            </w:r>
          </w:p>
          <w:p>
            <w:pPr>
              <w:pStyle w:val="38"/>
              <w:rPr>
                <w:snapToGrid w:val="0"/>
                <w:color w:val="auto"/>
                <w:spacing w:val="-6"/>
                <w:kern w:val="21"/>
                <w:sz w:val="21"/>
                <w:szCs w:val="21"/>
              </w:rPr>
            </w:pPr>
            <w:r>
              <w:rPr>
                <w:snapToGrid w:val="0"/>
                <w:color w:val="auto"/>
                <w:spacing w:val="-6"/>
                <w:kern w:val="21"/>
                <w:sz w:val="21"/>
                <w:szCs w:val="21"/>
              </w:rPr>
              <w:t>（新建项目不填）</w:t>
            </w:r>
            <w:r>
              <w:rPr>
                <w:snapToGrid w:val="0"/>
                <w:color w:val="auto"/>
                <w:spacing w:val="-6"/>
                <w:kern w:val="21"/>
                <w:sz w:val="21"/>
                <w:szCs w:val="21"/>
              </w:rPr>
              <w:fldChar w:fldCharType="begin"/>
            </w:r>
            <w:r>
              <w:rPr>
                <w:snapToGrid w:val="0"/>
                <w:color w:val="auto"/>
                <w:spacing w:val="-6"/>
                <w:kern w:val="21"/>
                <w:sz w:val="21"/>
                <w:szCs w:val="21"/>
              </w:rPr>
              <w:instrText xml:space="preserve"> = 5 \* GB3 \* MERGEFORMAT </w:instrText>
            </w:r>
            <w:r>
              <w:rPr>
                <w:snapToGrid w:val="0"/>
                <w:color w:val="auto"/>
                <w:spacing w:val="-6"/>
                <w:kern w:val="21"/>
                <w:sz w:val="21"/>
                <w:szCs w:val="21"/>
              </w:rPr>
              <w:fldChar w:fldCharType="separate"/>
            </w:r>
            <w:r>
              <w:rPr>
                <w:snapToGrid w:val="0"/>
                <w:color w:val="auto"/>
                <w:spacing w:val="-6"/>
                <w:kern w:val="21"/>
                <w:sz w:val="21"/>
                <w:szCs w:val="21"/>
              </w:rPr>
              <w:t>⑤</w:t>
            </w:r>
            <w:r>
              <w:rPr>
                <w:snapToGrid w:val="0"/>
                <w:color w:val="auto"/>
                <w:spacing w:val="-6"/>
                <w:kern w:val="21"/>
                <w:sz w:val="21"/>
                <w:szCs w:val="21"/>
              </w:rPr>
              <w:fldChar w:fldCharType="end"/>
            </w:r>
          </w:p>
        </w:tc>
        <w:tc>
          <w:tcPr>
            <w:tcW w:w="1785" w:type="dxa"/>
            <w:tcMar>
              <w:left w:w="28" w:type="dxa"/>
              <w:right w:w="28" w:type="dxa"/>
            </w:tcMar>
            <w:vAlign w:val="center"/>
          </w:tcPr>
          <w:p>
            <w:pPr>
              <w:pStyle w:val="38"/>
              <w:rPr>
                <w:snapToGrid w:val="0"/>
                <w:color w:val="auto"/>
                <w:spacing w:val="-6"/>
                <w:kern w:val="21"/>
                <w:sz w:val="21"/>
                <w:szCs w:val="21"/>
              </w:rPr>
            </w:pPr>
            <w:r>
              <w:rPr>
                <w:snapToGrid w:val="0"/>
                <w:color w:val="auto"/>
                <w:spacing w:val="-6"/>
                <w:kern w:val="21"/>
                <w:sz w:val="21"/>
                <w:szCs w:val="21"/>
              </w:rPr>
              <w:t>本项目建成后</w:t>
            </w:r>
          </w:p>
          <w:p>
            <w:pPr>
              <w:pStyle w:val="38"/>
              <w:rPr>
                <w:snapToGrid w:val="0"/>
                <w:color w:val="auto"/>
                <w:spacing w:val="-6"/>
                <w:kern w:val="21"/>
                <w:sz w:val="21"/>
                <w:szCs w:val="21"/>
              </w:rPr>
            </w:pPr>
            <w:r>
              <w:rPr>
                <w:snapToGrid w:val="0"/>
                <w:color w:val="auto"/>
                <w:spacing w:val="-6"/>
                <w:kern w:val="21"/>
                <w:sz w:val="21"/>
                <w:szCs w:val="21"/>
              </w:rPr>
              <w:t>全厂排放量（固体废物产生量）</w:t>
            </w:r>
            <w:r>
              <w:rPr>
                <w:snapToGrid w:val="0"/>
                <w:color w:val="auto"/>
                <w:spacing w:val="-6"/>
                <w:kern w:val="21"/>
                <w:sz w:val="21"/>
                <w:szCs w:val="21"/>
              </w:rPr>
              <w:fldChar w:fldCharType="begin"/>
            </w:r>
            <w:r>
              <w:rPr>
                <w:snapToGrid w:val="0"/>
                <w:color w:val="auto"/>
                <w:spacing w:val="-6"/>
                <w:kern w:val="21"/>
                <w:sz w:val="21"/>
                <w:szCs w:val="21"/>
              </w:rPr>
              <w:instrText xml:space="preserve"> = 6 \* GB3 \* MERGEFORMAT </w:instrText>
            </w:r>
            <w:r>
              <w:rPr>
                <w:snapToGrid w:val="0"/>
                <w:color w:val="auto"/>
                <w:spacing w:val="-6"/>
                <w:kern w:val="21"/>
                <w:sz w:val="21"/>
                <w:szCs w:val="21"/>
              </w:rPr>
              <w:fldChar w:fldCharType="separate"/>
            </w:r>
            <w:r>
              <w:rPr>
                <w:snapToGrid w:val="0"/>
                <w:color w:val="auto"/>
                <w:spacing w:val="-6"/>
                <w:kern w:val="21"/>
                <w:sz w:val="21"/>
                <w:szCs w:val="21"/>
              </w:rPr>
              <w:t>⑥</w:t>
            </w:r>
            <w:r>
              <w:rPr>
                <w:snapToGrid w:val="0"/>
                <w:color w:val="auto"/>
                <w:spacing w:val="-6"/>
                <w:kern w:val="21"/>
                <w:sz w:val="21"/>
                <w:szCs w:val="21"/>
              </w:rPr>
              <w:fldChar w:fldCharType="end"/>
            </w:r>
          </w:p>
        </w:tc>
        <w:tc>
          <w:tcPr>
            <w:tcW w:w="1307" w:type="dxa"/>
            <w:tcMar>
              <w:left w:w="28" w:type="dxa"/>
              <w:right w:w="28" w:type="dxa"/>
            </w:tcMar>
            <w:vAlign w:val="center"/>
          </w:tcPr>
          <w:p>
            <w:pPr>
              <w:pStyle w:val="38"/>
              <w:rPr>
                <w:snapToGrid w:val="0"/>
                <w:color w:val="auto"/>
                <w:spacing w:val="-6"/>
                <w:kern w:val="21"/>
                <w:sz w:val="21"/>
                <w:szCs w:val="21"/>
              </w:rPr>
            </w:pPr>
            <w:r>
              <w:rPr>
                <w:snapToGrid w:val="0"/>
                <w:color w:val="auto"/>
                <w:spacing w:val="-6"/>
                <w:kern w:val="21"/>
                <w:sz w:val="21"/>
                <w:szCs w:val="21"/>
              </w:rPr>
              <w:t>变化量</w:t>
            </w:r>
          </w:p>
          <w:p>
            <w:pPr>
              <w:pStyle w:val="38"/>
              <w:rPr>
                <w:snapToGrid w:val="0"/>
                <w:color w:val="auto"/>
                <w:spacing w:val="-6"/>
                <w:kern w:val="21"/>
                <w:sz w:val="21"/>
                <w:szCs w:val="21"/>
              </w:rPr>
            </w:pPr>
            <w:r>
              <w:rPr>
                <w:snapToGrid w:val="0"/>
                <w:color w:val="auto"/>
                <w:spacing w:val="-6"/>
                <w:kern w:val="21"/>
                <w:sz w:val="21"/>
                <w:szCs w:val="21"/>
              </w:rPr>
              <w:fldChar w:fldCharType="begin"/>
            </w:r>
            <w:r>
              <w:rPr>
                <w:snapToGrid w:val="0"/>
                <w:color w:val="auto"/>
                <w:spacing w:val="-6"/>
                <w:kern w:val="21"/>
                <w:sz w:val="21"/>
                <w:szCs w:val="21"/>
              </w:rPr>
              <w:instrText xml:space="preserve"> = 7 \* GB3 \* MERGEFORMAT </w:instrText>
            </w:r>
            <w:r>
              <w:rPr>
                <w:snapToGrid w:val="0"/>
                <w:color w:val="auto"/>
                <w:spacing w:val="-6"/>
                <w:kern w:val="21"/>
                <w:sz w:val="21"/>
                <w:szCs w:val="21"/>
              </w:rPr>
              <w:fldChar w:fldCharType="separate"/>
            </w:r>
            <w:r>
              <w:rPr>
                <w:color w:val="auto"/>
                <w:sz w:val="21"/>
                <w:szCs w:val="21"/>
              </w:rPr>
              <w:t>⑦</w:t>
            </w:r>
            <w:r>
              <w:rPr>
                <w:snapToGrid w:val="0"/>
                <w:color w:val="auto"/>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restart"/>
            <w:vAlign w:val="center"/>
          </w:tcPr>
          <w:p>
            <w:pPr>
              <w:pStyle w:val="38"/>
              <w:rPr>
                <w:snapToGrid w:val="0"/>
                <w:color w:val="auto"/>
                <w:kern w:val="21"/>
                <w:sz w:val="21"/>
                <w:szCs w:val="21"/>
              </w:rPr>
            </w:pPr>
            <w:r>
              <w:rPr>
                <w:snapToGrid w:val="0"/>
                <w:color w:val="auto"/>
                <w:kern w:val="21"/>
                <w:sz w:val="21"/>
                <w:szCs w:val="21"/>
              </w:rPr>
              <w:t>废气</w:t>
            </w:r>
          </w:p>
        </w:tc>
        <w:tc>
          <w:tcPr>
            <w:tcW w:w="785" w:type="dxa"/>
            <w:vMerge w:val="restart"/>
            <w:vAlign w:val="center"/>
          </w:tcPr>
          <w:p>
            <w:pPr>
              <w:pStyle w:val="38"/>
              <w:rPr>
                <w:snapToGrid w:val="0"/>
                <w:color w:val="auto"/>
                <w:kern w:val="21"/>
                <w:sz w:val="21"/>
                <w:szCs w:val="21"/>
              </w:rPr>
            </w:pPr>
            <w:r>
              <w:rPr>
                <w:snapToGrid w:val="0"/>
                <w:color w:val="auto"/>
                <w:kern w:val="21"/>
                <w:sz w:val="21"/>
                <w:szCs w:val="21"/>
              </w:rPr>
              <w:t>有组织</w:t>
            </w:r>
          </w:p>
        </w:tc>
        <w:tc>
          <w:tcPr>
            <w:tcW w:w="2352" w:type="dxa"/>
            <w:vAlign w:val="center"/>
          </w:tcPr>
          <w:p>
            <w:pPr>
              <w:widowControl/>
              <w:jc w:val="center"/>
              <w:textAlignment w:val="center"/>
              <w:rPr>
                <w:color w:val="auto"/>
                <w:szCs w:val="21"/>
              </w:rPr>
            </w:pPr>
            <w:r>
              <w:rPr>
                <w:color w:val="auto"/>
                <w:szCs w:val="21"/>
              </w:rPr>
              <w:t>颗粒物</w:t>
            </w:r>
          </w:p>
        </w:tc>
        <w:tc>
          <w:tcPr>
            <w:tcW w:w="1487" w:type="dxa"/>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rFonts w:hint="eastAsia"/>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snapToGrid w:val="0"/>
                <w:color w:val="auto"/>
                <w:kern w:val="21"/>
                <w:szCs w:val="21"/>
              </w:rPr>
            </w:pPr>
            <w:r>
              <w:rPr>
                <w:rFonts w:hint="eastAsia"/>
                <w:snapToGrid w:val="0"/>
                <w:color w:val="auto"/>
                <w:kern w:val="21"/>
                <w:szCs w:val="21"/>
              </w:rPr>
              <w:t>0.3365</w:t>
            </w:r>
          </w:p>
        </w:tc>
        <w:tc>
          <w:tcPr>
            <w:tcW w:w="1575"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c>
          <w:tcPr>
            <w:tcW w:w="1785" w:type="dxa"/>
            <w:vAlign w:val="center"/>
          </w:tcPr>
          <w:p>
            <w:pPr>
              <w:widowControl/>
              <w:jc w:val="center"/>
              <w:textAlignment w:val="center"/>
              <w:rPr>
                <w:snapToGrid w:val="0"/>
                <w:color w:val="auto"/>
                <w:kern w:val="21"/>
                <w:szCs w:val="21"/>
              </w:rPr>
            </w:pPr>
            <w:r>
              <w:rPr>
                <w:rFonts w:hint="eastAsia"/>
                <w:snapToGrid w:val="0"/>
                <w:color w:val="auto"/>
                <w:kern w:val="21"/>
                <w:szCs w:val="21"/>
              </w:rPr>
              <w:t>0.3365</w:t>
            </w:r>
          </w:p>
        </w:tc>
        <w:tc>
          <w:tcPr>
            <w:tcW w:w="1307"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continue"/>
            <w:vAlign w:val="center"/>
          </w:tcPr>
          <w:p>
            <w:pPr>
              <w:pStyle w:val="38"/>
              <w:rPr>
                <w:snapToGrid w:val="0"/>
                <w:color w:val="auto"/>
                <w:kern w:val="21"/>
                <w:sz w:val="21"/>
                <w:szCs w:val="21"/>
              </w:rPr>
            </w:pPr>
          </w:p>
        </w:tc>
        <w:tc>
          <w:tcPr>
            <w:tcW w:w="785" w:type="dxa"/>
            <w:vMerge w:val="continue"/>
            <w:vAlign w:val="center"/>
          </w:tcPr>
          <w:p>
            <w:pPr>
              <w:pStyle w:val="38"/>
              <w:rPr>
                <w:snapToGrid w:val="0"/>
                <w:color w:val="auto"/>
                <w:kern w:val="21"/>
                <w:sz w:val="21"/>
                <w:szCs w:val="21"/>
              </w:rPr>
            </w:pPr>
          </w:p>
        </w:tc>
        <w:tc>
          <w:tcPr>
            <w:tcW w:w="2352" w:type="dxa"/>
            <w:vAlign w:val="center"/>
          </w:tcPr>
          <w:p>
            <w:pPr>
              <w:widowControl/>
              <w:jc w:val="center"/>
              <w:textAlignment w:val="center"/>
              <w:rPr>
                <w:color w:val="auto"/>
                <w:szCs w:val="21"/>
              </w:rPr>
            </w:pPr>
            <w:r>
              <w:rPr>
                <w:color w:val="auto"/>
                <w:kern w:val="0"/>
                <w:szCs w:val="21"/>
                <w:lang w:bidi="ar"/>
              </w:rPr>
              <w:t>二氧化硫</w:t>
            </w:r>
          </w:p>
        </w:tc>
        <w:tc>
          <w:tcPr>
            <w:tcW w:w="1487" w:type="dxa"/>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rFonts w:hint="eastAsia"/>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color w:val="auto"/>
                <w:szCs w:val="21"/>
              </w:rPr>
            </w:pPr>
            <w:r>
              <w:rPr>
                <w:rFonts w:hint="eastAsia"/>
                <w:color w:val="auto"/>
                <w:szCs w:val="21"/>
              </w:rPr>
              <w:t>0.0072</w:t>
            </w:r>
          </w:p>
        </w:tc>
        <w:tc>
          <w:tcPr>
            <w:tcW w:w="1575"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c>
          <w:tcPr>
            <w:tcW w:w="1785" w:type="dxa"/>
            <w:vAlign w:val="center"/>
          </w:tcPr>
          <w:p>
            <w:pPr>
              <w:widowControl/>
              <w:jc w:val="center"/>
              <w:textAlignment w:val="center"/>
              <w:rPr>
                <w:color w:val="auto"/>
                <w:szCs w:val="21"/>
              </w:rPr>
            </w:pPr>
            <w:r>
              <w:rPr>
                <w:rFonts w:hint="eastAsia"/>
                <w:color w:val="auto"/>
                <w:szCs w:val="21"/>
              </w:rPr>
              <w:t>0.0072</w:t>
            </w:r>
          </w:p>
        </w:tc>
        <w:tc>
          <w:tcPr>
            <w:tcW w:w="1307" w:type="dxa"/>
            <w:vAlign w:val="center"/>
          </w:tcPr>
          <w:p>
            <w:pPr>
              <w:widowControl/>
              <w:jc w:val="center"/>
              <w:textAlignment w:val="center"/>
              <w:rPr>
                <w:color w:val="auto"/>
                <w:szCs w:val="21"/>
              </w:rPr>
            </w:pPr>
            <w:r>
              <w:rPr>
                <w:rFonts w:hint="eastAsia"/>
                <w:color w:val="auto"/>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continue"/>
            <w:vAlign w:val="center"/>
          </w:tcPr>
          <w:p>
            <w:pPr>
              <w:pStyle w:val="38"/>
              <w:rPr>
                <w:snapToGrid w:val="0"/>
                <w:color w:val="auto"/>
                <w:kern w:val="21"/>
                <w:sz w:val="21"/>
                <w:szCs w:val="21"/>
              </w:rPr>
            </w:pPr>
          </w:p>
        </w:tc>
        <w:tc>
          <w:tcPr>
            <w:tcW w:w="785" w:type="dxa"/>
            <w:vMerge w:val="continue"/>
            <w:vAlign w:val="center"/>
          </w:tcPr>
          <w:p>
            <w:pPr>
              <w:pStyle w:val="38"/>
              <w:rPr>
                <w:snapToGrid w:val="0"/>
                <w:color w:val="auto"/>
                <w:kern w:val="21"/>
                <w:sz w:val="21"/>
                <w:szCs w:val="21"/>
              </w:rPr>
            </w:pPr>
          </w:p>
        </w:tc>
        <w:tc>
          <w:tcPr>
            <w:tcW w:w="2352" w:type="dxa"/>
            <w:vAlign w:val="center"/>
          </w:tcPr>
          <w:p>
            <w:pPr>
              <w:widowControl/>
              <w:jc w:val="center"/>
              <w:textAlignment w:val="center"/>
              <w:rPr>
                <w:color w:val="auto"/>
                <w:szCs w:val="21"/>
              </w:rPr>
            </w:pPr>
            <w:r>
              <w:rPr>
                <w:color w:val="auto"/>
                <w:kern w:val="0"/>
                <w:szCs w:val="21"/>
                <w:lang w:bidi="ar"/>
              </w:rPr>
              <w:t>氮氧化物</w:t>
            </w:r>
          </w:p>
        </w:tc>
        <w:tc>
          <w:tcPr>
            <w:tcW w:w="1487" w:type="dxa"/>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rFonts w:hint="eastAsia"/>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color w:val="auto"/>
                <w:szCs w:val="21"/>
              </w:rPr>
            </w:pPr>
            <w:r>
              <w:rPr>
                <w:rFonts w:hint="eastAsia"/>
                <w:color w:val="auto"/>
                <w:szCs w:val="21"/>
              </w:rPr>
              <w:t>0.2857</w:t>
            </w:r>
          </w:p>
        </w:tc>
        <w:tc>
          <w:tcPr>
            <w:tcW w:w="1575"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c>
          <w:tcPr>
            <w:tcW w:w="1785" w:type="dxa"/>
            <w:vAlign w:val="center"/>
          </w:tcPr>
          <w:p>
            <w:pPr>
              <w:widowControl/>
              <w:jc w:val="center"/>
              <w:textAlignment w:val="center"/>
              <w:rPr>
                <w:color w:val="auto"/>
                <w:szCs w:val="21"/>
              </w:rPr>
            </w:pPr>
            <w:r>
              <w:rPr>
                <w:rFonts w:hint="eastAsia"/>
                <w:color w:val="auto"/>
                <w:szCs w:val="21"/>
              </w:rPr>
              <w:t>0.2857</w:t>
            </w:r>
          </w:p>
        </w:tc>
        <w:tc>
          <w:tcPr>
            <w:tcW w:w="1307" w:type="dxa"/>
            <w:vAlign w:val="center"/>
          </w:tcPr>
          <w:p>
            <w:pPr>
              <w:widowControl/>
              <w:jc w:val="center"/>
              <w:textAlignment w:val="center"/>
              <w:rPr>
                <w:color w:val="auto"/>
                <w:szCs w:val="21"/>
              </w:rPr>
            </w:pPr>
            <w:r>
              <w:rPr>
                <w:rFonts w:hint="eastAsia"/>
                <w:color w:val="auto"/>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continue"/>
            <w:vAlign w:val="center"/>
          </w:tcPr>
          <w:p>
            <w:pPr>
              <w:pStyle w:val="38"/>
              <w:rPr>
                <w:snapToGrid w:val="0"/>
                <w:color w:val="auto"/>
                <w:kern w:val="21"/>
                <w:sz w:val="21"/>
                <w:szCs w:val="21"/>
              </w:rPr>
            </w:pPr>
          </w:p>
        </w:tc>
        <w:tc>
          <w:tcPr>
            <w:tcW w:w="785" w:type="dxa"/>
            <w:vMerge w:val="continue"/>
            <w:vAlign w:val="center"/>
          </w:tcPr>
          <w:p>
            <w:pPr>
              <w:pStyle w:val="38"/>
              <w:rPr>
                <w:snapToGrid w:val="0"/>
                <w:color w:val="auto"/>
                <w:kern w:val="21"/>
                <w:sz w:val="21"/>
                <w:szCs w:val="21"/>
              </w:rPr>
            </w:pPr>
          </w:p>
        </w:tc>
        <w:tc>
          <w:tcPr>
            <w:tcW w:w="2352" w:type="dxa"/>
            <w:vAlign w:val="center"/>
          </w:tcPr>
          <w:p>
            <w:pPr>
              <w:widowControl/>
              <w:jc w:val="center"/>
              <w:textAlignment w:val="center"/>
              <w:rPr>
                <w:color w:val="auto"/>
                <w:szCs w:val="21"/>
              </w:rPr>
            </w:pPr>
            <w:r>
              <w:rPr>
                <w:color w:val="auto"/>
                <w:kern w:val="0"/>
                <w:szCs w:val="21"/>
                <w:lang w:bidi="ar"/>
              </w:rPr>
              <w:t>非甲烷总烃</w:t>
            </w:r>
          </w:p>
        </w:tc>
        <w:tc>
          <w:tcPr>
            <w:tcW w:w="1487" w:type="dxa"/>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rFonts w:hint="eastAsia"/>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color w:val="auto"/>
                <w:szCs w:val="21"/>
              </w:rPr>
            </w:pPr>
            <w:r>
              <w:rPr>
                <w:rFonts w:hint="eastAsia"/>
                <w:color w:val="auto"/>
                <w:szCs w:val="21"/>
              </w:rPr>
              <w:t>0.0513</w:t>
            </w:r>
          </w:p>
        </w:tc>
        <w:tc>
          <w:tcPr>
            <w:tcW w:w="1575"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c>
          <w:tcPr>
            <w:tcW w:w="1785" w:type="dxa"/>
            <w:vAlign w:val="center"/>
          </w:tcPr>
          <w:p>
            <w:pPr>
              <w:widowControl/>
              <w:jc w:val="center"/>
              <w:textAlignment w:val="center"/>
              <w:rPr>
                <w:color w:val="auto"/>
                <w:szCs w:val="21"/>
              </w:rPr>
            </w:pPr>
            <w:r>
              <w:rPr>
                <w:rFonts w:hint="eastAsia"/>
                <w:color w:val="auto"/>
                <w:szCs w:val="21"/>
              </w:rPr>
              <w:t>0.0513</w:t>
            </w:r>
          </w:p>
        </w:tc>
        <w:tc>
          <w:tcPr>
            <w:tcW w:w="1307" w:type="dxa"/>
            <w:vAlign w:val="center"/>
          </w:tcPr>
          <w:p>
            <w:pPr>
              <w:widowControl/>
              <w:jc w:val="center"/>
              <w:textAlignment w:val="center"/>
              <w:rPr>
                <w:color w:val="auto"/>
                <w:szCs w:val="21"/>
              </w:rPr>
            </w:pPr>
            <w:r>
              <w:rPr>
                <w:rFonts w:hint="eastAsia"/>
                <w:color w:val="auto"/>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continue"/>
            <w:vAlign w:val="center"/>
          </w:tcPr>
          <w:p>
            <w:pPr>
              <w:pStyle w:val="38"/>
              <w:rPr>
                <w:snapToGrid w:val="0"/>
                <w:color w:val="auto"/>
                <w:kern w:val="21"/>
                <w:sz w:val="21"/>
                <w:szCs w:val="21"/>
              </w:rPr>
            </w:pPr>
          </w:p>
        </w:tc>
        <w:tc>
          <w:tcPr>
            <w:tcW w:w="785" w:type="dxa"/>
            <w:vMerge w:val="restart"/>
            <w:vAlign w:val="center"/>
          </w:tcPr>
          <w:p>
            <w:pPr>
              <w:pStyle w:val="38"/>
              <w:rPr>
                <w:snapToGrid w:val="0"/>
                <w:color w:val="auto"/>
                <w:kern w:val="21"/>
                <w:sz w:val="21"/>
                <w:szCs w:val="21"/>
              </w:rPr>
            </w:pPr>
            <w:r>
              <w:rPr>
                <w:snapToGrid w:val="0"/>
                <w:color w:val="auto"/>
                <w:kern w:val="21"/>
                <w:sz w:val="21"/>
                <w:szCs w:val="21"/>
              </w:rPr>
              <w:t>无组织</w:t>
            </w:r>
          </w:p>
        </w:tc>
        <w:tc>
          <w:tcPr>
            <w:tcW w:w="2352" w:type="dxa"/>
            <w:vAlign w:val="center"/>
          </w:tcPr>
          <w:p>
            <w:pPr>
              <w:widowControl/>
              <w:jc w:val="center"/>
              <w:textAlignment w:val="center"/>
              <w:rPr>
                <w:color w:val="auto"/>
                <w:szCs w:val="21"/>
              </w:rPr>
            </w:pPr>
            <w:r>
              <w:rPr>
                <w:color w:val="auto"/>
                <w:szCs w:val="21"/>
              </w:rPr>
              <w:t>颗粒物</w:t>
            </w:r>
          </w:p>
        </w:tc>
        <w:tc>
          <w:tcPr>
            <w:tcW w:w="1487" w:type="dxa"/>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rFonts w:hint="eastAsia"/>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rFonts w:hint="default" w:eastAsia="宋体"/>
                <w:color w:val="auto"/>
                <w:szCs w:val="21"/>
                <w:lang w:val="en-US" w:eastAsia="zh-CN"/>
              </w:rPr>
            </w:pPr>
            <w:r>
              <w:rPr>
                <w:rFonts w:hint="eastAsia"/>
                <w:color w:val="auto"/>
                <w:szCs w:val="21"/>
              </w:rPr>
              <w:t>0.3</w:t>
            </w:r>
            <w:r>
              <w:rPr>
                <w:rFonts w:hint="eastAsia"/>
                <w:color w:val="auto"/>
                <w:szCs w:val="21"/>
                <w:lang w:val="en-US" w:eastAsia="zh-CN"/>
              </w:rPr>
              <w:t>082</w:t>
            </w:r>
          </w:p>
        </w:tc>
        <w:tc>
          <w:tcPr>
            <w:tcW w:w="1575"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c>
          <w:tcPr>
            <w:tcW w:w="1785" w:type="dxa"/>
            <w:vAlign w:val="center"/>
          </w:tcPr>
          <w:p>
            <w:pPr>
              <w:widowControl/>
              <w:jc w:val="center"/>
              <w:textAlignment w:val="center"/>
              <w:rPr>
                <w:rFonts w:hint="default" w:eastAsia="宋体"/>
                <w:color w:val="auto"/>
                <w:szCs w:val="21"/>
                <w:lang w:val="en-US" w:eastAsia="zh-CN"/>
              </w:rPr>
            </w:pPr>
            <w:r>
              <w:rPr>
                <w:rFonts w:hint="eastAsia"/>
                <w:color w:val="auto"/>
                <w:szCs w:val="21"/>
              </w:rPr>
              <w:t>0.3</w:t>
            </w:r>
            <w:r>
              <w:rPr>
                <w:rFonts w:hint="eastAsia"/>
                <w:color w:val="auto"/>
                <w:szCs w:val="21"/>
                <w:lang w:val="en-US" w:eastAsia="zh-CN"/>
              </w:rPr>
              <w:t>082</w:t>
            </w:r>
          </w:p>
        </w:tc>
        <w:tc>
          <w:tcPr>
            <w:tcW w:w="1307" w:type="dxa"/>
            <w:vAlign w:val="center"/>
          </w:tcPr>
          <w:p>
            <w:pPr>
              <w:widowControl/>
              <w:jc w:val="center"/>
              <w:textAlignment w:val="center"/>
              <w:rPr>
                <w:color w:val="auto"/>
                <w:szCs w:val="21"/>
              </w:rPr>
            </w:pPr>
            <w:r>
              <w:rPr>
                <w:rFonts w:hint="eastAsia"/>
                <w:color w:val="auto"/>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17" w:type="dxa"/>
            <w:vMerge w:val="continue"/>
            <w:vAlign w:val="center"/>
          </w:tcPr>
          <w:p>
            <w:pPr>
              <w:pStyle w:val="38"/>
              <w:rPr>
                <w:snapToGrid w:val="0"/>
                <w:color w:val="auto"/>
                <w:kern w:val="21"/>
                <w:sz w:val="21"/>
                <w:szCs w:val="21"/>
              </w:rPr>
            </w:pPr>
          </w:p>
        </w:tc>
        <w:tc>
          <w:tcPr>
            <w:tcW w:w="785" w:type="dxa"/>
            <w:vMerge w:val="continue"/>
            <w:vAlign w:val="center"/>
          </w:tcPr>
          <w:p>
            <w:pPr>
              <w:pStyle w:val="38"/>
              <w:rPr>
                <w:snapToGrid w:val="0"/>
                <w:color w:val="auto"/>
                <w:kern w:val="21"/>
                <w:sz w:val="21"/>
                <w:szCs w:val="21"/>
              </w:rPr>
            </w:pPr>
          </w:p>
        </w:tc>
        <w:tc>
          <w:tcPr>
            <w:tcW w:w="2352" w:type="dxa"/>
            <w:vAlign w:val="center"/>
          </w:tcPr>
          <w:p>
            <w:pPr>
              <w:widowControl/>
              <w:jc w:val="center"/>
              <w:textAlignment w:val="center"/>
              <w:rPr>
                <w:color w:val="auto"/>
                <w:szCs w:val="21"/>
              </w:rPr>
            </w:pPr>
            <w:r>
              <w:rPr>
                <w:color w:val="auto"/>
                <w:kern w:val="0"/>
                <w:szCs w:val="21"/>
                <w:lang w:bidi="ar"/>
              </w:rPr>
              <w:t>非甲烷总烃</w:t>
            </w:r>
          </w:p>
        </w:tc>
        <w:tc>
          <w:tcPr>
            <w:tcW w:w="1487" w:type="dxa"/>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rFonts w:hint="eastAsia"/>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color w:val="auto"/>
                <w:kern w:val="0"/>
                <w:szCs w:val="21"/>
                <w:lang w:bidi="ar"/>
              </w:rPr>
            </w:pPr>
            <w:r>
              <w:rPr>
                <w:rFonts w:hint="eastAsia"/>
                <w:color w:val="auto"/>
                <w:kern w:val="0"/>
                <w:szCs w:val="21"/>
                <w:lang w:bidi="ar"/>
              </w:rPr>
              <w:t>0.0406</w:t>
            </w:r>
          </w:p>
        </w:tc>
        <w:tc>
          <w:tcPr>
            <w:tcW w:w="1575"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c>
          <w:tcPr>
            <w:tcW w:w="1785" w:type="dxa"/>
            <w:vAlign w:val="center"/>
          </w:tcPr>
          <w:p>
            <w:pPr>
              <w:widowControl/>
              <w:jc w:val="center"/>
              <w:textAlignment w:val="center"/>
              <w:rPr>
                <w:color w:val="auto"/>
                <w:kern w:val="0"/>
                <w:szCs w:val="21"/>
                <w:lang w:bidi="ar"/>
              </w:rPr>
            </w:pPr>
            <w:r>
              <w:rPr>
                <w:rFonts w:hint="eastAsia"/>
                <w:color w:val="auto"/>
                <w:kern w:val="0"/>
                <w:szCs w:val="21"/>
                <w:lang w:bidi="ar"/>
              </w:rPr>
              <w:t>0.0406</w:t>
            </w:r>
          </w:p>
        </w:tc>
        <w:tc>
          <w:tcPr>
            <w:tcW w:w="1307" w:type="dxa"/>
            <w:vAlign w:val="center"/>
          </w:tcPr>
          <w:p>
            <w:pPr>
              <w:widowControl/>
              <w:jc w:val="center"/>
              <w:textAlignment w:val="center"/>
              <w:rPr>
                <w:color w:val="auto"/>
                <w:kern w:val="0"/>
                <w:szCs w:val="21"/>
                <w:lang w:bidi="ar"/>
              </w:rPr>
            </w:pPr>
            <w:r>
              <w:rPr>
                <w:rFonts w:hint="eastAsia"/>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restart"/>
            <w:vAlign w:val="center"/>
          </w:tcPr>
          <w:p>
            <w:pPr>
              <w:pStyle w:val="38"/>
              <w:rPr>
                <w:snapToGrid w:val="0"/>
                <w:color w:val="auto"/>
                <w:kern w:val="21"/>
                <w:sz w:val="21"/>
                <w:szCs w:val="21"/>
              </w:rPr>
            </w:pPr>
            <w:r>
              <w:rPr>
                <w:snapToGrid w:val="0"/>
                <w:color w:val="auto"/>
                <w:kern w:val="21"/>
                <w:sz w:val="21"/>
                <w:szCs w:val="21"/>
              </w:rPr>
              <w:t>废水</w:t>
            </w:r>
          </w:p>
        </w:tc>
        <w:tc>
          <w:tcPr>
            <w:tcW w:w="2352" w:type="dxa"/>
            <w:vAlign w:val="center"/>
          </w:tcPr>
          <w:p>
            <w:pPr>
              <w:widowControl/>
              <w:jc w:val="center"/>
              <w:rPr>
                <w:color w:val="auto"/>
                <w:kern w:val="0"/>
                <w:szCs w:val="21"/>
              </w:rPr>
            </w:pPr>
            <w:r>
              <w:rPr>
                <w:color w:val="auto"/>
                <w:kern w:val="0"/>
                <w:szCs w:val="21"/>
              </w:rPr>
              <w:t>废水量</w:t>
            </w:r>
          </w:p>
        </w:tc>
        <w:tc>
          <w:tcPr>
            <w:tcW w:w="1487" w:type="dxa"/>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rFonts w:hint="eastAsia"/>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color w:val="auto"/>
                <w:szCs w:val="21"/>
              </w:rPr>
            </w:pPr>
            <w:r>
              <w:rPr>
                <w:rFonts w:hint="eastAsia"/>
                <w:color w:val="auto"/>
                <w:szCs w:val="21"/>
              </w:rPr>
              <w:t>2436.3</w:t>
            </w:r>
          </w:p>
        </w:tc>
        <w:tc>
          <w:tcPr>
            <w:tcW w:w="1575"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c>
          <w:tcPr>
            <w:tcW w:w="1785" w:type="dxa"/>
            <w:vAlign w:val="center"/>
          </w:tcPr>
          <w:p>
            <w:pPr>
              <w:widowControl/>
              <w:jc w:val="center"/>
              <w:textAlignment w:val="center"/>
              <w:rPr>
                <w:snapToGrid w:val="0"/>
                <w:color w:val="auto"/>
                <w:kern w:val="21"/>
                <w:szCs w:val="21"/>
              </w:rPr>
            </w:pPr>
            <w:r>
              <w:rPr>
                <w:rFonts w:hint="eastAsia"/>
                <w:color w:val="auto"/>
                <w:szCs w:val="21"/>
              </w:rPr>
              <w:t>2436.3</w:t>
            </w:r>
          </w:p>
        </w:tc>
        <w:tc>
          <w:tcPr>
            <w:tcW w:w="1307" w:type="dxa"/>
            <w:vAlign w:val="center"/>
          </w:tcPr>
          <w:p>
            <w:pPr>
              <w:widowControl/>
              <w:jc w:val="center"/>
              <w:textAlignment w:val="center"/>
              <w:rPr>
                <w:color w:val="auto"/>
                <w:szCs w:val="21"/>
              </w:rPr>
            </w:pPr>
            <w:r>
              <w:rPr>
                <w:rFonts w:hint="eastAsia"/>
                <w:color w:val="auto"/>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vAlign w:val="center"/>
          </w:tcPr>
          <w:p>
            <w:pPr>
              <w:widowControl/>
              <w:jc w:val="center"/>
              <w:rPr>
                <w:snapToGrid w:val="0"/>
                <w:color w:val="auto"/>
                <w:kern w:val="21"/>
                <w:szCs w:val="21"/>
              </w:rPr>
            </w:pPr>
            <w:r>
              <w:rPr>
                <w:color w:val="auto"/>
                <w:kern w:val="0"/>
                <w:szCs w:val="21"/>
              </w:rPr>
              <w:t>COD</w:t>
            </w:r>
          </w:p>
        </w:tc>
        <w:tc>
          <w:tcPr>
            <w:tcW w:w="1487" w:type="dxa"/>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rFonts w:hint="eastAsia"/>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rFonts w:hint="default" w:eastAsia="宋体"/>
                <w:snapToGrid w:val="0"/>
                <w:color w:val="auto"/>
                <w:kern w:val="21"/>
                <w:szCs w:val="21"/>
                <w:lang w:val="en-US" w:eastAsia="zh-CN"/>
              </w:rPr>
            </w:pPr>
            <w:r>
              <w:rPr>
                <w:rFonts w:hint="eastAsia"/>
                <w:snapToGrid w:val="0"/>
                <w:color w:val="auto"/>
                <w:kern w:val="21"/>
                <w:szCs w:val="21"/>
              </w:rPr>
              <w:t>0.</w:t>
            </w:r>
            <w:r>
              <w:rPr>
                <w:rFonts w:hint="eastAsia"/>
                <w:snapToGrid w:val="0"/>
                <w:color w:val="auto"/>
                <w:kern w:val="21"/>
                <w:szCs w:val="21"/>
                <w:lang w:val="en-US" w:eastAsia="zh-CN"/>
              </w:rPr>
              <w:t>8106</w:t>
            </w:r>
          </w:p>
        </w:tc>
        <w:tc>
          <w:tcPr>
            <w:tcW w:w="1575"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c>
          <w:tcPr>
            <w:tcW w:w="1785" w:type="dxa"/>
            <w:vAlign w:val="center"/>
          </w:tcPr>
          <w:p>
            <w:pPr>
              <w:widowControl/>
              <w:jc w:val="center"/>
              <w:textAlignment w:val="center"/>
              <w:rPr>
                <w:color w:val="auto"/>
                <w:szCs w:val="21"/>
              </w:rPr>
            </w:pPr>
            <w:r>
              <w:rPr>
                <w:rFonts w:hint="eastAsia"/>
                <w:snapToGrid w:val="0"/>
                <w:color w:val="auto"/>
                <w:kern w:val="21"/>
                <w:szCs w:val="21"/>
              </w:rPr>
              <w:t>0.</w:t>
            </w:r>
            <w:r>
              <w:rPr>
                <w:rFonts w:hint="eastAsia"/>
                <w:snapToGrid w:val="0"/>
                <w:color w:val="auto"/>
                <w:kern w:val="21"/>
                <w:szCs w:val="21"/>
                <w:lang w:val="en-US" w:eastAsia="zh-CN"/>
              </w:rPr>
              <w:t>8106</w:t>
            </w:r>
          </w:p>
        </w:tc>
        <w:tc>
          <w:tcPr>
            <w:tcW w:w="1307"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vAlign w:val="center"/>
          </w:tcPr>
          <w:p>
            <w:pPr>
              <w:widowControl/>
              <w:jc w:val="center"/>
              <w:rPr>
                <w:snapToGrid w:val="0"/>
                <w:color w:val="auto"/>
                <w:kern w:val="21"/>
                <w:szCs w:val="21"/>
              </w:rPr>
            </w:pPr>
            <w:r>
              <w:rPr>
                <w:color w:val="auto"/>
                <w:kern w:val="0"/>
                <w:szCs w:val="21"/>
              </w:rPr>
              <w:t>SS</w:t>
            </w:r>
          </w:p>
        </w:tc>
        <w:tc>
          <w:tcPr>
            <w:tcW w:w="1487" w:type="dxa"/>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rFonts w:hint="eastAsia"/>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rFonts w:hint="default" w:eastAsia="宋体"/>
                <w:snapToGrid w:val="0"/>
                <w:color w:val="auto"/>
                <w:kern w:val="21"/>
                <w:szCs w:val="21"/>
                <w:lang w:val="en-US" w:eastAsia="zh-CN"/>
              </w:rPr>
            </w:pPr>
            <w:r>
              <w:rPr>
                <w:rFonts w:hint="eastAsia"/>
                <w:snapToGrid w:val="0"/>
                <w:color w:val="auto"/>
                <w:kern w:val="21"/>
                <w:szCs w:val="21"/>
              </w:rPr>
              <w:t>0.</w:t>
            </w:r>
            <w:r>
              <w:rPr>
                <w:rFonts w:hint="eastAsia"/>
                <w:snapToGrid w:val="0"/>
                <w:color w:val="auto"/>
                <w:kern w:val="21"/>
                <w:szCs w:val="21"/>
                <w:lang w:val="en-US" w:eastAsia="zh-CN"/>
              </w:rPr>
              <w:t>7434</w:t>
            </w:r>
          </w:p>
        </w:tc>
        <w:tc>
          <w:tcPr>
            <w:tcW w:w="1575"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c>
          <w:tcPr>
            <w:tcW w:w="1785" w:type="dxa"/>
            <w:vAlign w:val="center"/>
          </w:tcPr>
          <w:p>
            <w:pPr>
              <w:widowControl/>
              <w:jc w:val="center"/>
              <w:textAlignment w:val="center"/>
              <w:rPr>
                <w:color w:val="auto"/>
                <w:szCs w:val="21"/>
              </w:rPr>
            </w:pPr>
            <w:r>
              <w:rPr>
                <w:rFonts w:hint="eastAsia"/>
                <w:snapToGrid w:val="0"/>
                <w:color w:val="auto"/>
                <w:kern w:val="21"/>
                <w:szCs w:val="21"/>
              </w:rPr>
              <w:t>0.</w:t>
            </w:r>
            <w:r>
              <w:rPr>
                <w:rFonts w:hint="eastAsia"/>
                <w:snapToGrid w:val="0"/>
                <w:color w:val="auto"/>
                <w:kern w:val="21"/>
                <w:szCs w:val="21"/>
                <w:lang w:val="en-US" w:eastAsia="zh-CN"/>
              </w:rPr>
              <w:t>7434</w:t>
            </w:r>
          </w:p>
        </w:tc>
        <w:tc>
          <w:tcPr>
            <w:tcW w:w="1307"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vAlign w:val="center"/>
          </w:tcPr>
          <w:p>
            <w:pPr>
              <w:widowControl/>
              <w:jc w:val="center"/>
              <w:rPr>
                <w:snapToGrid w:val="0"/>
                <w:color w:val="auto"/>
                <w:kern w:val="21"/>
                <w:szCs w:val="21"/>
              </w:rPr>
            </w:pPr>
            <w:r>
              <w:rPr>
                <w:color w:val="auto"/>
                <w:kern w:val="0"/>
                <w:szCs w:val="21"/>
              </w:rPr>
              <w:t>氨氮（生活）</w:t>
            </w:r>
          </w:p>
        </w:tc>
        <w:tc>
          <w:tcPr>
            <w:tcW w:w="1487" w:type="dxa"/>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rFonts w:hint="eastAsia"/>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snapToGrid w:val="0"/>
                <w:color w:val="auto"/>
                <w:kern w:val="21"/>
                <w:szCs w:val="21"/>
              </w:rPr>
            </w:pPr>
            <w:r>
              <w:rPr>
                <w:rFonts w:hint="eastAsia"/>
                <w:color w:val="auto"/>
                <w:kern w:val="0"/>
                <w:szCs w:val="21"/>
                <w:lang w:bidi="ar"/>
              </w:rPr>
              <w:t>0.0662</w:t>
            </w:r>
          </w:p>
        </w:tc>
        <w:tc>
          <w:tcPr>
            <w:tcW w:w="1575"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c>
          <w:tcPr>
            <w:tcW w:w="1785" w:type="dxa"/>
            <w:vAlign w:val="center"/>
          </w:tcPr>
          <w:p>
            <w:pPr>
              <w:widowControl/>
              <w:jc w:val="center"/>
              <w:textAlignment w:val="center"/>
              <w:rPr>
                <w:color w:val="auto"/>
                <w:szCs w:val="21"/>
              </w:rPr>
            </w:pPr>
            <w:r>
              <w:rPr>
                <w:rFonts w:hint="eastAsia"/>
                <w:color w:val="auto"/>
                <w:kern w:val="0"/>
                <w:szCs w:val="21"/>
                <w:lang w:bidi="ar"/>
              </w:rPr>
              <w:t>0.0662</w:t>
            </w:r>
          </w:p>
        </w:tc>
        <w:tc>
          <w:tcPr>
            <w:tcW w:w="1307"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vAlign w:val="center"/>
          </w:tcPr>
          <w:p>
            <w:pPr>
              <w:widowControl/>
              <w:jc w:val="center"/>
              <w:rPr>
                <w:color w:val="auto"/>
                <w:kern w:val="0"/>
                <w:szCs w:val="21"/>
              </w:rPr>
            </w:pPr>
            <w:r>
              <w:rPr>
                <w:color w:val="auto"/>
                <w:kern w:val="0"/>
                <w:szCs w:val="21"/>
              </w:rPr>
              <w:t>总氮（生活）</w:t>
            </w:r>
          </w:p>
        </w:tc>
        <w:tc>
          <w:tcPr>
            <w:tcW w:w="1487" w:type="dxa"/>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rFonts w:hint="eastAsia"/>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snapToGrid w:val="0"/>
                <w:color w:val="auto"/>
                <w:kern w:val="21"/>
                <w:szCs w:val="21"/>
              </w:rPr>
            </w:pPr>
            <w:r>
              <w:rPr>
                <w:rFonts w:hint="eastAsia"/>
                <w:snapToGrid w:val="0"/>
                <w:color w:val="auto"/>
                <w:kern w:val="21"/>
                <w:szCs w:val="21"/>
              </w:rPr>
              <w:t>0.0756</w:t>
            </w:r>
          </w:p>
        </w:tc>
        <w:tc>
          <w:tcPr>
            <w:tcW w:w="1575"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c>
          <w:tcPr>
            <w:tcW w:w="1785" w:type="dxa"/>
            <w:vAlign w:val="center"/>
          </w:tcPr>
          <w:p>
            <w:pPr>
              <w:widowControl/>
              <w:jc w:val="center"/>
              <w:textAlignment w:val="center"/>
              <w:rPr>
                <w:color w:val="auto"/>
                <w:szCs w:val="21"/>
              </w:rPr>
            </w:pPr>
            <w:r>
              <w:rPr>
                <w:rFonts w:hint="eastAsia"/>
                <w:snapToGrid w:val="0"/>
                <w:color w:val="auto"/>
                <w:kern w:val="21"/>
                <w:szCs w:val="21"/>
              </w:rPr>
              <w:t>0.0756</w:t>
            </w:r>
          </w:p>
        </w:tc>
        <w:tc>
          <w:tcPr>
            <w:tcW w:w="1307"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vAlign w:val="center"/>
          </w:tcPr>
          <w:p>
            <w:pPr>
              <w:widowControl/>
              <w:jc w:val="center"/>
              <w:rPr>
                <w:color w:val="auto"/>
                <w:kern w:val="0"/>
                <w:szCs w:val="21"/>
              </w:rPr>
            </w:pPr>
            <w:r>
              <w:rPr>
                <w:color w:val="auto"/>
                <w:kern w:val="0"/>
                <w:szCs w:val="21"/>
              </w:rPr>
              <w:t>总磷（生活）</w:t>
            </w:r>
          </w:p>
        </w:tc>
        <w:tc>
          <w:tcPr>
            <w:tcW w:w="1487" w:type="dxa"/>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rFonts w:hint="eastAsia"/>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snapToGrid w:val="0"/>
                <w:color w:val="auto"/>
                <w:kern w:val="21"/>
                <w:szCs w:val="21"/>
              </w:rPr>
            </w:pPr>
            <w:r>
              <w:rPr>
                <w:rFonts w:hint="eastAsia"/>
                <w:color w:val="auto"/>
                <w:kern w:val="0"/>
                <w:szCs w:val="21"/>
                <w:lang w:bidi="ar"/>
              </w:rPr>
              <w:t>0.0095</w:t>
            </w:r>
          </w:p>
        </w:tc>
        <w:tc>
          <w:tcPr>
            <w:tcW w:w="1575"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c>
          <w:tcPr>
            <w:tcW w:w="1785" w:type="dxa"/>
            <w:vAlign w:val="center"/>
          </w:tcPr>
          <w:p>
            <w:pPr>
              <w:widowControl/>
              <w:jc w:val="center"/>
              <w:textAlignment w:val="center"/>
              <w:rPr>
                <w:snapToGrid w:val="0"/>
                <w:color w:val="auto"/>
                <w:kern w:val="21"/>
                <w:szCs w:val="21"/>
              </w:rPr>
            </w:pPr>
            <w:r>
              <w:rPr>
                <w:rFonts w:hint="eastAsia"/>
                <w:color w:val="auto"/>
                <w:kern w:val="0"/>
                <w:szCs w:val="21"/>
                <w:lang w:bidi="ar"/>
              </w:rPr>
              <w:t>0.0095</w:t>
            </w:r>
          </w:p>
        </w:tc>
        <w:tc>
          <w:tcPr>
            <w:tcW w:w="1307"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restart"/>
            <w:vAlign w:val="center"/>
          </w:tcPr>
          <w:p>
            <w:pPr>
              <w:pStyle w:val="38"/>
              <w:rPr>
                <w:snapToGrid w:val="0"/>
                <w:color w:val="auto"/>
                <w:kern w:val="21"/>
                <w:sz w:val="21"/>
                <w:szCs w:val="21"/>
              </w:rPr>
            </w:pPr>
            <w:r>
              <w:rPr>
                <w:snapToGrid w:val="0"/>
                <w:color w:val="auto"/>
                <w:kern w:val="21"/>
                <w:sz w:val="21"/>
                <w:szCs w:val="21"/>
              </w:rPr>
              <w:t>一般工业</w:t>
            </w:r>
          </w:p>
          <w:p>
            <w:pPr>
              <w:pStyle w:val="38"/>
              <w:rPr>
                <w:snapToGrid w:val="0"/>
                <w:color w:val="auto"/>
                <w:kern w:val="21"/>
                <w:sz w:val="21"/>
                <w:szCs w:val="21"/>
              </w:rPr>
            </w:pPr>
            <w:r>
              <w:rPr>
                <w:snapToGrid w:val="0"/>
                <w:color w:val="auto"/>
                <w:kern w:val="21"/>
                <w:sz w:val="21"/>
                <w:szCs w:val="21"/>
              </w:rPr>
              <w:t>固体废物</w:t>
            </w:r>
          </w:p>
        </w:tc>
        <w:tc>
          <w:tcPr>
            <w:tcW w:w="2352" w:type="dxa"/>
          </w:tcPr>
          <w:p>
            <w:pPr>
              <w:widowControl/>
              <w:jc w:val="center"/>
              <w:textAlignment w:val="center"/>
              <w:rPr>
                <w:color w:val="auto"/>
                <w:kern w:val="0"/>
                <w:szCs w:val="21"/>
                <w:lang w:bidi="ar"/>
              </w:rPr>
            </w:pPr>
            <w:r>
              <w:rPr>
                <w:rFonts w:hint="eastAsia"/>
                <w:color w:val="auto"/>
              </w:rPr>
              <w:t>打磨毛刺</w:t>
            </w:r>
          </w:p>
        </w:tc>
        <w:tc>
          <w:tcPr>
            <w:tcW w:w="1487" w:type="dxa"/>
            <w:vAlign w:val="center"/>
          </w:tcPr>
          <w:p>
            <w:pPr>
              <w:widowControl/>
              <w:jc w:val="center"/>
              <w:textAlignment w:val="center"/>
              <w:rPr>
                <w:color w:val="auto"/>
                <w:kern w:val="0"/>
                <w:szCs w:val="21"/>
                <w:lang w:bidi="ar"/>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rFonts w:hint="eastAsia"/>
                <w:snapToGrid w:val="0"/>
                <w:color w:val="auto"/>
                <w:kern w:val="21"/>
                <w:szCs w:val="21"/>
              </w:rPr>
              <w:t>0</w:t>
            </w:r>
          </w:p>
        </w:tc>
        <w:tc>
          <w:tcPr>
            <w:tcW w:w="1410" w:type="dxa"/>
            <w:vAlign w:val="center"/>
          </w:tcPr>
          <w:p>
            <w:pPr>
              <w:jc w:val="center"/>
              <w:rPr>
                <w:snapToGrid w:val="0"/>
                <w:color w:val="auto"/>
                <w:kern w:val="21"/>
                <w:szCs w:val="21"/>
              </w:rPr>
            </w:pPr>
            <w:r>
              <w:rPr>
                <w:rFonts w:hint="eastAsia"/>
                <w:snapToGrid w:val="0"/>
                <w:color w:val="auto"/>
                <w:kern w:val="21"/>
                <w:szCs w:val="21"/>
              </w:rPr>
              <w:t>0</w:t>
            </w:r>
          </w:p>
        </w:tc>
        <w:tc>
          <w:tcPr>
            <w:tcW w:w="1485" w:type="dxa"/>
            <w:vAlign w:val="center"/>
          </w:tcPr>
          <w:p>
            <w:pPr>
              <w:widowControl/>
              <w:jc w:val="center"/>
              <w:textAlignment w:val="center"/>
              <w:rPr>
                <w:color w:val="auto"/>
                <w:kern w:val="0"/>
                <w:szCs w:val="21"/>
                <w:lang w:bidi="ar"/>
              </w:rPr>
            </w:pPr>
            <w:r>
              <w:rPr>
                <w:rFonts w:hint="eastAsia"/>
                <w:color w:val="auto"/>
                <w:kern w:val="0"/>
                <w:szCs w:val="21"/>
                <w:lang w:bidi="ar"/>
              </w:rPr>
              <w:t>0.1</w:t>
            </w:r>
          </w:p>
        </w:tc>
        <w:tc>
          <w:tcPr>
            <w:tcW w:w="1575"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c>
          <w:tcPr>
            <w:tcW w:w="1785" w:type="dxa"/>
            <w:vAlign w:val="center"/>
          </w:tcPr>
          <w:p>
            <w:pPr>
              <w:widowControl/>
              <w:jc w:val="center"/>
              <w:textAlignment w:val="center"/>
              <w:rPr>
                <w:color w:val="auto"/>
                <w:kern w:val="0"/>
                <w:szCs w:val="21"/>
                <w:lang w:bidi="ar"/>
              </w:rPr>
            </w:pPr>
            <w:r>
              <w:rPr>
                <w:rFonts w:hint="eastAsia"/>
                <w:color w:val="auto"/>
                <w:szCs w:val="21"/>
              </w:rPr>
              <w:t>0.1</w:t>
            </w:r>
          </w:p>
        </w:tc>
        <w:tc>
          <w:tcPr>
            <w:tcW w:w="1307" w:type="dxa"/>
            <w:vAlign w:val="center"/>
          </w:tcPr>
          <w:p>
            <w:pPr>
              <w:widowControl/>
              <w:jc w:val="center"/>
              <w:textAlignment w:val="center"/>
              <w:rPr>
                <w:color w:val="auto"/>
                <w:kern w:val="0"/>
                <w:szCs w:val="21"/>
                <w:lang w:bidi="ar"/>
              </w:rPr>
            </w:pPr>
            <w:r>
              <w:rPr>
                <w:rFonts w:hint="eastAsia"/>
                <w:color w:val="auto"/>
                <w:kern w:val="0"/>
                <w:szCs w:val="21"/>
                <w:lang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tcPr>
          <w:p>
            <w:pPr>
              <w:widowControl/>
              <w:jc w:val="center"/>
              <w:textAlignment w:val="center"/>
              <w:rPr>
                <w:color w:val="auto"/>
                <w:kern w:val="0"/>
                <w:szCs w:val="21"/>
              </w:rPr>
            </w:pPr>
            <w:r>
              <w:rPr>
                <w:rFonts w:hint="eastAsia"/>
                <w:color w:val="auto"/>
              </w:rPr>
              <w:t>废边角料</w:t>
            </w:r>
          </w:p>
        </w:tc>
        <w:tc>
          <w:tcPr>
            <w:tcW w:w="1487" w:type="dxa"/>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snapToGrid w:val="0"/>
                <w:color w:val="auto"/>
                <w:kern w:val="21"/>
                <w:szCs w:val="21"/>
              </w:rPr>
            </w:pPr>
            <w:r>
              <w:rPr>
                <w:color w:val="auto"/>
                <w:szCs w:val="21"/>
              </w:rPr>
              <w:t>25</w:t>
            </w:r>
          </w:p>
        </w:tc>
        <w:tc>
          <w:tcPr>
            <w:tcW w:w="1575" w:type="dxa"/>
            <w:vAlign w:val="center"/>
          </w:tcPr>
          <w:p>
            <w:pPr>
              <w:widowControl/>
              <w:jc w:val="center"/>
              <w:textAlignment w:val="center"/>
              <w:rPr>
                <w:snapToGrid w:val="0"/>
                <w:color w:val="auto"/>
                <w:kern w:val="21"/>
                <w:szCs w:val="21"/>
              </w:rPr>
            </w:pPr>
            <w:r>
              <w:rPr>
                <w:snapToGrid w:val="0"/>
                <w:color w:val="auto"/>
                <w:kern w:val="21"/>
                <w:szCs w:val="21"/>
              </w:rPr>
              <w:t>0</w:t>
            </w:r>
          </w:p>
        </w:tc>
        <w:tc>
          <w:tcPr>
            <w:tcW w:w="1785" w:type="dxa"/>
            <w:vAlign w:val="center"/>
          </w:tcPr>
          <w:p>
            <w:pPr>
              <w:widowControl/>
              <w:jc w:val="center"/>
              <w:textAlignment w:val="center"/>
              <w:rPr>
                <w:snapToGrid w:val="0"/>
                <w:color w:val="auto"/>
                <w:kern w:val="21"/>
                <w:szCs w:val="21"/>
              </w:rPr>
            </w:pPr>
            <w:r>
              <w:rPr>
                <w:color w:val="auto"/>
                <w:szCs w:val="21"/>
              </w:rPr>
              <w:t>25</w:t>
            </w:r>
          </w:p>
        </w:tc>
        <w:tc>
          <w:tcPr>
            <w:tcW w:w="1307"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vAlign w:val="center"/>
          </w:tcPr>
          <w:p>
            <w:pPr>
              <w:widowControl/>
              <w:jc w:val="center"/>
              <w:textAlignment w:val="center"/>
              <w:rPr>
                <w:color w:val="auto"/>
                <w:kern w:val="0"/>
                <w:szCs w:val="21"/>
              </w:rPr>
            </w:pPr>
            <w:r>
              <w:rPr>
                <w:color w:val="auto"/>
                <w:szCs w:val="21"/>
              </w:rPr>
              <w:t>不合格品</w:t>
            </w:r>
          </w:p>
        </w:tc>
        <w:tc>
          <w:tcPr>
            <w:tcW w:w="1487" w:type="dxa"/>
            <w:vAlign w:val="center"/>
          </w:tcPr>
          <w:p>
            <w:pPr>
              <w:widowControl/>
              <w:jc w:val="center"/>
              <w:textAlignment w:val="center"/>
              <w:rPr>
                <w:snapToGrid w:val="0"/>
                <w:color w:val="auto"/>
                <w:kern w:val="21"/>
                <w:szCs w:val="21"/>
              </w:rPr>
            </w:pPr>
            <w:r>
              <w:rPr>
                <w:color w:val="auto"/>
                <w:kern w:val="0"/>
                <w:szCs w:val="21"/>
                <w:lang w:bidi="ar"/>
              </w:rPr>
              <w:t>0</w:t>
            </w:r>
          </w:p>
        </w:tc>
        <w:tc>
          <w:tcPr>
            <w:tcW w:w="1185" w:type="dxa"/>
            <w:vAlign w:val="center"/>
          </w:tcPr>
          <w:p>
            <w:pPr>
              <w:jc w:val="center"/>
              <w:rPr>
                <w:snapToGrid w:val="0"/>
                <w:color w:val="auto"/>
                <w:kern w:val="21"/>
                <w:szCs w:val="21"/>
              </w:rPr>
            </w:pPr>
            <w:r>
              <w:rPr>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snapToGrid w:val="0"/>
                <w:color w:val="auto"/>
                <w:kern w:val="21"/>
                <w:szCs w:val="21"/>
              </w:rPr>
            </w:pPr>
            <w:r>
              <w:rPr>
                <w:rFonts w:hint="eastAsia"/>
                <w:color w:val="auto"/>
                <w:szCs w:val="21"/>
              </w:rPr>
              <w:t>21</w:t>
            </w:r>
            <w:r>
              <w:rPr>
                <w:color w:val="auto"/>
                <w:szCs w:val="21"/>
              </w:rPr>
              <w:t>.75</w:t>
            </w:r>
          </w:p>
        </w:tc>
        <w:tc>
          <w:tcPr>
            <w:tcW w:w="1575" w:type="dxa"/>
            <w:vAlign w:val="center"/>
          </w:tcPr>
          <w:p>
            <w:pPr>
              <w:widowControl/>
              <w:jc w:val="center"/>
              <w:textAlignment w:val="center"/>
              <w:rPr>
                <w:snapToGrid w:val="0"/>
                <w:color w:val="auto"/>
                <w:kern w:val="21"/>
                <w:szCs w:val="21"/>
              </w:rPr>
            </w:pPr>
            <w:r>
              <w:rPr>
                <w:snapToGrid w:val="0"/>
                <w:color w:val="auto"/>
                <w:kern w:val="21"/>
                <w:szCs w:val="21"/>
              </w:rPr>
              <w:t>0</w:t>
            </w:r>
          </w:p>
        </w:tc>
        <w:tc>
          <w:tcPr>
            <w:tcW w:w="1785" w:type="dxa"/>
            <w:vAlign w:val="center"/>
          </w:tcPr>
          <w:p>
            <w:pPr>
              <w:widowControl/>
              <w:jc w:val="center"/>
              <w:textAlignment w:val="center"/>
              <w:rPr>
                <w:snapToGrid w:val="0"/>
                <w:color w:val="auto"/>
                <w:kern w:val="21"/>
                <w:szCs w:val="21"/>
              </w:rPr>
            </w:pPr>
            <w:r>
              <w:rPr>
                <w:rFonts w:hint="eastAsia"/>
                <w:color w:val="auto"/>
                <w:szCs w:val="21"/>
              </w:rPr>
              <w:t>21</w:t>
            </w:r>
            <w:r>
              <w:rPr>
                <w:color w:val="auto"/>
                <w:szCs w:val="21"/>
              </w:rPr>
              <w:t>.75</w:t>
            </w:r>
          </w:p>
        </w:tc>
        <w:tc>
          <w:tcPr>
            <w:tcW w:w="1307"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2" w:type="dxa"/>
            <w:gridSpan w:val="2"/>
            <w:vMerge w:val="continue"/>
            <w:vAlign w:val="center"/>
          </w:tcPr>
          <w:p>
            <w:pPr>
              <w:pStyle w:val="38"/>
              <w:rPr>
                <w:snapToGrid w:val="0"/>
                <w:color w:val="auto"/>
                <w:kern w:val="21"/>
                <w:sz w:val="21"/>
                <w:szCs w:val="21"/>
              </w:rPr>
            </w:pPr>
          </w:p>
        </w:tc>
        <w:tc>
          <w:tcPr>
            <w:tcW w:w="2352" w:type="dxa"/>
          </w:tcPr>
          <w:p>
            <w:pPr>
              <w:widowControl/>
              <w:jc w:val="center"/>
              <w:textAlignment w:val="center"/>
              <w:rPr>
                <w:color w:val="auto"/>
                <w:kern w:val="0"/>
                <w:szCs w:val="21"/>
              </w:rPr>
            </w:pPr>
            <w:r>
              <w:rPr>
                <w:rFonts w:hint="eastAsia"/>
                <w:color w:val="auto"/>
              </w:rPr>
              <w:t>钢屑</w:t>
            </w:r>
          </w:p>
        </w:tc>
        <w:tc>
          <w:tcPr>
            <w:tcW w:w="1487" w:type="dxa"/>
            <w:vAlign w:val="center"/>
          </w:tcPr>
          <w:p>
            <w:pPr>
              <w:widowControl/>
              <w:jc w:val="center"/>
              <w:textAlignment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tcPr>
          <w:p>
            <w:pPr>
              <w:widowControl/>
              <w:jc w:val="center"/>
              <w:textAlignment w:val="center"/>
              <w:rPr>
                <w:snapToGrid w:val="0"/>
                <w:color w:val="auto"/>
                <w:kern w:val="21"/>
                <w:szCs w:val="21"/>
              </w:rPr>
            </w:pPr>
            <w:r>
              <w:rPr>
                <w:color w:val="auto"/>
              </w:rPr>
              <w:t>0.5</w:t>
            </w:r>
          </w:p>
        </w:tc>
        <w:tc>
          <w:tcPr>
            <w:tcW w:w="1575" w:type="dxa"/>
            <w:vAlign w:val="center"/>
          </w:tcPr>
          <w:p>
            <w:pPr>
              <w:widowControl/>
              <w:jc w:val="center"/>
              <w:textAlignment w:val="center"/>
              <w:rPr>
                <w:snapToGrid w:val="0"/>
                <w:color w:val="auto"/>
                <w:kern w:val="21"/>
                <w:szCs w:val="21"/>
              </w:rPr>
            </w:pPr>
            <w:r>
              <w:rPr>
                <w:snapToGrid w:val="0"/>
                <w:color w:val="auto"/>
                <w:kern w:val="21"/>
                <w:szCs w:val="21"/>
              </w:rPr>
              <w:t>0</w:t>
            </w:r>
          </w:p>
        </w:tc>
        <w:tc>
          <w:tcPr>
            <w:tcW w:w="1785" w:type="dxa"/>
          </w:tcPr>
          <w:p>
            <w:pPr>
              <w:widowControl/>
              <w:jc w:val="center"/>
              <w:textAlignment w:val="center"/>
              <w:rPr>
                <w:snapToGrid w:val="0"/>
                <w:color w:val="auto"/>
                <w:kern w:val="21"/>
                <w:szCs w:val="21"/>
              </w:rPr>
            </w:pPr>
            <w:r>
              <w:rPr>
                <w:color w:val="auto"/>
              </w:rPr>
              <w:t>0.5</w:t>
            </w:r>
          </w:p>
        </w:tc>
        <w:tc>
          <w:tcPr>
            <w:tcW w:w="1307" w:type="dxa"/>
          </w:tcPr>
          <w:p>
            <w:pPr>
              <w:widowControl/>
              <w:jc w:val="center"/>
              <w:textAlignment w:val="center"/>
              <w:rPr>
                <w:snapToGrid w:val="0"/>
                <w:color w:val="auto"/>
                <w:kern w:val="21"/>
                <w:szCs w:val="21"/>
              </w:rPr>
            </w:pPr>
            <w:r>
              <w:rPr>
                <w:rFonts w:hint="eastAsia"/>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tcPr>
          <w:p>
            <w:pPr>
              <w:widowControl/>
              <w:jc w:val="center"/>
              <w:textAlignment w:val="center"/>
              <w:rPr>
                <w:color w:val="auto"/>
                <w:kern w:val="0"/>
                <w:szCs w:val="21"/>
              </w:rPr>
            </w:pPr>
            <w:r>
              <w:rPr>
                <w:rFonts w:hint="eastAsia"/>
                <w:color w:val="auto"/>
              </w:rPr>
              <w:t>废塑粉</w:t>
            </w:r>
          </w:p>
        </w:tc>
        <w:tc>
          <w:tcPr>
            <w:tcW w:w="1487" w:type="dxa"/>
            <w:vAlign w:val="center"/>
          </w:tcPr>
          <w:p>
            <w:pPr>
              <w:widowControl/>
              <w:jc w:val="center"/>
              <w:textAlignment w:val="center"/>
              <w:rPr>
                <w:snapToGrid w:val="0"/>
                <w:color w:val="auto"/>
                <w:kern w:val="21"/>
                <w:szCs w:val="21"/>
              </w:rPr>
            </w:pPr>
            <w:r>
              <w:rPr>
                <w:color w:val="auto"/>
                <w:kern w:val="0"/>
                <w:szCs w:val="21"/>
                <w:lang w:bidi="ar"/>
              </w:rPr>
              <w:t>0</w:t>
            </w:r>
          </w:p>
        </w:tc>
        <w:tc>
          <w:tcPr>
            <w:tcW w:w="1185" w:type="dxa"/>
            <w:vAlign w:val="center"/>
          </w:tcPr>
          <w:p>
            <w:pPr>
              <w:jc w:val="center"/>
              <w:rPr>
                <w:snapToGrid w:val="0"/>
                <w:color w:val="auto"/>
                <w:kern w:val="21"/>
                <w:szCs w:val="21"/>
              </w:rPr>
            </w:pPr>
            <w:r>
              <w:rPr>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tcPr>
          <w:p>
            <w:pPr>
              <w:widowControl/>
              <w:jc w:val="center"/>
              <w:textAlignment w:val="center"/>
              <w:rPr>
                <w:snapToGrid w:val="0"/>
                <w:color w:val="auto"/>
                <w:kern w:val="21"/>
                <w:szCs w:val="21"/>
              </w:rPr>
            </w:pPr>
            <w:r>
              <w:rPr>
                <w:rFonts w:hint="eastAsia"/>
                <w:color w:val="auto"/>
              </w:rPr>
              <w:t>4</w:t>
            </w:r>
          </w:p>
        </w:tc>
        <w:tc>
          <w:tcPr>
            <w:tcW w:w="1575" w:type="dxa"/>
            <w:vAlign w:val="center"/>
          </w:tcPr>
          <w:p>
            <w:pPr>
              <w:widowControl/>
              <w:jc w:val="center"/>
              <w:textAlignment w:val="center"/>
              <w:rPr>
                <w:snapToGrid w:val="0"/>
                <w:color w:val="auto"/>
                <w:kern w:val="21"/>
                <w:szCs w:val="21"/>
              </w:rPr>
            </w:pPr>
            <w:r>
              <w:rPr>
                <w:snapToGrid w:val="0"/>
                <w:color w:val="auto"/>
                <w:kern w:val="21"/>
                <w:szCs w:val="21"/>
              </w:rPr>
              <w:t>0</w:t>
            </w:r>
          </w:p>
        </w:tc>
        <w:tc>
          <w:tcPr>
            <w:tcW w:w="1785" w:type="dxa"/>
          </w:tcPr>
          <w:p>
            <w:pPr>
              <w:widowControl/>
              <w:jc w:val="center"/>
              <w:textAlignment w:val="center"/>
              <w:rPr>
                <w:snapToGrid w:val="0"/>
                <w:color w:val="auto"/>
                <w:kern w:val="21"/>
                <w:szCs w:val="21"/>
              </w:rPr>
            </w:pPr>
            <w:r>
              <w:rPr>
                <w:rFonts w:hint="eastAsia"/>
                <w:color w:val="auto"/>
              </w:rPr>
              <w:t>4</w:t>
            </w:r>
          </w:p>
        </w:tc>
        <w:tc>
          <w:tcPr>
            <w:tcW w:w="1307" w:type="dxa"/>
          </w:tcPr>
          <w:p>
            <w:pPr>
              <w:widowControl/>
              <w:jc w:val="center"/>
              <w:textAlignment w:val="center"/>
              <w:rPr>
                <w:snapToGrid w:val="0"/>
                <w:color w:val="auto"/>
                <w:kern w:val="21"/>
                <w:szCs w:val="21"/>
              </w:rPr>
            </w:pPr>
            <w:r>
              <w:rPr>
                <w:rFonts w:hint="eastAsia"/>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tcPr>
          <w:p>
            <w:pPr>
              <w:widowControl/>
              <w:jc w:val="center"/>
              <w:textAlignment w:val="center"/>
              <w:rPr>
                <w:color w:val="auto"/>
                <w:kern w:val="0"/>
                <w:szCs w:val="21"/>
              </w:rPr>
            </w:pPr>
            <w:r>
              <w:rPr>
                <w:rFonts w:hint="eastAsia"/>
                <w:color w:val="auto"/>
              </w:rPr>
              <w:t>废包装材料</w:t>
            </w:r>
          </w:p>
        </w:tc>
        <w:tc>
          <w:tcPr>
            <w:tcW w:w="1487" w:type="dxa"/>
            <w:vAlign w:val="center"/>
          </w:tcPr>
          <w:p>
            <w:pPr>
              <w:widowControl/>
              <w:jc w:val="center"/>
              <w:textAlignment w:val="center"/>
              <w:rPr>
                <w:snapToGrid w:val="0"/>
                <w:color w:val="auto"/>
                <w:kern w:val="21"/>
                <w:szCs w:val="21"/>
              </w:rPr>
            </w:pPr>
            <w:r>
              <w:rPr>
                <w:color w:val="auto"/>
                <w:kern w:val="0"/>
                <w:szCs w:val="21"/>
                <w:lang w:bidi="ar"/>
              </w:rPr>
              <w:t>0</w:t>
            </w:r>
          </w:p>
        </w:tc>
        <w:tc>
          <w:tcPr>
            <w:tcW w:w="1185" w:type="dxa"/>
            <w:vAlign w:val="center"/>
          </w:tcPr>
          <w:p>
            <w:pPr>
              <w:jc w:val="center"/>
              <w:rPr>
                <w:snapToGrid w:val="0"/>
                <w:color w:val="auto"/>
                <w:kern w:val="21"/>
                <w:szCs w:val="21"/>
              </w:rPr>
            </w:pPr>
            <w:r>
              <w:rPr>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tcPr>
          <w:p>
            <w:pPr>
              <w:widowControl/>
              <w:jc w:val="center"/>
              <w:textAlignment w:val="center"/>
              <w:rPr>
                <w:snapToGrid w:val="0"/>
                <w:color w:val="auto"/>
                <w:kern w:val="21"/>
                <w:szCs w:val="21"/>
              </w:rPr>
            </w:pPr>
            <w:r>
              <w:rPr>
                <w:color w:val="auto"/>
              </w:rPr>
              <w:t>0.8</w:t>
            </w:r>
          </w:p>
        </w:tc>
        <w:tc>
          <w:tcPr>
            <w:tcW w:w="1575" w:type="dxa"/>
            <w:vAlign w:val="center"/>
          </w:tcPr>
          <w:p>
            <w:pPr>
              <w:widowControl/>
              <w:jc w:val="center"/>
              <w:textAlignment w:val="center"/>
              <w:rPr>
                <w:snapToGrid w:val="0"/>
                <w:color w:val="auto"/>
                <w:kern w:val="21"/>
                <w:szCs w:val="21"/>
              </w:rPr>
            </w:pPr>
            <w:r>
              <w:rPr>
                <w:snapToGrid w:val="0"/>
                <w:color w:val="auto"/>
                <w:kern w:val="21"/>
                <w:szCs w:val="21"/>
              </w:rPr>
              <w:t>0</w:t>
            </w:r>
          </w:p>
        </w:tc>
        <w:tc>
          <w:tcPr>
            <w:tcW w:w="1785" w:type="dxa"/>
          </w:tcPr>
          <w:p>
            <w:pPr>
              <w:widowControl/>
              <w:jc w:val="center"/>
              <w:textAlignment w:val="center"/>
              <w:rPr>
                <w:snapToGrid w:val="0"/>
                <w:color w:val="auto"/>
                <w:kern w:val="21"/>
                <w:szCs w:val="21"/>
              </w:rPr>
            </w:pPr>
            <w:r>
              <w:rPr>
                <w:color w:val="auto"/>
              </w:rPr>
              <w:t>0.8</w:t>
            </w:r>
          </w:p>
        </w:tc>
        <w:tc>
          <w:tcPr>
            <w:tcW w:w="1307" w:type="dxa"/>
            <w:vAlign w:val="center"/>
          </w:tcPr>
          <w:p>
            <w:pPr>
              <w:widowControl/>
              <w:jc w:val="center"/>
              <w:textAlignment w:val="center"/>
              <w:rPr>
                <w:snapToGrid w:val="0"/>
                <w:color w:val="auto"/>
                <w:kern w:val="21"/>
                <w:szCs w:val="21"/>
              </w:rPr>
            </w:pPr>
            <w:r>
              <w:rPr>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tcPr>
          <w:p>
            <w:pPr>
              <w:widowControl/>
              <w:jc w:val="center"/>
              <w:textAlignment w:val="center"/>
              <w:rPr>
                <w:color w:val="auto"/>
                <w:kern w:val="0"/>
                <w:szCs w:val="21"/>
              </w:rPr>
            </w:pPr>
            <w:r>
              <w:rPr>
                <w:rFonts w:hint="eastAsia"/>
                <w:color w:val="auto"/>
              </w:rPr>
              <w:t>纯水制备废过滤材料</w:t>
            </w:r>
          </w:p>
        </w:tc>
        <w:tc>
          <w:tcPr>
            <w:tcW w:w="1487" w:type="dxa"/>
            <w:vAlign w:val="center"/>
          </w:tcPr>
          <w:p>
            <w:pPr>
              <w:widowControl/>
              <w:jc w:val="center"/>
              <w:textAlignment w:val="center"/>
              <w:rPr>
                <w:snapToGrid w:val="0"/>
                <w:color w:val="auto"/>
                <w:kern w:val="21"/>
                <w:szCs w:val="21"/>
              </w:rPr>
            </w:pPr>
            <w:r>
              <w:rPr>
                <w:color w:val="auto"/>
                <w:kern w:val="0"/>
                <w:szCs w:val="21"/>
                <w:lang w:bidi="ar"/>
              </w:rPr>
              <w:t>0</w:t>
            </w:r>
          </w:p>
        </w:tc>
        <w:tc>
          <w:tcPr>
            <w:tcW w:w="1185" w:type="dxa"/>
            <w:vAlign w:val="center"/>
          </w:tcPr>
          <w:p>
            <w:pPr>
              <w:jc w:val="center"/>
              <w:rPr>
                <w:snapToGrid w:val="0"/>
                <w:color w:val="auto"/>
                <w:kern w:val="21"/>
                <w:szCs w:val="21"/>
              </w:rPr>
            </w:pPr>
            <w:r>
              <w:rPr>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tcPr>
          <w:p>
            <w:pPr>
              <w:widowControl/>
              <w:jc w:val="center"/>
              <w:textAlignment w:val="center"/>
              <w:rPr>
                <w:rFonts w:hint="eastAsia" w:eastAsia="宋体"/>
                <w:snapToGrid w:val="0"/>
                <w:color w:val="auto"/>
                <w:kern w:val="21"/>
                <w:szCs w:val="21"/>
                <w:lang w:eastAsia="zh-CN"/>
              </w:rPr>
            </w:pPr>
            <w:r>
              <w:rPr>
                <w:color w:val="auto"/>
              </w:rPr>
              <w:t>0.</w:t>
            </w:r>
            <w:r>
              <w:rPr>
                <w:rFonts w:hint="eastAsia"/>
                <w:color w:val="auto"/>
                <w:lang w:val="en-US" w:eastAsia="zh-CN"/>
              </w:rPr>
              <w:t>6</w:t>
            </w:r>
          </w:p>
        </w:tc>
        <w:tc>
          <w:tcPr>
            <w:tcW w:w="1575" w:type="dxa"/>
            <w:vAlign w:val="center"/>
          </w:tcPr>
          <w:p>
            <w:pPr>
              <w:widowControl/>
              <w:jc w:val="center"/>
              <w:textAlignment w:val="center"/>
              <w:rPr>
                <w:snapToGrid w:val="0"/>
                <w:color w:val="auto"/>
                <w:kern w:val="21"/>
                <w:szCs w:val="21"/>
              </w:rPr>
            </w:pPr>
            <w:r>
              <w:rPr>
                <w:snapToGrid w:val="0"/>
                <w:color w:val="auto"/>
                <w:kern w:val="21"/>
                <w:szCs w:val="21"/>
              </w:rPr>
              <w:t>0</w:t>
            </w:r>
          </w:p>
        </w:tc>
        <w:tc>
          <w:tcPr>
            <w:tcW w:w="1785" w:type="dxa"/>
          </w:tcPr>
          <w:p>
            <w:pPr>
              <w:widowControl/>
              <w:jc w:val="center"/>
              <w:textAlignment w:val="center"/>
              <w:rPr>
                <w:rFonts w:hint="eastAsia" w:eastAsia="宋体"/>
                <w:snapToGrid w:val="0"/>
                <w:color w:val="auto"/>
                <w:kern w:val="21"/>
                <w:szCs w:val="21"/>
                <w:lang w:eastAsia="zh-CN"/>
              </w:rPr>
            </w:pPr>
            <w:r>
              <w:rPr>
                <w:color w:val="auto"/>
              </w:rPr>
              <w:t>0.</w:t>
            </w:r>
            <w:r>
              <w:rPr>
                <w:rFonts w:hint="eastAsia"/>
                <w:color w:val="auto"/>
                <w:lang w:val="en-US" w:eastAsia="zh-CN"/>
              </w:rPr>
              <w:t>6</w:t>
            </w:r>
          </w:p>
        </w:tc>
        <w:tc>
          <w:tcPr>
            <w:tcW w:w="1307" w:type="dxa"/>
            <w:vAlign w:val="center"/>
          </w:tcPr>
          <w:p>
            <w:pPr>
              <w:widowControl/>
              <w:jc w:val="center"/>
              <w:textAlignment w:val="center"/>
              <w:rPr>
                <w:snapToGrid w:val="0"/>
                <w:color w:val="auto"/>
                <w:kern w:val="21"/>
                <w:szCs w:val="21"/>
              </w:rPr>
            </w:pPr>
            <w:r>
              <w:rPr>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vAlign w:val="center"/>
          </w:tcPr>
          <w:p>
            <w:pPr>
              <w:jc w:val="center"/>
              <w:rPr>
                <w:color w:val="auto"/>
                <w:kern w:val="0"/>
                <w:szCs w:val="21"/>
              </w:rPr>
            </w:pPr>
            <w:r>
              <w:rPr>
                <w:rFonts w:hint="eastAsia"/>
                <w:color w:val="auto"/>
                <w:kern w:val="0"/>
                <w:szCs w:val="21"/>
              </w:rPr>
              <w:t>化粪池沉淀捞渣</w:t>
            </w:r>
          </w:p>
        </w:tc>
        <w:tc>
          <w:tcPr>
            <w:tcW w:w="1487" w:type="dxa"/>
            <w:vAlign w:val="center"/>
          </w:tcPr>
          <w:p>
            <w:pPr>
              <w:jc w:val="center"/>
              <w:rPr>
                <w:rFonts w:hint="eastAsia" w:eastAsia="宋体"/>
                <w:color w:val="auto"/>
                <w:kern w:val="0"/>
                <w:szCs w:val="21"/>
                <w:lang w:val="en-US" w:eastAsia="zh-CN" w:bidi="ar"/>
              </w:rPr>
            </w:pPr>
            <w:r>
              <w:rPr>
                <w:rFonts w:hint="eastAsia"/>
                <w:color w:val="auto"/>
                <w:kern w:val="0"/>
                <w:szCs w:val="21"/>
                <w:lang w:val="en-US" w:eastAsia="zh-CN" w:bidi="ar"/>
              </w:rPr>
              <w:t>0</w:t>
            </w:r>
          </w:p>
        </w:tc>
        <w:tc>
          <w:tcPr>
            <w:tcW w:w="1185" w:type="dxa"/>
            <w:vAlign w:val="center"/>
          </w:tcPr>
          <w:p>
            <w:pPr>
              <w:jc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0</w:t>
            </w:r>
          </w:p>
        </w:tc>
        <w:tc>
          <w:tcPr>
            <w:tcW w:w="1410" w:type="dxa"/>
            <w:vAlign w:val="center"/>
          </w:tcPr>
          <w:p>
            <w:pPr>
              <w:jc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0</w:t>
            </w:r>
          </w:p>
        </w:tc>
        <w:tc>
          <w:tcPr>
            <w:tcW w:w="1485" w:type="dxa"/>
            <w:vAlign w:val="center"/>
          </w:tcPr>
          <w:p>
            <w:pPr>
              <w:widowControl/>
              <w:jc w:val="center"/>
              <w:textAlignment w:val="center"/>
              <w:rPr>
                <w:color w:val="auto"/>
                <w:kern w:val="0"/>
                <w:szCs w:val="21"/>
                <w:lang w:bidi="ar"/>
              </w:rPr>
            </w:pPr>
            <w:r>
              <w:rPr>
                <w:rFonts w:hint="eastAsia"/>
                <w:color w:val="auto"/>
                <w:kern w:val="0"/>
                <w:szCs w:val="21"/>
                <w:lang w:bidi="ar"/>
              </w:rPr>
              <w:t>12</w:t>
            </w:r>
          </w:p>
        </w:tc>
        <w:tc>
          <w:tcPr>
            <w:tcW w:w="1575" w:type="dxa"/>
            <w:vAlign w:val="center"/>
          </w:tcPr>
          <w:p>
            <w:pPr>
              <w:widowControl/>
              <w:jc w:val="center"/>
              <w:textAlignment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0</w:t>
            </w:r>
          </w:p>
        </w:tc>
        <w:tc>
          <w:tcPr>
            <w:tcW w:w="1785" w:type="dxa"/>
            <w:vAlign w:val="center"/>
          </w:tcPr>
          <w:p>
            <w:pPr>
              <w:widowControl/>
              <w:jc w:val="center"/>
              <w:textAlignment w:val="center"/>
              <w:rPr>
                <w:color w:val="auto"/>
                <w:kern w:val="0"/>
                <w:szCs w:val="21"/>
                <w:lang w:bidi="ar"/>
              </w:rPr>
            </w:pPr>
            <w:r>
              <w:rPr>
                <w:rFonts w:hint="eastAsia"/>
                <w:color w:val="auto"/>
                <w:kern w:val="0"/>
                <w:szCs w:val="21"/>
                <w:lang w:bidi="ar"/>
              </w:rPr>
              <w:t>12</w:t>
            </w:r>
          </w:p>
        </w:tc>
        <w:tc>
          <w:tcPr>
            <w:tcW w:w="1307" w:type="dxa"/>
            <w:vAlign w:val="center"/>
          </w:tcPr>
          <w:p>
            <w:pPr>
              <w:widowControl/>
              <w:jc w:val="center"/>
              <w:textAlignment w:val="center"/>
              <w:rPr>
                <w:rFonts w:hint="eastAsia" w:eastAsia="宋体"/>
                <w:snapToGrid w:val="0"/>
                <w:color w:val="auto"/>
                <w:kern w:val="21"/>
                <w:szCs w:val="21"/>
                <w:lang w:val="en-US" w:eastAsia="zh-CN"/>
              </w:rPr>
            </w:pPr>
            <w:r>
              <w:rPr>
                <w:rFonts w:hint="eastAsia"/>
                <w:snapToGrid w:val="0"/>
                <w:color w:val="auto"/>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vAlign w:val="center"/>
          </w:tcPr>
          <w:p>
            <w:pPr>
              <w:jc w:val="center"/>
              <w:rPr>
                <w:snapToGrid w:val="0"/>
                <w:color w:val="auto"/>
                <w:kern w:val="21"/>
                <w:szCs w:val="21"/>
              </w:rPr>
            </w:pPr>
            <w:r>
              <w:rPr>
                <w:color w:val="auto"/>
                <w:kern w:val="0"/>
                <w:szCs w:val="21"/>
              </w:rPr>
              <w:t>生活垃圾</w:t>
            </w:r>
          </w:p>
        </w:tc>
        <w:tc>
          <w:tcPr>
            <w:tcW w:w="1487" w:type="dxa"/>
            <w:vAlign w:val="center"/>
          </w:tcPr>
          <w:p>
            <w:pPr>
              <w:jc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snapToGrid w:val="0"/>
                <w:color w:val="auto"/>
                <w:kern w:val="21"/>
                <w:szCs w:val="21"/>
              </w:rPr>
            </w:pPr>
            <w:r>
              <w:rPr>
                <w:rFonts w:hint="eastAsia"/>
                <w:color w:val="auto"/>
                <w:kern w:val="0"/>
                <w:szCs w:val="21"/>
                <w:lang w:bidi="ar"/>
              </w:rPr>
              <w:t>21</w:t>
            </w:r>
          </w:p>
        </w:tc>
        <w:tc>
          <w:tcPr>
            <w:tcW w:w="1575" w:type="dxa"/>
            <w:vAlign w:val="center"/>
          </w:tcPr>
          <w:p>
            <w:pPr>
              <w:widowControl/>
              <w:jc w:val="center"/>
              <w:textAlignment w:val="center"/>
              <w:rPr>
                <w:snapToGrid w:val="0"/>
                <w:color w:val="auto"/>
                <w:kern w:val="21"/>
                <w:szCs w:val="21"/>
              </w:rPr>
            </w:pPr>
            <w:r>
              <w:rPr>
                <w:snapToGrid w:val="0"/>
                <w:color w:val="auto"/>
                <w:kern w:val="21"/>
                <w:szCs w:val="21"/>
              </w:rPr>
              <w:t>0</w:t>
            </w:r>
          </w:p>
        </w:tc>
        <w:tc>
          <w:tcPr>
            <w:tcW w:w="1785" w:type="dxa"/>
            <w:vAlign w:val="center"/>
          </w:tcPr>
          <w:p>
            <w:pPr>
              <w:widowControl/>
              <w:jc w:val="center"/>
              <w:textAlignment w:val="center"/>
              <w:rPr>
                <w:snapToGrid w:val="0"/>
                <w:color w:val="auto"/>
                <w:kern w:val="21"/>
                <w:szCs w:val="21"/>
              </w:rPr>
            </w:pPr>
            <w:r>
              <w:rPr>
                <w:rFonts w:hint="eastAsia"/>
                <w:color w:val="auto"/>
                <w:kern w:val="0"/>
                <w:szCs w:val="21"/>
                <w:lang w:bidi="ar"/>
              </w:rPr>
              <w:t>21</w:t>
            </w:r>
          </w:p>
        </w:tc>
        <w:tc>
          <w:tcPr>
            <w:tcW w:w="1307" w:type="dxa"/>
            <w:vAlign w:val="center"/>
          </w:tcPr>
          <w:p>
            <w:pPr>
              <w:widowControl/>
              <w:jc w:val="center"/>
              <w:textAlignment w:val="center"/>
              <w:rPr>
                <w:snapToGrid w:val="0"/>
                <w:color w:val="auto"/>
                <w:kern w:val="21"/>
                <w:szCs w:val="21"/>
              </w:rPr>
            </w:pPr>
            <w:r>
              <w:rPr>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restart"/>
            <w:vAlign w:val="center"/>
          </w:tcPr>
          <w:p>
            <w:pPr>
              <w:pStyle w:val="38"/>
              <w:rPr>
                <w:snapToGrid w:val="0"/>
                <w:color w:val="auto"/>
                <w:kern w:val="21"/>
                <w:sz w:val="21"/>
                <w:szCs w:val="21"/>
              </w:rPr>
            </w:pPr>
            <w:r>
              <w:rPr>
                <w:snapToGrid w:val="0"/>
                <w:color w:val="auto"/>
                <w:kern w:val="21"/>
                <w:sz w:val="21"/>
                <w:szCs w:val="21"/>
              </w:rPr>
              <w:t>危险废物</w:t>
            </w:r>
          </w:p>
        </w:tc>
        <w:tc>
          <w:tcPr>
            <w:tcW w:w="2352" w:type="dxa"/>
          </w:tcPr>
          <w:p>
            <w:pPr>
              <w:widowControl/>
              <w:jc w:val="center"/>
              <w:textAlignment w:val="center"/>
              <w:rPr>
                <w:color w:val="auto"/>
                <w:kern w:val="0"/>
                <w:szCs w:val="21"/>
                <w:lang w:bidi="ar"/>
              </w:rPr>
            </w:pPr>
            <w:r>
              <w:rPr>
                <w:rFonts w:hint="eastAsia"/>
                <w:color w:val="auto"/>
              </w:rPr>
              <w:t>脱脂废渣（液）</w:t>
            </w:r>
          </w:p>
        </w:tc>
        <w:tc>
          <w:tcPr>
            <w:tcW w:w="1487" w:type="dxa"/>
            <w:vAlign w:val="center"/>
          </w:tcPr>
          <w:p>
            <w:pPr>
              <w:jc w:val="center"/>
              <w:rPr>
                <w:color w:val="auto"/>
                <w:kern w:val="0"/>
                <w:szCs w:val="21"/>
                <w:lang w:bidi="ar"/>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color w:val="auto"/>
                <w:kern w:val="0"/>
                <w:szCs w:val="21"/>
                <w:lang w:bidi="ar"/>
              </w:rPr>
            </w:pPr>
            <w:r>
              <w:rPr>
                <w:rFonts w:hint="eastAsia"/>
                <w:color w:val="auto"/>
                <w:kern w:val="0"/>
                <w:szCs w:val="21"/>
                <w:lang w:bidi="ar"/>
              </w:rPr>
              <w:t>12.4</w:t>
            </w:r>
          </w:p>
        </w:tc>
        <w:tc>
          <w:tcPr>
            <w:tcW w:w="1575"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c>
          <w:tcPr>
            <w:tcW w:w="1785" w:type="dxa"/>
            <w:vAlign w:val="center"/>
          </w:tcPr>
          <w:p>
            <w:pPr>
              <w:widowControl/>
              <w:jc w:val="center"/>
              <w:textAlignment w:val="center"/>
              <w:rPr>
                <w:color w:val="auto"/>
                <w:kern w:val="0"/>
                <w:szCs w:val="21"/>
                <w:lang w:bidi="ar"/>
              </w:rPr>
            </w:pPr>
            <w:r>
              <w:rPr>
                <w:rFonts w:hint="eastAsia"/>
                <w:color w:val="auto"/>
                <w:kern w:val="0"/>
                <w:szCs w:val="21"/>
                <w:lang w:bidi="ar"/>
              </w:rPr>
              <w:t>12.4</w:t>
            </w:r>
          </w:p>
        </w:tc>
        <w:tc>
          <w:tcPr>
            <w:tcW w:w="1307" w:type="dxa"/>
            <w:vAlign w:val="center"/>
          </w:tcPr>
          <w:p>
            <w:pPr>
              <w:widowControl/>
              <w:jc w:val="center"/>
              <w:textAlignment w:val="center"/>
              <w:rPr>
                <w:color w:val="auto"/>
                <w:kern w:val="0"/>
                <w:szCs w:val="21"/>
                <w:lang w:bidi="ar"/>
              </w:rPr>
            </w:pPr>
            <w:r>
              <w:rPr>
                <w:rFonts w:hint="eastAsia"/>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tcPr>
          <w:p>
            <w:pPr>
              <w:widowControl/>
              <w:jc w:val="center"/>
              <w:textAlignment w:val="center"/>
              <w:rPr>
                <w:color w:val="auto"/>
                <w:kern w:val="0"/>
                <w:szCs w:val="21"/>
              </w:rPr>
            </w:pPr>
            <w:r>
              <w:rPr>
                <w:rFonts w:hint="eastAsia"/>
                <w:color w:val="auto"/>
              </w:rPr>
              <w:t>陶化废渣（液）</w:t>
            </w:r>
          </w:p>
        </w:tc>
        <w:tc>
          <w:tcPr>
            <w:tcW w:w="1487" w:type="dxa"/>
            <w:vAlign w:val="center"/>
          </w:tcPr>
          <w:p>
            <w:pPr>
              <w:jc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snapToGrid w:val="0"/>
                <w:color w:val="auto"/>
                <w:kern w:val="21"/>
                <w:szCs w:val="21"/>
              </w:rPr>
            </w:pPr>
            <w:r>
              <w:rPr>
                <w:rFonts w:hint="eastAsia"/>
                <w:snapToGrid w:val="0"/>
                <w:color w:val="auto"/>
                <w:kern w:val="21"/>
                <w:szCs w:val="21"/>
              </w:rPr>
              <w:t>2.5</w:t>
            </w:r>
          </w:p>
        </w:tc>
        <w:tc>
          <w:tcPr>
            <w:tcW w:w="1575" w:type="dxa"/>
            <w:vAlign w:val="center"/>
          </w:tcPr>
          <w:p>
            <w:pPr>
              <w:widowControl/>
              <w:jc w:val="center"/>
              <w:textAlignment w:val="center"/>
              <w:rPr>
                <w:snapToGrid w:val="0"/>
                <w:color w:val="auto"/>
                <w:kern w:val="21"/>
                <w:szCs w:val="21"/>
              </w:rPr>
            </w:pPr>
            <w:r>
              <w:rPr>
                <w:snapToGrid w:val="0"/>
                <w:color w:val="auto"/>
                <w:kern w:val="21"/>
                <w:szCs w:val="21"/>
              </w:rPr>
              <w:t>0</w:t>
            </w:r>
          </w:p>
        </w:tc>
        <w:tc>
          <w:tcPr>
            <w:tcW w:w="1785" w:type="dxa"/>
            <w:vAlign w:val="center"/>
          </w:tcPr>
          <w:p>
            <w:pPr>
              <w:widowControl/>
              <w:jc w:val="center"/>
              <w:textAlignment w:val="center"/>
              <w:rPr>
                <w:snapToGrid w:val="0"/>
                <w:color w:val="auto"/>
                <w:kern w:val="21"/>
                <w:szCs w:val="21"/>
              </w:rPr>
            </w:pPr>
            <w:r>
              <w:rPr>
                <w:rFonts w:hint="eastAsia"/>
                <w:snapToGrid w:val="0"/>
                <w:color w:val="auto"/>
                <w:kern w:val="21"/>
                <w:szCs w:val="21"/>
              </w:rPr>
              <w:t>2.5</w:t>
            </w:r>
          </w:p>
        </w:tc>
        <w:tc>
          <w:tcPr>
            <w:tcW w:w="1307" w:type="dxa"/>
            <w:vAlign w:val="center"/>
          </w:tcPr>
          <w:p>
            <w:pPr>
              <w:widowControl/>
              <w:jc w:val="center"/>
              <w:textAlignment w:val="center"/>
              <w:rPr>
                <w:snapToGrid w:val="0"/>
                <w:color w:val="auto"/>
                <w:kern w:val="21"/>
                <w:szCs w:val="21"/>
              </w:rPr>
            </w:pPr>
            <w:r>
              <w:rPr>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202" w:type="dxa"/>
            <w:gridSpan w:val="2"/>
            <w:vMerge w:val="continue"/>
            <w:vAlign w:val="center"/>
          </w:tcPr>
          <w:p>
            <w:pPr>
              <w:pStyle w:val="38"/>
              <w:rPr>
                <w:snapToGrid w:val="0"/>
                <w:color w:val="auto"/>
                <w:kern w:val="21"/>
                <w:sz w:val="21"/>
                <w:szCs w:val="21"/>
              </w:rPr>
            </w:pPr>
          </w:p>
        </w:tc>
        <w:tc>
          <w:tcPr>
            <w:tcW w:w="2352" w:type="dxa"/>
            <w:vAlign w:val="center"/>
          </w:tcPr>
          <w:p>
            <w:pPr>
              <w:widowControl/>
              <w:jc w:val="center"/>
              <w:textAlignment w:val="center"/>
              <w:rPr>
                <w:color w:val="auto"/>
                <w:kern w:val="0"/>
                <w:szCs w:val="21"/>
              </w:rPr>
            </w:pPr>
            <w:r>
              <w:rPr>
                <w:color w:val="auto"/>
                <w:kern w:val="0"/>
                <w:szCs w:val="21"/>
                <w:lang w:bidi="ar"/>
              </w:rPr>
              <w:t>废包装桶</w:t>
            </w:r>
          </w:p>
        </w:tc>
        <w:tc>
          <w:tcPr>
            <w:tcW w:w="1487" w:type="dxa"/>
            <w:vAlign w:val="center"/>
          </w:tcPr>
          <w:p>
            <w:pPr>
              <w:jc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snapToGrid w:val="0"/>
                <w:color w:val="auto"/>
                <w:kern w:val="21"/>
                <w:szCs w:val="21"/>
              </w:rPr>
            </w:pPr>
            <w:r>
              <w:rPr>
                <w:rFonts w:hint="eastAsia"/>
                <w:color w:val="auto"/>
                <w:szCs w:val="21"/>
              </w:rPr>
              <w:t>1</w:t>
            </w:r>
          </w:p>
        </w:tc>
        <w:tc>
          <w:tcPr>
            <w:tcW w:w="1575" w:type="dxa"/>
            <w:vAlign w:val="center"/>
          </w:tcPr>
          <w:p>
            <w:pPr>
              <w:widowControl/>
              <w:jc w:val="center"/>
              <w:textAlignment w:val="center"/>
              <w:rPr>
                <w:snapToGrid w:val="0"/>
                <w:color w:val="auto"/>
                <w:kern w:val="21"/>
                <w:szCs w:val="21"/>
              </w:rPr>
            </w:pPr>
            <w:r>
              <w:rPr>
                <w:snapToGrid w:val="0"/>
                <w:color w:val="auto"/>
                <w:kern w:val="21"/>
                <w:szCs w:val="21"/>
              </w:rPr>
              <w:t>0</w:t>
            </w:r>
          </w:p>
        </w:tc>
        <w:tc>
          <w:tcPr>
            <w:tcW w:w="1785" w:type="dxa"/>
            <w:vAlign w:val="center"/>
          </w:tcPr>
          <w:p>
            <w:pPr>
              <w:widowControl/>
              <w:jc w:val="center"/>
              <w:textAlignment w:val="center"/>
              <w:rPr>
                <w:snapToGrid w:val="0"/>
                <w:color w:val="auto"/>
                <w:kern w:val="21"/>
                <w:szCs w:val="21"/>
              </w:rPr>
            </w:pPr>
            <w:r>
              <w:rPr>
                <w:rFonts w:hint="eastAsia"/>
                <w:color w:val="auto"/>
                <w:szCs w:val="21"/>
              </w:rPr>
              <w:t>1</w:t>
            </w:r>
          </w:p>
        </w:tc>
        <w:tc>
          <w:tcPr>
            <w:tcW w:w="1307" w:type="dxa"/>
            <w:vAlign w:val="center"/>
          </w:tcPr>
          <w:p>
            <w:pPr>
              <w:widowControl/>
              <w:jc w:val="center"/>
              <w:textAlignment w:val="center"/>
              <w:rPr>
                <w:snapToGrid w:val="0"/>
                <w:color w:val="auto"/>
                <w:kern w:val="21"/>
                <w:szCs w:val="21"/>
              </w:rPr>
            </w:pPr>
            <w:r>
              <w:rPr>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vAlign w:val="center"/>
          </w:tcPr>
          <w:p>
            <w:pPr>
              <w:widowControl/>
              <w:jc w:val="center"/>
              <w:textAlignment w:val="center"/>
              <w:rPr>
                <w:color w:val="auto"/>
                <w:kern w:val="0"/>
                <w:szCs w:val="21"/>
              </w:rPr>
            </w:pPr>
            <w:r>
              <w:rPr>
                <w:color w:val="auto"/>
                <w:szCs w:val="21"/>
              </w:rPr>
              <w:t>废活性炭</w:t>
            </w:r>
          </w:p>
        </w:tc>
        <w:tc>
          <w:tcPr>
            <w:tcW w:w="1487" w:type="dxa"/>
            <w:vAlign w:val="center"/>
          </w:tcPr>
          <w:p>
            <w:pPr>
              <w:jc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snapToGrid w:val="0"/>
                <w:color w:val="auto"/>
                <w:kern w:val="21"/>
                <w:szCs w:val="21"/>
              </w:rPr>
            </w:pPr>
            <w:r>
              <w:rPr>
                <w:rFonts w:hint="eastAsia"/>
                <w:color w:val="auto"/>
                <w:szCs w:val="21"/>
              </w:rPr>
              <w:t>3.2617</w:t>
            </w:r>
          </w:p>
        </w:tc>
        <w:tc>
          <w:tcPr>
            <w:tcW w:w="1575" w:type="dxa"/>
            <w:vAlign w:val="center"/>
          </w:tcPr>
          <w:p>
            <w:pPr>
              <w:widowControl/>
              <w:jc w:val="center"/>
              <w:textAlignment w:val="center"/>
              <w:rPr>
                <w:snapToGrid w:val="0"/>
                <w:color w:val="auto"/>
                <w:kern w:val="21"/>
                <w:szCs w:val="21"/>
              </w:rPr>
            </w:pPr>
            <w:r>
              <w:rPr>
                <w:snapToGrid w:val="0"/>
                <w:color w:val="auto"/>
                <w:kern w:val="21"/>
                <w:szCs w:val="21"/>
              </w:rPr>
              <w:t>0</w:t>
            </w:r>
          </w:p>
        </w:tc>
        <w:tc>
          <w:tcPr>
            <w:tcW w:w="1785" w:type="dxa"/>
            <w:vAlign w:val="center"/>
          </w:tcPr>
          <w:p>
            <w:pPr>
              <w:widowControl/>
              <w:jc w:val="center"/>
              <w:textAlignment w:val="center"/>
              <w:rPr>
                <w:snapToGrid w:val="0"/>
                <w:color w:val="auto"/>
                <w:kern w:val="21"/>
                <w:szCs w:val="21"/>
              </w:rPr>
            </w:pPr>
            <w:r>
              <w:rPr>
                <w:rFonts w:hint="eastAsia"/>
                <w:color w:val="auto"/>
                <w:szCs w:val="21"/>
              </w:rPr>
              <w:t>3.2617</w:t>
            </w:r>
          </w:p>
        </w:tc>
        <w:tc>
          <w:tcPr>
            <w:tcW w:w="1307" w:type="dxa"/>
            <w:vAlign w:val="center"/>
          </w:tcPr>
          <w:p>
            <w:pPr>
              <w:widowControl/>
              <w:jc w:val="center"/>
              <w:textAlignment w:val="center"/>
              <w:rPr>
                <w:snapToGrid w:val="0"/>
                <w:color w:val="auto"/>
                <w:kern w:val="21"/>
                <w:szCs w:val="21"/>
              </w:rPr>
            </w:pPr>
            <w:r>
              <w:rPr>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vAlign w:val="center"/>
          </w:tcPr>
          <w:p>
            <w:pPr>
              <w:widowControl/>
              <w:jc w:val="center"/>
              <w:textAlignment w:val="center"/>
              <w:rPr>
                <w:color w:val="auto"/>
                <w:kern w:val="0"/>
                <w:szCs w:val="21"/>
              </w:rPr>
            </w:pPr>
            <w:r>
              <w:rPr>
                <w:color w:val="auto"/>
                <w:kern w:val="0"/>
                <w:szCs w:val="21"/>
                <w:lang w:bidi="ar"/>
              </w:rPr>
              <w:t>废油</w:t>
            </w:r>
          </w:p>
        </w:tc>
        <w:tc>
          <w:tcPr>
            <w:tcW w:w="1487" w:type="dxa"/>
            <w:vAlign w:val="center"/>
          </w:tcPr>
          <w:p>
            <w:pPr>
              <w:jc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snapToGrid w:val="0"/>
                <w:color w:val="auto"/>
                <w:kern w:val="21"/>
                <w:szCs w:val="21"/>
              </w:rPr>
            </w:pPr>
            <w:r>
              <w:rPr>
                <w:rFonts w:hint="eastAsia"/>
                <w:color w:val="auto"/>
                <w:kern w:val="0"/>
                <w:szCs w:val="21"/>
              </w:rPr>
              <w:t>0.06</w:t>
            </w:r>
          </w:p>
        </w:tc>
        <w:tc>
          <w:tcPr>
            <w:tcW w:w="1575" w:type="dxa"/>
            <w:vAlign w:val="center"/>
          </w:tcPr>
          <w:p>
            <w:pPr>
              <w:widowControl/>
              <w:jc w:val="center"/>
              <w:textAlignment w:val="center"/>
              <w:rPr>
                <w:snapToGrid w:val="0"/>
                <w:color w:val="auto"/>
                <w:kern w:val="21"/>
                <w:szCs w:val="21"/>
              </w:rPr>
            </w:pPr>
            <w:r>
              <w:rPr>
                <w:snapToGrid w:val="0"/>
                <w:color w:val="auto"/>
                <w:kern w:val="21"/>
                <w:szCs w:val="21"/>
              </w:rPr>
              <w:t>0</w:t>
            </w:r>
          </w:p>
        </w:tc>
        <w:tc>
          <w:tcPr>
            <w:tcW w:w="1785" w:type="dxa"/>
            <w:vAlign w:val="center"/>
          </w:tcPr>
          <w:p>
            <w:pPr>
              <w:widowControl/>
              <w:jc w:val="center"/>
              <w:textAlignment w:val="center"/>
              <w:rPr>
                <w:rFonts w:hint="default" w:eastAsia="宋体"/>
                <w:snapToGrid w:val="0"/>
                <w:color w:val="auto"/>
                <w:kern w:val="21"/>
                <w:szCs w:val="21"/>
                <w:lang w:val="en-US" w:eastAsia="zh-CN"/>
              </w:rPr>
            </w:pPr>
            <w:r>
              <w:rPr>
                <w:rFonts w:hint="eastAsia"/>
                <w:color w:val="auto"/>
                <w:kern w:val="0"/>
                <w:szCs w:val="21"/>
                <w:lang w:val="en-US" w:eastAsia="zh-CN"/>
              </w:rPr>
              <w:t>0.06</w:t>
            </w:r>
          </w:p>
        </w:tc>
        <w:tc>
          <w:tcPr>
            <w:tcW w:w="1307" w:type="dxa"/>
            <w:vAlign w:val="center"/>
          </w:tcPr>
          <w:p>
            <w:pPr>
              <w:widowControl/>
              <w:jc w:val="center"/>
              <w:textAlignment w:val="center"/>
              <w:rPr>
                <w:snapToGrid w:val="0"/>
                <w:color w:val="auto"/>
                <w:kern w:val="21"/>
                <w:szCs w:val="21"/>
              </w:rPr>
            </w:pPr>
            <w:r>
              <w:rPr>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vAlign w:val="center"/>
          </w:tcPr>
          <w:p>
            <w:pPr>
              <w:widowControl/>
              <w:jc w:val="center"/>
              <w:textAlignment w:val="center"/>
              <w:rPr>
                <w:color w:val="auto"/>
                <w:kern w:val="0"/>
                <w:szCs w:val="21"/>
              </w:rPr>
            </w:pPr>
            <w:r>
              <w:rPr>
                <w:color w:val="auto"/>
                <w:szCs w:val="21"/>
              </w:rPr>
              <w:t>含油废抹布手套</w:t>
            </w:r>
          </w:p>
        </w:tc>
        <w:tc>
          <w:tcPr>
            <w:tcW w:w="1487" w:type="dxa"/>
            <w:vAlign w:val="center"/>
          </w:tcPr>
          <w:p>
            <w:pPr>
              <w:jc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snapToGrid w:val="0"/>
                <w:color w:val="auto"/>
                <w:kern w:val="21"/>
                <w:szCs w:val="21"/>
              </w:rPr>
            </w:pPr>
            <w:r>
              <w:rPr>
                <w:rFonts w:hint="eastAsia"/>
                <w:color w:val="auto"/>
                <w:kern w:val="0"/>
                <w:szCs w:val="21"/>
              </w:rPr>
              <w:t>1</w:t>
            </w:r>
          </w:p>
        </w:tc>
        <w:tc>
          <w:tcPr>
            <w:tcW w:w="1575" w:type="dxa"/>
            <w:vAlign w:val="center"/>
          </w:tcPr>
          <w:p>
            <w:pPr>
              <w:widowControl/>
              <w:jc w:val="center"/>
              <w:textAlignment w:val="center"/>
              <w:rPr>
                <w:snapToGrid w:val="0"/>
                <w:color w:val="auto"/>
                <w:kern w:val="21"/>
                <w:szCs w:val="21"/>
              </w:rPr>
            </w:pPr>
            <w:r>
              <w:rPr>
                <w:snapToGrid w:val="0"/>
                <w:color w:val="auto"/>
                <w:kern w:val="21"/>
                <w:szCs w:val="21"/>
              </w:rPr>
              <w:t>0</w:t>
            </w:r>
          </w:p>
        </w:tc>
        <w:tc>
          <w:tcPr>
            <w:tcW w:w="1785" w:type="dxa"/>
            <w:vAlign w:val="center"/>
          </w:tcPr>
          <w:p>
            <w:pPr>
              <w:widowControl/>
              <w:jc w:val="center"/>
              <w:textAlignment w:val="center"/>
              <w:rPr>
                <w:snapToGrid w:val="0"/>
                <w:color w:val="auto"/>
                <w:kern w:val="21"/>
                <w:szCs w:val="21"/>
              </w:rPr>
            </w:pPr>
            <w:r>
              <w:rPr>
                <w:rFonts w:hint="eastAsia"/>
                <w:color w:val="auto"/>
                <w:kern w:val="0"/>
                <w:szCs w:val="21"/>
              </w:rPr>
              <w:t>1</w:t>
            </w:r>
          </w:p>
        </w:tc>
        <w:tc>
          <w:tcPr>
            <w:tcW w:w="1307" w:type="dxa"/>
            <w:vAlign w:val="center"/>
          </w:tcPr>
          <w:p>
            <w:pPr>
              <w:widowControl/>
              <w:jc w:val="center"/>
              <w:textAlignment w:val="center"/>
              <w:rPr>
                <w:snapToGrid w:val="0"/>
                <w:color w:val="auto"/>
                <w:kern w:val="21"/>
                <w:szCs w:val="21"/>
              </w:rPr>
            </w:pPr>
            <w:r>
              <w:rPr>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vAlign w:val="center"/>
          </w:tcPr>
          <w:p>
            <w:pPr>
              <w:widowControl/>
              <w:jc w:val="center"/>
              <w:textAlignment w:val="center"/>
              <w:rPr>
                <w:color w:val="auto"/>
                <w:kern w:val="0"/>
                <w:szCs w:val="21"/>
              </w:rPr>
            </w:pPr>
            <w:r>
              <w:rPr>
                <w:color w:val="auto"/>
                <w:szCs w:val="21"/>
              </w:rPr>
              <w:t>废油类包装桶</w:t>
            </w:r>
          </w:p>
        </w:tc>
        <w:tc>
          <w:tcPr>
            <w:tcW w:w="1487" w:type="dxa"/>
            <w:vAlign w:val="center"/>
          </w:tcPr>
          <w:p>
            <w:pPr>
              <w:jc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snapToGrid w:val="0"/>
                <w:color w:val="auto"/>
                <w:kern w:val="21"/>
                <w:szCs w:val="21"/>
              </w:rPr>
            </w:pPr>
            <w:r>
              <w:rPr>
                <w:rFonts w:hint="eastAsia"/>
                <w:color w:val="auto"/>
                <w:kern w:val="0"/>
                <w:szCs w:val="21"/>
              </w:rPr>
              <w:t>1</w:t>
            </w:r>
          </w:p>
        </w:tc>
        <w:tc>
          <w:tcPr>
            <w:tcW w:w="1575"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c>
          <w:tcPr>
            <w:tcW w:w="1785" w:type="dxa"/>
            <w:vAlign w:val="center"/>
          </w:tcPr>
          <w:p>
            <w:pPr>
              <w:widowControl/>
              <w:jc w:val="center"/>
              <w:textAlignment w:val="center"/>
              <w:rPr>
                <w:snapToGrid w:val="0"/>
                <w:color w:val="auto"/>
                <w:kern w:val="21"/>
                <w:szCs w:val="21"/>
              </w:rPr>
            </w:pPr>
            <w:r>
              <w:rPr>
                <w:rFonts w:hint="eastAsia"/>
                <w:color w:val="auto"/>
                <w:kern w:val="0"/>
                <w:szCs w:val="21"/>
              </w:rPr>
              <w:t>1</w:t>
            </w:r>
          </w:p>
        </w:tc>
        <w:tc>
          <w:tcPr>
            <w:tcW w:w="1307" w:type="dxa"/>
            <w:vAlign w:val="center"/>
          </w:tcPr>
          <w:p>
            <w:pPr>
              <w:widowControl/>
              <w:jc w:val="center"/>
              <w:textAlignment w:val="center"/>
              <w:rPr>
                <w:snapToGrid w:val="0"/>
                <w:color w:val="auto"/>
                <w:kern w:val="21"/>
                <w:szCs w:val="21"/>
              </w:rPr>
            </w:pPr>
            <w:r>
              <w:rPr>
                <w:rFonts w:hint="eastAsia"/>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vAlign w:val="center"/>
          </w:tcPr>
          <w:p>
            <w:pPr>
              <w:widowControl/>
              <w:jc w:val="center"/>
              <w:textAlignment w:val="center"/>
              <w:rPr>
                <w:color w:val="auto"/>
                <w:kern w:val="0"/>
                <w:szCs w:val="21"/>
              </w:rPr>
            </w:pPr>
            <w:r>
              <w:rPr>
                <w:color w:val="auto"/>
                <w:szCs w:val="21"/>
              </w:rPr>
              <w:t>压滤污泥</w:t>
            </w:r>
          </w:p>
        </w:tc>
        <w:tc>
          <w:tcPr>
            <w:tcW w:w="1487" w:type="dxa"/>
            <w:vAlign w:val="center"/>
          </w:tcPr>
          <w:p>
            <w:pPr>
              <w:jc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snapToGrid w:val="0"/>
                <w:color w:val="auto"/>
                <w:kern w:val="21"/>
                <w:szCs w:val="21"/>
              </w:rPr>
            </w:pPr>
            <w:r>
              <w:rPr>
                <w:rFonts w:hint="eastAsia"/>
                <w:snapToGrid w:val="0"/>
                <w:color w:val="auto"/>
                <w:kern w:val="21"/>
                <w:szCs w:val="21"/>
              </w:rPr>
              <w:t>55</w:t>
            </w:r>
          </w:p>
        </w:tc>
        <w:tc>
          <w:tcPr>
            <w:tcW w:w="1575" w:type="dxa"/>
            <w:vAlign w:val="center"/>
          </w:tcPr>
          <w:p>
            <w:pPr>
              <w:widowControl/>
              <w:jc w:val="center"/>
              <w:textAlignment w:val="center"/>
              <w:rPr>
                <w:snapToGrid w:val="0"/>
                <w:color w:val="auto"/>
                <w:kern w:val="21"/>
                <w:szCs w:val="21"/>
              </w:rPr>
            </w:pPr>
            <w:r>
              <w:rPr>
                <w:snapToGrid w:val="0"/>
                <w:color w:val="auto"/>
                <w:kern w:val="21"/>
                <w:szCs w:val="21"/>
              </w:rPr>
              <w:t>0</w:t>
            </w:r>
          </w:p>
        </w:tc>
        <w:tc>
          <w:tcPr>
            <w:tcW w:w="1785" w:type="dxa"/>
            <w:vAlign w:val="center"/>
          </w:tcPr>
          <w:p>
            <w:pPr>
              <w:widowControl/>
              <w:jc w:val="center"/>
              <w:textAlignment w:val="center"/>
              <w:rPr>
                <w:snapToGrid w:val="0"/>
                <w:color w:val="auto"/>
                <w:kern w:val="21"/>
                <w:szCs w:val="21"/>
              </w:rPr>
            </w:pPr>
            <w:r>
              <w:rPr>
                <w:rFonts w:hint="eastAsia"/>
                <w:snapToGrid w:val="0"/>
                <w:color w:val="auto"/>
                <w:kern w:val="21"/>
                <w:szCs w:val="21"/>
              </w:rPr>
              <w:t>55</w:t>
            </w:r>
          </w:p>
        </w:tc>
        <w:tc>
          <w:tcPr>
            <w:tcW w:w="1307" w:type="dxa"/>
            <w:vAlign w:val="center"/>
          </w:tcPr>
          <w:p>
            <w:pPr>
              <w:widowControl/>
              <w:jc w:val="center"/>
              <w:textAlignment w:val="center"/>
              <w:rPr>
                <w:snapToGrid w:val="0"/>
                <w:color w:val="auto"/>
                <w:kern w:val="21"/>
                <w:szCs w:val="21"/>
              </w:rPr>
            </w:pPr>
            <w:r>
              <w:rPr>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vAlign w:val="center"/>
          </w:tcPr>
          <w:p>
            <w:pPr>
              <w:widowControl/>
              <w:jc w:val="center"/>
              <w:textAlignment w:val="center"/>
              <w:rPr>
                <w:color w:val="auto"/>
                <w:kern w:val="0"/>
                <w:szCs w:val="21"/>
              </w:rPr>
            </w:pPr>
            <w:r>
              <w:rPr>
                <w:color w:val="auto"/>
                <w:szCs w:val="21"/>
              </w:rPr>
              <w:t>浓缩蒸发液</w:t>
            </w:r>
          </w:p>
        </w:tc>
        <w:tc>
          <w:tcPr>
            <w:tcW w:w="1487" w:type="dxa"/>
            <w:vAlign w:val="center"/>
          </w:tcPr>
          <w:p>
            <w:pPr>
              <w:jc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snapToGrid w:val="0"/>
                <w:color w:val="auto"/>
                <w:kern w:val="21"/>
                <w:szCs w:val="21"/>
              </w:rPr>
            </w:pPr>
            <w:r>
              <w:rPr>
                <w:rFonts w:hint="eastAsia"/>
                <w:snapToGrid w:val="0"/>
                <w:color w:val="auto"/>
                <w:kern w:val="21"/>
                <w:szCs w:val="21"/>
              </w:rPr>
              <w:t>90.4</w:t>
            </w:r>
          </w:p>
        </w:tc>
        <w:tc>
          <w:tcPr>
            <w:tcW w:w="1575" w:type="dxa"/>
            <w:vAlign w:val="center"/>
          </w:tcPr>
          <w:p>
            <w:pPr>
              <w:widowControl/>
              <w:jc w:val="center"/>
              <w:textAlignment w:val="center"/>
              <w:rPr>
                <w:snapToGrid w:val="0"/>
                <w:color w:val="auto"/>
                <w:kern w:val="21"/>
                <w:szCs w:val="21"/>
              </w:rPr>
            </w:pPr>
            <w:r>
              <w:rPr>
                <w:snapToGrid w:val="0"/>
                <w:color w:val="auto"/>
                <w:kern w:val="21"/>
                <w:szCs w:val="21"/>
              </w:rPr>
              <w:t>0</w:t>
            </w:r>
          </w:p>
        </w:tc>
        <w:tc>
          <w:tcPr>
            <w:tcW w:w="1785" w:type="dxa"/>
            <w:vAlign w:val="center"/>
          </w:tcPr>
          <w:p>
            <w:pPr>
              <w:widowControl/>
              <w:jc w:val="center"/>
              <w:textAlignment w:val="center"/>
              <w:rPr>
                <w:snapToGrid w:val="0"/>
                <w:color w:val="auto"/>
                <w:kern w:val="21"/>
                <w:szCs w:val="21"/>
              </w:rPr>
            </w:pPr>
            <w:r>
              <w:rPr>
                <w:rFonts w:hint="eastAsia"/>
                <w:snapToGrid w:val="0"/>
                <w:color w:val="auto"/>
                <w:kern w:val="21"/>
                <w:szCs w:val="21"/>
              </w:rPr>
              <w:t>90.4</w:t>
            </w:r>
          </w:p>
        </w:tc>
        <w:tc>
          <w:tcPr>
            <w:tcW w:w="1307" w:type="dxa"/>
            <w:vAlign w:val="center"/>
          </w:tcPr>
          <w:p>
            <w:pPr>
              <w:widowControl/>
              <w:jc w:val="center"/>
              <w:textAlignment w:val="center"/>
              <w:rPr>
                <w:snapToGrid w:val="0"/>
                <w:color w:val="auto"/>
                <w:kern w:val="21"/>
                <w:szCs w:val="21"/>
              </w:rPr>
            </w:pPr>
            <w:r>
              <w:rPr>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2" w:type="dxa"/>
            <w:gridSpan w:val="2"/>
            <w:vMerge w:val="continue"/>
            <w:vAlign w:val="center"/>
          </w:tcPr>
          <w:p>
            <w:pPr>
              <w:pStyle w:val="38"/>
              <w:rPr>
                <w:snapToGrid w:val="0"/>
                <w:color w:val="auto"/>
                <w:kern w:val="21"/>
                <w:sz w:val="21"/>
                <w:szCs w:val="21"/>
              </w:rPr>
            </w:pPr>
          </w:p>
        </w:tc>
        <w:tc>
          <w:tcPr>
            <w:tcW w:w="2352" w:type="dxa"/>
            <w:vAlign w:val="center"/>
          </w:tcPr>
          <w:p>
            <w:pPr>
              <w:widowControl/>
              <w:jc w:val="center"/>
              <w:textAlignment w:val="center"/>
              <w:rPr>
                <w:color w:val="auto"/>
                <w:kern w:val="0"/>
                <w:szCs w:val="21"/>
              </w:rPr>
            </w:pPr>
            <w:r>
              <w:rPr>
                <w:rFonts w:hint="eastAsia"/>
                <w:color w:val="auto"/>
                <w:szCs w:val="21"/>
              </w:rPr>
              <w:t>废水过滤材料</w:t>
            </w:r>
          </w:p>
        </w:tc>
        <w:tc>
          <w:tcPr>
            <w:tcW w:w="1487" w:type="dxa"/>
            <w:vAlign w:val="center"/>
          </w:tcPr>
          <w:p>
            <w:pPr>
              <w:jc w:val="center"/>
              <w:rPr>
                <w:snapToGrid w:val="0"/>
                <w:color w:val="auto"/>
                <w:kern w:val="21"/>
                <w:szCs w:val="21"/>
              </w:rPr>
            </w:pPr>
            <w:r>
              <w:rPr>
                <w:rFonts w:hint="eastAsia"/>
                <w:color w:val="auto"/>
                <w:kern w:val="0"/>
                <w:szCs w:val="21"/>
                <w:lang w:bidi="ar"/>
              </w:rPr>
              <w:t>0</w:t>
            </w:r>
          </w:p>
        </w:tc>
        <w:tc>
          <w:tcPr>
            <w:tcW w:w="1185" w:type="dxa"/>
            <w:vAlign w:val="center"/>
          </w:tcPr>
          <w:p>
            <w:pPr>
              <w:jc w:val="center"/>
              <w:rPr>
                <w:snapToGrid w:val="0"/>
                <w:color w:val="auto"/>
                <w:kern w:val="21"/>
                <w:szCs w:val="21"/>
              </w:rPr>
            </w:pPr>
            <w:r>
              <w:rPr>
                <w:snapToGrid w:val="0"/>
                <w:color w:val="auto"/>
                <w:kern w:val="21"/>
                <w:szCs w:val="21"/>
              </w:rPr>
              <w:t>0</w:t>
            </w:r>
          </w:p>
        </w:tc>
        <w:tc>
          <w:tcPr>
            <w:tcW w:w="1410" w:type="dxa"/>
            <w:vAlign w:val="center"/>
          </w:tcPr>
          <w:p>
            <w:pPr>
              <w:jc w:val="center"/>
              <w:rPr>
                <w:snapToGrid w:val="0"/>
                <w:color w:val="auto"/>
                <w:kern w:val="21"/>
                <w:szCs w:val="21"/>
              </w:rPr>
            </w:pPr>
            <w:r>
              <w:rPr>
                <w:snapToGrid w:val="0"/>
                <w:color w:val="auto"/>
                <w:kern w:val="21"/>
                <w:szCs w:val="21"/>
              </w:rPr>
              <w:t>0</w:t>
            </w:r>
          </w:p>
        </w:tc>
        <w:tc>
          <w:tcPr>
            <w:tcW w:w="1485" w:type="dxa"/>
            <w:vAlign w:val="center"/>
          </w:tcPr>
          <w:p>
            <w:pPr>
              <w:widowControl/>
              <w:jc w:val="center"/>
              <w:textAlignment w:val="center"/>
              <w:rPr>
                <w:snapToGrid w:val="0"/>
                <w:color w:val="auto"/>
                <w:kern w:val="21"/>
                <w:szCs w:val="21"/>
              </w:rPr>
            </w:pPr>
            <w:r>
              <w:rPr>
                <w:color w:val="auto"/>
                <w:szCs w:val="21"/>
              </w:rPr>
              <w:t>0.0</w:t>
            </w:r>
            <w:r>
              <w:rPr>
                <w:rFonts w:hint="eastAsia"/>
                <w:color w:val="auto"/>
                <w:szCs w:val="21"/>
              </w:rPr>
              <w:t>1</w:t>
            </w:r>
          </w:p>
        </w:tc>
        <w:tc>
          <w:tcPr>
            <w:tcW w:w="1575" w:type="dxa"/>
            <w:vAlign w:val="center"/>
          </w:tcPr>
          <w:p>
            <w:pPr>
              <w:widowControl/>
              <w:jc w:val="center"/>
              <w:textAlignment w:val="center"/>
              <w:rPr>
                <w:snapToGrid w:val="0"/>
                <w:color w:val="auto"/>
                <w:kern w:val="21"/>
                <w:szCs w:val="21"/>
              </w:rPr>
            </w:pPr>
            <w:r>
              <w:rPr>
                <w:snapToGrid w:val="0"/>
                <w:color w:val="auto"/>
                <w:kern w:val="21"/>
                <w:szCs w:val="21"/>
              </w:rPr>
              <w:t>0</w:t>
            </w:r>
          </w:p>
        </w:tc>
        <w:tc>
          <w:tcPr>
            <w:tcW w:w="1785" w:type="dxa"/>
            <w:vAlign w:val="center"/>
          </w:tcPr>
          <w:p>
            <w:pPr>
              <w:widowControl/>
              <w:jc w:val="center"/>
              <w:textAlignment w:val="center"/>
              <w:rPr>
                <w:snapToGrid w:val="0"/>
                <w:color w:val="auto"/>
                <w:kern w:val="21"/>
                <w:szCs w:val="21"/>
              </w:rPr>
            </w:pPr>
            <w:r>
              <w:rPr>
                <w:color w:val="auto"/>
                <w:szCs w:val="21"/>
              </w:rPr>
              <w:t>0.0</w:t>
            </w:r>
            <w:r>
              <w:rPr>
                <w:rFonts w:hint="eastAsia"/>
                <w:color w:val="auto"/>
                <w:szCs w:val="21"/>
              </w:rPr>
              <w:t>1</w:t>
            </w:r>
          </w:p>
        </w:tc>
        <w:tc>
          <w:tcPr>
            <w:tcW w:w="1307" w:type="dxa"/>
            <w:vAlign w:val="center"/>
          </w:tcPr>
          <w:p>
            <w:pPr>
              <w:widowControl/>
              <w:jc w:val="center"/>
              <w:textAlignment w:val="center"/>
              <w:rPr>
                <w:snapToGrid w:val="0"/>
                <w:color w:val="auto"/>
                <w:kern w:val="21"/>
                <w:szCs w:val="21"/>
              </w:rPr>
            </w:pPr>
            <w:r>
              <w:rPr>
                <w:snapToGrid w:val="0"/>
                <w:color w:val="auto"/>
                <w:kern w:val="21"/>
                <w:szCs w:val="21"/>
              </w:rPr>
              <w:t>0</w:t>
            </w:r>
          </w:p>
        </w:tc>
      </w:tr>
    </w:tbl>
    <w:p>
      <w:pPr>
        <w:pStyle w:val="38"/>
        <w:spacing w:before="255" w:beforeLines="80" w:after="24"/>
        <w:jc w:val="left"/>
        <w:rPr>
          <w:color w:val="auto"/>
        </w:rPr>
        <w:sectPr>
          <w:footerReference r:id="rId7" w:type="default"/>
          <w:pgSz w:w="16838" w:h="11906" w:orient="landscape"/>
          <w:pgMar w:top="1797" w:right="1440" w:bottom="1797" w:left="1440" w:header="851" w:footer="992" w:gutter="0"/>
          <w:pgBorders>
            <w:top w:val="none" w:sz="0" w:space="0"/>
            <w:left w:val="none" w:sz="0" w:space="0"/>
            <w:bottom w:val="none" w:sz="0" w:space="0"/>
            <w:right w:val="none" w:sz="0" w:space="0"/>
          </w:pgBorders>
          <w:cols w:space="0" w:num="1"/>
          <w:docGrid w:type="linesAndChars" w:linePitch="319" w:charSpace="0"/>
        </w:sectPr>
      </w:pPr>
      <w:r>
        <w:rPr>
          <w:snapToGrid w:val="0"/>
          <w:color w:val="auto"/>
          <w:kern w:val="21"/>
          <w:szCs w:val="21"/>
        </w:rPr>
        <w:t>注：</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color w:val="auto"/>
          <w:szCs w:val="21"/>
        </w:rPr>
        <w:t>①</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3 \* GB3 \* MERGEFORMAT </w:instrText>
      </w:r>
      <w:r>
        <w:rPr>
          <w:snapToGrid w:val="0"/>
          <w:color w:val="auto"/>
          <w:spacing w:val="-6"/>
          <w:kern w:val="21"/>
          <w:szCs w:val="21"/>
        </w:rPr>
        <w:fldChar w:fldCharType="separate"/>
      </w:r>
      <w:r>
        <w:rPr>
          <w:color w:val="auto"/>
          <w:szCs w:val="21"/>
        </w:rPr>
        <w:t>③</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4 \* GB3 \* MERGEFORMAT </w:instrText>
      </w:r>
      <w:r>
        <w:rPr>
          <w:snapToGrid w:val="0"/>
          <w:color w:val="auto"/>
          <w:spacing w:val="-6"/>
          <w:kern w:val="21"/>
          <w:szCs w:val="21"/>
        </w:rPr>
        <w:fldChar w:fldCharType="separate"/>
      </w:r>
      <w:r>
        <w:rPr>
          <w:color w:val="auto"/>
          <w:szCs w:val="21"/>
        </w:rPr>
        <w:t>④</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5 \* GB3 \* MERGEFORMAT </w:instrText>
      </w:r>
      <w:r>
        <w:rPr>
          <w:snapToGrid w:val="0"/>
          <w:color w:val="auto"/>
          <w:spacing w:val="-16"/>
          <w:kern w:val="21"/>
          <w:szCs w:val="21"/>
        </w:rPr>
        <w:fldChar w:fldCharType="separate"/>
      </w:r>
      <w:r>
        <w:rPr>
          <w:color w:val="auto"/>
          <w:szCs w:val="21"/>
        </w:rPr>
        <w:t>⑤</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7 \* GB3 \* MERGEFORMAT </w:instrText>
      </w:r>
      <w:r>
        <w:rPr>
          <w:snapToGrid w:val="0"/>
          <w:color w:val="auto"/>
          <w:spacing w:val="-6"/>
          <w:kern w:val="21"/>
          <w:szCs w:val="21"/>
        </w:rPr>
        <w:fldChar w:fldCharType="separate"/>
      </w:r>
      <w:r>
        <w:rPr>
          <w:color w:val="auto"/>
          <w:szCs w:val="21"/>
        </w:rPr>
        <w:t>⑦</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color w:val="auto"/>
          <w:szCs w:val="21"/>
        </w:rPr>
        <w:t>①</w:t>
      </w:r>
      <w:r>
        <w:rPr>
          <w:snapToGrid w:val="0"/>
          <w:color w:val="auto"/>
          <w:spacing w:val="-6"/>
          <w:kern w:val="21"/>
          <w:szCs w:val="21"/>
        </w:rPr>
        <w:fldChar w:fldCharType="end"/>
      </w:r>
    </w:p>
    <w:p>
      <w:pPr>
        <w:adjustRightInd w:val="0"/>
        <w:snapToGrid w:val="0"/>
        <w:spacing w:line="360" w:lineRule="auto"/>
        <w:jc w:val="center"/>
        <w:rPr>
          <w:b/>
          <w:bCs/>
          <w:color w:val="auto"/>
          <w:sz w:val="28"/>
          <w:szCs w:val="28"/>
        </w:rPr>
      </w:pPr>
      <w:r>
        <w:rPr>
          <w:b/>
          <w:bCs/>
          <w:color w:val="auto"/>
          <w:sz w:val="28"/>
          <w:szCs w:val="28"/>
        </w:rPr>
        <w:t>附件目录</w:t>
      </w:r>
    </w:p>
    <w:p>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default" w:ascii="Times New Roman" w:hAnsi="Times New Roman" w:cs="Times New Roman"/>
          <w:color w:val="auto"/>
          <w:sz w:val="24"/>
        </w:rPr>
      </w:pPr>
      <w:r>
        <w:rPr>
          <w:rFonts w:hint="default" w:ascii="Times New Roman" w:hAnsi="Times New Roman" w:cs="Times New Roman"/>
          <w:color w:val="auto"/>
          <w:sz w:val="24"/>
        </w:rPr>
        <w:t>附件1、企业投资项目登记信息单</w:t>
      </w:r>
      <w:r>
        <w:rPr>
          <w:rFonts w:hint="default" w:ascii="Times New Roman" w:hAnsi="Times New Roman" w:cs="Times New Roman"/>
          <w:color w:val="auto"/>
          <w:sz w:val="24"/>
          <w:lang w:val="en-US" w:eastAsia="zh-CN"/>
        </w:rPr>
        <w:t>及</w:t>
      </w:r>
      <w:r>
        <w:rPr>
          <w:rFonts w:hint="default" w:ascii="Times New Roman" w:hAnsi="Times New Roman" w:cs="Times New Roman"/>
          <w:color w:val="auto"/>
          <w:sz w:val="24"/>
        </w:rPr>
        <w:t xml:space="preserve">备案证 </w:t>
      </w:r>
    </w:p>
    <w:p>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default" w:ascii="Times New Roman" w:hAnsi="Times New Roman" w:cs="Times New Roman"/>
          <w:color w:val="auto"/>
          <w:sz w:val="24"/>
        </w:rPr>
      </w:pPr>
      <w:r>
        <w:rPr>
          <w:rFonts w:hint="default" w:ascii="Times New Roman" w:hAnsi="Times New Roman" w:cs="Times New Roman"/>
          <w:color w:val="auto"/>
          <w:sz w:val="24"/>
        </w:rPr>
        <w:t>附件2、营业执照及法人身份证</w:t>
      </w:r>
      <w:r>
        <w:rPr>
          <w:rFonts w:hint="default" w:ascii="Times New Roman" w:hAnsi="Times New Roman" w:cs="Times New Roman"/>
          <w:color w:val="auto"/>
        </w:rPr>
        <w:commentReference w:id="38"/>
      </w:r>
    </w:p>
    <w:p>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default" w:ascii="Times New Roman" w:hAnsi="Times New Roman" w:cs="Times New Roman"/>
          <w:color w:val="auto"/>
          <w:sz w:val="24"/>
        </w:rPr>
      </w:pPr>
      <w:r>
        <w:rPr>
          <w:rFonts w:hint="default" w:ascii="Times New Roman" w:hAnsi="Times New Roman" w:cs="Times New Roman"/>
          <w:color w:val="auto"/>
          <w:sz w:val="24"/>
        </w:rPr>
        <w:t>附件3、现场</w:t>
      </w:r>
      <w:r>
        <w:rPr>
          <w:rFonts w:hint="default" w:ascii="Times New Roman" w:hAnsi="Times New Roman" w:cs="Times New Roman"/>
          <w:color w:val="auto"/>
          <w:sz w:val="24"/>
          <w:lang w:val="en-US" w:eastAsia="zh-CN"/>
        </w:rPr>
        <w:t>勘察表</w:t>
      </w:r>
    </w:p>
    <w:p>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default" w:ascii="Times New Roman" w:hAnsi="Times New Roman" w:cs="Times New Roman"/>
          <w:color w:val="auto"/>
          <w:sz w:val="24"/>
        </w:rPr>
      </w:pPr>
      <w:r>
        <w:rPr>
          <w:rFonts w:hint="default" w:ascii="Times New Roman" w:hAnsi="Times New Roman" w:cs="Times New Roman"/>
          <w:color w:val="auto"/>
          <w:sz w:val="24"/>
        </w:rPr>
        <w:t>附件4、不动产权证</w:t>
      </w:r>
      <w:r>
        <w:rPr>
          <w:rFonts w:hint="default" w:ascii="Times New Roman" w:hAnsi="Times New Roman" w:cs="Times New Roman"/>
          <w:color w:val="auto"/>
        </w:rPr>
        <w:commentReference w:id="39"/>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租赁协议、环保协议</w:t>
      </w:r>
    </w:p>
    <w:p>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附件5、相关原辅料MSDS</w:t>
      </w:r>
      <w:r>
        <w:rPr>
          <w:rFonts w:hint="default" w:ascii="Times New Roman" w:hAnsi="Times New Roman" w:cs="Times New Roman"/>
          <w:color w:val="auto"/>
          <w:sz w:val="24"/>
          <w:lang w:val="en-US" w:eastAsia="zh-CN"/>
        </w:rPr>
        <w:t>及挥发性有机化合物检测报告</w:t>
      </w:r>
    </w:p>
    <w:p>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default" w:ascii="Times New Roman" w:hAnsi="Times New Roman" w:cs="Times New Roman"/>
          <w:color w:val="auto"/>
          <w:sz w:val="24"/>
        </w:rPr>
      </w:pPr>
      <w:r>
        <w:rPr>
          <w:rFonts w:hint="default" w:ascii="Times New Roman" w:hAnsi="Times New Roman" w:cs="Times New Roman"/>
          <w:color w:val="auto"/>
          <w:sz w:val="24"/>
        </w:rPr>
        <w:t>附件6、声环境现状监测报告</w:t>
      </w:r>
    </w:p>
    <w:p>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default" w:ascii="Times New Roman" w:hAnsi="Times New Roman" w:cs="Times New Roman"/>
          <w:color w:val="auto"/>
          <w:sz w:val="24"/>
        </w:rPr>
      </w:pPr>
      <w:r>
        <w:rPr>
          <w:rFonts w:hint="default" w:ascii="Times New Roman" w:hAnsi="Times New Roman" w:cs="Times New Roman"/>
          <w:color w:val="auto"/>
          <w:sz w:val="24"/>
        </w:rPr>
        <w:t>附</w:t>
      </w:r>
      <w:r>
        <w:rPr>
          <w:rFonts w:hint="default" w:ascii="Times New Roman" w:hAnsi="Times New Roman" w:cs="Times New Roman"/>
          <w:color w:val="auto"/>
        </w:rPr>
        <w:commentReference w:id="40"/>
      </w:r>
      <w:r>
        <w:rPr>
          <w:rFonts w:hint="default" w:ascii="Times New Roman" w:hAnsi="Times New Roman" w:cs="Times New Roman"/>
          <w:color w:val="auto"/>
          <w:sz w:val="24"/>
        </w:rPr>
        <w:t>件7、</w:t>
      </w:r>
      <w:r>
        <w:rPr>
          <w:rFonts w:hint="default" w:ascii="Times New Roman" w:hAnsi="Times New Roman" w:cs="Times New Roman"/>
          <w:color w:val="auto"/>
          <w:sz w:val="24"/>
          <w:lang w:val="en-US" w:eastAsia="zh-CN"/>
        </w:rPr>
        <w:t>迁建前项目登记表</w:t>
      </w:r>
    </w:p>
    <w:p>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附件8、项目总量申请表</w:t>
      </w:r>
    </w:p>
    <w:p>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附件9、</w:t>
      </w:r>
      <w:r>
        <w:rPr>
          <w:rFonts w:hint="default" w:ascii="Times New Roman" w:hAnsi="Times New Roman" w:cs="Times New Roman"/>
          <w:color w:val="auto"/>
          <w:sz w:val="24"/>
          <w:lang w:val="en-US" w:eastAsia="zh-CN"/>
        </w:rPr>
        <w:t>危废处置承诺书</w:t>
      </w:r>
    </w:p>
    <w:p>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default" w:ascii="Times New Roman" w:hAnsi="Times New Roman" w:cs="Times New Roman"/>
          <w:color w:val="auto"/>
          <w:sz w:val="24"/>
        </w:rPr>
      </w:pPr>
      <w:r>
        <w:rPr>
          <w:rFonts w:hint="default" w:ascii="Times New Roman" w:hAnsi="Times New Roman" w:cs="Times New Roman"/>
          <w:color w:val="auto"/>
          <w:sz w:val="24"/>
        </w:rPr>
        <w:t>附件10、环评委托书</w:t>
      </w:r>
    </w:p>
    <w:p>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default" w:ascii="Times New Roman" w:hAnsi="Times New Roman" w:cs="Times New Roman"/>
          <w:color w:val="auto"/>
          <w:sz w:val="24"/>
        </w:rPr>
      </w:pPr>
      <w:r>
        <w:rPr>
          <w:rFonts w:hint="default" w:ascii="Times New Roman" w:hAnsi="Times New Roman" w:cs="Times New Roman"/>
          <w:color w:val="auto"/>
          <w:sz w:val="24"/>
        </w:rPr>
        <w:t>附件11</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技术服务合同</w:t>
      </w:r>
    </w:p>
    <w:p>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default" w:ascii="Times New Roman" w:hAnsi="Times New Roman" w:cs="Times New Roman"/>
          <w:color w:val="auto"/>
          <w:sz w:val="24"/>
        </w:rPr>
      </w:pPr>
      <w:r>
        <w:rPr>
          <w:rFonts w:hint="default" w:ascii="Times New Roman" w:hAnsi="Times New Roman" w:cs="Times New Roman"/>
          <w:color w:val="auto"/>
          <w:sz w:val="24"/>
        </w:rPr>
        <w:t>附件1</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、建设单位确认单</w:t>
      </w:r>
    </w:p>
    <w:p>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default" w:ascii="Times New Roman" w:hAnsi="Times New Roman" w:cs="Times New Roman"/>
          <w:color w:val="auto"/>
          <w:sz w:val="24"/>
        </w:rPr>
      </w:pPr>
      <w:r>
        <w:rPr>
          <w:rFonts w:hint="default" w:ascii="Times New Roman" w:hAnsi="Times New Roman" w:cs="Times New Roman"/>
          <w:color w:val="auto"/>
          <w:sz w:val="24"/>
        </w:rPr>
        <w:t>附件1</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、环评单位承诺书</w:t>
      </w:r>
    </w:p>
    <w:p>
      <w:pPr>
        <w:keepNext w:val="0"/>
        <w:keepLines w:val="0"/>
        <w:pageBreakBefore w:val="0"/>
        <w:kinsoku/>
        <w:wordWrap/>
        <w:overflowPunct/>
        <w:topLinePunct w:val="0"/>
        <w:autoSpaceDE/>
        <w:autoSpaceDN/>
        <w:bidi w:val="0"/>
        <w:adjustRightInd/>
        <w:snapToGrid/>
        <w:spacing w:line="360" w:lineRule="auto"/>
        <w:ind w:firstLine="484" w:firstLineChars="202"/>
        <w:textAlignment w:val="auto"/>
        <w:rPr>
          <w:rFonts w:hint="default" w:ascii="Times New Roman" w:hAnsi="Times New Roman" w:cs="Times New Roman"/>
          <w:color w:val="auto"/>
          <w:sz w:val="24"/>
        </w:rPr>
      </w:pPr>
      <w:r>
        <w:rPr>
          <w:rFonts w:hint="default" w:ascii="Times New Roman" w:hAnsi="Times New Roman" w:cs="Times New Roman"/>
          <w:color w:val="auto"/>
          <w:sz w:val="24"/>
        </w:rPr>
        <w:t>附件1</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、全文公示截图</w:t>
      </w:r>
    </w:p>
    <w:p>
      <w:pPr>
        <w:pStyle w:val="2"/>
        <w:keepNext w:val="0"/>
        <w:keepLines w:val="0"/>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 xml:space="preserve">    </w:t>
      </w:r>
      <w:r>
        <w:rPr>
          <w:rFonts w:hint="default" w:ascii="Times New Roman" w:hAnsi="Times New Roman" w:cs="Times New Roman"/>
          <w:color w:val="auto"/>
          <w:sz w:val="24"/>
          <w:szCs w:val="24"/>
          <w:lang w:val="en-US" w:eastAsia="zh-CN"/>
        </w:rPr>
        <w:t xml:space="preserve"> 附件15、项目负责人现场踏勘照片</w:t>
      </w:r>
    </w:p>
    <w:p>
      <w:pPr>
        <w:pStyle w:val="2"/>
        <w:ind w:firstLine="562" w:firstLineChars="200"/>
        <w:jc w:val="center"/>
        <w:rPr>
          <w:rFonts w:hint="default" w:eastAsia="宋体"/>
          <w:color w:val="auto"/>
          <w:lang w:val="en-US" w:eastAsia="zh-CN"/>
        </w:rPr>
      </w:pPr>
      <w:r>
        <w:rPr>
          <w:rFonts w:hint="eastAsia" w:ascii="Times New Roman" w:hAnsi="Times New Roman" w:eastAsia="宋体" w:cs="Times New Roman"/>
          <w:b/>
          <w:bCs/>
          <w:color w:val="auto"/>
          <w:kern w:val="2"/>
          <w:sz w:val="28"/>
          <w:szCs w:val="28"/>
          <w:lang w:val="en-US" w:eastAsia="zh-CN" w:bidi="ar-SA"/>
        </w:rPr>
        <w:t>附图目录</w:t>
      </w:r>
    </w:p>
    <w:p>
      <w:pPr>
        <w:pStyle w:val="2"/>
        <w:keepNext w:val="0"/>
        <w:keepLines w:val="0"/>
        <w:pageBreakBefore w:val="0"/>
        <w:widowControl/>
        <w:kinsoku/>
        <w:wordWrap/>
        <w:overflowPunct/>
        <w:topLinePunct w:val="0"/>
        <w:autoSpaceDE/>
        <w:autoSpaceDN/>
        <w:bidi w:val="0"/>
        <w:adjustRightInd/>
        <w:snapToGrid/>
        <w:spacing w:before="0" w:after="0" w:line="360" w:lineRule="auto"/>
        <w:ind w:right="113" w:firstLine="480" w:firstLineChars="200"/>
        <w:textAlignment w:val="auto"/>
        <w:rPr>
          <w:ins w:id="974" w:author="Sunny" w:date="2022-12-29T17:36:00Z"/>
          <w:rFonts w:hint="default" w:ascii="Times New Roman" w:hAnsi="Times New Roman" w:cs="Times New Roman"/>
          <w:color w:val="auto"/>
          <w:sz w:val="24"/>
          <w:u w:val="none"/>
        </w:rPr>
      </w:pPr>
      <w:ins w:id="975" w:author="Sunny" w:date="2022-12-29T17:36:00Z">
        <w:r>
          <w:rPr>
            <w:rFonts w:hint="default" w:ascii="Times New Roman" w:hAnsi="Times New Roman" w:cs="Times New Roman"/>
            <w:color w:val="auto"/>
            <w:sz w:val="24"/>
            <w:u w:val="none"/>
          </w:rPr>
          <w:t>附图1-1</w:t>
        </w:r>
      </w:ins>
      <w:r>
        <w:rPr>
          <w:rFonts w:hint="default" w:ascii="Times New Roman" w:hAnsi="Times New Roman" w:cs="Times New Roman"/>
          <w:color w:val="auto"/>
          <w:sz w:val="24"/>
          <w:u w:val="none"/>
        </w:rPr>
        <w:t xml:space="preserve"> </w:t>
      </w:r>
      <w:ins w:id="976" w:author="Sunny" w:date="2022-12-29T17:37:00Z">
        <w:r>
          <w:rPr>
            <w:rFonts w:hint="default" w:ascii="Times New Roman" w:hAnsi="Times New Roman" w:cs="Times New Roman"/>
            <w:color w:val="auto"/>
            <w:sz w:val="24"/>
            <w:u w:val="none"/>
          </w:rPr>
          <w:t>项目地理位置图</w:t>
        </w:r>
      </w:ins>
    </w:p>
    <w:p>
      <w:pPr>
        <w:pStyle w:val="2"/>
        <w:keepNext w:val="0"/>
        <w:keepLines w:val="0"/>
        <w:pageBreakBefore w:val="0"/>
        <w:widowControl/>
        <w:kinsoku/>
        <w:wordWrap/>
        <w:overflowPunct/>
        <w:topLinePunct w:val="0"/>
        <w:autoSpaceDE/>
        <w:autoSpaceDN/>
        <w:bidi w:val="0"/>
        <w:adjustRightInd/>
        <w:snapToGrid/>
        <w:spacing w:before="0" w:after="0" w:line="360" w:lineRule="auto"/>
        <w:ind w:right="113" w:firstLine="480" w:firstLineChars="200"/>
        <w:textAlignment w:val="auto"/>
        <w:rPr>
          <w:ins w:id="977" w:author="Sunny" w:date="2022-12-29T17:37:00Z"/>
          <w:rFonts w:hint="default" w:ascii="Times New Roman" w:hAnsi="Times New Roman" w:cs="Times New Roman"/>
          <w:color w:val="auto"/>
          <w:sz w:val="24"/>
          <w:u w:val="none"/>
        </w:rPr>
      </w:pPr>
      <w:ins w:id="978" w:author="Sunny" w:date="2022-12-29T17:36:00Z">
        <w:r>
          <w:rPr>
            <w:rFonts w:hint="default" w:ascii="Times New Roman" w:hAnsi="Times New Roman" w:cs="Times New Roman"/>
            <w:color w:val="auto"/>
            <w:sz w:val="24"/>
            <w:u w:val="none"/>
          </w:rPr>
          <w:t>附图1-2</w:t>
        </w:r>
      </w:ins>
      <w:ins w:id="979" w:author="Sunny" w:date="2022-12-29T17:37:00Z">
        <w:r>
          <w:rPr>
            <w:rFonts w:hint="default" w:ascii="Times New Roman" w:hAnsi="Times New Roman" w:cs="Times New Roman"/>
            <w:color w:val="auto"/>
            <w:sz w:val="24"/>
            <w:u w:val="none"/>
          </w:rPr>
          <w:t>江苏省生态空间保护区域分布图</w:t>
        </w:r>
      </w:ins>
    </w:p>
    <w:p>
      <w:pPr>
        <w:pStyle w:val="2"/>
        <w:keepNext w:val="0"/>
        <w:keepLines w:val="0"/>
        <w:pageBreakBefore w:val="0"/>
        <w:widowControl/>
        <w:kinsoku/>
        <w:wordWrap/>
        <w:overflowPunct/>
        <w:topLinePunct w:val="0"/>
        <w:autoSpaceDE/>
        <w:autoSpaceDN/>
        <w:bidi w:val="0"/>
        <w:adjustRightInd/>
        <w:snapToGrid/>
        <w:spacing w:before="0" w:after="0" w:line="360" w:lineRule="auto"/>
        <w:ind w:right="113" w:firstLine="480" w:firstLineChars="200"/>
        <w:textAlignment w:val="auto"/>
        <w:rPr>
          <w:ins w:id="980" w:author="Sunny" w:date="2022-12-29T17:37:00Z"/>
          <w:rFonts w:hint="default" w:ascii="Times New Roman" w:hAnsi="Times New Roman" w:cs="Times New Roman"/>
          <w:color w:val="auto"/>
          <w:sz w:val="24"/>
          <w:u w:val="none"/>
        </w:rPr>
      </w:pPr>
      <w:ins w:id="981" w:author="Sunny" w:date="2022-12-29T17:37:00Z">
        <w:r>
          <w:rPr>
            <w:rFonts w:hint="default" w:ascii="Times New Roman" w:hAnsi="Times New Roman" w:cs="Times New Roman"/>
            <w:color w:val="auto"/>
            <w:sz w:val="24"/>
            <w:u w:val="none"/>
          </w:rPr>
          <w:t>附图1-3江苏省无锡市环境管控单元图</w:t>
        </w:r>
      </w:ins>
    </w:p>
    <w:p>
      <w:pPr>
        <w:pStyle w:val="2"/>
        <w:keepNext w:val="0"/>
        <w:keepLines w:val="0"/>
        <w:pageBreakBefore w:val="0"/>
        <w:widowControl/>
        <w:kinsoku/>
        <w:wordWrap/>
        <w:overflowPunct/>
        <w:topLinePunct w:val="0"/>
        <w:autoSpaceDE/>
        <w:autoSpaceDN/>
        <w:bidi w:val="0"/>
        <w:adjustRightInd/>
        <w:snapToGrid/>
        <w:spacing w:before="0" w:after="0" w:line="360" w:lineRule="auto"/>
        <w:ind w:right="113" w:firstLine="480" w:firstLineChars="200"/>
        <w:textAlignment w:val="auto"/>
        <w:rPr>
          <w:rFonts w:hint="default" w:ascii="Times New Roman" w:hAnsi="Times New Roman" w:cs="Times New Roman"/>
          <w:color w:val="auto"/>
          <w:sz w:val="24"/>
          <w:u w:val="none"/>
        </w:rPr>
      </w:pPr>
      <w:ins w:id="982" w:author="Sunny" w:date="2022-12-29T17:37:00Z">
        <w:r>
          <w:rPr>
            <w:rFonts w:hint="default" w:ascii="Times New Roman" w:hAnsi="Times New Roman" w:cs="Times New Roman"/>
            <w:color w:val="auto"/>
            <w:sz w:val="24"/>
            <w:u w:val="none"/>
          </w:rPr>
          <w:t>附图</w:t>
        </w:r>
      </w:ins>
      <w:r>
        <w:rPr>
          <w:rFonts w:hint="default" w:ascii="Times New Roman" w:hAnsi="Times New Roman" w:cs="Times New Roman"/>
          <w:color w:val="auto"/>
          <w:sz w:val="24"/>
          <w:u w:val="none"/>
        </w:rPr>
        <w:t>2</w:t>
      </w:r>
      <w:ins w:id="983" w:author="Sunny" w:date="2022-12-29T17:37:00Z">
        <w:r>
          <w:rPr>
            <w:rFonts w:hint="default" w:ascii="Times New Roman" w:hAnsi="Times New Roman" w:cs="Times New Roman"/>
            <w:color w:val="auto"/>
            <w:sz w:val="24"/>
            <w:u w:val="none"/>
          </w:rPr>
          <w:t>-1</w:t>
        </w:r>
      </w:ins>
      <w:r>
        <w:rPr>
          <w:rFonts w:hint="default" w:ascii="Times New Roman" w:hAnsi="Times New Roman" w:cs="Times New Roman"/>
          <w:color w:val="auto"/>
          <w:sz w:val="24"/>
          <w:u w:val="none"/>
        </w:rPr>
        <w:t xml:space="preserve"> 无锡市新吴区梅村街道总体规划土地利用规划用图</w:t>
      </w:r>
    </w:p>
    <w:p>
      <w:pPr>
        <w:pStyle w:val="2"/>
        <w:keepNext w:val="0"/>
        <w:keepLines w:val="0"/>
        <w:pageBreakBefore w:val="0"/>
        <w:widowControl/>
        <w:kinsoku/>
        <w:wordWrap/>
        <w:overflowPunct/>
        <w:topLinePunct w:val="0"/>
        <w:autoSpaceDE/>
        <w:autoSpaceDN/>
        <w:bidi w:val="0"/>
        <w:adjustRightInd/>
        <w:snapToGrid/>
        <w:spacing w:before="0" w:after="0" w:line="360" w:lineRule="auto"/>
        <w:ind w:right="113" w:firstLine="480" w:firstLineChars="200"/>
        <w:textAlignment w:val="auto"/>
        <w:rPr>
          <w:ins w:id="984" w:author="Sunny" w:date="2022-12-29T17:37:00Z"/>
          <w:rFonts w:hint="default" w:ascii="Times New Roman" w:hAnsi="Times New Roman" w:cs="Times New Roman"/>
          <w:color w:val="auto"/>
          <w:sz w:val="24"/>
          <w:u w:val="none"/>
        </w:rPr>
      </w:pPr>
      <w:r>
        <w:rPr>
          <w:rFonts w:hint="default" w:ascii="Times New Roman" w:hAnsi="Times New Roman" w:cs="Times New Roman"/>
          <w:color w:val="auto"/>
          <w:sz w:val="24"/>
          <w:u w:val="none"/>
        </w:rPr>
        <w:t>附图2-2 无锡新区高新区B区控制性详细规划（修编）规划用地图</w:t>
      </w:r>
    </w:p>
    <w:p>
      <w:pPr>
        <w:pStyle w:val="2"/>
        <w:keepNext w:val="0"/>
        <w:keepLines w:val="0"/>
        <w:pageBreakBefore w:val="0"/>
        <w:widowControl/>
        <w:kinsoku/>
        <w:wordWrap/>
        <w:overflowPunct/>
        <w:topLinePunct w:val="0"/>
        <w:autoSpaceDE/>
        <w:autoSpaceDN/>
        <w:bidi w:val="0"/>
        <w:adjustRightInd/>
        <w:snapToGrid/>
        <w:spacing w:before="0" w:after="0" w:line="360" w:lineRule="auto"/>
        <w:ind w:right="113" w:firstLine="480" w:firstLineChars="200"/>
        <w:textAlignment w:val="auto"/>
        <w:rPr>
          <w:ins w:id="985" w:author="Sunny" w:date="2022-12-29T17:38:00Z"/>
          <w:rFonts w:hint="default" w:ascii="Times New Roman" w:hAnsi="Times New Roman" w:cs="Times New Roman"/>
          <w:color w:val="auto"/>
          <w:sz w:val="24"/>
          <w:u w:val="none"/>
        </w:rPr>
      </w:pPr>
      <w:ins w:id="986" w:author="Sunny" w:date="2022-12-29T17:37:00Z">
        <w:r>
          <w:rPr>
            <w:rFonts w:hint="default" w:ascii="Times New Roman" w:hAnsi="Times New Roman" w:cs="Times New Roman"/>
            <w:color w:val="auto"/>
            <w:sz w:val="24"/>
            <w:u w:val="none"/>
          </w:rPr>
          <w:t>附图</w:t>
        </w:r>
      </w:ins>
      <w:r>
        <w:rPr>
          <w:rFonts w:hint="default" w:ascii="Times New Roman" w:hAnsi="Times New Roman" w:cs="Times New Roman"/>
          <w:color w:val="auto"/>
          <w:sz w:val="24"/>
          <w:u w:val="none"/>
        </w:rPr>
        <w:t xml:space="preserve">3 </w:t>
      </w:r>
      <w:ins w:id="987" w:author="Sunny" w:date="2022-12-29T17:38:00Z">
        <w:r>
          <w:rPr>
            <w:rFonts w:hint="default" w:ascii="Times New Roman" w:hAnsi="Times New Roman" w:cs="Times New Roman"/>
            <w:color w:val="auto"/>
            <w:sz w:val="24"/>
            <w:u w:val="none"/>
          </w:rPr>
          <w:t>项目周边环境</w:t>
        </w:r>
      </w:ins>
      <w:r>
        <w:rPr>
          <w:rFonts w:hint="default" w:ascii="Times New Roman" w:hAnsi="Times New Roman" w:cs="Times New Roman"/>
          <w:color w:val="auto"/>
          <w:sz w:val="24"/>
          <w:u w:val="none"/>
        </w:rPr>
        <w:t>概况</w:t>
      </w:r>
      <w:ins w:id="988" w:author="Sunny" w:date="2022-12-29T17:38:00Z">
        <w:r>
          <w:rPr>
            <w:rFonts w:hint="default" w:ascii="Times New Roman" w:hAnsi="Times New Roman" w:cs="Times New Roman"/>
            <w:color w:val="auto"/>
            <w:sz w:val="24"/>
            <w:u w:val="none"/>
          </w:rPr>
          <w:t>图</w:t>
        </w:r>
      </w:ins>
      <w:r>
        <w:rPr>
          <w:rFonts w:hint="default" w:ascii="Times New Roman" w:hAnsi="Times New Roman" w:cs="Times New Roman"/>
          <w:color w:val="auto"/>
          <w:sz w:val="24"/>
          <w:u w:val="none"/>
          <w:lang w:eastAsia="zh-CN"/>
        </w:rPr>
        <w:t>、</w:t>
      </w:r>
      <w:r>
        <w:rPr>
          <w:rFonts w:hint="default" w:ascii="Times New Roman" w:hAnsi="Times New Roman" w:cs="Times New Roman"/>
          <w:color w:val="auto"/>
          <w:sz w:val="24"/>
        </w:rPr>
        <w:t>卫生防护距离包络图</w:t>
      </w:r>
    </w:p>
    <w:p>
      <w:pPr>
        <w:pStyle w:val="2"/>
        <w:keepNext w:val="0"/>
        <w:keepLines w:val="0"/>
        <w:pageBreakBefore w:val="0"/>
        <w:widowControl/>
        <w:kinsoku/>
        <w:wordWrap/>
        <w:overflowPunct/>
        <w:topLinePunct w:val="0"/>
        <w:autoSpaceDE/>
        <w:autoSpaceDN/>
        <w:bidi w:val="0"/>
        <w:adjustRightInd/>
        <w:snapToGrid/>
        <w:spacing w:before="0" w:after="0" w:line="360" w:lineRule="auto"/>
        <w:ind w:right="113" w:firstLine="480" w:firstLineChars="200"/>
        <w:textAlignment w:val="auto"/>
        <w:rPr>
          <w:color w:val="auto"/>
        </w:rPr>
      </w:pPr>
      <w:ins w:id="989" w:author="Sunny" w:date="2022-12-29T17:38:00Z">
        <w:r>
          <w:rPr>
            <w:rFonts w:hint="default" w:ascii="Times New Roman" w:hAnsi="Times New Roman" w:cs="Times New Roman"/>
            <w:color w:val="auto"/>
            <w:sz w:val="24"/>
            <w:u w:val="none"/>
          </w:rPr>
          <w:t>附图</w:t>
        </w:r>
      </w:ins>
      <w:r>
        <w:rPr>
          <w:rFonts w:hint="default" w:ascii="Times New Roman" w:hAnsi="Times New Roman" w:cs="Times New Roman"/>
          <w:color w:val="auto"/>
          <w:sz w:val="24"/>
          <w:u w:val="none"/>
        </w:rPr>
        <w:t xml:space="preserve">4 </w:t>
      </w:r>
      <w:ins w:id="990" w:author="Sunny" w:date="2022-12-29T17:38:00Z">
        <w:r>
          <w:rPr>
            <w:rFonts w:hint="default" w:ascii="Times New Roman" w:hAnsi="Times New Roman" w:cs="Times New Roman"/>
            <w:color w:val="auto"/>
            <w:sz w:val="24"/>
            <w:u w:val="none"/>
          </w:rPr>
          <w:t>厂区平面布置及雨污管网图</w:t>
        </w:r>
      </w:ins>
    </w:p>
    <w:sectPr>
      <w:footerReference r:id="rId8" w:type="default"/>
      <w:pgSz w:w="11906" w:h="16838"/>
      <w:pgMar w:top="1440" w:right="1797" w:bottom="1440" w:left="1797" w:header="851" w:footer="992" w:gutter="0"/>
      <w:pgBorders>
        <w:top w:val="none" w:sz="0" w:space="0"/>
        <w:left w:val="none" w:sz="0" w:space="0"/>
        <w:bottom w:val="none" w:sz="0" w:space="0"/>
        <w:right w:val="none" w:sz="0" w:space="0"/>
      </w:pgBorders>
      <w:cols w:space="0" w:num="1"/>
      <w:docGrid w:type="lines" w:linePitch="319"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Qian  Li" w:date="2023-01-11T15:27:29Z" w:initials="Xsy">
    <w:p w14:paraId="428F4D6E">
      <w:pPr>
        <w:pStyle w:val="10"/>
        <w:rPr>
          <w:rFonts w:hint="default" w:eastAsia="宋体"/>
          <w:lang w:val="en-US" w:eastAsia="zh-CN"/>
        </w:rPr>
      </w:pPr>
      <w:r>
        <w:rPr>
          <w:rFonts w:hint="eastAsia"/>
          <w:lang w:val="en-US" w:eastAsia="zh-CN"/>
        </w:rPr>
        <w:t>租赁建筑面积11584.97，占地面积</w:t>
      </w:r>
      <w:r>
        <w:rPr>
          <w:rFonts w:hint="eastAsia"/>
          <w:sz w:val="24"/>
        </w:rPr>
        <w:t>15953.56</w:t>
      </w:r>
    </w:p>
  </w:comment>
  <w:comment w:id="1" w:author="Qian  Li" w:date="2023-01-11T15:32:26Z" w:initials="Xsy">
    <w:p w14:paraId="6C4C0F5E">
      <w:pPr>
        <w:pStyle w:val="10"/>
        <w:rPr>
          <w:rFonts w:hint="eastAsia" w:eastAsia="宋体"/>
          <w:lang w:eastAsia="zh-CN"/>
        </w:rPr>
      </w:pPr>
      <w:r>
        <w:rPr>
          <w:rFonts w:hint="eastAsia"/>
          <w:lang w:eastAsia="zh-CN"/>
        </w:rPr>
        <w:t>格式</w:t>
      </w:r>
    </w:p>
  </w:comment>
  <w:comment w:id="2" w:author="Qian  Li" w:date="2023-01-11T15:44:04Z" w:initials="Xsy">
    <w:p w14:paraId="0AC3739F">
      <w:pPr>
        <w:pStyle w:val="10"/>
      </w:pPr>
      <w:r>
        <w:rPr>
          <w:rFonts w:hint="eastAsia" w:ascii="Times New Roman" w:hAnsi="宋体" w:eastAsia="宋体" w:cs="宋体"/>
          <w:color w:val="auto"/>
          <w:kern w:val="0"/>
          <w:sz w:val="21"/>
          <w:szCs w:val="21"/>
          <w:highlight w:val="none"/>
          <w:lang w:val="en-US" w:eastAsia="zh-CN" w:bidi="ar"/>
        </w:rPr>
        <w:t>本项目所排放的各类污染物经处理后均能达标排放。</w:t>
      </w:r>
    </w:p>
  </w:comment>
  <w:comment w:id="3" w:author="Qian  Li" w:date="2023-01-11T16:07:23Z" w:initials="Xsy">
    <w:p w14:paraId="2CE867AB">
      <w:pPr>
        <w:pStyle w:val="10"/>
        <w:rPr>
          <w:rFonts w:hint="eastAsia"/>
          <w:lang w:val="en-US" w:eastAsia="zh-CN"/>
        </w:rPr>
      </w:pPr>
      <w:r>
        <w:rPr>
          <w:rFonts w:hint="eastAsia"/>
          <w:lang w:eastAsia="zh-CN"/>
        </w:rPr>
        <w:t>无锡市的三线一单前面单独补了</w:t>
      </w:r>
      <w:r>
        <w:rPr>
          <w:rFonts w:hint="eastAsia"/>
          <w:lang w:val="en-US" w:eastAsia="zh-CN"/>
        </w:rPr>
        <w:t xml:space="preserve"> 这里就不写了</w:t>
      </w:r>
    </w:p>
    <w:p w14:paraId="36274083">
      <w:pPr>
        <w:pStyle w:val="10"/>
        <w:rPr>
          <w:rFonts w:hint="default"/>
          <w:lang w:val="en-US" w:eastAsia="zh-CN"/>
        </w:rPr>
      </w:pPr>
      <w:r>
        <w:rPr>
          <w:rFonts w:hint="eastAsia"/>
          <w:lang w:val="en-US" w:eastAsia="zh-CN"/>
        </w:rPr>
        <w:t>高新区的不在范围的话也删了</w:t>
      </w:r>
    </w:p>
  </w:comment>
  <w:comment w:id="4" w:author="Qian  Li" w:date="2023-01-09T13:17:17Z" w:initials="Xsy">
    <w:p w14:paraId="0951748E">
      <w:pPr>
        <w:pStyle w:val="10"/>
        <w:rPr>
          <w:rFonts w:hint="default" w:eastAsia="宋体"/>
          <w:lang w:val="en-US" w:eastAsia="zh-CN"/>
        </w:rPr>
      </w:pPr>
      <w:r>
        <w:rPr>
          <w:rFonts w:hint="eastAsia"/>
          <w:lang w:eastAsia="zh-CN"/>
        </w:rPr>
        <w:t>还有江苏省的源头替代文件</w:t>
      </w:r>
      <w:r>
        <w:rPr>
          <w:rFonts w:hint="eastAsia"/>
          <w:lang w:val="en-US" w:eastAsia="zh-CN"/>
        </w:rPr>
        <w:t xml:space="preserve"> 加上</w:t>
      </w:r>
    </w:p>
  </w:comment>
  <w:comment w:id="5" w:author="Qian  Li" w:date="2023-01-11T16:27:10Z" w:initials="Xsy">
    <w:p w14:paraId="43E41152">
      <w:pPr>
        <w:pStyle w:val="10"/>
        <w:rPr>
          <w:rFonts w:hint="eastAsia"/>
          <w:lang w:eastAsia="zh-CN"/>
        </w:rPr>
      </w:pPr>
      <w:r>
        <w:rPr>
          <w:rFonts w:hint="eastAsia"/>
          <w:lang w:eastAsia="zh-CN"/>
        </w:rPr>
        <w:t>下面补的表格内容加在这个表格里就好了</w:t>
      </w:r>
    </w:p>
    <w:p w14:paraId="549B341C">
      <w:pPr>
        <w:pStyle w:val="10"/>
        <w:rPr>
          <w:rFonts w:hint="default"/>
          <w:lang w:val="en-US" w:eastAsia="zh-CN"/>
        </w:rPr>
      </w:pPr>
      <w:r>
        <w:rPr>
          <w:rFonts w:hint="eastAsia"/>
          <w:lang w:eastAsia="zh-CN"/>
        </w:rPr>
        <w:t>都一个类型的</w:t>
      </w:r>
    </w:p>
  </w:comment>
  <w:comment w:id="6" w:author="Qian  Li" w:date="2023-01-11T16:28:06Z" w:initials="Xsy">
    <w:p w14:paraId="4F6644D7">
      <w:pPr>
        <w:pStyle w:val="10"/>
        <w:rPr>
          <w:rFonts w:hint="eastAsia"/>
          <w:lang w:val="en-US" w:eastAsia="zh-CN"/>
        </w:rPr>
      </w:pPr>
      <w:r>
        <w:rPr>
          <w:rFonts w:hint="eastAsia"/>
          <w:lang w:eastAsia="zh-CN"/>
        </w:rPr>
        <w:t>有吗</w:t>
      </w:r>
      <w:r>
        <w:rPr>
          <w:rFonts w:hint="eastAsia"/>
          <w:lang w:val="en-US" w:eastAsia="zh-CN"/>
        </w:rPr>
        <w:t xml:space="preserve"> 没有吧</w:t>
      </w:r>
    </w:p>
    <w:p w14:paraId="323C6C9D">
      <w:pPr>
        <w:pStyle w:val="10"/>
        <w:rPr>
          <w:rFonts w:hint="default"/>
          <w:lang w:val="en-US" w:eastAsia="zh-CN"/>
        </w:rPr>
      </w:pPr>
      <w:r>
        <w:rPr>
          <w:rFonts w:hint="eastAsia"/>
          <w:lang w:val="en-US" w:eastAsia="zh-CN"/>
        </w:rPr>
        <w:t>直接按照上个表格 粉末涂料的写法来写</w:t>
      </w:r>
    </w:p>
  </w:comment>
  <w:comment w:id="7" w:author="Qian  Li" w:date="2023-01-11T16:29:25Z" w:initials="Xsy">
    <w:p w14:paraId="29634DC7">
      <w:pPr>
        <w:pStyle w:val="10"/>
        <w:rPr>
          <w:rFonts w:hint="eastAsia"/>
          <w:lang w:val="en-US" w:eastAsia="zh-CN"/>
        </w:rPr>
      </w:pPr>
      <w:r>
        <w:rPr>
          <w:rFonts w:hint="eastAsia"/>
          <w:lang w:val="en-US" w:eastAsia="zh-CN"/>
        </w:rPr>
        <w:t>+标题</w:t>
      </w:r>
    </w:p>
    <w:p w14:paraId="17287186">
      <w:pPr>
        <w:pStyle w:val="10"/>
        <w:rPr>
          <w:rFonts w:hint="eastAsia" w:eastAsia="宋体"/>
          <w:lang w:val="en-US" w:eastAsia="zh-CN"/>
        </w:rPr>
      </w:pPr>
      <w:r>
        <w:rPr>
          <w:b/>
          <w:bCs/>
          <w:sz w:val="24"/>
        </w:rPr>
        <w:t>与</w:t>
      </w:r>
      <w:r>
        <w:rPr>
          <w:bCs/>
          <w:sz w:val="24"/>
        </w:rPr>
        <w:t>《关于加快解决当前挥发性有机物治理突出问题的通知》（环大气[2021]65号）</w:t>
      </w:r>
      <w:r>
        <w:rPr>
          <w:rFonts w:hint="eastAsia"/>
          <w:bCs/>
          <w:sz w:val="24"/>
          <w:lang w:eastAsia="zh-CN"/>
        </w:rPr>
        <w:t>相符性分析</w:t>
      </w:r>
    </w:p>
  </w:comment>
  <w:comment w:id="8" w:author="Qian  Li" w:date="2023-01-11T16:34:07Z" w:initials="Xsy">
    <w:p w14:paraId="02193F51">
      <w:pPr>
        <w:pStyle w:val="10"/>
        <w:rPr>
          <w:rFonts w:hint="default" w:eastAsia="宋体"/>
          <w:lang w:val="en-US" w:eastAsia="zh-CN"/>
        </w:rPr>
      </w:pPr>
      <w:r>
        <w:rPr>
          <w:rFonts w:hint="eastAsia"/>
          <w:lang w:eastAsia="zh-CN"/>
        </w:rPr>
        <w:t>登记表里就是冲压件</w:t>
      </w:r>
      <w:r>
        <w:rPr>
          <w:rFonts w:hint="eastAsia"/>
          <w:lang w:val="en-US" w:eastAsia="zh-CN"/>
        </w:rPr>
        <w:t xml:space="preserve"> 没写这个吧</w:t>
      </w:r>
    </w:p>
  </w:comment>
  <w:comment w:id="9" w:author="Qian  Li" w:date="2023-01-11T16:49:38Z" w:initials="Xsy">
    <w:p w14:paraId="663A34A8">
      <w:pPr>
        <w:pStyle w:val="10"/>
        <w:rPr>
          <w:rFonts w:hint="default" w:eastAsia="宋体"/>
          <w:lang w:val="en-US" w:eastAsia="zh-CN"/>
        </w:rPr>
      </w:pPr>
      <w:r>
        <w:rPr>
          <w:rFonts w:hint="eastAsia"/>
          <w:lang w:val="en-US" w:eastAsia="zh-CN"/>
        </w:rPr>
        <w:t>50.6</w:t>
      </w:r>
    </w:p>
  </w:comment>
  <w:comment w:id="10" w:author="Qian  Li" w:date="2023-01-11T16:50:53Z" w:initials="Xsy">
    <w:p w14:paraId="08D707F6">
      <w:pPr>
        <w:pStyle w:val="10"/>
        <w:rPr>
          <w:rFonts w:hint="default" w:eastAsia="宋体"/>
          <w:lang w:val="en-US" w:eastAsia="zh-CN"/>
        </w:rPr>
      </w:pPr>
      <w:r>
        <w:rPr>
          <w:rFonts w:hint="eastAsia"/>
          <w:lang w:val="en-US" w:eastAsia="zh-CN"/>
        </w:rPr>
        <w:t>105.7</w:t>
      </w:r>
    </w:p>
  </w:comment>
  <w:comment w:id="11" w:author="Qian  Li" w:date="2023-01-11T16:53:01Z" w:initials="Xsy">
    <w:p w14:paraId="2BD677A6">
      <w:pPr>
        <w:pStyle w:val="10"/>
        <w:rPr>
          <w:rFonts w:hint="default" w:eastAsia="宋体"/>
          <w:lang w:val="en-US" w:eastAsia="zh-CN"/>
        </w:rPr>
      </w:pPr>
      <w:r>
        <w:rPr>
          <w:rFonts w:hint="eastAsia"/>
          <w:lang w:val="en-US" w:eastAsia="zh-CN"/>
        </w:rPr>
        <w:t>123</w:t>
      </w:r>
    </w:p>
  </w:comment>
  <w:comment w:id="12" w:author="Qian  Li" w:date="2023-01-11T16:55:08Z" w:initials="Xsy">
    <w:p w14:paraId="24BE4E9B">
      <w:pPr>
        <w:pStyle w:val="10"/>
      </w:pPr>
      <w:r>
        <w:annotationRef/>
      </w:r>
    </w:p>
  </w:comment>
  <w:comment w:id="13" w:author="Qian  Li" w:date="2023-01-11T17:09:11Z" w:initials="Xsy">
    <w:p w14:paraId="3CCD31AC">
      <w:pPr>
        <w:pStyle w:val="10"/>
        <w:rPr>
          <w:rFonts w:hint="eastAsia"/>
          <w:lang w:val="en-US" w:eastAsia="zh-CN"/>
        </w:rPr>
      </w:pPr>
      <w:r>
        <w:rPr>
          <w:rFonts w:hint="eastAsia"/>
          <w:lang w:eastAsia="zh-CN"/>
        </w:rPr>
        <w:t>因为这里没有数据</w:t>
      </w:r>
      <w:r>
        <w:rPr>
          <w:rFonts w:hint="eastAsia"/>
          <w:lang w:val="en-US" w:eastAsia="zh-CN"/>
        </w:rPr>
        <w:t xml:space="preserve"> 改个说法</w:t>
      </w:r>
    </w:p>
    <w:p w14:paraId="2AC925DD">
      <w:pPr>
        <w:pStyle w:val="10"/>
        <w:rPr>
          <w:rFonts w:hint="default"/>
          <w:lang w:val="en-US" w:eastAsia="zh-CN"/>
        </w:rPr>
      </w:pPr>
      <w:r>
        <w:rPr>
          <w:rFonts w:hint="eastAsia"/>
          <w:lang w:val="en-US" w:eastAsia="zh-CN"/>
        </w:rPr>
        <w:t>写下隔声措施 对周围环境影响较小 即可</w:t>
      </w:r>
    </w:p>
  </w:comment>
  <w:comment w:id="14" w:author="Qian  Li" w:date="2023-01-09T14:07:08Z" w:initials="Xsy">
    <w:p w14:paraId="3C807D5E">
      <w:pPr>
        <w:pStyle w:val="10"/>
        <w:rPr>
          <w:rFonts w:hint="default" w:eastAsia="宋体"/>
          <w:lang w:val="en-US" w:eastAsia="zh-CN"/>
        </w:rPr>
      </w:pPr>
      <w:r>
        <w:rPr>
          <w:rFonts w:hint="eastAsia"/>
          <w:lang w:eastAsia="zh-CN"/>
        </w:rPr>
        <w:t>删</w:t>
      </w:r>
      <w:r>
        <w:rPr>
          <w:rFonts w:hint="eastAsia"/>
          <w:lang w:val="en-US" w:eastAsia="zh-CN"/>
        </w:rPr>
        <w:t xml:space="preserve"> 此句</w:t>
      </w:r>
    </w:p>
  </w:comment>
  <w:comment w:id="15" w:author="Qian  Li" w:date="2023-01-11T17:11:11Z" w:initials="Xsy">
    <w:p w14:paraId="350B09A4">
      <w:pPr>
        <w:pStyle w:val="10"/>
      </w:pPr>
      <w:r>
        <w:annotationRef/>
      </w:r>
    </w:p>
  </w:comment>
  <w:comment w:id="16" w:author="Qian  Li" w:date="2023-01-11T17:15:29Z" w:initials="Xsy">
    <w:p w14:paraId="4E49230F">
      <w:pPr>
        <w:pStyle w:val="10"/>
        <w:rPr>
          <w:rFonts w:hint="default" w:eastAsia="宋体"/>
          <w:lang w:val="en-US" w:eastAsia="zh-CN"/>
        </w:rPr>
      </w:pPr>
      <w:r>
        <w:rPr>
          <w:rFonts w:hint="eastAsia"/>
          <w:lang w:eastAsia="zh-CN"/>
        </w:rPr>
        <w:t>补一下标准里表</w:t>
      </w:r>
      <w:r>
        <w:rPr>
          <w:rFonts w:hint="eastAsia"/>
          <w:lang w:val="en-US" w:eastAsia="zh-CN"/>
        </w:rPr>
        <w:t>5的基准含氧量</w:t>
      </w:r>
    </w:p>
  </w:comment>
  <w:comment w:id="17" w:author="Qian  Li" w:date="2023-01-11T17:26:16Z" w:initials="Xsy">
    <w:p w14:paraId="7F385AFB">
      <w:pPr>
        <w:pStyle w:val="10"/>
        <w:rPr>
          <w:rFonts w:hint="eastAsia" w:eastAsia="宋体"/>
          <w:lang w:eastAsia="zh-CN"/>
        </w:rPr>
      </w:pPr>
      <w:r>
        <w:rPr>
          <w:rFonts w:hint="eastAsia"/>
          <w:lang w:eastAsia="zh-CN"/>
        </w:rPr>
        <w:t>没加上喷粉无组织的颗粒物</w:t>
      </w:r>
    </w:p>
  </w:comment>
  <w:comment w:id="18" w:author="Qian  Li" w:date="2023-01-11T17:26:37Z" w:initials="Xsy">
    <w:p w14:paraId="76161334">
      <w:pPr>
        <w:pStyle w:val="10"/>
        <w:rPr>
          <w:rFonts w:hint="eastAsia" w:eastAsia="宋体"/>
          <w:lang w:eastAsia="zh-CN"/>
        </w:rPr>
      </w:pPr>
      <w:r>
        <w:rPr>
          <w:rFonts w:hint="eastAsia"/>
          <w:lang w:eastAsia="zh-CN"/>
        </w:rPr>
        <w:t>没加上喷塑烘干的有机废气</w:t>
      </w:r>
    </w:p>
  </w:comment>
  <w:comment w:id="19" w:author="Qian  Li" w:date="2023-01-11T17:22:07Z" w:initials="Xsy">
    <w:p w14:paraId="6C674E1F">
      <w:pPr>
        <w:pStyle w:val="10"/>
        <w:rPr>
          <w:rFonts w:hint="eastAsia" w:eastAsia="宋体"/>
          <w:lang w:val="en-US" w:eastAsia="zh-CN"/>
        </w:rPr>
      </w:pPr>
      <w:r>
        <w:rPr>
          <w:rFonts w:hint="eastAsia"/>
          <w:lang w:val="en-US" w:eastAsia="zh-CN"/>
        </w:rPr>
        <w:t>/</w:t>
      </w:r>
    </w:p>
  </w:comment>
  <w:comment w:id="20" w:author="Qian  Li" w:date="2023-01-11T18:01:18Z" w:initials="Xsy">
    <w:p w14:paraId="6C576518">
      <w:pPr>
        <w:pStyle w:val="10"/>
        <w:rPr>
          <w:rFonts w:hint="eastAsia" w:eastAsia="宋体"/>
          <w:lang w:eastAsia="zh-CN"/>
        </w:rPr>
      </w:pPr>
      <w:r>
        <w:rPr>
          <w:rFonts w:hint="eastAsia"/>
          <w:lang w:eastAsia="zh-CN"/>
        </w:rPr>
        <w:t>整体抽风收集</w:t>
      </w:r>
    </w:p>
  </w:comment>
  <w:comment w:id="21" w:author="Qian  Li" w:date="2023-01-11T18:01:42Z" w:initials="Xsy">
    <w:p w14:paraId="1A167ED5">
      <w:pPr>
        <w:pStyle w:val="10"/>
        <w:rPr>
          <w:rFonts w:hint="default" w:eastAsia="宋体"/>
          <w:lang w:val="en-US" w:eastAsia="zh-CN"/>
        </w:rPr>
      </w:pPr>
      <w:r>
        <w:rPr>
          <w:rFonts w:hint="eastAsia"/>
          <w:lang w:eastAsia="zh-CN"/>
        </w:rPr>
        <w:t>整体抽风</w:t>
      </w:r>
      <w:r>
        <w:rPr>
          <w:rFonts w:hint="eastAsia"/>
          <w:lang w:val="en-US" w:eastAsia="zh-CN"/>
        </w:rPr>
        <w:t>/换风风量</w:t>
      </w:r>
    </w:p>
  </w:comment>
  <w:comment w:id="22" w:author="Qian  Li" w:date="2023-01-11T17:30:57Z" w:initials="Xsy">
    <w:p w14:paraId="691B2DD1">
      <w:pPr>
        <w:pStyle w:val="10"/>
        <w:rPr>
          <w:rFonts w:hint="default" w:eastAsia="宋体"/>
          <w:lang w:val="en-US" w:eastAsia="zh-CN"/>
        </w:rPr>
      </w:pPr>
      <w:r>
        <w:rPr>
          <w:rFonts w:hint="eastAsia"/>
          <w:lang w:val="en-US" w:eastAsia="zh-CN"/>
        </w:rPr>
        <w:t>标准没改</w:t>
      </w:r>
    </w:p>
  </w:comment>
  <w:comment w:id="23" w:author="Qian  Li" w:date="2023-01-11T17:32:04Z" w:initials="Xsy">
    <w:p w14:paraId="246F1F01">
      <w:pPr>
        <w:pStyle w:val="10"/>
        <w:rPr>
          <w:rFonts w:hint="default"/>
          <w:lang w:val="en-US" w:eastAsia="zh-CN"/>
        </w:rPr>
      </w:pPr>
      <w:r>
        <w:rPr>
          <w:rFonts w:hint="eastAsia"/>
          <w:lang w:eastAsia="zh-CN"/>
        </w:rPr>
        <w:t>这是半个小时的产生量</w:t>
      </w:r>
      <w:r>
        <w:rPr>
          <w:rFonts w:hint="eastAsia"/>
          <w:lang w:val="en-US" w:eastAsia="zh-CN"/>
        </w:rPr>
        <w:t xml:space="preserve"> 单位改成公斤 数据改成：</w:t>
      </w:r>
    </w:p>
    <w:p w14:paraId="2A754372">
      <w:pPr>
        <w:pStyle w:val="10"/>
        <w:rPr>
          <w:rFonts w:hint="default"/>
          <w:lang w:val="en-US" w:eastAsia="zh-CN"/>
        </w:rPr>
      </w:pPr>
      <w:r>
        <w:rPr>
          <w:rFonts w:hint="eastAsia"/>
          <w:lang w:val="en-US" w:eastAsia="zh-CN"/>
        </w:rPr>
        <w:t>0.0094*0.5kg</w:t>
      </w:r>
    </w:p>
  </w:comment>
  <w:comment w:id="24" w:author="Qian  Li" w:date="2023-01-11T17:33:11Z" w:initials="Xsy">
    <w:p w14:paraId="7FCA7375">
      <w:pPr>
        <w:pStyle w:val="10"/>
        <w:rPr>
          <w:rFonts w:hint="default" w:eastAsia="宋体"/>
          <w:lang w:val="en-US" w:eastAsia="zh-CN"/>
        </w:rPr>
      </w:pPr>
      <w:r>
        <w:rPr>
          <w:rFonts w:hint="eastAsia"/>
          <w:lang w:eastAsia="zh-CN"/>
        </w:rPr>
        <w:t>速率和前面也对不上</w:t>
      </w:r>
      <w:r>
        <w:rPr>
          <w:rFonts w:hint="eastAsia"/>
          <w:lang w:val="en-US" w:eastAsia="zh-CN"/>
        </w:rPr>
        <w:t xml:space="preserve"> 表4-7 1.19</w:t>
      </w:r>
    </w:p>
  </w:comment>
  <w:comment w:id="25" w:author="Qian  Li" w:date="2023-01-11T18:03:33Z" w:initials="Xsy">
    <w:p w14:paraId="3A254082">
      <w:pPr>
        <w:pStyle w:val="10"/>
        <w:rPr>
          <w:rFonts w:hint="default" w:eastAsia="宋体"/>
          <w:lang w:val="en-US" w:eastAsia="zh-CN"/>
        </w:rPr>
      </w:pPr>
      <w:r>
        <w:rPr>
          <w:rFonts w:hint="eastAsia"/>
          <w:lang w:val="en-US" w:eastAsia="zh-CN"/>
        </w:rPr>
        <w:t>0.11</w:t>
      </w:r>
    </w:p>
  </w:comment>
  <w:comment w:id="26" w:author="Qian  Li" w:date="2023-01-11T18:03:52Z" w:initials="Xsy">
    <w:p w14:paraId="0B721307">
      <w:pPr>
        <w:pStyle w:val="10"/>
        <w:rPr>
          <w:rFonts w:hint="default" w:eastAsia="宋体"/>
          <w:lang w:val="en-US" w:eastAsia="zh-CN"/>
        </w:rPr>
      </w:pPr>
      <w:r>
        <w:rPr>
          <w:rFonts w:hint="eastAsia"/>
          <w:lang w:val="en-US" w:eastAsia="zh-CN"/>
        </w:rPr>
        <w:t>0.0131</w:t>
      </w:r>
    </w:p>
  </w:comment>
  <w:comment w:id="27" w:author="Qian  Li" w:date="2023-01-11T17:35:27Z" w:initials="Xsy">
    <w:p w14:paraId="36745BAD">
      <w:pPr>
        <w:pStyle w:val="10"/>
        <w:rPr>
          <w:rFonts w:hint="eastAsia"/>
          <w:lang w:eastAsia="zh-CN"/>
        </w:rPr>
      </w:pPr>
      <w:r>
        <w:rPr>
          <w:rFonts w:hint="eastAsia"/>
          <w:lang w:eastAsia="zh-CN"/>
        </w:rPr>
        <w:t>这个表格的废水再算下</w:t>
      </w:r>
    </w:p>
    <w:p w14:paraId="41AC1BE6">
      <w:pPr>
        <w:pStyle w:val="10"/>
        <w:rPr>
          <w:rFonts w:hint="eastAsia"/>
          <w:lang w:eastAsia="zh-CN"/>
        </w:rPr>
      </w:pPr>
      <w:r>
        <w:rPr>
          <w:rFonts w:hint="eastAsia"/>
          <w:lang w:eastAsia="zh-CN"/>
        </w:rPr>
        <w:t>看下氟元素平衡是否受影响</w:t>
      </w:r>
    </w:p>
  </w:comment>
  <w:comment w:id="28" w:author="Qian  Li" w:date="2023-01-11T17:37:32Z" w:initials="Xsy">
    <w:p w14:paraId="226067BA">
      <w:pPr>
        <w:pStyle w:val="10"/>
        <w:rPr>
          <w:rFonts w:hint="eastAsia"/>
          <w:lang w:eastAsia="zh-CN"/>
        </w:rPr>
      </w:pPr>
      <w:r>
        <w:rPr>
          <w:rFonts w:hint="eastAsia"/>
          <w:lang w:eastAsia="zh-CN"/>
        </w:rPr>
        <w:t>加一下水量的可行性</w:t>
      </w:r>
    </w:p>
    <w:p w14:paraId="28F5532E">
      <w:pPr>
        <w:pStyle w:val="10"/>
        <w:rPr>
          <w:rFonts w:hint="eastAsia"/>
          <w:lang w:eastAsia="zh-CN"/>
        </w:rPr>
      </w:pPr>
      <w:r>
        <w:rPr>
          <w:rFonts w:hint="eastAsia"/>
          <w:lang w:eastAsia="zh-CN"/>
        </w:rPr>
        <w:t>有个表格分析的</w:t>
      </w:r>
    </w:p>
    <w:p w14:paraId="00F90FBD">
      <w:pPr>
        <w:pStyle w:val="10"/>
        <w:rPr>
          <w:rFonts w:hint="eastAsia"/>
          <w:lang w:eastAsia="zh-CN"/>
        </w:rPr>
      </w:pPr>
      <w:r>
        <w:drawing>
          <wp:inline distT="0" distB="0" distL="114300" distR="114300">
            <wp:extent cx="2780030" cy="1471295"/>
            <wp:effectExtent l="0" t="0" r="1270" b="146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
                    <a:stretch>
                      <a:fillRect/>
                    </a:stretch>
                  </pic:blipFill>
                  <pic:spPr>
                    <a:xfrm>
                      <a:off x="0" y="0"/>
                      <a:ext cx="2780030" cy="1471295"/>
                    </a:xfrm>
                    <a:prstGeom prst="rect">
                      <a:avLst/>
                    </a:prstGeom>
                    <a:noFill/>
                    <a:ln>
                      <a:noFill/>
                    </a:ln>
                  </pic:spPr>
                </pic:pic>
              </a:graphicData>
            </a:graphic>
          </wp:inline>
        </w:drawing>
      </w:r>
    </w:p>
  </w:comment>
  <w:comment w:id="29" w:author="Qian  Li" w:date="2023-01-11T17:38:53Z" w:initials="Xsy">
    <w:p w14:paraId="6A8C62B9">
      <w:pPr>
        <w:pStyle w:val="10"/>
        <w:rPr>
          <w:rFonts w:hint="default" w:eastAsia="宋体"/>
          <w:lang w:val="en-US" w:eastAsia="zh-CN"/>
        </w:rPr>
      </w:pPr>
      <w:r>
        <w:rPr>
          <w:rFonts w:hint="eastAsia"/>
          <w:lang w:eastAsia="zh-CN"/>
        </w:rPr>
        <w:t>百分号</w:t>
      </w:r>
      <w:r>
        <w:rPr>
          <w:rFonts w:hint="eastAsia"/>
          <w:lang w:val="en-US" w:eastAsia="zh-CN"/>
        </w:rPr>
        <w:t xml:space="preserve"> 一般取整</w:t>
      </w:r>
    </w:p>
  </w:comment>
  <w:comment w:id="30" w:author="Qian  Li" w:date="2023-01-11T17:43:25Z" w:initials="Xsy">
    <w:p w14:paraId="400B238E">
      <w:pPr>
        <w:pStyle w:val="10"/>
        <w:rPr>
          <w:rFonts w:hint="eastAsia" w:eastAsia="宋体"/>
          <w:lang w:eastAsia="zh-CN"/>
        </w:rPr>
      </w:pPr>
      <w:r>
        <w:rPr>
          <w:rFonts w:hint="eastAsia"/>
          <w:lang w:eastAsia="zh-CN"/>
        </w:rPr>
        <w:t>上标</w:t>
      </w:r>
    </w:p>
  </w:comment>
  <w:comment w:id="31" w:author="Qian  Li" w:date="2023-01-11T17:44:03Z" w:initials="Xsy">
    <w:p w14:paraId="32302939">
      <w:pPr>
        <w:pStyle w:val="10"/>
        <w:rPr>
          <w:rFonts w:hint="eastAsia" w:eastAsia="宋体"/>
          <w:lang w:eastAsia="zh-CN"/>
        </w:rPr>
      </w:pPr>
      <w:r>
        <w:rPr>
          <w:rFonts w:hint="eastAsia"/>
          <w:lang w:eastAsia="zh-CN"/>
        </w:rPr>
        <w:t>和前面表格里不一样</w:t>
      </w:r>
    </w:p>
  </w:comment>
  <w:comment w:id="32" w:author="Qian  Li" w:date="2023-01-11T17:44:26Z" w:initials="Xsy">
    <w:p w14:paraId="35FD0879">
      <w:pPr>
        <w:pStyle w:val="10"/>
        <w:rPr>
          <w:rFonts w:hint="eastAsia"/>
          <w:lang w:val="en-US" w:eastAsia="zh-CN"/>
        </w:rPr>
      </w:pPr>
      <w:r>
        <w:rPr>
          <w:rFonts w:hint="eastAsia"/>
          <w:lang w:eastAsia="zh-CN"/>
        </w:rPr>
        <w:t>这是什么型号？</w:t>
      </w:r>
      <w:r>
        <w:rPr>
          <w:rFonts w:hint="eastAsia"/>
          <w:lang w:val="en-US" w:eastAsia="zh-CN"/>
        </w:rPr>
        <w:t xml:space="preserve"> </w:t>
      </w:r>
    </w:p>
    <w:p w14:paraId="3B2B5083">
      <w:pPr>
        <w:pStyle w:val="10"/>
        <w:rPr>
          <w:rFonts w:hint="default"/>
          <w:lang w:val="en-US" w:eastAsia="zh-CN"/>
        </w:rPr>
      </w:pPr>
      <w:r>
        <w:rPr>
          <w:rFonts w:hint="eastAsia"/>
          <w:lang w:val="en-US" w:eastAsia="zh-CN"/>
        </w:rPr>
        <w:t>这里的型号和设备清单里对一下</w:t>
      </w:r>
    </w:p>
  </w:comment>
  <w:comment w:id="33" w:author="Qian  Li" w:date="2023-01-11T17:45:37Z" w:initials="Xsy">
    <w:p w14:paraId="36F92237">
      <w:pPr>
        <w:pStyle w:val="10"/>
        <w:rPr>
          <w:rFonts w:hint="eastAsia" w:eastAsia="宋体"/>
          <w:lang w:eastAsia="zh-CN"/>
        </w:rPr>
      </w:pPr>
      <w:r>
        <w:rPr>
          <w:rFonts w:hint="eastAsia"/>
          <w:lang w:eastAsia="zh-CN"/>
        </w:rPr>
        <w:t>表格格式</w:t>
      </w:r>
    </w:p>
  </w:comment>
  <w:comment w:id="34" w:author="Qian  Li" w:date="2023-01-11T17:45:50Z" w:initials="Xsy">
    <w:p w14:paraId="2E8F1E2E">
      <w:pPr>
        <w:pStyle w:val="10"/>
      </w:pPr>
      <w:r>
        <w:rPr>
          <w:rFonts w:hint="eastAsia"/>
          <w:sz w:val="24"/>
          <w:lang w:eastAsia="zh-CN"/>
        </w:rPr>
        <w:t>数据来源为</w:t>
      </w:r>
      <w:r>
        <w:rPr>
          <w:sz w:val="24"/>
        </w:rPr>
        <w:t>江苏迈斯特环境检测有限公司提供的监测报告（MST20221213030）</w:t>
      </w:r>
    </w:p>
  </w:comment>
  <w:comment w:id="35" w:author="Qian  Li" w:date="2023-01-11T17:48:10Z" w:initials="Xsy">
    <w:p w14:paraId="054E481D">
      <w:pPr>
        <w:pStyle w:val="10"/>
      </w:pPr>
      <w:r>
        <w:annotationRef/>
      </w:r>
    </w:p>
  </w:comment>
  <w:comment w:id="36" w:author="Qian  Li" w:date="2023-01-11T17:49:31Z" w:initials="Xsy">
    <w:p w14:paraId="36C0325D">
      <w:pPr>
        <w:pStyle w:val="10"/>
        <w:rPr>
          <w:rFonts w:hint="eastAsia" w:eastAsia="宋体"/>
          <w:lang w:eastAsia="zh-CN"/>
        </w:rPr>
      </w:pPr>
      <w:r>
        <w:rPr>
          <w:rFonts w:hint="eastAsia"/>
          <w:lang w:eastAsia="zh-CN"/>
        </w:rPr>
        <w:t>打磨不是有措施吗</w:t>
      </w:r>
    </w:p>
  </w:comment>
  <w:comment w:id="37" w:author="Qian  Li" w:date="2023-01-09T20:06:48Z" w:initials="Xsy">
    <w:p w14:paraId="21121A94">
      <w:pPr>
        <w:pStyle w:val="10"/>
        <w:rPr>
          <w:rFonts w:hint="eastAsia" w:eastAsia="宋体"/>
          <w:lang w:eastAsia="zh-CN"/>
        </w:rPr>
      </w:pPr>
      <w:r>
        <w:rPr>
          <w:rFonts w:hint="eastAsia"/>
          <w:lang w:eastAsia="zh-CN"/>
        </w:rPr>
        <w:t>根据前文修改</w:t>
      </w:r>
    </w:p>
  </w:comment>
  <w:comment w:id="38" w:author="Qian  Li" w:date="2023-01-09T14:00:59Z" w:initials="Xsy">
    <w:p w14:paraId="6C3228D9">
      <w:pPr>
        <w:pStyle w:val="10"/>
        <w:rPr>
          <w:rFonts w:hint="default" w:eastAsia="宋体"/>
          <w:lang w:val="en-US" w:eastAsia="zh-CN"/>
        </w:rPr>
      </w:pPr>
      <w:r>
        <w:rPr>
          <w:rFonts w:hint="eastAsia"/>
          <w:lang w:eastAsia="zh-CN"/>
        </w:rPr>
        <w:t>原有项目审批意见</w:t>
      </w:r>
      <w:r>
        <w:rPr>
          <w:rFonts w:hint="eastAsia"/>
          <w:lang w:val="en-US" w:eastAsia="zh-CN"/>
        </w:rPr>
        <w:t xml:space="preserve"> 国排情况</w:t>
      </w:r>
    </w:p>
  </w:comment>
  <w:comment w:id="39" w:author="Qian  Li" w:date="2023-01-09T20:07:25Z" w:initials="Xsy">
    <w:p w14:paraId="3B0B4CC9">
      <w:pPr>
        <w:pStyle w:val="10"/>
        <w:rPr>
          <w:rFonts w:hint="eastAsia" w:eastAsia="宋体"/>
          <w:lang w:eastAsia="zh-CN"/>
        </w:rPr>
      </w:pPr>
      <w:r>
        <w:rPr>
          <w:rFonts w:hint="eastAsia"/>
          <w:lang w:eastAsia="zh-CN"/>
        </w:rPr>
        <w:t>租赁合同、环保管理协议</w:t>
      </w:r>
    </w:p>
  </w:comment>
  <w:comment w:id="40" w:author="Qian  Li" w:date="2023-01-09T20:08:12Z" w:initials="Xsy">
    <w:p w14:paraId="7F745063">
      <w:pPr>
        <w:pStyle w:val="10"/>
        <w:rPr>
          <w:rFonts w:hint="eastAsia" w:eastAsia="宋体"/>
          <w:lang w:eastAsia="zh-CN"/>
        </w:rPr>
      </w:pPr>
      <w:r>
        <w:rPr>
          <w:rFonts w:hint="eastAsia"/>
          <w:lang w:eastAsia="zh-CN"/>
        </w:rPr>
        <w:t>危废处置承诺</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28F4D6E" w15:done="0"/>
  <w15:commentEx w15:paraId="6C4C0F5E" w15:done="0"/>
  <w15:commentEx w15:paraId="0AC3739F" w15:done="0"/>
  <w15:commentEx w15:paraId="36274083" w15:done="0"/>
  <w15:commentEx w15:paraId="0951748E" w15:done="0"/>
  <w15:commentEx w15:paraId="549B341C" w15:done="0" w15:paraIdParent="0951748E"/>
  <w15:commentEx w15:paraId="323C6C9D" w15:done="0"/>
  <w15:commentEx w15:paraId="17287186" w15:done="0"/>
  <w15:commentEx w15:paraId="02193F51" w15:done="0"/>
  <w15:commentEx w15:paraId="663A34A8" w15:done="0"/>
  <w15:commentEx w15:paraId="08D707F6" w15:done="0"/>
  <w15:commentEx w15:paraId="2BD677A6" w15:done="0"/>
  <w15:commentEx w15:paraId="24BE4E9B" w15:done="0"/>
  <w15:commentEx w15:paraId="2AC925DD" w15:done="0"/>
  <w15:commentEx w15:paraId="3C807D5E" w15:done="0"/>
  <w15:commentEx w15:paraId="350B09A4" w15:done="0"/>
  <w15:commentEx w15:paraId="4E49230F" w15:done="0"/>
  <w15:commentEx w15:paraId="7F385AFB" w15:done="0"/>
  <w15:commentEx w15:paraId="76161334" w15:done="0"/>
  <w15:commentEx w15:paraId="6C674E1F" w15:done="0"/>
  <w15:commentEx w15:paraId="6C576518" w15:done="0"/>
  <w15:commentEx w15:paraId="1A167ED5" w15:done="0"/>
  <w15:commentEx w15:paraId="691B2DD1" w15:done="0"/>
  <w15:commentEx w15:paraId="2A754372" w15:done="0"/>
  <w15:commentEx w15:paraId="7FCA7375" w15:done="0"/>
  <w15:commentEx w15:paraId="3A254082" w15:done="0"/>
  <w15:commentEx w15:paraId="0B721307" w15:done="0"/>
  <w15:commentEx w15:paraId="41AC1BE6" w15:done="0"/>
  <w15:commentEx w15:paraId="00F90FBD" w15:done="0"/>
  <w15:commentEx w15:paraId="6A8C62B9" w15:done="0"/>
  <w15:commentEx w15:paraId="400B238E" w15:done="0"/>
  <w15:commentEx w15:paraId="32302939" w15:done="0"/>
  <w15:commentEx w15:paraId="3B2B5083" w15:done="0"/>
  <w15:commentEx w15:paraId="36F92237" w15:done="0"/>
  <w15:commentEx w15:paraId="2E8F1E2E" w15:done="0"/>
  <w15:commentEx w15:paraId="054E481D" w15:done="0"/>
  <w15:commentEx w15:paraId="36C0325D" w15:done="0"/>
  <w15:commentEx w15:paraId="21121A94" w15:done="0"/>
  <w15:commentEx w15:paraId="6C3228D9" w15:done="0"/>
  <w15:commentEx w15:paraId="3B0B4CC9" w15:done="0"/>
  <w15:commentEx w15:paraId="7F74506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swiss"/>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Arial Unicode MS">
    <w:panose1 w:val="020B0604020202020204"/>
    <w:charset w:val="86"/>
    <w:family w:val="swiss"/>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83" w:usb1="288F0000" w:usb2="00000006" w:usb3="00000000" w:csb0="00040001" w:csb1="00000000"/>
  </w:font>
  <w:font w:name="TimesNewRomanPS-ItalicMT">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C569E"/>
    <w:multiLevelType w:val="singleLevel"/>
    <w:tmpl w:val="856C569E"/>
    <w:lvl w:ilvl="0" w:tentative="0">
      <w:start w:val="6"/>
      <w:numFmt w:val="decimal"/>
      <w:suff w:val="nothing"/>
      <w:lvlText w:val="（%1）"/>
      <w:lvlJc w:val="left"/>
    </w:lvl>
  </w:abstractNum>
  <w:abstractNum w:abstractNumId="1">
    <w:nsid w:val="8E2061E0"/>
    <w:multiLevelType w:val="singleLevel"/>
    <w:tmpl w:val="8E2061E0"/>
    <w:lvl w:ilvl="0" w:tentative="0">
      <w:start w:val="3"/>
      <w:numFmt w:val="decimal"/>
      <w:suff w:val="nothing"/>
      <w:lvlText w:val="（%1）"/>
      <w:lvlJc w:val="left"/>
    </w:lvl>
  </w:abstractNum>
  <w:abstractNum w:abstractNumId="2">
    <w:nsid w:val="8FDF0DC0"/>
    <w:multiLevelType w:val="singleLevel"/>
    <w:tmpl w:val="8FDF0DC0"/>
    <w:lvl w:ilvl="0" w:tentative="0">
      <w:start w:val="5"/>
      <w:numFmt w:val="decimal"/>
      <w:suff w:val="nothing"/>
      <w:lvlText w:val="（%1）"/>
      <w:lvlJc w:val="left"/>
    </w:lvl>
  </w:abstractNum>
  <w:abstractNum w:abstractNumId="3">
    <w:nsid w:val="906ED2D0"/>
    <w:multiLevelType w:val="singleLevel"/>
    <w:tmpl w:val="906ED2D0"/>
    <w:lvl w:ilvl="0" w:tentative="0">
      <w:start w:val="1"/>
      <w:numFmt w:val="decimal"/>
      <w:lvlText w:val="表3-%1"/>
      <w:lvlJc w:val="left"/>
      <w:pPr>
        <w:tabs>
          <w:tab w:val="left" w:pos="420"/>
        </w:tabs>
        <w:ind w:left="425" w:hanging="425"/>
      </w:pPr>
      <w:rPr>
        <w:rFonts w:hint="default" w:ascii="Times New Roman" w:hAnsi="Times New Roman" w:eastAsia="宋体" w:cs="宋体"/>
        <w:b/>
        <w:bCs/>
        <w:sz w:val="24"/>
        <w:szCs w:val="24"/>
      </w:rPr>
    </w:lvl>
  </w:abstractNum>
  <w:abstractNum w:abstractNumId="4">
    <w:nsid w:val="9CC19C76"/>
    <w:multiLevelType w:val="singleLevel"/>
    <w:tmpl w:val="9CC19C76"/>
    <w:lvl w:ilvl="0" w:tentative="0">
      <w:start w:val="1"/>
      <w:numFmt w:val="decimal"/>
      <w:suff w:val="nothing"/>
      <w:lvlText w:val="（%1）"/>
      <w:lvlJc w:val="left"/>
    </w:lvl>
  </w:abstractNum>
  <w:abstractNum w:abstractNumId="5">
    <w:nsid w:val="A5AB21C7"/>
    <w:multiLevelType w:val="singleLevel"/>
    <w:tmpl w:val="A5AB21C7"/>
    <w:lvl w:ilvl="0" w:tentative="0">
      <w:start w:val="4"/>
      <w:numFmt w:val="decimal"/>
      <w:suff w:val="nothing"/>
      <w:lvlText w:val="%1、"/>
      <w:lvlJc w:val="left"/>
    </w:lvl>
  </w:abstractNum>
  <w:abstractNum w:abstractNumId="6">
    <w:nsid w:val="AC64E1F3"/>
    <w:multiLevelType w:val="singleLevel"/>
    <w:tmpl w:val="AC64E1F3"/>
    <w:lvl w:ilvl="0" w:tentative="0">
      <w:start w:val="1"/>
      <w:numFmt w:val="decimal"/>
      <w:suff w:val="nothing"/>
      <w:lvlText w:val="%1、"/>
      <w:lvlJc w:val="left"/>
    </w:lvl>
  </w:abstractNum>
  <w:abstractNum w:abstractNumId="7">
    <w:nsid w:val="D27D7C3B"/>
    <w:multiLevelType w:val="singleLevel"/>
    <w:tmpl w:val="D27D7C3B"/>
    <w:lvl w:ilvl="0" w:tentative="0">
      <w:start w:val="1"/>
      <w:numFmt w:val="decimal"/>
      <w:lvlText w:val="表4-%1"/>
      <w:lvlJc w:val="left"/>
      <w:pPr>
        <w:tabs>
          <w:tab w:val="left" w:pos="420"/>
        </w:tabs>
        <w:ind w:left="425" w:hanging="425"/>
      </w:pPr>
      <w:rPr>
        <w:rFonts w:hint="default" w:ascii="Times New Roman" w:hAnsi="Times New Roman" w:cs="Times New Roman"/>
        <w:b/>
        <w:bCs/>
        <w:sz w:val="24"/>
        <w:szCs w:val="24"/>
      </w:rPr>
    </w:lvl>
  </w:abstractNum>
  <w:abstractNum w:abstractNumId="8">
    <w:nsid w:val="D4BD7D9D"/>
    <w:multiLevelType w:val="singleLevel"/>
    <w:tmpl w:val="D4BD7D9D"/>
    <w:lvl w:ilvl="0" w:tentative="0">
      <w:start w:val="1"/>
      <w:numFmt w:val="bullet"/>
      <w:pStyle w:val="3"/>
      <w:lvlText w:val=""/>
      <w:lvlJc w:val="left"/>
      <w:pPr>
        <w:tabs>
          <w:tab w:val="left" w:pos="2040"/>
        </w:tabs>
        <w:ind w:left="360" w:hanging="360"/>
      </w:pPr>
      <w:rPr>
        <w:rFonts w:hint="default" w:ascii="Wingdings" w:hAnsi="Wingdings"/>
      </w:rPr>
    </w:lvl>
  </w:abstractNum>
  <w:abstractNum w:abstractNumId="9">
    <w:nsid w:val="11910F27"/>
    <w:multiLevelType w:val="singleLevel"/>
    <w:tmpl w:val="11910F27"/>
    <w:lvl w:ilvl="0" w:tentative="0">
      <w:start w:val="1"/>
      <w:numFmt w:val="lowerLetter"/>
      <w:lvlText w:val="%1."/>
      <w:lvlJc w:val="left"/>
      <w:pPr>
        <w:tabs>
          <w:tab w:val="left" w:pos="312"/>
        </w:tabs>
        <w:ind w:left="-270"/>
      </w:pPr>
    </w:lvl>
  </w:abstractNum>
  <w:abstractNum w:abstractNumId="10">
    <w:nsid w:val="3B82D637"/>
    <w:multiLevelType w:val="singleLevel"/>
    <w:tmpl w:val="3B82D637"/>
    <w:lvl w:ilvl="0" w:tentative="0">
      <w:start w:val="2"/>
      <w:numFmt w:val="decimal"/>
      <w:lvlText w:val="图4-%1"/>
      <w:lvlJc w:val="left"/>
      <w:pPr>
        <w:tabs>
          <w:tab w:val="left" w:pos="420"/>
        </w:tabs>
        <w:ind w:left="425" w:hanging="425"/>
      </w:pPr>
      <w:rPr>
        <w:rFonts w:hint="default" w:ascii="Times New Roman" w:hAnsi="Times New Roman" w:eastAsia="宋体" w:cs="宋体"/>
        <w:b/>
        <w:bCs/>
        <w:sz w:val="24"/>
        <w:szCs w:val="24"/>
      </w:rPr>
    </w:lvl>
  </w:abstractNum>
  <w:abstractNum w:abstractNumId="11">
    <w:nsid w:val="4550BB49"/>
    <w:multiLevelType w:val="singleLevel"/>
    <w:tmpl w:val="4550BB49"/>
    <w:lvl w:ilvl="0" w:tentative="0">
      <w:start w:val="5"/>
      <w:numFmt w:val="decimal"/>
      <w:suff w:val="nothing"/>
      <w:lvlText w:val="%1、"/>
      <w:lvlJc w:val="left"/>
    </w:lvl>
  </w:abstractNum>
  <w:abstractNum w:abstractNumId="12">
    <w:nsid w:val="45A7D907"/>
    <w:multiLevelType w:val="singleLevel"/>
    <w:tmpl w:val="45A7D907"/>
    <w:lvl w:ilvl="0" w:tentative="0">
      <w:start w:val="1"/>
      <w:numFmt w:val="decimal"/>
      <w:suff w:val="nothing"/>
      <w:lvlText w:val="%1）"/>
      <w:lvlJc w:val="left"/>
    </w:lvl>
  </w:abstractNum>
  <w:abstractNum w:abstractNumId="13">
    <w:nsid w:val="46338ED3"/>
    <w:multiLevelType w:val="singleLevel"/>
    <w:tmpl w:val="46338ED3"/>
    <w:lvl w:ilvl="0" w:tentative="0">
      <w:start w:val="7"/>
      <w:numFmt w:val="decimal"/>
      <w:lvlText w:val="图2-%1"/>
      <w:lvlJc w:val="left"/>
      <w:pPr>
        <w:tabs>
          <w:tab w:val="left" w:pos="420"/>
        </w:tabs>
        <w:ind w:left="425" w:hanging="425"/>
      </w:pPr>
      <w:rPr>
        <w:rFonts w:hint="default" w:ascii="Times New Roman" w:hAnsi="Times New Roman" w:eastAsia="宋体" w:cs="宋体"/>
        <w:b/>
        <w:bCs/>
        <w:sz w:val="24"/>
        <w:szCs w:val="24"/>
      </w:rPr>
    </w:lvl>
  </w:abstractNum>
  <w:abstractNum w:abstractNumId="14">
    <w:nsid w:val="47823914"/>
    <w:multiLevelType w:val="singleLevel"/>
    <w:tmpl w:val="47823914"/>
    <w:lvl w:ilvl="0" w:tentative="0">
      <w:start w:val="3"/>
      <w:numFmt w:val="decimal"/>
      <w:suff w:val="nothing"/>
      <w:lvlText w:val="（%1）"/>
      <w:lvlJc w:val="left"/>
      <w:rPr>
        <w:rFonts w:hint="default"/>
        <w:b/>
        <w:bCs/>
      </w:rPr>
    </w:lvl>
  </w:abstractNum>
  <w:abstractNum w:abstractNumId="15">
    <w:nsid w:val="4C3074BA"/>
    <w:multiLevelType w:val="singleLevel"/>
    <w:tmpl w:val="4C3074BA"/>
    <w:lvl w:ilvl="0" w:tentative="0">
      <w:start w:val="1"/>
      <w:numFmt w:val="decimal"/>
      <w:suff w:val="nothing"/>
      <w:lvlText w:val="%1、"/>
      <w:lvlJc w:val="left"/>
    </w:lvl>
  </w:abstractNum>
  <w:abstractNum w:abstractNumId="16">
    <w:nsid w:val="55770910"/>
    <w:multiLevelType w:val="multilevel"/>
    <w:tmpl w:val="5577091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58E6BF23"/>
    <w:multiLevelType w:val="singleLevel"/>
    <w:tmpl w:val="58E6BF23"/>
    <w:lvl w:ilvl="0" w:tentative="0">
      <w:start w:val="5"/>
      <w:numFmt w:val="decimal"/>
      <w:suff w:val="nothing"/>
      <w:lvlText w:val="%1、"/>
      <w:lvlJc w:val="left"/>
    </w:lvl>
  </w:abstractNum>
  <w:abstractNum w:abstractNumId="18">
    <w:nsid w:val="5AFC951E"/>
    <w:multiLevelType w:val="singleLevel"/>
    <w:tmpl w:val="5AFC951E"/>
    <w:lvl w:ilvl="0" w:tentative="0">
      <w:start w:val="1"/>
      <w:numFmt w:val="decimal"/>
      <w:lvlText w:val="(%1)"/>
      <w:lvlJc w:val="left"/>
      <w:pPr>
        <w:tabs>
          <w:tab w:val="left" w:pos="0"/>
        </w:tabs>
        <w:ind w:left="0" w:firstLine="0"/>
      </w:pPr>
      <w:rPr>
        <w:rFonts w:hint="default"/>
        <w:sz w:val="24"/>
        <w:szCs w:val="24"/>
      </w:rPr>
    </w:lvl>
  </w:abstractNum>
  <w:abstractNum w:abstractNumId="19">
    <w:nsid w:val="6306EAD0"/>
    <w:multiLevelType w:val="multilevel"/>
    <w:tmpl w:val="6306EAD0"/>
    <w:lvl w:ilvl="0" w:tentative="0">
      <w:start w:val="1"/>
      <w:numFmt w:val="decimal"/>
      <w:lvlText w:val="表2-%1"/>
      <w:lvlJc w:val="left"/>
      <w:pPr>
        <w:tabs>
          <w:tab w:val="left" w:pos="0"/>
        </w:tabs>
        <w:ind w:left="0" w:firstLine="0"/>
      </w:pPr>
      <w:rPr>
        <w:rFonts w:hint="default" w:ascii="Times New Roman" w:hAnsi="Times New Roman" w:eastAsia="宋体" w:cs="Times New Roman"/>
        <w:b/>
        <w:sz w:val="24"/>
        <w:szCs w:val="24"/>
      </w:rPr>
    </w:lvl>
    <w:lvl w:ilvl="1" w:tentative="0">
      <w:start w:val="2"/>
      <w:numFmt w:val="decimalFullWidth"/>
      <w:lvlText w:val="%2-1"/>
      <w:lvlJc w:val="left"/>
      <w:pPr>
        <w:ind w:left="1051" w:hanging="420"/>
      </w:pPr>
      <w:rPr>
        <w:rFonts w:hint="eastAsia" w:ascii="宋体" w:hAnsi="宋体" w:eastAsia="宋体" w:cs="宋体"/>
      </w:rPr>
    </w:lvl>
    <w:lvl w:ilvl="2" w:tentative="0">
      <w:start w:val="1"/>
      <w:numFmt w:val="lowerRoman"/>
      <w:lvlText w:val="%3."/>
      <w:lvlJc w:val="right"/>
      <w:pPr>
        <w:ind w:left="1471" w:hanging="420"/>
      </w:pPr>
      <w:rPr>
        <w:rFonts w:hint="eastAsia"/>
      </w:rPr>
    </w:lvl>
    <w:lvl w:ilvl="3" w:tentative="0">
      <w:start w:val="1"/>
      <w:numFmt w:val="decimal"/>
      <w:lvlText w:val="%4."/>
      <w:lvlJc w:val="left"/>
      <w:pPr>
        <w:ind w:left="1891" w:hanging="420"/>
      </w:pPr>
      <w:rPr>
        <w:rFonts w:hint="eastAsia"/>
      </w:rPr>
    </w:lvl>
    <w:lvl w:ilvl="4" w:tentative="0">
      <w:start w:val="1"/>
      <w:numFmt w:val="lowerLetter"/>
      <w:lvlText w:val="%5)"/>
      <w:lvlJc w:val="left"/>
      <w:pPr>
        <w:ind w:left="2311" w:hanging="420"/>
      </w:pPr>
      <w:rPr>
        <w:rFonts w:hint="eastAsia"/>
      </w:rPr>
    </w:lvl>
    <w:lvl w:ilvl="5" w:tentative="0">
      <w:start w:val="1"/>
      <w:numFmt w:val="lowerRoman"/>
      <w:lvlText w:val="%6."/>
      <w:lvlJc w:val="right"/>
      <w:pPr>
        <w:ind w:left="2731" w:hanging="420"/>
      </w:pPr>
      <w:rPr>
        <w:rFonts w:hint="eastAsia"/>
      </w:rPr>
    </w:lvl>
    <w:lvl w:ilvl="6" w:tentative="0">
      <w:start w:val="1"/>
      <w:numFmt w:val="decimal"/>
      <w:lvlText w:val="%7."/>
      <w:lvlJc w:val="left"/>
      <w:pPr>
        <w:ind w:left="3151" w:hanging="420"/>
      </w:pPr>
      <w:rPr>
        <w:rFonts w:hint="eastAsia"/>
      </w:rPr>
    </w:lvl>
    <w:lvl w:ilvl="7" w:tentative="0">
      <w:start w:val="1"/>
      <w:numFmt w:val="lowerLetter"/>
      <w:lvlText w:val="%8)"/>
      <w:lvlJc w:val="left"/>
      <w:pPr>
        <w:ind w:left="3571" w:hanging="420"/>
      </w:pPr>
      <w:rPr>
        <w:rFonts w:hint="eastAsia"/>
      </w:rPr>
    </w:lvl>
    <w:lvl w:ilvl="8" w:tentative="0">
      <w:start w:val="1"/>
      <w:numFmt w:val="lowerRoman"/>
      <w:lvlText w:val="%9."/>
      <w:lvlJc w:val="right"/>
      <w:pPr>
        <w:ind w:left="3991" w:hanging="420"/>
      </w:pPr>
      <w:rPr>
        <w:rFonts w:hint="eastAsia"/>
      </w:rPr>
    </w:lvl>
  </w:abstractNum>
  <w:abstractNum w:abstractNumId="20">
    <w:nsid w:val="6310C710"/>
    <w:multiLevelType w:val="singleLevel"/>
    <w:tmpl w:val="6310C710"/>
    <w:lvl w:ilvl="0" w:tentative="0">
      <w:start w:val="1"/>
      <w:numFmt w:val="decimal"/>
      <w:suff w:val="nothing"/>
      <w:lvlText w:val="%1、"/>
      <w:lvlJc w:val="left"/>
    </w:lvl>
  </w:abstractNum>
  <w:abstractNum w:abstractNumId="21">
    <w:nsid w:val="69FE31D9"/>
    <w:multiLevelType w:val="singleLevel"/>
    <w:tmpl w:val="69FE31D9"/>
    <w:lvl w:ilvl="0" w:tentative="0">
      <w:start w:val="1"/>
      <w:numFmt w:val="decimal"/>
      <w:suff w:val="nothing"/>
      <w:lvlText w:val="（%1）"/>
      <w:lvlJc w:val="left"/>
    </w:lvl>
  </w:abstractNum>
  <w:abstractNum w:abstractNumId="22">
    <w:nsid w:val="732B946A"/>
    <w:multiLevelType w:val="singleLevel"/>
    <w:tmpl w:val="732B946A"/>
    <w:lvl w:ilvl="0" w:tentative="0">
      <w:start w:val="1"/>
      <w:numFmt w:val="decimal"/>
      <w:lvlText w:val="表1-%1"/>
      <w:lvlJc w:val="left"/>
      <w:pPr>
        <w:tabs>
          <w:tab w:val="left" w:pos="420"/>
        </w:tabs>
        <w:ind w:left="425" w:hanging="425"/>
      </w:pPr>
      <w:rPr>
        <w:rFonts w:hint="default" w:ascii="Times New Roman" w:hAnsi="Times New Roman" w:eastAsia="宋体" w:cs="宋体"/>
        <w:b/>
        <w:bCs/>
        <w:sz w:val="24"/>
        <w:szCs w:val="24"/>
      </w:rPr>
    </w:lvl>
  </w:abstractNum>
  <w:num w:numId="1">
    <w:abstractNumId w:val="8"/>
  </w:num>
  <w:num w:numId="2">
    <w:abstractNumId w:val="22"/>
  </w:num>
  <w:num w:numId="3">
    <w:abstractNumId w:val="2"/>
  </w:num>
  <w:num w:numId="4">
    <w:abstractNumId w:val="19"/>
  </w:num>
  <w:num w:numId="5">
    <w:abstractNumId w:val="17"/>
  </w:num>
  <w:num w:numId="6">
    <w:abstractNumId w:val="11"/>
  </w:num>
  <w:num w:numId="7">
    <w:abstractNumId w:val="15"/>
  </w:num>
  <w:num w:numId="8">
    <w:abstractNumId w:val="14"/>
  </w:num>
  <w:num w:numId="9">
    <w:abstractNumId w:val="4"/>
  </w:num>
  <w:num w:numId="10">
    <w:abstractNumId w:val="6"/>
  </w:num>
  <w:num w:numId="11">
    <w:abstractNumId w:val="3"/>
  </w:num>
  <w:num w:numId="12">
    <w:abstractNumId w:val="5"/>
  </w:num>
  <w:num w:numId="13">
    <w:abstractNumId w:val="20"/>
  </w:num>
  <w:num w:numId="14">
    <w:abstractNumId w:val="16"/>
  </w:num>
  <w:num w:numId="15">
    <w:abstractNumId w:val="21"/>
  </w:num>
  <w:num w:numId="16">
    <w:abstractNumId w:val="7"/>
  </w:num>
  <w:num w:numId="17">
    <w:abstractNumId w:val="0"/>
  </w:num>
  <w:num w:numId="18">
    <w:abstractNumId w:val="9"/>
  </w:num>
  <w:num w:numId="19">
    <w:abstractNumId w:val="13"/>
  </w:num>
  <w:num w:numId="20">
    <w:abstractNumId w:val="10"/>
  </w:num>
  <w:num w:numId="21">
    <w:abstractNumId w:val="18"/>
  </w:num>
  <w:num w:numId="22">
    <w:abstractNumId w:val="12"/>
  </w:num>
  <w:num w:numId="2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ian  Li">
    <w15:presenceInfo w15:providerId="None" w15:userId="Qian  Li"/>
  </w15:person>
  <w15:person w15:author="Sunny">
    <w15:presenceInfo w15:providerId="None" w15:userId="Sunny"/>
  </w15:person>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revisionView w:markup="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ViZTc3ODc1MGJkYjY1OTE3ZDliYjRmMDBlYThmYTgifQ=="/>
  </w:docVars>
  <w:rsids>
    <w:rsidRoot w:val="00172A27"/>
    <w:rsid w:val="00052AC3"/>
    <w:rsid w:val="000627BD"/>
    <w:rsid w:val="00063902"/>
    <w:rsid w:val="00082353"/>
    <w:rsid w:val="00091011"/>
    <w:rsid w:val="000A3E86"/>
    <w:rsid w:val="000A45CD"/>
    <w:rsid w:val="000C5404"/>
    <w:rsid w:val="000C6587"/>
    <w:rsid w:val="000D1543"/>
    <w:rsid w:val="000D1A94"/>
    <w:rsid w:val="000D4229"/>
    <w:rsid w:val="000D7D32"/>
    <w:rsid w:val="000E474B"/>
    <w:rsid w:val="000F0FC7"/>
    <w:rsid w:val="000F1DC5"/>
    <w:rsid w:val="000F7D3C"/>
    <w:rsid w:val="0010207C"/>
    <w:rsid w:val="00102373"/>
    <w:rsid w:val="00105C75"/>
    <w:rsid w:val="00124A66"/>
    <w:rsid w:val="0012768B"/>
    <w:rsid w:val="0013298C"/>
    <w:rsid w:val="00141BFC"/>
    <w:rsid w:val="00153E2F"/>
    <w:rsid w:val="001552DF"/>
    <w:rsid w:val="0017160A"/>
    <w:rsid w:val="00173709"/>
    <w:rsid w:val="00173892"/>
    <w:rsid w:val="00182039"/>
    <w:rsid w:val="00185BA4"/>
    <w:rsid w:val="00191557"/>
    <w:rsid w:val="001969DD"/>
    <w:rsid w:val="001A392A"/>
    <w:rsid w:val="001B2631"/>
    <w:rsid w:val="001B2BB2"/>
    <w:rsid w:val="001E2739"/>
    <w:rsid w:val="001E63F8"/>
    <w:rsid w:val="001F311C"/>
    <w:rsid w:val="002212A4"/>
    <w:rsid w:val="00222C90"/>
    <w:rsid w:val="00223DD2"/>
    <w:rsid w:val="0022568A"/>
    <w:rsid w:val="00226E11"/>
    <w:rsid w:val="0022768F"/>
    <w:rsid w:val="0023794B"/>
    <w:rsid w:val="00243798"/>
    <w:rsid w:val="00254C8C"/>
    <w:rsid w:val="00257465"/>
    <w:rsid w:val="00261F6A"/>
    <w:rsid w:val="00264EC0"/>
    <w:rsid w:val="0027279A"/>
    <w:rsid w:val="0027510C"/>
    <w:rsid w:val="0028012B"/>
    <w:rsid w:val="00294DE3"/>
    <w:rsid w:val="0029611D"/>
    <w:rsid w:val="002A3E87"/>
    <w:rsid w:val="002A6DD6"/>
    <w:rsid w:val="002B3C09"/>
    <w:rsid w:val="002C11D0"/>
    <w:rsid w:val="002E7275"/>
    <w:rsid w:val="002F3CD3"/>
    <w:rsid w:val="00324BCD"/>
    <w:rsid w:val="00340052"/>
    <w:rsid w:val="00356A45"/>
    <w:rsid w:val="003605A5"/>
    <w:rsid w:val="00367698"/>
    <w:rsid w:val="00381CA9"/>
    <w:rsid w:val="00383403"/>
    <w:rsid w:val="00384894"/>
    <w:rsid w:val="003A046B"/>
    <w:rsid w:val="003A237F"/>
    <w:rsid w:val="003C3F83"/>
    <w:rsid w:val="003D1393"/>
    <w:rsid w:val="003D49CC"/>
    <w:rsid w:val="00402050"/>
    <w:rsid w:val="004036E7"/>
    <w:rsid w:val="00472398"/>
    <w:rsid w:val="00486DD4"/>
    <w:rsid w:val="00491898"/>
    <w:rsid w:val="00493518"/>
    <w:rsid w:val="004A4C1D"/>
    <w:rsid w:val="004C6951"/>
    <w:rsid w:val="004D3436"/>
    <w:rsid w:val="004F3A8B"/>
    <w:rsid w:val="004F79C2"/>
    <w:rsid w:val="00510B3B"/>
    <w:rsid w:val="00512308"/>
    <w:rsid w:val="005170AA"/>
    <w:rsid w:val="00543CBF"/>
    <w:rsid w:val="00555A5B"/>
    <w:rsid w:val="00563924"/>
    <w:rsid w:val="005936E5"/>
    <w:rsid w:val="005972B0"/>
    <w:rsid w:val="005A0B82"/>
    <w:rsid w:val="005A790F"/>
    <w:rsid w:val="005B79D0"/>
    <w:rsid w:val="005C3FA3"/>
    <w:rsid w:val="005D4299"/>
    <w:rsid w:val="005F0403"/>
    <w:rsid w:val="005F6DDE"/>
    <w:rsid w:val="006410EC"/>
    <w:rsid w:val="0064201B"/>
    <w:rsid w:val="00647010"/>
    <w:rsid w:val="00650266"/>
    <w:rsid w:val="00654768"/>
    <w:rsid w:val="00654830"/>
    <w:rsid w:val="006654DD"/>
    <w:rsid w:val="006740D6"/>
    <w:rsid w:val="0067663E"/>
    <w:rsid w:val="00681F47"/>
    <w:rsid w:val="006861A1"/>
    <w:rsid w:val="0069181E"/>
    <w:rsid w:val="006934BF"/>
    <w:rsid w:val="006A3165"/>
    <w:rsid w:val="006A74AB"/>
    <w:rsid w:val="006C1086"/>
    <w:rsid w:val="006D565A"/>
    <w:rsid w:val="006E1E8E"/>
    <w:rsid w:val="006F6A15"/>
    <w:rsid w:val="00712BD4"/>
    <w:rsid w:val="0073515B"/>
    <w:rsid w:val="00744279"/>
    <w:rsid w:val="00745946"/>
    <w:rsid w:val="007650E7"/>
    <w:rsid w:val="00770261"/>
    <w:rsid w:val="00772B98"/>
    <w:rsid w:val="00782B10"/>
    <w:rsid w:val="0078313C"/>
    <w:rsid w:val="0078528C"/>
    <w:rsid w:val="007A03B0"/>
    <w:rsid w:val="007B2E71"/>
    <w:rsid w:val="007B5996"/>
    <w:rsid w:val="007C4B13"/>
    <w:rsid w:val="007D1F55"/>
    <w:rsid w:val="007E7582"/>
    <w:rsid w:val="007F50E6"/>
    <w:rsid w:val="00800D19"/>
    <w:rsid w:val="0080420E"/>
    <w:rsid w:val="00804D49"/>
    <w:rsid w:val="008221DD"/>
    <w:rsid w:val="008348D1"/>
    <w:rsid w:val="00835704"/>
    <w:rsid w:val="008406A1"/>
    <w:rsid w:val="00842ACA"/>
    <w:rsid w:val="0086223A"/>
    <w:rsid w:val="00862B80"/>
    <w:rsid w:val="008646EB"/>
    <w:rsid w:val="008703C6"/>
    <w:rsid w:val="00876299"/>
    <w:rsid w:val="008828FF"/>
    <w:rsid w:val="00884AA1"/>
    <w:rsid w:val="00885424"/>
    <w:rsid w:val="008976A8"/>
    <w:rsid w:val="008A0AF1"/>
    <w:rsid w:val="008A39B1"/>
    <w:rsid w:val="008A51D1"/>
    <w:rsid w:val="008B1AB7"/>
    <w:rsid w:val="008B6D6A"/>
    <w:rsid w:val="008D4A2F"/>
    <w:rsid w:val="008E237D"/>
    <w:rsid w:val="008F51EE"/>
    <w:rsid w:val="009028EC"/>
    <w:rsid w:val="009068EA"/>
    <w:rsid w:val="00926B8A"/>
    <w:rsid w:val="00934ADF"/>
    <w:rsid w:val="009561C5"/>
    <w:rsid w:val="00957F4D"/>
    <w:rsid w:val="009672DD"/>
    <w:rsid w:val="00972EF1"/>
    <w:rsid w:val="009A1BD2"/>
    <w:rsid w:val="009C07F6"/>
    <w:rsid w:val="009C0B3D"/>
    <w:rsid w:val="009C6790"/>
    <w:rsid w:val="009E2AFB"/>
    <w:rsid w:val="00A01438"/>
    <w:rsid w:val="00A07B24"/>
    <w:rsid w:val="00A32DC3"/>
    <w:rsid w:val="00A3319B"/>
    <w:rsid w:val="00A52B45"/>
    <w:rsid w:val="00A53B5C"/>
    <w:rsid w:val="00A756AE"/>
    <w:rsid w:val="00A83AD0"/>
    <w:rsid w:val="00A92A4C"/>
    <w:rsid w:val="00A978FF"/>
    <w:rsid w:val="00AB12E8"/>
    <w:rsid w:val="00AB6646"/>
    <w:rsid w:val="00AC73A5"/>
    <w:rsid w:val="00AE07DB"/>
    <w:rsid w:val="00AF54BE"/>
    <w:rsid w:val="00AF5F93"/>
    <w:rsid w:val="00AF795A"/>
    <w:rsid w:val="00B12F0D"/>
    <w:rsid w:val="00B40A64"/>
    <w:rsid w:val="00B4227F"/>
    <w:rsid w:val="00B575C1"/>
    <w:rsid w:val="00B67252"/>
    <w:rsid w:val="00B76999"/>
    <w:rsid w:val="00B82558"/>
    <w:rsid w:val="00B84639"/>
    <w:rsid w:val="00B90BE9"/>
    <w:rsid w:val="00B91598"/>
    <w:rsid w:val="00BF663C"/>
    <w:rsid w:val="00C02AE5"/>
    <w:rsid w:val="00C10B7F"/>
    <w:rsid w:val="00C32F49"/>
    <w:rsid w:val="00C34531"/>
    <w:rsid w:val="00C42EBD"/>
    <w:rsid w:val="00C57008"/>
    <w:rsid w:val="00C621A8"/>
    <w:rsid w:val="00C62BDC"/>
    <w:rsid w:val="00C70603"/>
    <w:rsid w:val="00C75D19"/>
    <w:rsid w:val="00C82C0A"/>
    <w:rsid w:val="00C86FEC"/>
    <w:rsid w:val="00C91644"/>
    <w:rsid w:val="00CF2AFC"/>
    <w:rsid w:val="00CF614C"/>
    <w:rsid w:val="00D00468"/>
    <w:rsid w:val="00D10FE9"/>
    <w:rsid w:val="00D2146D"/>
    <w:rsid w:val="00D57076"/>
    <w:rsid w:val="00D61227"/>
    <w:rsid w:val="00D71546"/>
    <w:rsid w:val="00DA162A"/>
    <w:rsid w:val="00DA3ADD"/>
    <w:rsid w:val="00DA6EA1"/>
    <w:rsid w:val="00DB6B37"/>
    <w:rsid w:val="00DC3734"/>
    <w:rsid w:val="00DD0A4C"/>
    <w:rsid w:val="00DE409D"/>
    <w:rsid w:val="00E1474F"/>
    <w:rsid w:val="00E54942"/>
    <w:rsid w:val="00E644C5"/>
    <w:rsid w:val="00EA060E"/>
    <w:rsid w:val="00EA40D0"/>
    <w:rsid w:val="00EB5EDF"/>
    <w:rsid w:val="00EC5FC1"/>
    <w:rsid w:val="00ED0F95"/>
    <w:rsid w:val="00EE1B76"/>
    <w:rsid w:val="00EE4214"/>
    <w:rsid w:val="00EE6D5B"/>
    <w:rsid w:val="00EF38D1"/>
    <w:rsid w:val="00F000F6"/>
    <w:rsid w:val="00F25534"/>
    <w:rsid w:val="00F72432"/>
    <w:rsid w:val="00F8249D"/>
    <w:rsid w:val="00FB1A6D"/>
    <w:rsid w:val="00FB3ED7"/>
    <w:rsid w:val="00FC5C34"/>
    <w:rsid w:val="00FC6BC3"/>
    <w:rsid w:val="00FE7660"/>
    <w:rsid w:val="00FF1848"/>
    <w:rsid w:val="00FF5DA6"/>
    <w:rsid w:val="00FF7B7A"/>
    <w:rsid w:val="01040194"/>
    <w:rsid w:val="010D6688"/>
    <w:rsid w:val="012D2227"/>
    <w:rsid w:val="013B4944"/>
    <w:rsid w:val="014F35EE"/>
    <w:rsid w:val="01500979"/>
    <w:rsid w:val="01513954"/>
    <w:rsid w:val="015832DB"/>
    <w:rsid w:val="016407C2"/>
    <w:rsid w:val="017721F3"/>
    <w:rsid w:val="01986A2E"/>
    <w:rsid w:val="01AE6653"/>
    <w:rsid w:val="01AF1E59"/>
    <w:rsid w:val="01B26FE3"/>
    <w:rsid w:val="01B54F4C"/>
    <w:rsid w:val="01CF4651"/>
    <w:rsid w:val="01D84888"/>
    <w:rsid w:val="01E62B63"/>
    <w:rsid w:val="01EA4C6F"/>
    <w:rsid w:val="01F27FD9"/>
    <w:rsid w:val="01F84B4A"/>
    <w:rsid w:val="02012E78"/>
    <w:rsid w:val="02057BD5"/>
    <w:rsid w:val="02075E8E"/>
    <w:rsid w:val="02086D7A"/>
    <w:rsid w:val="020F0189"/>
    <w:rsid w:val="02115C22"/>
    <w:rsid w:val="02151639"/>
    <w:rsid w:val="02345DD0"/>
    <w:rsid w:val="02355837"/>
    <w:rsid w:val="023A389D"/>
    <w:rsid w:val="023E350E"/>
    <w:rsid w:val="026B57E9"/>
    <w:rsid w:val="026E1BEA"/>
    <w:rsid w:val="02763A04"/>
    <w:rsid w:val="029C0CC6"/>
    <w:rsid w:val="029D21E2"/>
    <w:rsid w:val="02C04D7C"/>
    <w:rsid w:val="02C62933"/>
    <w:rsid w:val="02CE4FD8"/>
    <w:rsid w:val="02D70954"/>
    <w:rsid w:val="02DA6F02"/>
    <w:rsid w:val="02E06232"/>
    <w:rsid w:val="02E35293"/>
    <w:rsid w:val="02E56819"/>
    <w:rsid w:val="02E80366"/>
    <w:rsid w:val="02EA2B3A"/>
    <w:rsid w:val="02F05C02"/>
    <w:rsid w:val="02F61542"/>
    <w:rsid w:val="02FA68CC"/>
    <w:rsid w:val="02FD4CD8"/>
    <w:rsid w:val="02FE2A4B"/>
    <w:rsid w:val="03015719"/>
    <w:rsid w:val="030201A3"/>
    <w:rsid w:val="031C40A5"/>
    <w:rsid w:val="0322373D"/>
    <w:rsid w:val="03356A83"/>
    <w:rsid w:val="03436A53"/>
    <w:rsid w:val="0344166A"/>
    <w:rsid w:val="03535FEE"/>
    <w:rsid w:val="035E2B6B"/>
    <w:rsid w:val="03647414"/>
    <w:rsid w:val="03767EED"/>
    <w:rsid w:val="038030A1"/>
    <w:rsid w:val="038476FB"/>
    <w:rsid w:val="038B1C6A"/>
    <w:rsid w:val="038B342A"/>
    <w:rsid w:val="038B405B"/>
    <w:rsid w:val="038C5BBB"/>
    <w:rsid w:val="038E185C"/>
    <w:rsid w:val="038E73B4"/>
    <w:rsid w:val="03907D50"/>
    <w:rsid w:val="03953EA9"/>
    <w:rsid w:val="03AF3C36"/>
    <w:rsid w:val="03C514CC"/>
    <w:rsid w:val="03CA3085"/>
    <w:rsid w:val="03CE38FC"/>
    <w:rsid w:val="03D7235E"/>
    <w:rsid w:val="03FE22F9"/>
    <w:rsid w:val="03FE56D4"/>
    <w:rsid w:val="041026B2"/>
    <w:rsid w:val="04135BB0"/>
    <w:rsid w:val="041A364F"/>
    <w:rsid w:val="041F43EA"/>
    <w:rsid w:val="043F6ACF"/>
    <w:rsid w:val="044D2247"/>
    <w:rsid w:val="0451447E"/>
    <w:rsid w:val="045C4552"/>
    <w:rsid w:val="04677915"/>
    <w:rsid w:val="046930FC"/>
    <w:rsid w:val="048C331C"/>
    <w:rsid w:val="049727D9"/>
    <w:rsid w:val="04AC6D42"/>
    <w:rsid w:val="04BA6A26"/>
    <w:rsid w:val="04BD6E6A"/>
    <w:rsid w:val="04CD6945"/>
    <w:rsid w:val="04D37589"/>
    <w:rsid w:val="04D427F1"/>
    <w:rsid w:val="04D73819"/>
    <w:rsid w:val="04E332A6"/>
    <w:rsid w:val="04FB0104"/>
    <w:rsid w:val="0514796C"/>
    <w:rsid w:val="05164D65"/>
    <w:rsid w:val="0525420B"/>
    <w:rsid w:val="05393D28"/>
    <w:rsid w:val="054B2631"/>
    <w:rsid w:val="05672160"/>
    <w:rsid w:val="0567253E"/>
    <w:rsid w:val="05673126"/>
    <w:rsid w:val="057B0090"/>
    <w:rsid w:val="057F55F7"/>
    <w:rsid w:val="058562CC"/>
    <w:rsid w:val="058C4B1D"/>
    <w:rsid w:val="058F31D8"/>
    <w:rsid w:val="059E51D4"/>
    <w:rsid w:val="05A43500"/>
    <w:rsid w:val="05BD613B"/>
    <w:rsid w:val="05C42869"/>
    <w:rsid w:val="05D25412"/>
    <w:rsid w:val="05D903A3"/>
    <w:rsid w:val="06146A07"/>
    <w:rsid w:val="061825E4"/>
    <w:rsid w:val="06226EE6"/>
    <w:rsid w:val="063A0246"/>
    <w:rsid w:val="063A6D0A"/>
    <w:rsid w:val="063E53FE"/>
    <w:rsid w:val="068575EB"/>
    <w:rsid w:val="068811A9"/>
    <w:rsid w:val="068C3AD4"/>
    <w:rsid w:val="06940253"/>
    <w:rsid w:val="06B646B2"/>
    <w:rsid w:val="06BF7DC5"/>
    <w:rsid w:val="06D579A3"/>
    <w:rsid w:val="06ED137F"/>
    <w:rsid w:val="06EE1D88"/>
    <w:rsid w:val="06F46DE6"/>
    <w:rsid w:val="06F76D0A"/>
    <w:rsid w:val="07097F42"/>
    <w:rsid w:val="071C1DEE"/>
    <w:rsid w:val="071E4D0F"/>
    <w:rsid w:val="072450C4"/>
    <w:rsid w:val="072A7934"/>
    <w:rsid w:val="072C2FAA"/>
    <w:rsid w:val="07300CC3"/>
    <w:rsid w:val="073067EB"/>
    <w:rsid w:val="07341AD0"/>
    <w:rsid w:val="074234CA"/>
    <w:rsid w:val="07453606"/>
    <w:rsid w:val="07476EBF"/>
    <w:rsid w:val="07487352"/>
    <w:rsid w:val="0752317E"/>
    <w:rsid w:val="07602C49"/>
    <w:rsid w:val="07676217"/>
    <w:rsid w:val="077467CE"/>
    <w:rsid w:val="07817327"/>
    <w:rsid w:val="07834D51"/>
    <w:rsid w:val="07927288"/>
    <w:rsid w:val="079A070E"/>
    <w:rsid w:val="07A11279"/>
    <w:rsid w:val="07A31864"/>
    <w:rsid w:val="07A83C03"/>
    <w:rsid w:val="07D21289"/>
    <w:rsid w:val="07DF27FC"/>
    <w:rsid w:val="07E04497"/>
    <w:rsid w:val="07ED0CAB"/>
    <w:rsid w:val="07EF789B"/>
    <w:rsid w:val="07FD481B"/>
    <w:rsid w:val="07FE321C"/>
    <w:rsid w:val="07FF124E"/>
    <w:rsid w:val="07FF74D2"/>
    <w:rsid w:val="0800006C"/>
    <w:rsid w:val="080229C9"/>
    <w:rsid w:val="08037A17"/>
    <w:rsid w:val="080B2E65"/>
    <w:rsid w:val="080D22E9"/>
    <w:rsid w:val="081373BD"/>
    <w:rsid w:val="0822685D"/>
    <w:rsid w:val="082C25B4"/>
    <w:rsid w:val="082D6AB5"/>
    <w:rsid w:val="082F2D28"/>
    <w:rsid w:val="082F398E"/>
    <w:rsid w:val="0834033F"/>
    <w:rsid w:val="08355874"/>
    <w:rsid w:val="08437D76"/>
    <w:rsid w:val="084756C5"/>
    <w:rsid w:val="08693A33"/>
    <w:rsid w:val="086C0075"/>
    <w:rsid w:val="08A81D5A"/>
    <w:rsid w:val="08AA23AF"/>
    <w:rsid w:val="08AB6853"/>
    <w:rsid w:val="08AD45C2"/>
    <w:rsid w:val="08B6592B"/>
    <w:rsid w:val="08BF22FE"/>
    <w:rsid w:val="08C016A8"/>
    <w:rsid w:val="08C4732B"/>
    <w:rsid w:val="08C82CDF"/>
    <w:rsid w:val="08C95D70"/>
    <w:rsid w:val="08CC2C63"/>
    <w:rsid w:val="08CC31E8"/>
    <w:rsid w:val="08D86FDC"/>
    <w:rsid w:val="08E00303"/>
    <w:rsid w:val="08FA3F2D"/>
    <w:rsid w:val="08FF7541"/>
    <w:rsid w:val="090B5543"/>
    <w:rsid w:val="091211B3"/>
    <w:rsid w:val="09157912"/>
    <w:rsid w:val="091A0992"/>
    <w:rsid w:val="091E69DB"/>
    <w:rsid w:val="092C7268"/>
    <w:rsid w:val="093920B1"/>
    <w:rsid w:val="09464473"/>
    <w:rsid w:val="094D059B"/>
    <w:rsid w:val="095119BA"/>
    <w:rsid w:val="095F369D"/>
    <w:rsid w:val="09687E6E"/>
    <w:rsid w:val="09693D48"/>
    <w:rsid w:val="097B3B51"/>
    <w:rsid w:val="09896468"/>
    <w:rsid w:val="098B2E89"/>
    <w:rsid w:val="099459B7"/>
    <w:rsid w:val="09A03839"/>
    <w:rsid w:val="09A07836"/>
    <w:rsid w:val="09AC1E35"/>
    <w:rsid w:val="09AD66F7"/>
    <w:rsid w:val="09B87F6F"/>
    <w:rsid w:val="09B94F9F"/>
    <w:rsid w:val="09BC4A90"/>
    <w:rsid w:val="09BC5743"/>
    <w:rsid w:val="09D81A6A"/>
    <w:rsid w:val="09DA7ED1"/>
    <w:rsid w:val="09E42915"/>
    <w:rsid w:val="0A013074"/>
    <w:rsid w:val="0A04017F"/>
    <w:rsid w:val="0A36214C"/>
    <w:rsid w:val="0A391D4D"/>
    <w:rsid w:val="0A57101C"/>
    <w:rsid w:val="0A5C0D67"/>
    <w:rsid w:val="0A69200A"/>
    <w:rsid w:val="0A6E2124"/>
    <w:rsid w:val="0A747118"/>
    <w:rsid w:val="0A76269B"/>
    <w:rsid w:val="0A8529AB"/>
    <w:rsid w:val="0A8D3D36"/>
    <w:rsid w:val="0AA2213B"/>
    <w:rsid w:val="0AB204F6"/>
    <w:rsid w:val="0ABB091A"/>
    <w:rsid w:val="0AC203B3"/>
    <w:rsid w:val="0AD35BED"/>
    <w:rsid w:val="0B0407AC"/>
    <w:rsid w:val="0B0C36F5"/>
    <w:rsid w:val="0B106E41"/>
    <w:rsid w:val="0B213327"/>
    <w:rsid w:val="0B2536F3"/>
    <w:rsid w:val="0B3B2E21"/>
    <w:rsid w:val="0B452731"/>
    <w:rsid w:val="0B57681E"/>
    <w:rsid w:val="0B5807E8"/>
    <w:rsid w:val="0B63183F"/>
    <w:rsid w:val="0B6B30AF"/>
    <w:rsid w:val="0B7150B9"/>
    <w:rsid w:val="0B785B6C"/>
    <w:rsid w:val="0B7E4833"/>
    <w:rsid w:val="0B8C391E"/>
    <w:rsid w:val="0B8F0012"/>
    <w:rsid w:val="0B9870BA"/>
    <w:rsid w:val="0B9E37B5"/>
    <w:rsid w:val="0BAB716A"/>
    <w:rsid w:val="0BB738B5"/>
    <w:rsid w:val="0BC364A1"/>
    <w:rsid w:val="0BC94E80"/>
    <w:rsid w:val="0BD8351B"/>
    <w:rsid w:val="0BE81969"/>
    <w:rsid w:val="0BEE3B84"/>
    <w:rsid w:val="0BF71102"/>
    <w:rsid w:val="0BF8232D"/>
    <w:rsid w:val="0C03557E"/>
    <w:rsid w:val="0C232647"/>
    <w:rsid w:val="0C234952"/>
    <w:rsid w:val="0C2D7BC4"/>
    <w:rsid w:val="0C322660"/>
    <w:rsid w:val="0C3A5FD8"/>
    <w:rsid w:val="0C3D1EB8"/>
    <w:rsid w:val="0C4477D6"/>
    <w:rsid w:val="0C4A1EDF"/>
    <w:rsid w:val="0C4F3863"/>
    <w:rsid w:val="0C5517D6"/>
    <w:rsid w:val="0C5D54AF"/>
    <w:rsid w:val="0C673CE2"/>
    <w:rsid w:val="0C814147"/>
    <w:rsid w:val="0C866FC6"/>
    <w:rsid w:val="0CA350DD"/>
    <w:rsid w:val="0CA872D8"/>
    <w:rsid w:val="0CB33F28"/>
    <w:rsid w:val="0CD24838"/>
    <w:rsid w:val="0CD85E64"/>
    <w:rsid w:val="0CE7310B"/>
    <w:rsid w:val="0CF57C43"/>
    <w:rsid w:val="0CF70656"/>
    <w:rsid w:val="0CF97874"/>
    <w:rsid w:val="0D057319"/>
    <w:rsid w:val="0D0815CC"/>
    <w:rsid w:val="0D12391F"/>
    <w:rsid w:val="0D387F25"/>
    <w:rsid w:val="0D563522"/>
    <w:rsid w:val="0D58750A"/>
    <w:rsid w:val="0D5B1957"/>
    <w:rsid w:val="0D654F7D"/>
    <w:rsid w:val="0D656467"/>
    <w:rsid w:val="0D6D16A3"/>
    <w:rsid w:val="0D720AF3"/>
    <w:rsid w:val="0D7B0DED"/>
    <w:rsid w:val="0D9F31D6"/>
    <w:rsid w:val="0DA80062"/>
    <w:rsid w:val="0DAB19BF"/>
    <w:rsid w:val="0DAE6E72"/>
    <w:rsid w:val="0DB11818"/>
    <w:rsid w:val="0DBD354A"/>
    <w:rsid w:val="0DC13D2C"/>
    <w:rsid w:val="0DD62816"/>
    <w:rsid w:val="0DE901AD"/>
    <w:rsid w:val="0DEC5597"/>
    <w:rsid w:val="0DF339D1"/>
    <w:rsid w:val="0DF7667D"/>
    <w:rsid w:val="0E221D43"/>
    <w:rsid w:val="0E24340E"/>
    <w:rsid w:val="0E280461"/>
    <w:rsid w:val="0E302FEE"/>
    <w:rsid w:val="0E3863F6"/>
    <w:rsid w:val="0E3E0DA0"/>
    <w:rsid w:val="0E470BD7"/>
    <w:rsid w:val="0E5158AE"/>
    <w:rsid w:val="0E556B02"/>
    <w:rsid w:val="0E680F35"/>
    <w:rsid w:val="0E686F94"/>
    <w:rsid w:val="0E6B4B2C"/>
    <w:rsid w:val="0E903FD6"/>
    <w:rsid w:val="0EA10D5E"/>
    <w:rsid w:val="0EA4016E"/>
    <w:rsid w:val="0EA83079"/>
    <w:rsid w:val="0EB82310"/>
    <w:rsid w:val="0EBA7016"/>
    <w:rsid w:val="0EBB4D4F"/>
    <w:rsid w:val="0ECD1453"/>
    <w:rsid w:val="0EF024FE"/>
    <w:rsid w:val="0EF66E80"/>
    <w:rsid w:val="0EFF400B"/>
    <w:rsid w:val="0F027C18"/>
    <w:rsid w:val="0F064C1C"/>
    <w:rsid w:val="0F0975AE"/>
    <w:rsid w:val="0F166A7A"/>
    <w:rsid w:val="0F1B779D"/>
    <w:rsid w:val="0F1D51E7"/>
    <w:rsid w:val="0F1F6B56"/>
    <w:rsid w:val="0F29227F"/>
    <w:rsid w:val="0F2B032A"/>
    <w:rsid w:val="0F3A0964"/>
    <w:rsid w:val="0F3D1C90"/>
    <w:rsid w:val="0F3F7763"/>
    <w:rsid w:val="0F410916"/>
    <w:rsid w:val="0F4C3FB8"/>
    <w:rsid w:val="0F5B03C7"/>
    <w:rsid w:val="0F710B58"/>
    <w:rsid w:val="0F7148DF"/>
    <w:rsid w:val="0F813B4C"/>
    <w:rsid w:val="0F8370B3"/>
    <w:rsid w:val="0F9242C9"/>
    <w:rsid w:val="0FA718CA"/>
    <w:rsid w:val="0FBA18FC"/>
    <w:rsid w:val="0FCF1239"/>
    <w:rsid w:val="0FDF0B06"/>
    <w:rsid w:val="0FE63AC6"/>
    <w:rsid w:val="0FEE17DC"/>
    <w:rsid w:val="0FF31C87"/>
    <w:rsid w:val="0FF35170"/>
    <w:rsid w:val="0FFD5EF4"/>
    <w:rsid w:val="10033645"/>
    <w:rsid w:val="10151E60"/>
    <w:rsid w:val="10191947"/>
    <w:rsid w:val="101957DA"/>
    <w:rsid w:val="101A606C"/>
    <w:rsid w:val="102B4E5D"/>
    <w:rsid w:val="1033001A"/>
    <w:rsid w:val="105367FB"/>
    <w:rsid w:val="10546D59"/>
    <w:rsid w:val="10587E6D"/>
    <w:rsid w:val="107B4C2B"/>
    <w:rsid w:val="1084133C"/>
    <w:rsid w:val="10956F9D"/>
    <w:rsid w:val="10B25F8D"/>
    <w:rsid w:val="10B465CC"/>
    <w:rsid w:val="10B74560"/>
    <w:rsid w:val="10B908E6"/>
    <w:rsid w:val="10B92C9E"/>
    <w:rsid w:val="10BA3678"/>
    <w:rsid w:val="10D80401"/>
    <w:rsid w:val="10EC62BA"/>
    <w:rsid w:val="10F34068"/>
    <w:rsid w:val="10FD7E68"/>
    <w:rsid w:val="110D1E92"/>
    <w:rsid w:val="11210BF1"/>
    <w:rsid w:val="11350BA4"/>
    <w:rsid w:val="114C7EBC"/>
    <w:rsid w:val="115537A1"/>
    <w:rsid w:val="11634D58"/>
    <w:rsid w:val="116D1FAD"/>
    <w:rsid w:val="117643F4"/>
    <w:rsid w:val="11851B2D"/>
    <w:rsid w:val="11903488"/>
    <w:rsid w:val="119105B0"/>
    <w:rsid w:val="119F00D1"/>
    <w:rsid w:val="11A65A6D"/>
    <w:rsid w:val="11A9015C"/>
    <w:rsid w:val="11AB1672"/>
    <w:rsid w:val="11C179D0"/>
    <w:rsid w:val="11CE35B2"/>
    <w:rsid w:val="11D769F9"/>
    <w:rsid w:val="11DC343F"/>
    <w:rsid w:val="11E42DD6"/>
    <w:rsid w:val="11E93F48"/>
    <w:rsid w:val="11FA43A7"/>
    <w:rsid w:val="12197B8E"/>
    <w:rsid w:val="123019D3"/>
    <w:rsid w:val="123C49C0"/>
    <w:rsid w:val="123D33DF"/>
    <w:rsid w:val="125F0174"/>
    <w:rsid w:val="12673C39"/>
    <w:rsid w:val="12706417"/>
    <w:rsid w:val="12724250"/>
    <w:rsid w:val="127300CC"/>
    <w:rsid w:val="127563BF"/>
    <w:rsid w:val="12821C01"/>
    <w:rsid w:val="128A51A9"/>
    <w:rsid w:val="12B02F57"/>
    <w:rsid w:val="12BE62A4"/>
    <w:rsid w:val="12CF0C0F"/>
    <w:rsid w:val="12CF319F"/>
    <w:rsid w:val="12DE3D56"/>
    <w:rsid w:val="12DF4FE1"/>
    <w:rsid w:val="12EB58F5"/>
    <w:rsid w:val="12EB6677"/>
    <w:rsid w:val="130833A5"/>
    <w:rsid w:val="130F1769"/>
    <w:rsid w:val="131E18FA"/>
    <w:rsid w:val="13212C67"/>
    <w:rsid w:val="132643C5"/>
    <w:rsid w:val="132E5D84"/>
    <w:rsid w:val="13442711"/>
    <w:rsid w:val="13456171"/>
    <w:rsid w:val="135363EA"/>
    <w:rsid w:val="135F4698"/>
    <w:rsid w:val="136C2A5D"/>
    <w:rsid w:val="137D2B9A"/>
    <w:rsid w:val="138A3F3A"/>
    <w:rsid w:val="13A23442"/>
    <w:rsid w:val="13A25224"/>
    <w:rsid w:val="13AB75EB"/>
    <w:rsid w:val="13AC16D1"/>
    <w:rsid w:val="13B61C81"/>
    <w:rsid w:val="13B748AD"/>
    <w:rsid w:val="13BB36C2"/>
    <w:rsid w:val="13C605F7"/>
    <w:rsid w:val="13CF0913"/>
    <w:rsid w:val="13E3461C"/>
    <w:rsid w:val="13F249B5"/>
    <w:rsid w:val="13F6163F"/>
    <w:rsid w:val="13FC5D8B"/>
    <w:rsid w:val="14011077"/>
    <w:rsid w:val="140925E3"/>
    <w:rsid w:val="140E2C97"/>
    <w:rsid w:val="143811B7"/>
    <w:rsid w:val="144A16DF"/>
    <w:rsid w:val="144B62A8"/>
    <w:rsid w:val="145A2EDB"/>
    <w:rsid w:val="145A3A0E"/>
    <w:rsid w:val="1461142B"/>
    <w:rsid w:val="146B1BED"/>
    <w:rsid w:val="146F4134"/>
    <w:rsid w:val="147456AD"/>
    <w:rsid w:val="14795A57"/>
    <w:rsid w:val="147A7186"/>
    <w:rsid w:val="149D02FD"/>
    <w:rsid w:val="14A40918"/>
    <w:rsid w:val="14AA5A37"/>
    <w:rsid w:val="14AF5B6D"/>
    <w:rsid w:val="14BF5ACF"/>
    <w:rsid w:val="14C14A9B"/>
    <w:rsid w:val="14DE6360"/>
    <w:rsid w:val="14E46273"/>
    <w:rsid w:val="14EC2CFE"/>
    <w:rsid w:val="14F265B4"/>
    <w:rsid w:val="14F477A2"/>
    <w:rsid w:val="14FC1E68"/>
    <w:rsid w:val="14FD7BCC"/>
    <w:rsid w:val="1504007C"/>
    <w:rsid w:val="1511057D"/>
    <w:rsid w:val="15133F5E"/>
    <w:rsid w:val="15284D87"/>
    <w:rsid w:val="15316F2B"/>
    <w:rsid w:val="154C1E0B"/>
    <w:rsid w:val="15512623"/>
    <w:rsid w:val="156D28C5"/>
    <w:rsid w:val="15724A1D"/>
    <w:rsid w:val="1573354A"/>
    <w:rsid w:val="15780B34"/>
    <w:rsid w:val="158331A0"/>
    <w:rsid w:val="15856882"/>
    <w:rsid w:val="158850B1"/>
    <w:rsid w:val="159C6E3B"/>
    <w:rsid w:val="15A56A38"/>
    <w:rsid w:val="15AA7367"/>
    <w:rsid w:val="15DB079C"/>
    <w:rsid w:val="15E74C42"/>
    <w:rsid w:val="15F93977"/>
    <w:rsid w:val="16010233"/>
    <w:rsid w:val="160144A3"/>
    <w:rsid w:val="16027CAA"/>
    <w:rsid w:val="16141D3D"/>
    <w:rsid w:val="161959E3"/>
    <w:rsid w:val="161B2089"/>
    <w:rsid w:val="161E6D19"/>
    <w:rsid w:val="16213887"/>
    <w:rsid w:val="162A6597"/>
    <w:rsid w:val="162C58CB"/>
    <w:rsid w:val="162D5159"/>
    <w:rsid w:val="163D6E3F"/>
    <w:rsid w:val="16483DE7"/>
    <w:rsid w:val="16491C0A"/>
    <w:rsid w:val="164E2959"/>
    <w:rsid w:val="16540375"/>
    <w:rsid w:val="166459A6"/>
    <w:rsid w:val="166E340C"/>
    <w:rsid w:val="16717348"/>
    <w:rsid w:val="167A4364"/>
    <w:rsid w:val="1686620E"/>
    <w:rsid w:val="168907D8"/>
    <w:rsid w:val="168C5567"/>
    <w:rsid w:val="1690769E"/>
    <w:rsid w:val="169554EC"/>
    <w:rsid w:val="169F214C"/>
    <w:rsid w:val="16A6657E"/>
    <w:rsid w:val="16AA4374"/>
    <w:rsid w:val="16B65158"/>
    <w:rsid w:val="16B840A6"/>
    <w:rsid w:val="16D22F2B"/>
    <w:rsid w:val="16DF55AB"/>
    <w:rsid w:val="16EC632D"/>
    <w:rsid w:val="16F7530F"/>
    <w:rsid w:val="17050116"/>
    <w:rsid w:val="170A1837"/>
    <w:rsid w:val="171F538F"/>
    <w:rsid w:val="17263548"/>
    <w:rsid w:val="172B0284"/>
    <w:rsid w:val="172C2EB7"/>
    <w:rsid w:val="17427ACB"/>
    <w:rsid w:val="174302F7"/>
    <w:rsid w:val="17451A51"/>
    <w:rsid w:val="175940DE"/>
    <w:rsid w:val="175A501C"/>
    <w:rsid w:val="175E60C8"/>
    <w:rsid w:val="17724E30"/>
    <w:rsid w:val="177B7B17"/>
    <w:rsid w:val="177C7DD1"/>
    <w:rsid w:val="177F4A18"/>
    <w:rsid w:val="17914EE3"/>
    <w:rsid w:val="179E6A84"/>
    <w:rsid w:val="17A9713B"/>
    <w:rsid w:val="17AA44AA"/>
    <w:rsid w:val="17B1339E"/>
    <w:rsid w:val="17BD3EAD"/>
    <w:rsid w:val="17BD6236"/>
    <w:rsid w:val="17D75ADC"/>
    <w:rsid w:val="17DA6B41"/>
    <w:rsid w:val="17E67922"/>
    <w:rsid w:val="17F4654E"/>
    <w:rsid w:val="17F61621"/>
    <w:rsid w:val="17F92F96"/>
    <w:rsid w:val="17FD6A90"/>
    <w:rsid w:val="182859B4"/>
    <w:rsid w:val="18295304"/>
    <w:rsid w:val="182E6B59"/>
    <w:rsid w:val="185223C1"/>
    <w:rsid w:val="18765F1C"/>
    <w:rsid w:val="1879385A"/>
    <w:rsid w:val="18966F95"/>
    <w:rsid w:val="18B25175"/>
    <w:rsid w:val="18C961F9"/>
    <w:rsid w:val="18D20894"/>
    <w:rsid w:val="18DA4C75"/>
    <w:rsid w:val="18DB3647"/>
    <w:rsid w:val="18DB4DB2"/>
    <w:rsid w:val="18DE3842"/>
    <w:rsid w:val="192E7E13"/>
    <w:rsid w:val="193A712F"/>
    <w:rsid w:val="19413894"/>
    <w:rsid w:val="19483C4A"/>
    <w:rsid w:val="195442D9"/>
    <w:rsid w:val="19582883"/>
    <w:rsid w:val="19584093"/>
    <w:rsid w:val="19636A35"/>
    <w:rsid w:val="19772CA6"/>
    <w:rsid w:val="19854EF2"/>
    <w:rsid w:val="199558ED"/>
    <w:rsid w:val="19C922D5"/>
    <w:rsid w:val="19D36A4A"/>
    <w:rsid w:val="19DD6D14"/>
    <w:rsid w:val="19DF5DF5"/>
    <w:rsid w:val="19E36C2A"/>
    <w:rsid w:val="19FD3F5E"/>
    <w:rsid w:val="1A0A25AC"/>
    <w:rsid w:val="1A0C53D0"/>
    <w:rsid w:val="1A0E77F7"/>
    <w:rsid w:val="1A2C356C"/>
    <w:rsid w:val="1A3223C5"/>
    <w:rsid w:val="1A34649B"/>
    <w:rsid w:val="1A3E503B"/>
    <w:rsid w:val="1A40602D"/>
    <w:rsid w:val="1A434396"/>
    <w:rsid w:val="1A6963A7"/>
    <w:rsid w:val="1A701E7F"/>
    <w:rsid w:val="1A7A1663"/>
    <w:rsid w:val="1A9D22C7"/>
    <w:rsid w:val="1A9D7F90"/>
    <w:rsid w:val="1AA32E0D"/>
    <w:rsid w:val="1AA35149"/>
    <w:rsid w:val="1AAB58F1"/>
    <w:rsid w:val="1AAF1137"/>
    <w:rsid w:val="1AAF49CE"/>
    <w:rsid w:val="1AC4543D"/>
    <w:rsid w:val="1AC51472"/>
    <w:rsid w:val="1ACE2BC9"/>
    <w:rsid w:val="1AE50ED5"/>
    <w:rsid w:val="1AF52E7F"/>
    <w:rsid w:val="1AFF658A"/>
    <w:rsid w:val="1B045F70"/>
    <w:rsid w:val="1B227C8A"/>
    <w:rsid w:val="1B341C7C"/>
    <w:rsid w:val="1B3A49F4"/>
    <w:rsid w:val="1B4C6732"/>
    <w:rsid w:val="1B523E90"/>
    <w:rsid w:val="1B5B33D9"/>
    <w:rsid w:val="1B7075AD"/>
    <w:rsid w:val="1B7500EC"/>
    <w:rsid w:val="1B79465F"/>
    <w:rsid w:val="1B7E1BA5"/>
    <w:rsid w:val="1B863459"/>
    <w:rsid w:val="1B8D1AB5"/>
    <w:rsid w:val="1B8F3DB2"/>
    <w:rsid w:val="1BB12762"/>
    <w:rsid w:val="1BD31C8E"/>
    <w:rsid w:val="1BEA454E"/>
    <w:rsid w:val="1C054410"/>
    <w:rsid w:val="1C0A32E2"/>
    <w:rsid w:val="1C166281"/>
    <w:rsid w:val="1C2A2E08"/>
    <w:rsid w:val="1C2B3C14"/>
    <w:rsid w:val="1C3109C5"/>
    <w:rsid w:val="1C321B2D"/>
    <w:rsid w:val="1C470141"/>
    <w:rsid w:val="1C575FD7"/>
    <w:rsid w:val="1C65293F"/>
    <w:rsid w:val="1C753374"/>
    <w:rsid w:val="1C764703"/>
    <w:rsid w:val="1C7B04C4"/>
    <w:rsid w:val="1C922837"/>
    <w:rsid w:val="1C9B2396"/>
    <w:rsid w:val="1CAB7BD1"/>
    <w:rsid w:val="1CB3762C"/>
    <w:rsid w:val="1CB91F47"/>
    <w:rsid w:val="1CC81065"/>
    <w:rsid w:val="1CC950A2"/>
    <w:rsid w:val="1CD352DF"/>
    <w:rsid w:val="1CE03C5C"/>
    <w:rsid w:val="1CEA2E88"/>
    <w:rsid w:val="1CEB6DC6"/>
    <w:rsid w:val="1CF1009D"/>
    <w:rsid w:val="1CF10B4E"/>
    <w:rsid w:val="1D0B7945"/>
    <w:rsid w:val="1D1840E6"/>
    <w:rsid w:val="1D2F75FB"/>
    <w:rsid w:val="1D343662"/>
    <w:rsid w:val="1D354361"/>
    <w:rsid w:val="1D3C746C"/>
    <w:rsid w:val="1D582158"/>
    <w:rsid w:val="1D604C51"/>
    <w:rsid w:val="1D641F5B"/>
    <w:rsid w:val="1D672D9E"/>
    <w:rsid w:val="1D762D4C"/>
    <w:rsid w:val="1D86634A"/>
    <w:rsid w:val="1DA47874"/>
    <w:rsid w:val="1DAA6C81"/>
    <w:rsid w:val="1DD85247"/>
    <w:rsid w:val="1DDD71C3"/>
    <w:rsid w:val="1DF23903"/>
    <w:rsid w:val="1DF24A31"/>
    <w:rsid w:val="1E0843F2"/>
    <w:rsid w:val="1E096FF3"/>
    <w:rsid w:val="1E1103F2"/>
    <w:rsid w:val="1E276DD9"/>
    <w:rsid w:val="1E285EBA"/>
    <w:rsid w:val="1E483E6B"/>
    <w:rsid w:val="1E4946EC"/>
    <w:rsid w:val="1E4C68FC"/>
    <w:rsid w:val="1E530BE4"/>
    <w:rsid w:val="1E57419D"/>
    <w:rsid w:val="1E6262AC"/>
    <w:rsid w:val="1E726EE2"/>
    <w:rsid w:val="1E7F0E45"/>
    <w:rsid w:val="1E802CCF"/>
    <w:rsid w:val="1E811809"/>
    <w:rsid w:val="1E85149C"/>
    <w:rsid w:val="1E896DA3"/>
    <w:rsid w:val="1E955040"/>
    <w:rsid w:val="1E9647FB"/>
    <w:rsid w:val="1EAD54D5"/>
    <w:rsid w:val="1EBB65E6"/>
    <w:rsid w:val="1EC93DFC"/>
    <w:rsid w:val="1ED2040B"/>
    <w:rsid w:val="1ED318BB"/>
    <w:rsid w:val="1EDD73AE"/>
    <w:rsid w:val="1EF711AC"/>
    <w:rsid w:val="1F0278C6"/>
    <w:rsid w:val="1F0374EC"/>
    <w:rsid w:val="1F13763B"/>
    <w:rsid w:val="1F1427BC"/>
    <w:rsid w:val="1F1C492E"/>
    <w:rsid w:val="1F220A59"/>
    <w:rsid w:val="1F2F2C77"/>
    <w:rsid w:val="1F2F35A7"/>
    <w:rsid w:val="1F311360"/>
    <w:rsid w:val="1F3D3B25"/>
    <w:rsid w:val="1F4D1FBA"/>
    <w:rsid w:val="1F537BFF"/>
    <w:rsid w:val="1F553DE3"/>
    <w:rsid w:val="1F5C0A83"/>
    <w:rsid w:val="1F63358C"/>
    <w:rsid w:val="1F8352B0"/>
    <w:rsid w:val="1F8D7996"/>
    <w:rsid w:val="1F925C93"/>
    <w:rsid w:val="1F9E160B"/>
    <w:rsid w:val="1FB40A06"/>
    <w:rsid w:val="1FBA3E4E"/>
    <w:rsid w:val="1FBD0C42"/>
    <w:rsid w:val="1FBF0A9B"/>
    <w:rsid w:val="1FC847FB"/>
    <w:rsid w:val="1FD6321B"/>
    <w:rsid w:val="1FDF3222"/>
    <w:rsid w:val="1FE04CB2"/>
    <w:rsid w:val="1FE51D7C"/>
    <w:rsid w:val="1FE741BD"/>
    <w:rsid w:val="1FFB158D"/>
    <w:rsid w:val="20106833"/>
    <w:rsid w:val="201E7A9E"/>
    <w:rsid w:val="20214628"/>
    <w:rsid w:val="20473364"/>
    <w:rsid w:val="204919FB"/>
    <w:rsid w:val="204A5430"/>
    <w:rsid w:val="20554550"/>
    <w:rsid w:val="20580C17"/>
    <w:rsid w:val="20591688"/>
    <w:rsid w:val="206439E5"/>
    <w:rsid w:val="20646159"/>
    <w:rsid w:val="2067116F"/>
    <w:rsid w:val="206E6F9B"/>
    <w:rsid w:val="207178CD"/>
    <w:rsid w:val="2074651D"/>
    <w:rsid w:val="208B1DCC"/>
    <w:rsid w:val="209B1B30"/>
    <w:rsid w:val="20A76E0B"/>
    <w:rsid w:val="20B63B8F"/>
    <w:rsid w:val="20BA2A62"/>
    <w:rsid w:val="20FB5197"/>
    <w:rsid w:val="21190716"/>
    <w:rsid w:val="212300A8"/>
    <w:rsid w:val="21354AB4"/>
    <w:rsid w:val="215E22A9"/>
    <w:rsid w:val="21652598"/>
    <w:rsid w:val="21682A19"/>
    <w:rsid w:val="217419C1"/>
    <w:rsid w:val="217D0262"/>
    <w:rsid w:val="218C4672"/>
    <w:rsid w:val="21AB179D"/>
    <w:rsid w:val="21AC7D9D"/>
    <w:rsid w:val="21B939C8"/>
    <w:rsid w:val="21D0034B"/>
    <w:rsid w:val="21D544E9"/>
    <w:rsid w:val="21D66CDA"/>
    <w:rsid w:val="21E26C77"/>
    <w:rsid w:val="21E40288"/>
    <w:rsid w:val="21EC3183"/>
    <w:rsid w:val="22063DAF"/>
    <w:rsid w:val="221204AD"/>
    <w:rsid w:val="222A213F"/>
    <w:rsid w:val="222A326B"/>
    <w:rsid w:val="22361A11"/>
    <w:rsid w:val="224F429B"/>
    <w:rsid w:val="225523E7"/>
    <w:rsid w:val="22647E2C"/>
    <w:rsid w:val="22780F9F"/>
    <w:rsid w:val="22853819"/>
    <w:rsid w:val="228C4D16"/>
    <w:rsid w:val="228F4698"/>
    <w:rsid w:val="229B22A3"/>
    <w:rsid w:val="229D21D1"/>
    <w:rsid w:val="22B467C5"/>
    <w:rsid w:val="22B94470"/>
    <w:rsid w:val="22CC2CB7"/>
    <w:rsid w:val="22DB125A"/>
    <w:rsid w:val="22EF3388"/>
    <w:rsid w:val="22F32337"/>
    <w:rsid w:val="23046E0B"/>
    <w:rsid w:val="230922CB"/>
    <w:rsid w:val="231056D4"/>
    <w:rsid w:val="232703F4"/>
    <w:rsid w:val="23291FAA"/>
    <w:rsid w:val="23471F21"/>
    <w:rsid w:val="23490CEA"/>
    <w:rsid w:val="23584629"/>
    <w:rsid w:val="236B52FB"/>
    <w:rsid w:val="236E1FF5"/>
    <w:rsid w:val="23711B3C"/>
    <w:rsid w:val="237E3B0E"/>
    <w:rsid w:val="23841D23"/>
    <w:rsid w:val="23862E27"/>
    <w:rsid w:val="23893087"/>
    <w:rsid w:val="23902475"/>
    <w:rsid w:val="23A128D5"/>
    <w:rsid w:val="23A63E53"/>
    <w:rsid w:val="23DF2E9E"/>
    <w:rsid w:val="23E427C1"/>
    <w:rsid w:val="23E8434D"/>
    <w:rsid w:val="23EB5E29"/>
    <w:rsid w:val="24025DC7"/>
    <w:rsid w:val="2406098A"/>
    <w:rsid w:val="24127A7E"/>
    <w:rsid w:val="24143C06"/>
    <w:rsid w:val="24182E5B"/>
    <w:rsid w:val="241963E7"/>
    <w:rsid w:val="241C01AD"/>
    <w:rsid w:val="24286D84"/>
    <w:rsid w:val="242E5513"/>
    <w:rsid w:val="24335835"/>
    <w:rsid w:val="24727DCD"/>
    <w:rsid w:val="24882083"/>
    <w:rsid w:val="248B2EFF"/>
    <w:rsid w:val="249735C3"/>
    <w:rsid w:val="24A84AD4"/>
    <w:rsid w:val="24B03438"/>
    <w:rsid w:val="24B527B2"/>
    <w:rsid w:val="24C23F17"/>
    <w:rsid w:val="24C35462"/>
    <w:rsid w:val="24C60456"/>
    <w:rsid w:val="24C66C48"/>
    <w:rsid w:val="24C67E64"/>
    <w:rsid w:val="24C84A76"/>
    <w:rsid w:val="24D41EA1"/>
    <w:rsid w:val="24D83F8F"/>
    <w:rsid w:val="24D91964"/>
    <w:rsid w:val="24E96BC6"/>
    <w:rsid w:val="24EA7193"/>
    <w:rsid w:val="24FC52ED"/>
    <w:rsid w:val="250566D1"/>
    <w:rsid w:val="250E7D2A"/>
    <w:rsid w:val="251316A0"/>
    <w:rsid w:val="25162E4E"/>
    <w:rsid w:val="251B66B7"/>
    <w:rsid w:val="251E086D"/>
    <w:rsid w:val="252B7ACB"/>
    <w:rsid w:val="252D2F1C"/>
    <w:rsid w:val="254674C4"/>
    <w:rsid w:val="254B00F2"/>
    <w:rsid w:val="254E4396"/>
    <w:rsid w:val="255407F1"/>
    <w:rsid w:val="256140EA"/>
    <w:rsid w:val="25652D07"/>
    <w:rsid w:val="25692E43"/>
    <w:rsid w:val="256F0FDB"/>
    <w:rsid w:val="25733E36"/>
    <w:rsid w:val="25805C82"/>
    <w:rsid w:val="258B77FD"/>
    <w:rsid w:val="2593449F"/>
    <w:rsid w:val="25D71190"/>
    <w:rsid w:val="25EA6B15"/>
    <w:rsid w:val="25F71FD1"/>
    <w:rsid w:val="25F953E9"/>
    <w:rsid w:val="26093FA0"/>
    <w:rsid w:val="2611391F"/>
    <w:rsid w:val="26357968"/>
    <w:rsid w:val="264241A2"/>
    <w:rsid w:val="264C5B39"/>
    <w:rsid w:val="264F2B4F"/>
    <w:rsid w:val="2657494F"/>
    <w:rsid w:val="26624CAD"/>
    <w:rsid w:val="26656E0B"/>
    <w:rsid w:val="26664420"/>
    <w:rsid w:val="26691D5B"/>
    <w:rsid w:val="268A3AF3"/>
    <w:rsid w:val="268B1793"/>
    <w:rsid w:val="26B8280F"/>
    <w:rsid w:val="26B961C5"/>
    <w:rsid w:val="26BC6BAD"/>
    <w:rsid w:val="26C85C4B"/>
    <w:rsid w:val="26C900F8"/>
    <w:rsid w:val="26D80D56"/>
    <w:rsid w:val="26D966D7"/>
    <w:rsid w:val="26DB0133"/>
    <w:rsid w:val="26E465CC"/>
    <w:rsid w:val="26E65E79"/>
    <w:rsid w:val="26EE3450"/>
    <w:rsid w:val="2707038B"/>
    <w:rsid w:val="272063B3"/>
    <w:rsid w:val="2722100E"/>
    <w:rsid w:val="272A222A"/>
    <w:rsid w:val="272B1790"/>
    <w:rsid w:val="27372533"/>
    <w:rsid w:val="27400C49"/>
    <w:rsid w:val="276F0346"/>
    <w:rsid w:val="277C5CC0"/>
    <w:rsid w:val="278142F9"/>
    <w:rsid w:val="278B7B24"/>
    <w:rsid w:val="279E2C60"/>
    <w:rsid w:val="27A257C8"/>
    <w:rsid w:val="27A83D7B"/>
    <w:rsid w:val="27AC7A9A"/>
    <w:rsid w:val="27B6199A"/>
    <w:rsid w:val="27B95594"/>
    <w:rsid w:val="27C524C4"/>
    <w:rsid w:val="27CA6C4B"/>
    <w:rsid w:val="27D72192"/>
    <w:rsid w:val="27E20B57"/>
    <w:rsid w:val="27E608AA"/>
    <w:rsid w:val="27F507EE"/>
    <w:rsid w:val="27FA3447"/>
    <w:rsid w:val="27FF7174"/>
    <w:rsid w:val="280653FC"/>
    <w:rsid w:val="281101F7"/>
    <w:rsid w:val="28137B19"/>
    <w:rsid w:val="28252593"/>
    <w:rsid w:val="28260244"/>
    <w:rsid w:val="28410A5C"/>
    <w:rsid w:val="284B30E1"/>
    <w:rsid w:val="28504180"/>
    <w:rsid w:val="285269F3"/>
    <w:rsid w:val="285B0C2F"/>
    <w:rsid w:val="286054BB"/>
    <w:rsid w:val="28613B9F"/>
    <w:rsid w:val="2861421F"/>
    <w:rsid w:val="28622644"/>
    <w:rsid w:val="28753647"/>
    <w:rsid w:val="289C4463"/>
    <w:rsid w:val="28A51D7B"/>
    <w:rsid w:val="28AC3308"/>
    <w:rsid w:val="28B5472C"/>
    <w:rsid w:val="28B835E1"/>
    <w:rsid w:val="28C22542"/>
    <w:rsid w:val="28D27402"/>
    <w:rsid w:val="28DA0F31"/>
    <w:rsid w:val="28DD12E9"/>
    <w:rsid w:val="28E47DA7"/>
    <w:rsid w:val="28F348CD"/>
    <w:rsid w:val="28FC3BD8"/>
    <w:rsid w:val="290148A2"/>
    <w:rsid w:val="290569D3"/>
    <w:rsid w:val="29081416"/>
    <w:rsid w:val="29131636"/>
    <w:rsid w:val="29131D44"/>
    <w:rsid w:val="291D56DD"/>
    <w:rsid w:val="292418DB"/>
    <w:rsid w:val="29397C32"/>
    <w:rsid w:val="294A57FF"/>
    <w:rsid w:val="294A62B7"/>
    <w:rsid w:val="294C3E1E"/>
    <w:rsid w:val="296E3259"/>
    <w:rsid w:val="29844DCC"/>
    <w:rsid w:val="29923211"/>
    <w:rsid w:val="299A1D1B"/>
    <w:rsid w:val="29A7676B"/>
    <w:rsid w:val="29AC1FD3"/>
    <w:rsid w:val="29B45DA1"/>
    <w:rsid w:val="29BB1C3D"/>
    <w:rsid w:val="29C55347"/>
    <w:rsid w:val="29C974D8"/>
    <w:rsid w:val="29CD7DAE"/>
    <w:rsid w:val="29CF6E39"/>
    <w:rsid w:val="29D1116A"/>
    <w:rsid w:val="29E4342A"/>
    <w:rsid w:val="29E45CFB"/>
    <w:rsid w:val="29E56990"/>
    <w:rsid w:val="29EB067F"/>
    <w:rsid w:val="29F16ADB"/>
    <w:rsid w:val="29F64612"/>
    <w:rsid w:val="29F65AB8"/>
    <w:rsid w:val="29F81013"/>
    <w:rsid w:val="2A063A81"/>
    <w:rsid w:val="2A0A09C8"/>
    <w:rsid w:val="2A14296A"/>
    <w:rsid w:val="2A1B6639"/>
    <w:rsid w:val="2A237A5E"/>
    <w:rsid w:val="2A277D82"/>
    <w:rsid w:val="2A2B0F3C"/>
    <w:rsid w:val="2A527C52"/>
    <w:rsid w:val="2A5F0A89"/>
    <w:rsid w:val="2A631461"/>
    <w:rsid w:val="2A8916D2"/>
    <w:rsid w:val="2A8D5A45"/>
    <w:rsid w:val="2A95678F"/>
    <w:rsid w:val="2AA506CA"/>
    <w:rsid w:val="2AAE2846"/>
    <w:rsid w:val="2AB14732"/>
    <w:rsid w:val="2ACB3B4E"/>
    <w:rsid w:val="2AD37D2B"/>
    <w:rsid w:val="2AD45234"/>
    <w:rsid w:val="2AE412F9"/>
    <w:rsid w:val="2AE47C0D"/>
    <w:rsid w:val="2AE65DEE"/>
    <w:rsid w:val="2B037F44"/>
    <w:rsid w:val="2B05199B"/>
    <w:rsid w:val="2B090037"/>
    <w:rsid w:val="2B166C16"/>
    <w:rsid w:val="2B1F62E7"/>
    <w:rsid w:val="2B294E5B"/>
    <w:rsid w:val="2B3113F3"/>
    <w:rsid w:val="2B400C25"/>
    <w:rsid w:val="2B6526CE"/>
    <w:rsid w:val="2B6854F8"/>
    <w:rsid w:val="2B6E2766"/>
    <w:rsid w:val="2B7F799F"/>
    <w:rsid w:val="2B9118D5"/>
    <w:rsid w:val="2B953DC6"/>
    <w:rsid w:val="2BB41E32"/>
    <w:rsid w:val="2BB77E68"/>
    <w:rsid w:val="2BBB4682"/>
    <w:rsid w:val="2BBF0AE3"/>
    <w:rsid w:val="2BC26AF3"/>
    <w:rsid w:val="2BDB238C"/>
    <w:rsid w:val="2BDB7258"/>
    <w:rsid w:val="2BEF1696"/>
    <w:rsid w:val="2BF953BD"/>
    <w:rsid w:val="2C1017C7"/>
    <w:rsid w:val="2C201450"/>
    <w:rsid w:val="2C201EC3"/>
    <w:rsid w:val="2C210F74"/>
    <w:rsid w:val="2C286276"/>
    <w:rsid w:val="2C2D2F82"/>
    <w:rsid w:val="2C4412A8"/>
    <w:rsid w:val="2C4509EF"/>
    <w:rsid w:val="2C482748"/>
    <w:rsid w:val="2C542870"/>
    <w:rsid w:val="2C5D75B5"/>
    <w:rsid w:val="2C645EE4"/>
    <w:rsid w:val="2C6A1DBA"/>
    <w:rsid w:val="2C7E07F5"/>
    <w:rsid w:val="2C871D59"/>
    <w:rsid w:val="2C8A7E76"/>
    <w:rsid w:val="2C90368A"/>
    <w:rsid w:val="2C923581"/>
    <w:rsid w:val="2C944D30"/>
    <w:rsid w:val="2C9A134D"/>
    <w:rsid w:val="2CB424B1"/>
    <w:rsid w:val="2CBB2FD6"/>
    <w:rsid w:val="2CD16BD3"/>
    <w:rsid w:val="2CD875FF"/>
    <w:rsid w:val="2CE340CE"/>
    <w:rsid w:val="2CE91E27"/>
    <w:rsid w:val="2CEA4CC9"/>
    <w:rsid w:val="2CF34286"/>
    <w:rsid w:val="2CFB18D4"/>
    <w:rsid w:val="2D024DF5"/>
    <w:rsid w:val="2D0C1A6D"/>
    <w:rsid w:val="2D121A5A"/>
    <w:rsid w:val="2D1524AF"/>
    <w:rsid w:val="2D162B92"/>
    <w:rsid w:val="2D1D47D6"/>
    <w:rsid w:val="2D340665"/>
    <w:rsid w:val="2D3C275A"/>
    <w:rsid w:val="2D3E56DC"/>
    <w:rsid w:val="2D40409B"/>
    <w:rsid w:val="2D450254"/>
    <w:rsid w:val="2D460049"/>
    <w:rsid w:val="2D4C49E7"/>
    <w:rsid w:val="2D4E07D3"/>
    <w:rsid w:val="2D5205CB"/>
    <w:rsid w:val="2D524C40"/>
    <w:rsid w:val="2D684991"/>
    <w:rsid w:val="2D6B6E3D"/>
    <w:rsid w:val="2D7574E7"/>
    <w:rsid w:val="2D865769"/>
    <w:rsid w:val="2D8F46D0"/>
    <w:rsid w:val="2D9577C3"/>
    <w:rsid w:val="2D9B1240"/>
    <w:rsid w:val="2DA62DEA"/>
    <w:rsid w:val="2DBA12B4"/>
    <w:rsid w:val="2DC13642"/>
    <w:rsid w:val="2DD91849"/>
    <w:rsid w:val="2DDF3AB0"/>
    <w:rsid w:val="2DF14458"/>
    <w:rsid w:val="2DF75F78"/>
    <w:rsid w:val="2DF9731E"/>
    <w:rsid w:val="2E003C52"/>
    <w:rsid w:val="2E010BA0"/>
    <w:rsid w:val="2E097AD7"/>
    <w:rsid w:val="2E30575E"/>
    <w:rsid w:val="2E401077"/>
    <w:rsid w:val="2E50117F"/>
    <w:rsid w:val="2E583930"/>
    <w:rsid w:val="2E6020E6"/>
    <w:rsid w:val="2E6812B0"/>
    <w:rsid w:val="2E762B04"/>
    <w:rsid w:val="2E772BB0"/>
    <w:rsid w:val="2E7C696F"/>
    <w:rsid w:val="2E7C6BFF"/>
    <w:rsid w:val="2E7F669C"/>
    <w:rsid w:val="2E806920"/>
    <w:rsid w:val="2E8B76A2"/>
    <w:rsid w:val="2E937DA0"/>
    <w:rsid w:val="2E961205"/>
    <w:rsid w:val="2E9C76DB"/>
    <w:rsid w:val="2EB529C2"/>
    <w:rsid w:val="2EC02993"/>
    <w:rsid w:val="2EE35A97"/>
    <w:rsid w:val="2EEB0EA8"/>
    <w:rsid w:val="2EF10C23"/>
    <w:rsid w:val="2F027733"/>
    <w:rsid w:val="2F0A0C8E"/>
    <w:rsid w:val="2F0F27BB"/>
    <w:rsid w:val="2F137C7D"/>
    <w:rsid w:val="2F145E96"/>
    <w:rsid w:val="2F1A5C64"/>
    <w:rsid w:val="2F2F65B0"/>
    <w:rsid w:val="2F390688"/>
    <w:rsid w:val="2F604E5E"/>
    <w:rsid w:val="2F6550C0"/>
    <w:rsid w:val="2F7A1027"/>
    <w:rsid w:val="2F7C651B"/>
    <w:rsid w:val="2F7C6816"/>
    <w:rsid w:val="2F9C118E"/>
    <w:rsid w:val="2F9D204B"/>
    <w:rsid w:val="2FA15C1A"/>
    <w:rsid w:val="2FA51067"/>
    <w:rsid w:val="2FA52916"/>
    <w:rsid w:val="2FB026FE"/>
    <w:rsid w:val="2FB37961"/>
    <w:rsid w:val="2FB93BB5"/>
    <w:rsid w:val="2FC868A9"/>
    <w:rsid w:val="2FEE6420"/>
    <w:rsid w:val="30027E31"/>
    <w:rsid w:val="300E30A0"/>
    <w:rsid w:val="30152FA4"/>
    <w:rsid w:val="302C5A52"/>
    <w:rsid w:val="3058738F"/>
    <w:rsid w:val="305D0930"/>
    <w:rsid w:val="30674CE3"/>
    <w:rsid w:val="306B0DFC"/>
    <w:rsid w:val="3086532C"/>
    <w:rsid w:val="3098322B"/>
    <w:rsid w:val="309C3605"/>
    <w:rsid w:val="309C7B6D"/>
    <w:rsid w:val="30A30433"/>
    <w:rsid w:val="30A7155D"/>
    <w:rsid w:val="30BF5D0D"/>
    <w:rsid w:val="30CB5DF7"/>
    <w:rsid w:val="30D91901"/>
    <w:rsid w:val="30EC6DA3"/>
    <w:rsid w:val="30F073BE"/>
    <w:rsid w:val="30FA2F67"/>
    <w:rsid w:val="310642B5"/>
    <w:rsid w:val="31085AE3"/>
    <w:rsid w:val="310919C5"/>
    <w:rsid w:val="310949C6"/>
    <w:rsid w:val="311E7B49"/>
    <w:rsid w:val="312A7E2D"/>
    <w:rsid w:val="312E787A"/>
    <w:rsid w:val="313147CE"/>
    <w:rsid w:val="313406C0"/>
    <w:rsid w:val="31344D88"/>
    <w:rsid w:val="31392900"/>
    <w:rsid w:val="31402978"/>
    <w:rsid w:val="314320E3"/>
    <w:rsid w:val="315D5D6B"/>
    <w:rsid w:val="316473A8"/>
    <w:rsid w:val="3172518A"/>
    <w:rsid w:val="317E4C7E"/>
    <w:rsid w:val="31A72923"/>
    <w:rsid w:val="31B24EDB"/>
    <w:rsid w:val="31B47CF6"/>
    <w:rsid w:val="31C26B60"/>
    <w:rsid w:val="31CB6813"/>
    <w:rsid w:val="31D73E68"/>
    <w:rsid w:val="31DE63E5"/>
    <w:rsid w:val="31E85B72"/>
    <w:rsid w:val="32024C30"/>
    <w:rsid w:val="32040C74"/>
    <w:rsid w:val="32063987"/>
    <w:rsid w:val="32107CA7"/>
    <w:rsid w:val="32252923"/>
    <w:rsid w:val="32324714"/>
    <w:rsid w:val="323C4741"/>
    <w:rsid w:val="324A19CF"/>
    <w:rsid w:val="325D5DFF"/>
    <w:rsid w:val="32687C43"/>
    <w:rsid w:val="32826AC5"/>
    <w:rsid w:val="328E2C34"/>
    <w:rsid w:val="329230F8"/>
    <w:rsid w:val="32B17670"/>
    <w:rsid w:val="32C838AA"/>
    <w:rsid w:val="32D27661"/>
    <w:rsid w:val="32E00FAB"/>
    <w:rsid w:val="32E636C5"/>
    <w:rsid w:val="32EB3845"/>
    <w:rsid w:val="32F837FF"/>
    <w:rsid w:val="32F90317"/>
    <w:rsid w:val="33095DA0"/>
    <w:rsid w:val="33192F4E"/>
    <w:rsid w:val="333620E5"/>
    <w:rsid w:val="333E1C65"/>
    <w:rsid w:val="33420E11"/>
    <w:rsid w:val="334868C9"/>
    <w:rsid w:val="33572F77"/>
    <w:rsid w:val="33590C91"/>
    <w:rsid w:val="335E564F"/>
    <w:rsid w:val="33605BB7"/>
    <w:rsid w:val="33646D5B"/>
    <w:rsid w:val="336B54C8"/>
    <w:rsid w:val="336C2EF5"/>
    <w:rsid w:val="336F25E8"/>
    <w:rsid w:val="338A15FA"/>
    <w:rsid w:val="338B51B6"/>
    <w:rsid w:val="339A6B01"/>
    <w:rsid w:val="339E649B"/>
    <w:rsid w:val="33AF7717"/>
    <w:rsid w:val="33B41701"/>
    <w:rsid w:val="33BA30E4"/>
    <w:rsid w:val="33C4678A"/>
    <w:rsid w:val="33F47ECB"/>
    <w:rsid w:val="33F9400B"/>
    <w:rsid w:val="33FD2FB0"/>
    <w:rsid w:val="33FD31B4"/>
    <w:rsid w:val="33FD3B57"/>
    <w:rsid w:val="34071EC5"/>
    <w:rsid w:val="3421429B"/>
    <w:rsid w:val="34356DEF"/>
    <w:rsid w:val="34372D7F"/>
    <w:rsid w:val="34392E62"/>
    <w:rsid w:val="34397635"/>
    <w:rsid w:val="343C41AB"/>
    <w:rsid w:val="34482D82"/>
    <w:rsid w:val="344E43B3"/>
    <w:rsid w:val="34517A0F"/>
    <w:rsid w:val="345A5DE4"/>
    <w:rsid w:val="346534AA"/>
    <w:rsid w:val="34674B5C"/>
    <w:rsid w:val="346A0C44"/>
    <w:rsid w:val="346A5A37"/>
    <w:rsid w:val="34733B9F"/>
    <w:rsid w:val="34776692"/>
    <w:rsid w:val="34931DC5"/>
    <w:rsid w:val="349D6F1D"/>
    <w:rsid w:val="34A52346"/>
    <w:rsid w:val="34AC5855"/>
    <w:rsid w:val="34B85CD0"/>
    <w:rsid w:val="34BE2310"/>
    <w:rsid w:val="34D94D78"/>
    <w:rsid w:val="34E77BCD"/>
    <w:rsid w:val="35033A54"/>
    <w:rsid w:val="350519CA"/>
    <w:rsid w:val="351139AD"/>
    <w:rsid w:val="35134832"/>
    <w:rsid w:val="35134CB4"/>
    <w:rsid w:val="35146179"/>
    <w:rsid w:val="351760E5"/>
    <w:rsid w:val="351975ED"/>
    <w:rsid w:val="351F5D4F"/>
    <w:rsid w:val="352F7E8B"/>
    <w:rsid w:val="35466E38"/>
    <w:rsid w:val="3563441C"/>
    <w:rsid w:val="356A202D"/>
    <w:rsid w:val="35771C0C"/>
    <w:rsid w:val="35942299"/>
    <w:rsid w:val="359B3391"/>
    <w:rsid w:val="35A14D3C"/>
    <w:rsid w:val="35AD5B2F"/>
    <w:rsid w:val="35B124C7"/>
    <w:rsid w:val="35BC228E"/>
    <w:rsid w:val="35C953F1"/>
    <w:rsid w:val="35CC42DA"/>
    <w:rsid w:val="35CF6B35"/>
    <w:rsid w:val="35DA1C76"/>
    <w:rsid w:val="35DB118E"/>
    <w:rsid w:val="35ED19A9"/>
    <w:rsid w:val="35F05BE6"/>
    <w:rsid w:val="35F30C8A"/>
    <w:rsid w:val="35FC6E96"/>
    <w:rsid w:val="36081BB6"/>
    <w:rsid w:val="36151696"/>
    <w:rsid w:val="36304F04"/>
    <w:rsid w:val="36401AD9"/>
    <w:rsid w:val="364D2092"/>
    <w:rsid w:val="36512531"/>
    <w:rsid w:val="36630F1B"/>
    <w:rsid w:val="36651422"/>
    <w:rsid w:val="36675F60"/>
    <w:rsid w:val="36730DD5"/>
    <w:rsid w:val="36820D57"/>
    <w:rsid w:val="368232A8"/>
    <w:rsid w:val="36851BE2"/>
    <w:rsid w:val="36897924"/>
    <w:rsid w:val="369457EB"/>
    <w:rsid w:val="36A83C88"/>
    <w:rsid w:val="36C03B47"/>
    <w:rsid w:val="36C5522E"/>
    <w:rsid w:val="36E62DD3"/>
    <w:rsid w:val="36E80637"/>
    <w:rsid w:val="36E83A23"/>
    <w:rsid w:val="36F70139"/>
    <w:rsid w:val="3739105A"/>
    <w:rsid w:val="373C1834"/>
    <w:rsid w:val="374C680D"/>
    <w:rsid w:val="375C37EA"/>
    <w:rsid w:val="37736759"/>
    <w:rsid w:val="3784211F"/>
    <w:rsid w:val="37842BD6"/>
    <w:rsid w:val="37863439"/>
    <w:rsid w:val="378C2B11"/>
    <w:rsid w:val="37952FEB"/>
    <w:rsid w:val="379E73FF"/>
    <w:rsid w:val="37AB05E8"/>
    <w:rsid w:val="37B6003D"/>
    <w:rsid w:val="37F039D3"/>
    <w:rsid w:val="37F2253E"/>
    <w:rsid w:val="37FE388C"/>
    <w:rsid w:val="380E55AA"/>
    <w:rsid w:val="38230D92"/>
    <w:rsid w:val="38304864"/>
    <w:rsid w:val="38375DD6"/>
    <w:rsid w:val="384777BE"/>
    <w:rsid w:val="384860C8"/>
    <w:rsid w:val="38494CA3"/>
    <w:rsid w:val="3850083B"/>
    <w:rsid w:val="38517824"/>
    <w:rsid w:val="385201EA"/>
    <w:rsid w:val="386129C0"/>
    <w:rsid w:val="386624C2"/>
    <w:rsid w:val="38714FB2"/>
    <w:rsid w:val="38763503"/>
    <w:rsid w:val="388D6780"/>
    <w:rsid w:val="38934CD5"/>
    <w:rsid w:val="38A55F77"/>
    <w:rsid w:val="38BD6B23"/>
    <w:rsid w:val="38CA7178"/>
    <w:rsid w:val="38D879A8"/>
    <w:rsid w:val="38DA2963"/>
    <w:rsid w:val="38DD3BDA"/>
    <w:rsid w:val="38EF48DE"/>
    <w:rsid w:val="38F36B14"/>
    <w:rsid w:val="390C2146"/>
    <w:rsid w:val="390E031D"/>
    <w:rsid w:val="39223CA9"/>
    <w:rsid w:val="39356D7E"/>
    <w:rsid w:val="393E7BAF"/>
    <w:rsid w:val="395248C0"/>
    <w:rsid w:val="395B38AE"/>
    <w:rsid w:val="395F2BBE"/>
    <w:rsid w:val="396006A3"/>
    <w:rsid w:val="398408AD"/>
    <w:rsid w:val="398926CE"/>
    <w:rsid w:val="398B1FAC"/>
    <w:rsid w:val="399132FB"/>
    <w:rsid w:val="3996336A"/>
    <w:rsid w:val="39984B30"/>
    <w:rsid w:val="39A1796B"/>
    <w:rsid w:val="39AE294B"/>
    <w:rsid w:val="39D94F49"/>
    <w:rsid w:val="39FD08A4"/>
    <w:rsid w:val="39FD5A04"/>
    <w:rsid w:val="3A0557D9"/>
    <w:rsid w:val="3A0605D9"/>
    <w:rsid w:val="3A0F6B29"/>
    <w:rsid w:val="3A410516"/>
    <w:rsid w:val="3A577037"/>
    <w:rsid w:val="3A582849"/>
    <w:rsid w:val="3A605AE1"/>
    <w:rsid w:val="3A7F148E"/>
    <w:rsid w:val="3A8D48E4"/>
    <w:rsid w:val="3A9C510C"/>
    <w:rsid w:val="3AA86008"/>
    <w:rsid w:val="3AAC2933"/>
    <w:rsid w:val="3AB010DB"/>
    <w:rsid w:val="3AB640D0"/>
    <w:rsid w:val="3AC914A8"/>
    <w:rsid w:val="3AD20575"/>
    <w:rsid w:val="3ADE15E0"/>
    <w:rsid w:val="3AE14683"/>
    <w:rsid w:val="3AEB3C92"/>
    <w:rsid w:val="3AF61300"/>
    <w:rsid w:val="3AF83EC8"/>
    <w:rsid w:val="3B092CF7"/>
    <w:rsid w:val="3B0B2CC0"/>
    <w:rsid w:val="3B1B3E83"/>
    <w:rsid w:val="3B3A0C4C"/>
    <w:rsid w:val="3B4C6822"/>
    <w:rsid w:val="3B516EC6"/>
    <w:rsid w:val="3B5F745B"/>
    <w:rsid w:val="3B7E3B9C"/>
    <w:rsid w:val="3B7E69DF"/>
    <w:rsid w:val="3B8D4A39"/>
    <w:rsid w:val="3B9304EA"/>
    <w:rsid w:val="3B9F2873"/>
    <w:rsid w:val="3BA65528"/>
    <w:rsid w:val="3BA8630E"/>
    <w:rsid w:val="3BC14E14"/>
    <w:rsid w:val="3BC244CF"/>
    <w:rsid w:val="3BCE5CD2"/>
    <w:rsid w:val="3BDA030E"/>
    <w:rsid w:val="3BE14070"/>
    <w:rsid w:val="3BF02E60"/>
    <w:rsid w:val="3BF53F7C"/>
    <w:rsid w:val="3BFC64A2"/>
    <w:rsid w:val="3BFF41E4"/>
    <w:rsid w:val="3C02219F"/>
    <w:rsid w:val="3C0273E3"/>
    <w:rsid w:val="3C0536AC"/>
    <w:rsid w:val="3C0D67E3"/>
    <w:rsid w:val="3C213D3C"/>
    <w:rsid w:val="3C231E00"/>
    <w:rsid w:val="3C280377"/>
    <w:rsid w:val="3C282774"/>
    <w:rsid w:val="3C313365"/>
    <w:rsid w:val="3C491D20"/>
    <w:rsid w:val="3C4B66E3"/>
    <w:rsid w:val="3C616C4D"/>
    <w:rsid w:val="3C6341FF"/>
    <w:rsid w:val="3C765C21"/>
    <w:rsid w:val="3C7B7285"/>
    <w:rsid w:val="3C7C3284"/>
    <w:rsid w:val="3C7E310A"/>
    <w:rsid w:val="3C7F261A"/>
    <w:rsid w:val="3C936F94"/>
    <w:rsid w:val="3C99206B"/>
    <w:rsid w:val="3C9B7056"/>
    <w:rsid w:val="3CAB5B19"/>
    <w:rsid w:val="3CB13731"/>
    <w:rsid w:val="3CB3099F"/>
    <w:rsid w:val="3CB745C8"/>
    <w:rsid w:val="3CCF27CD"/>
    <w:rsid w:val="3CD12CAD"/>
    <w:rsid w:val="3CD47B9D"/>
    <w:rsid w:val="3CF71015"/>
    <w:rsid w:val="3D2E1CA4"/>
    <w:rsid w:val="3D485867"/>
    <w:rsid w:val="3D497F63"/>
    <w:rsid w:val="3D570F16"/>
    <w:rsid w:val="3D7763D6"/>
    <w:rsid w:val="3D7B3D3F"/>
    <w:rsid w:val="3D962B62"/>
    <w:rsid w:val="3DB255B0"/>
    <w:rsid w:val="3DBC665C"/>
    <w:rsid w:val="3DC04F41"/>
    <w:rsid w:val="3DC05B57"/>
    <w:rsid w:val="3DC137B9"/>
    <w:rsid w:val="3DC76720"/>
    <w:rsid w:val="3DCC17A8"/>
    <w:rsid w:val="3DD27E02"/>
    <w:rsid w:val="3DD31485"/>
    <w:rsid w:val="3DD45FEA"/>
    <w:rsid w:val="3DE11DF4"/>
    <w:rsid w:val="3DE34EE3"/>
    <w:rsid w:val="3DFE3DA0"/>
    <w:rsid w:val="3E142032"/>
    <w:rsid w:val="3E155B8A"/>
    <w:rsid w:val="3E2476DA"/>
    <w:rsid w:val="3E336569"/>
    <w:rsid w:val="3E613955"/>
    <w:rsid w:val="3E7C69A0"/>
    <w:rsid w:val="3E8D49DB"/>
    <w:rsid w:val="3E9B5F75"/>
    <w:rsid w:val="3EA6375B"/>
    <w:rsid w:val="3ED402CB"/>
    <w:rsid w:val="3ED61901"/>
    <w:rsid w:val="3EDE1217"/>
    <w:rsid w:val="3EE54622"/>
    <w:rsid w:val="3EEE16D8"/>
    <w:rsid w:val="3EFB0D41"/>
    <w:rsid w:val="3F0E2A92"/>
    <w:rsid w:val="3F101ECA"/>
    <w:rsid w:val="3F1D3076"/>
    <w:rsid w:val="3F1E0EF3"/>
    <w:rsid w:val="3F221C11"/>
    <w:rsid w:val="3F297390"/>
    <w:rsid w:val="3F2D1214"/>
    <w:rsid w:val="3F3E063D"/>
    <w:rsid w:val="3F4B4898"/>
    <w:rsid w:val="3F4B5E6A"/>
    <w:rsid w:val="3F4C00F0"/>
    <w:rsid w:val="3F5A1CF6"/>
    <w:rsid w:val="3F6C7DE3"/>
    <w:rsid w:val="3F7224DF"/>
    <w:rsid w:val="3F8F7121"/>
    <w:rsid w:val="3F926BE1"/>
    <w:rsid w:val="3FA85C24"/>
    <w:rsid w:val="3FAA7241"/>
    <w:rsid w:val="3FAE6293"/>
    <w:rsid w:val="3FCE7DED"/>
    <w:rsid w:val="3FE77469"/>
    <w:rsid w:val="3FEB7E9D"/>
    <w:rsid w:val="3FEC53BA"/>
    <w:rsid w:val="3FEE5B9E"/>
    <w:rsid w:val="40171032"/>
    <w:rsid w:val="40195A39"/>
    <w:rsid w:val="401A5D8F"/>
    <w:rsid w:val="4020681A"/>
    <w:rsid w:val="4024525E"/>
    <w:rsid w:val="402929F4"/>
    <w:rsid w:val="403D1A6A"/>
    <w:rsid w:val="405420E4"/>
    <w:rsid w:val="40554A3B"/>
    <w:rsid w:val="405E6F92"/>
    <w:rsid w:val="405F5847"/>
    <w:rsid w:val="407F1BFB"/>
    <w:rsid w:val="40850AD0"/>
    <w:rsid w:val="40872E5D"/>
    <w:rsid w:val="409C5E66"/>
    <w:rsid w:val="40A079FF"/>
    <w:rsid w:val="40AB0497"/>
    <w:rsid w:val="40D2147E"/>
    <w:rsid w:val="40DE3E13"/>
    <w:rsid w:val="40F57964"/>
    <w:rsid w:val="40FE7DB4"/>
    <w:rsid w:val="4127066E"/>
    <w:rsid w:val="412A27C2"/>
    <w:rsid w:val="41627B24"/>
    <w:rsid w:val="41697DB7"/>
    <w:rsid w:val="41793C68"/>
    <w:rsid w:val="417C0C44"/>
    <w:rsid w:val="41833036"/>
    <w:rsid w:val="419762AB"/>
    <w:rsid w:val="41A346D3"/>
    <w:rsid w:val="41B80015"/>
    <w:rsid w:val="41B97EC1"/>
    <w:rsid w:val="41D162EF"/>
    <w:rsid w:val="41DF6531"/>
    <w:rsid w:val="41E76A3F"/>
    <w:rsid w:val="41EF5303"/>
    <w:rsid w:val="41F65685"/>
    <w:rsid w:val="42046674"/>
    <w:rsid w:val="422B4568"/>
    <w:rsid w:val="422D1930"/>
    <w:rsid w:val="42337A91"/>
    <w:rsid w:val="423C3269"/>
    <w:rsid w:val="423C49D9"/>
    <w:rsid w:val="424742C1"/>
    <w:rsid w:val="425E3E67"/>
    <w:rsid w:val="42601633"/>
    <w:rsid w:val="426C0088"/>
    <w:rsid w:val="426C290D"/>
    <w:rsid w:val="427965FC"/>
    <w:rsid w:val="427D5968"/>
    <w:rsid w:val="428C475C"/>
    <w:rsid w:val="428E0F48"/>
    <w:rsid w:val="429624F8"/>
    <w:rsid w:val="42970DC1"/>
    <w:rsid w:val="429E41FB"/>
    <w:rsid w:val="42C268D4"/>
    <w:rsid w:val="42C73097"/>
    <w:rsid w:val="42CC7084"/>
    <w:rsid w:val="42D24777"/>
    <w:rsid w:val="42D9753D"/>
    <w:rsid w:val="42EA0FF3"/>
    <w:rsid w:val="42EC3CA8"/>
    <w:rsid w:val="42EE1564"/>
    <w:rsid w:val="430F568F"/>
    <w:rsid w:val="4315253F"/>
    <w:rsid w:val="433C7ACC"/>
    <w:rsid w:val="433D3CC3"/>
    <w:rsid w:val="43417C92"/>
    <w:rsid w:val="434423EF"/>
    <w:rsid w:val="4348798E"/>
    <w:rsid w:val="434B10DD"/>
    <w:rsid w:val="435F59DB"/>
    <w:rsid w:val="438A60BB"/>
    <w:rsid w:val="438A7AD3"/>
    <w:rsid w:val="43905ABF"/>
    <w:rsid w:val="43986999"/>
    <w:rsid w:val="43B871F7"/>
    <w:rsid w:val="43C74575"/>
    <w:rsid w:val="43C87CD7"/>
    <w:rsid w:val="43D22072"/>
    <w:rsid w:val="43EE2304"/>
    <w:rsid w:val="43FA0A6F"/>
    <w:rsid w:val="43FF400E"/>
    <w:rsid w:val="4405474C"/>
    <w:rsid w:val="441B1FCF"/>
    <w:rsid w:val="4424185E"/>
    <w:rsid w:val="4427077C"/>
    <w:rsid w:val="442B2A76"/>
    <w:rsid w:val="442F039D"/>
    <w:rsid w:val="44393C06"/>
    <w:rsid w:val="4456696C"/>
    <w:rsid w:val="445C2059"/>
    <w:rsid w:val="4463411B"/>
    <w:rsid w:val="447F5EC2"/>
    <w:rsid w:val="44836C86"/>
    <w:rsid w:val="4485516C"/>
    <w:rsid w:val="448C3A00"/>
    <w:rsid w:val="448E3C2B"/>
    <w:rsid w:val="44A25FB5"/>
    <w:rsid w:val="44A94BDD"/>
    <w:rsid w:val="44AB2C99"/>
    <w:rsid w:val="44AC4DD2"/>
    <w:rsid w:val="44B964EC"/>
    <w:rsid w:val="44CC4ADE"/>
    <w:rsid w:val="44DD0E3B"/>
    <w:rsid w:val="44DE19E8"/>
    <w:rsid w:val="44E31672"/>
    <w:rsid w:val="45046269"/>
    <w:rsid w:val="450D4E27"/>
    <w:rsid w:val="45291D23"/>
    <w:rsid w:val="452C5842"/>
    <w:rsid w:val="45367673"/>
    <w:rsid w:val="453C2EDE"/>
    <w:rsid w:val="453D63EC"/>
    <w:rsid w:val="45400183"/>
    <w:rsid w:val="454A2974"/>
    <w:rsid w:val="456C25FC"/>
    <w:rsid w:val="45723584"/>
    <w:rsid w:val="458C0222"/>
    <w:rsid w:val="458E78BF"/>
    <w:rsid w:val="45946C46"/>
    <w:rsid w:val="4599131A"/>
    <w:rsid w:val="459A0693"/>
    <w:rsid w:val="459D0E79"/>
    <w:rsid w:val="459F01B9"/>
    <w:rsid w:val="45A41848"/>
    <w:rsid w:val="45A51959"/>
    <w:rsid w:val="45AB2E66"/>
    <w:rsid w:val="45C22F01"/>
    <w:rsid w:val="45D0525C"/>
    <w:rsid w:val="45E32481"/>
    <w:rsid w:val="46210E99"/>
    <w:rsid w:val="462C5BD6"/>
    <w:rsid w:val="4633673F"/>
    <w:rsid w:val="463C4550"/>
    <w:rsid w:val="463D4287"/>
    <w:rsid w:val="464939B7"/>
    <w:rsid w:val="464949DA"/>
    <w:rsid w:val="46556284"/>
    <w:rsid w:val="46573A89"/>
    <w:rsid w:val="466873A1"/>
    <w:rsid w:val="466E01EF"/>
    <w:rsid w:val="466F77B3"/>
    <w:rsid w:val="467B4CB6"/>
    <w:rsid w:val="46860077"/>
    <w:rsid w:val="46917E57"/>
    <w:rsid w:val="4695101C"/>
    <w:rsid w:val="46A22C97"/>
    <w:rsid w:val="46A71088"/>
    <w:rsid w:val="46A8122E"/>
    <w:rsid w:val="46BA6C54"/>
    <w:rsid w:val="46CF7ACF"/>
    <w:rsid w:val="46D341E7"/>
    <w:rsid w:val="46DD3C80"/>
    <w:rsid w:val="471D091C"/>
    <w:rsid w:val="471D38D1"/>
    <w:rsid w:val="47266B6D"/>
    <w:rsid w:val="473041FB"/>
    <w:rsid w:val="473632F0"/>
    <w:rsid w:val="4743764A"/>
    <w:rsid w:val="474D7C6F"/>
    <w:rsid w:val="474E231B"/>
    <w:rsid w:val="474F2B31"/>
    <w:rsid w:val="475C3E27"/>
    <w:rsid w:val="475C698F"/>
    <w:rsid w:val="475F4D72"/>
    <w:rsid w:val="47615D53"/>
    <w:rsid w:val="476D19DC"/>
    <w:rsid w:val="477474B8"/>
    <w:rsid w:val="47747A4C"/>
    <w:rsid w:val="47761A8A"/>
    <w:rsid w:val="477F6BA9"/>
    <w:rsid w:val="47A32D2F"/>
    <w:rsid w:val="47B10A89"/>
    <w:rsid w:val="47B52327"/>
    <w:rsid w:val="47CE0D94"/>
    <w:rsid w:val="47E719AB"/>
    <w:rsid w:val="47ED0F2E"/>
    <w:rsid w:val="480B0309"/>
    <w:rsid w:val="481A5D11"/>
    <w:rsid w:val="482915A1"/>
    <w:rsid w:val="483821C4"/>
    <w:rsid w:val="483E084E"/>
    <w:rsid w:val="483F38D2"/>
    <w:rsid w:val="484315B6"/>
    <w:rsid w:val="484D4DF7"/>
    <w:rsid w:val="484F2636"/>
    <w:rsid w:val="485016EC"/>
    <w:rsid w:val="485427BC"/>
    <w:rsid w:val="4858064E"/>
    <w:rsid w:val="485E3514"/>
    <w:rsid w:val="48647785"/>
    <w:rsid w:val="48841B38"/>
    <w:rsid w:val="488717E9"/>
    <w:rsid w:val="488A3088"/>
    <w:rsid w:val="489063E8"/>
    <w:rsid w:val="489A369A"/>
    <w:rsid w:val="48A00FCE"/>
    <w:rsid w:val="48B0053E"/>
    <w:rsid w:val="48B72DDF"/>
    <w:rsid w:val="48BB17FB"/>
    <w:rsid w:val="48D44FEF"/>
    <w:rsid w:val="48EA3F00"/>
    <w:rsid w:val="48F8613F"/>
    <w:rsid w:val="49022C09"/>
    <w:rsid w:val="490260FB"/>
    <w:rsid w:val="49047674"/>
    <w:rsid w:val="49060AC2"/>
    <w:rsid w:val="491313A0"/>
    <w:rsid w:val="491D1238"/>
    <w:rsid w:val="491D62BA"/>
    <w:rsid w:val="491E183E"/>
    <w:rsid w:val="493670ED"/>
    <w:rsid w:val="494A663D"/>
    <w:rsid w:val="49584F34"/>
    <w:rsid w:val="496B003C"/>
    <w:rsid w:val="49791FBD"/>
    <w:rsid w:val="4986268A"/>
    <w:rsid w:val="498D68AC"/>
    <w:rsid w:val="49936F37"/>
    <w:rsid w:val="49A25084"/>
    <w:rsid w:val="49A300FD"/>
    <w:rsid w:val="49C628E4"/>
    <w:rsid w:val="49E46398"/>
    <w:rsid w:val="49ED06EE"/>
    <w:rsid w:val="49F71ACC"/>
    <w:rsid w:val="4A1632B8"/>
    <w:rsid w:val="4A1F44C7"/>
    <w:rsid w:val="4A2878F0"/>
    <w:rsid w:val="4A2A2BB3"/>
    <w:rsid w:val="4A304D99"/>
    <w:rsid w:val="4A364A1D"/>
    <w:rsid w:val="4A3F0B8A"/>
    <w:rsid w:val="4A622E6B"/>
    <w:rsid w:val="4A6E7F0A"/>
    <w:rsid w:val="4A6F318A"/>
    <w:rsid w:val="4A9F5E7B"/>
    <w:rsid w:val="4AB344CC"/>
    <w:rsid w:val="4AC82500"/>
    <w:rsid w:val="4AEA4694"/>
    <w:rsid w:val="4AEA5679"/>
    <w:rsid w:val="4AF1490A"/>
    <w:rsid w:val="4AF27CC9"/>
    <w:rsid w:val="4AF4456E"/>
    <w:rsid w:val="4AFE6026"/>
    <w:rsid w:val="4B100CB1"/>
    <w:rsid w:val="4B132359"/>
    <w:rsid w:val="4B187071"/>
    <w:rsid w:val="4B1F5D09"/>
    <w:rsid w:val="4B29343D"/>
    <w:rsid w:val="4B2D5614"/>
    <w:rsid w:val="4B3713FA"/>
    <w:rsid w:val="4B544F06"/>
    <w:rsid w:val="4B5D43C3"/>
    <w:rsid w:val="4B62251C"/>
    <w:rsid w:val="4B6649AE"/>
    <w:rsid w:val="4B725B0D"/>
    <w:rsid w:val="4B8A4071"/>
    <w:rsid w:val="4B8D276C"/>
    <w:rsid w:val="4BA6213B"/>
    <w:rsid w:val="4BAD4C4C"/>
    <w:rsid w:val="4BC976C5"/>
    <w:rsid w:val="4BF840F3"/>
    <w:rsid w:val="4BFA4EB1"/>
    <w:rsid w:val="4C107F5F"/>
    <w:rsid w:val="4C1C2295"/>
    <w:rsid w:val="4C243F37"/>
    <w:rsid w:val="4C337E12"/>
    <w:rsid w:val="4C387512"/>
    <w:rsid w:val="4C395F5A"/>
    <w:rsid w:val="4C3B6B40"/>
    <w:rsid w:val="4C4F6AC2"/>
    <w:rsid w:val="4C53661D"/>
    <w:rsid w:val="4C6A4312"/>
    <w:rsid w:val="4C771193"/>
    <w:rsid w:val="4C7922CD"/>
    <w:rsid w:val="4C7A1A7B"/>
    <w:rsid w:val="4C945727"/>
    <w:rsid w:val="4C9D43BB"/>
    <w:rsid w:val="4CA00F55"/>
    <w:rsid w:val="4CA16884"/>
    <w:rsid w:val="4CB00FC3"/>
    <w:rsid w:val="4CDF4C8E"/>
    <w:rsid w:val="4CDF628B"/>
    <w:rsid w:val="4CEF0A39"/>
    <w:rsid w:val="4CEF610A"/>
    <w:rsid w:val="4CFF54FB"/>
    <w:rsid w:val="4D0B696D"/>
    <w:rsid w:val="4D0F1DAD"/>
    <w:rsid w:val="4D1B45FD"/>
    <w:rsid w:val="4D2430F8"/>
    <w:rsid w:val="4D302E27"/>
    <w:rsid w:val="4D3723C6"/>
    <w:rsid w:val="4D39337F"/>
    <w:rsid w:val="4D455430"/>
    <w:rsid w:val="4D784129"/>
    <w:rsid w:val="4D8C33FE"/>
    <w:rsid w:val="4D9A1FBF"/>
    <w:rsid w:val="4DAB4BAF"/>
    <w:rsid w:val="4DC21F09"/>
    <w:rsid w:val="4DD1376E"/>
    <w:rsid w:val="4DDD67D5"/>
    <w:rsid w:val="4E0430AA"/>
    <w:rsid w:val="4E0631B0"/>
    <w:rsid w:val="4E092CA1"/>
    <w:rsid w:val="4E0C4ABF"/>
    <w:rsid w:val="4E1A2D7C"/>
    <w:rsid w:val="4E1E04DF"/>
    <w:rsid w:val="4E323A4A"/>
    <w:rsid w:val="4E5C7274"/>
    <w:rsid w:val="4E636842"/>
    <w:rsid w:val="4E8165B8"/>
    <w:rsid w:val="4E8549C6"/>
    <w:rsid w:val="4E864541"/>
    <w:rsid w:val="4E865874"/>
    <w:rsid w:val="4E920EE8"/>
    <w:rsid w:val="4E9B68EE"/>
    <w:rsid w:val="4E9B7D9D"/>
    <w:rsid w:val="4EA47A95"/>
    <w:rsid w:val="4EAC76BA"/>
    <w:rsid w:val="4EC74527"/>
    <w:rsid w:val="4ED2634D"/>
    <w:rsid w:val="4ED36980"/>
    <w:rsid w:val="4ED51BB8"/>
    <w:rsid w:val="4EEC23A6"/>
    <w:rsid w:val="4EEC786E"/>
    <w:rsid w:val="4EED444F"/>
    <w:rsid w:val="4EF43C98"/>
    <w:rsid w:val="4EF61477"/>
    <w:rsid w:val="4F0B6E01"/>
    <w:rsid w:val="4F0E67C1"/>
    <w:rsid w:val="4F1748EF"/>
    <w:rsid w:val="4F177A4A"/>
    <w:rsid w:val="4F1913FB"/>
    <w:rsid w:val="4F1F5000"/>
    <w:rsid w:val="4F26291B"/>
    <w:rsid w:val="4F2F6737"/>
    <w:rsid w:val="4F473291"/>
    <w:rsid w:val="4F554AE3"/>
    <w:rsid w:val="4F5902F9"/>
    <w:rsid w:val="4F5C5952"/>
    <w:rsid w:val="4F637B60"/>
    <w:rsid w:val="4F7E3487"/>
    <w:rsid w:val="4F8815F5"/>
    <w:rsid w:val="4F9037D8"/>
    <w:rsid w:val="4F92320F"/>
    <w:rsid w:val="4F9529F9"/>
    <w:rsid w:val="4FA4793B"/>
    <w:rsid w:val="4FBB10A6"/>
    <w:rsid w:val="4FD1718C"/>
    <w:rsid w:val="4FD53792"/>
    <w:rsid w:val="4FDB405D"/>
    <w:rsid w:val="4FEF6B48"/>
    <w:rsid w:val="4FF92580"/>
    <w:rsid w:val="5000269E"/>
    <w:rsid w:val="50045EAE"/>
    <w:rsid w:val="501E2A33"/>
    <w:rsid w:val="502957DB"/>
    <w:rsid w:val="50354221"/>
    <w:rsid w:val="50377F99"/>
    <w:rsid w:val="50557F79"/>
    <w:rsid w:val="50586ED0"/>
    <w:rsid w:val="507A2CD6"/>
    <w:rsid w:val="50925103"/>
    <w:rsid w:val="509B3850"/>
    <w:rsid w:val="50A867A1"/>
    <w:rsid w:val="50B113F8"/>
    <w:rsid w:val="50F11B8E"/>
    <w:rsid w:val="50F50D00"/>
    <w:rsid w:val="51020FB5"/>
    <w:rsid w:val="51144375"/>
    <w:rsid w:val="5117475C"/>
    <w:rsid w:val="51271FAD"/>
    <w:rsid w:val="513D653E"/>
    <w:rsid w:val="51451FC5"/>
    <w:rsid w:val="515369BD"/>
    <w:rsid w:val="51593211"/>
    <w:rsid w:val="515A43B3"/>
    <w:rsid w:val="515E5C93"/>
    <w:rsid w:val="516A1CA8"/>
    <w:rsid w:val="5177103D"/>
    <w:rsid w:val="517F7A00"/>
    <w:rsid w:val="518E2041"/>
    <w:rsid w:val="519E599C"/>
    <w:rsid w:val="51AB6549"/>
    <w:rsid w:val="51B60EDF"/>
    <w:rsid w:val="51B74CF4"/>
    <w:rsid w:val="51BB2A6F"/>
    <w:rsid w:val="51C50616"/>
    <w:rsid w:val="51CC3E0D"/>
    <w:rsid w:val="51CD7E14"/>
    <w:rsid w:val="51D26CC7"/>
    <w:rsid w:val="51E0553D"/>
    <w:rsid w:val="51F767DD"/>
    <w:rsid w:val="51FF4037"/>
    <w:rsid w:val="520C318F"/>
    <w:rsid w:val="52173BDE"/>
    <w:rsid w:val="52212A23"/>
    <w:rsid w:val="522823E7"/>
    <w:rsid w:val="524B5DF0"/>
    <w:rsid w:val="525557C5"/>
    <w:rsid w:val="526513ED"/>
    <w:rsid w:val="52695D3B"/>
    <w:rsid w:val="526C0F05"/>
    <w:rsid w:val="526F0BBF"/>
    <w:rsid w:val="528943B0"/>
    <w:rsid w:val="52965D09"/>
    <w:rsid w:val="529B3BB2"/>
    <w:rsid w:val="529B64D9"/>
    <w:rsid w:val="52BD4BD2"/>
    <w:rsid w:val="52C42EF8"/>
    <w:rsid w:val="52DB5464"/>
    <w:rsid w:val="52EE7013"/>
    <w:rsid w:val="52F524D3"/>
    <w:rsid w:val="53061344"/>
    <w:rsid w:val="530759C7"/>
    <w:rsid w:val="530A7D45"/>
    <w:rsid w:val="53115090"/>
    <w:rsid w:val="53164CBB"/>
    <w:rsid w:val="53165439"/>
    <w:rsid w:val="531D2BDD"/>
    <w:rsid w:val="531E6274"/>
    <w:rsid w:val="53270129"/>
    <w:rsid w:val="532B4DF3"/>
    <w:rsid w:val="534038CF"/>
    <w:rsid w:val="534E407C"/>
    <w:rsid w:val="535E4072"/>
    <w:rsid w:val="536A359C"/>
    <w:rsid w:val="53733096"/>
    <w:rsid w:val="53806410"/>
    <w:rsid w:val="538B47A0"/>
    <w:rsid w:val="539D6F14"/>
    <w:rsid w:val="53BE4267"/>
    <w:rsid w:val="53CD546E"/>
    <w:rsid w:val="53DA6768"/>
    <w:rsid w:val="53E33EC5"/>
    <w:rsid w:val="53F5544F"/>
    <w:rsid w:val="54280ECF"/>
    <w:rsid w:val="5443127E"/>
    <w:rsid w:val="545375A2"/>
    <w:rsid w:val="54543DF3"/>
    <w:rsid w:val="547851F7"/>
    <w:rsid w:val="548860D0"/>
    <w:rsid w:val="548C3CA3"/>
    <w:rsid w:val="54940B7C"/>
    <w:rsid w:val="54B12860"/>
    <w:rsid w:val="54C100E8"/>
    <w:rsid w:val="54CD0150"/>
    <w:rsid w:val="54D41E35"/>
    <w:rsid w:val="54DE323C"/>
    <w:rsid w:val="54E6431B"/>
    <w:rsid w:val="54F36762"/>
    <w:rsid w:val="54FB7BE1"/>
    <w:rsid w:val="54FE7433"/>
    <w:rsid w:val="55055BD0"/>
    <w:rsid w:val="5508365E"/>
    <w:rsid w:val="551268DF"/>
    <w:rsid w:val="551707A1"/>
    <w:rsid w:val="55507B87"/>
    <w:rsid w:val="555235C1"/>
    <w:rsid w:val="5566098A"/>
    <w:rsid w:val="55772ABE"/>
    <w:rsid w:val="557C1998"/>
    <w:rsid w:val="557F6EBD"/>
    <w:rsid w:val="5585268F"/>
    <w:rsid w:val="55872E29"/>
    <w:rsid w:val="55A65C1E"/>
    <w:rsid w:val="55AE49EB"/>
    <w:rsid w:val="55C86B57"/>
    <w:rsid w:val="55CE57AE"/>
    <w:rsid w:val="55D04519"/>
    <w:rsid w:val="55DA1393"/>
    <w:rsid w:val="55E77D6B"/>
    <w:rsid w:val="5610281B"/>
    <w:rsid w:val="561650E7"/>
    <w:rsid w:val="562A43E8"/>
    <w:rsid w:val="563B0234"/>
    <w:rsid w:val="56453228"/>
    <w:rsid w:val="564A742A"/>
    <w:rsid w:val="56596943"/>
    <w:rsid w:val="5664590A"/>
    <w:rsid w:val="5670061F"/>
    <w:rsid w:val="568706D9"/>
    <w:rsid w:val="56897EA4"/>
    <w:rsid w:val="568D71B2"/>
    <w:rsid w:val="56AF1C5C"/>
    <w:rsid w:val="56B007F4"/>
    <w:rsid w:val="56B844B7"/>
    <w:rsid w:val="56C47F64"/>
    <w:rsid w:val="56D007FF"/>
    <w:rsid w:val="56DC60BC"/>
    <w:rsid w:val="56E967B4"/>
    <w:rsid w:val="56FD0747"/>
    <w:rsid w:val="56FD5022"/>
    <w:rsid w:val="56FE3D9F"/>
    <w:rsid w:val="56FE711B"/>
    <w:rsid w:val="57010BC9"/>
    <w:rsid w:val="571E0C72"/>
    <w:rsid w:val="572102F7"/>
    <w:rsid w:val="57303D58"/>
    <w:rsid w:val="5731408A"/>
    <w:rsid w:val="57323268"/>
    <w:rsid w:val="573410E9"/>
    <w:rsid w:val="57580F21"/>
    <w:rsid w:val="576F5DF4"/>
    <w:rsid w:val="57747180"/>
    <w:rsid w:val="57773756"/>
    <w:rsid w:val="578774E1"/>
    <w:rsid w:val="578E11B3"/>
    <w:rsid w:val="57970FC1"/>
    <w:rsid w:val="579970B9"/>
    <w:rsid w:val="57AD1C83"/>
    <w:rsid w:val="57AE39D6"/>
    <w:rsid w:val="57C3666B"/>
    <w:rsid w:val="57CD21DB"/>
    <w:rsid w:val="57D552CD"/>
    <w:rsid w:val="57E36310"/>
    <w:rsid w:val="57E72B3C"/>
    <w:rsid w:val="57F961F8"/>
    <w:rsid w:val="580C0163"/>
    <w:rsid w:val="580C25DA"/>
    <w:rsid w:val="580F3ADD"/>
    <w:rsid w:val="58130819"/>
    <w:rsid w:val="58337298"/>
    <w:rsid w:val="58355705"/>
    <w:rsid w:val="584F19C1"/>
    <w:rsid w:val="584F2E35"/>
    <w:rsid w:val="58576FDA"/>
    <w:rsid w:val="585E308B"/>
    <w:rsid w:val="586606EE"/>
    <w:rsid w:val="587263B1"/>
    <w:rsid w:val="58736B5C"/>
    <w:rsid w:val="587D36B8"/>
    <w:rsid w:val="587F6039"/>
    <w:rsid w:val="587F6F72"/>
    <w:rsid w:val="588B4F6A"/>
    <w:rsid w:val="589C3798"/>
    <w:rsid w:val="58D269C6"/>
    <w:rsid w:val="58E10D86"/>
    <w:rsid w:val="590E1E43"/>
    <w:rsid w:val="591D49BE"/>
    <w:rsid w:val="59216791"/>
    <w:rsid w:val="59225F51"/>
    <w:rsid w:val="59267DED"/>
    <w:rsid w:val="595058A3"/>
    <w:rsid w:val="5959119A"/>
    <w:rsid w:val="595E42FD"/>
    <w:rsid w:val="59837DAB"/>
    <w:rsid w:val="5987789B"/>
    <w:rsid w:val="599B41EE"/>
    <w:rsid w:val="59A158EB"/>
    <w:rsid w:val="59A85CFB"/>
    <w:rsid w:val="59C244BA"/>
    <w:rsid w:val="59CD167A"/>
    <w:rsid w:val="59DA5C1C"/>
    <w:rsid w:val="5A2A3236"/>
    <w:rsid w:val="5A37379F"/>
    <w:rsid w:val="5A4409E7"/>
    <w:rsid w:val="5A624BEA"/>
    <w:rsid w:val="5A651B28"/>
    <w:rsid w:val="5A6B6350"/>
    <w:rsid w:val="5A6C6FFF"/>
    <w:rsid w:val="5A726E82"/>
    <w:rsid w:val="5A8269AE"/>
    <w:rsid w:val="5A8A7951"/>
    <w:rsid w:val="5A975B2D"/>
    <w:rsid w:val="5AA31F95"/>
    <w:rsid w:val="5AA76491"/>
    <w:rsid w:val="5ABA09C8"/>
    <w:rsid w:val="5AD11B6A"/>
    <w:rsid w:val="5ADD2164"/>
    <w:rsid w:val="5ADD5061"/>
    <w:rsid w:val="5B1C2265"/>
    <w:rsid w:val="5B37324F"/>
    <w:rsid w:val="5B4076EA"/>
    <w:rsid w:val="5B497F8F"/>
    <w:rsid w:val="5B554194"/>
    <w:rsid w:val="5B7E082A"/>
    <w:rsid w:val="5B827C83"/>
    <w:rsid w:val="5BA953EE"/>
    <w:rsid w:val="5BB01DEC"/>
    <w:rsid w:val="5BB851AE"/>
    <w:rsid w:val="5BD32BB9"/>
    <w:rsid w:val="5BD33F8F"/>
    <w:rsid w:val="5BF31218"/>
    <w:rsid w:val="5BF37630"/>
    <w:rsid w:val="5BF73DEC"/>
    <w:rsid w:val="5BFC6B44"/>
    <w:rsid w:val="5C0427FE"/>
    <w:rsid w:val="5C0C2550"/>
    <w:rsid w:val="5C0F4126"/>
    <w:rsid w:val="5C171E7B"/>
    <w:rsid w:val="5C2634D8"/>
    <w:rsid w:val="5C2F0D6D"/>
    <w:rsid w:val="5C3735EF"/>
    <w:rsid w:val="5C4A2F32"/>
    <w:rsid w:val="5C515F3F"/>
    <w:rsid w:val="5C5301D8"/>
    <w:rsid w:val="5C55644D"/>
    <w:rsid w:val="5C5C2F0A"/>
    <w:rsid w:val="5C5E489B"/>
    <w:rsid w:val="5C6514C0"/>
    <w:rsid w:val="5C6B266C"/>
    <w:rsid w:val="5C6C7403"/>
    <w:rsid w:val="5C6D4421"/>
    <w:rsid w:val="5C7B7847"/>
    <w:rsid w:val="5C7E41C7"/>
    <w:rsid w:val="5C806824"/>
    <w:rsid w:val="5C91764F"/>
    <w:rsid w:val="5CB12E81"/>
    <w:rsid w:val="5CC42778"/>
    <w:rsid w:val="5CC86659"/>
    <w:rsid w:val="5CE46003"/>
    <w:rsid w:val="5CE83FFD"/>
    <w:rsid w:val="5CE933A9"/>
    <w:rsid w:val="5CEA1639"/>
    <w:rsid w:val="5CF4471F"/>
    <w:rsid w:val="5D0E0885"/>
    <w:rsid w:val="5D0F5CA5"/>
    <w:rsid w:val="5D22030C"/>
    <w:rsid w:val="5D303375"/>
    <w:rsid w:val="5D5757D7"/>
    <w:rsid w:val="5D5A699D"/>
    <w:rsid w:val="5D5C4B9B"/>
    <w:rsid w:val="5D65096B"/>
    <w:rsid w:val="5D686AA3"/>
    <w:rsid w:val="5D7F27FB"/>
    <w:rsid w:val="5DB3127E"/>
    <w:rsid w:val="5DB97A32"/>
    <w:rsid w:val="5DBA771F"/>
    <w:rsid w:val="5DBC204D"/>
    <w:rsid w:val="5DC2177E"/>
    <w:rsid w:val="5DCD3A31"/>
    <w:rsid w:val="5DCD42C5"/>
    <w:rsid w:val="5DD124F9"/>
    <w:rsid w:val="5DD37DDD"/>
    <w:rsid w:val="5DD81B16"/>
    <w:rsid w:val="5DDC42E4"/>
    <w:rsid w:val="5DEA74DA"/>
    <w:rsid w:val="5E1B083A"/>
    <w:rsid w:val="5E1F7AF0"/>
    <w:rsid w:val="5E2E335C"/>
    <w:rsid w:val="5E3B51A7"/>
    <w:rsid w:val="5E456633"/>
    <w:rsid w:val="5E4B5372"/>
    <w:rsid w:val="5E4F7E56"/>
    <w:rsid w:val="5E543889"/>
    <w:rsid w:val="5E614CC3"/>
    <w:rsid w:val="5E6C12FC"/>
    <w:rsid w:val="5E790639"/>
    <w:rsid w:val="5E886680"/>
    <w:rsid w:val="5EA534AA"/>
    <w:rsid w:val="5EAC6526"/>
    <w:rsid w:val="5EB132FD"/>
    <w:rsid w:val="5EB155E4"/>
    <w:rsid w:val="5EB24909"/>
    <w:rsid w:val="5EB410FA"/>
    <w:rsid w:val="5EC50E75"/>
    <w:rsid w:val="5EC923F3"/>
    <w:rsid w:val="5ED226F5"/>
    <w:rsid w:val="5F0061F9"/>
    <w:rsid w:val="5F083F22"/>
    <w:rsid w:val="5F0C4513"/>
    <w:rsid w:val="5F2C07EB"/>
    <w:rsid w:val="5F486BB4"/>
    <w:rsid w:val="5F506EA6"/>
    <w:rsid w:val="5F5332B6"/>
    <w:rsid w:val="5F757E92"/>
    <w:rsid w:val="5F7703DE"/>
    <w:rsid w:val="5F772D91"/>
    <w:rsid w:val="5F87446E"/>
    <w:rsid w:val="5F893C41"/>
    <w:rsid w:val="5F907704"/>
    <w:rsid w:val="5FB35737"/>
    <w:rsid w:val="5FB55A56"/>
    <w:rsid w:val="5FC829BC"/>
    <w:rsid w:val="5FD744C9"/>
    <w:rsid w:val="5FE677DE"/>
    <w:rsid w:val="5FF14588"/>
    <w:rsid w:val="5FFE1F39"/>
    <w:rsid w:val="60175F1B"/>
    <w:rsid w:val="60215967"/>
    <w:rsid w:val="604B2ECC"/>
    <w:rsid w:val="604F26F1"/>
    <w:rsid w:val="60544679"/>
    <w:rsid w:val="606F227D"/>
    <w:rsid w:val="60706A03"/>
    <w:rsid w:val="608A7C71"/>
    <w:rsid w:val="60AA6921"/>
    <w:rsid w:val="60B0559C"/>
    <w:rsid w:val="60B91C51"/>
    <w:rsid w:val="60B92493"/>
    <w:rsid w:val="60C50CA9"/>
    <w:rsid w:val="60CC08F9"/>
    <w:rsid w:val="60E24E90"/>
    <w:rsid w:val="60F060EF"/>
    <w:rsid w:val="60F449B2"/>
    <w:rsid w:val="60FA0D27"/>
    <w:rsid w:val="61302C2F"/>
    <w:rsid w:val="613B1B1E"/>
    <w:rsid w:val="6152328B"/>
    <w:rsid w:val="6174695B"/>
    <w:rsid w:val="618207C4"/>
    <w:rsid w:val="618F3AC1"/>
    <w:rsid w:val="619C51D3"/>
    <w:rsid w:val="61A06D74"/>
    <w:rsid w:val="61AC2EBD"/>
    <w:rsid w:val="61BA270C"/>
    <w:rsid w:val="61D647AB"/>
    <w:rsid w:val="61D91F04"/>
    <w:rsid w:val="61E04BA8"/>
    <w:rsid w:val="61E24A37"/>
    <w:rsid w:val="61F01D9D"/>
    <w:rsid w:val="61F1476C"/>
    <w:rsid w:val="61F53C29"/>
    <w:rsid w:val="61F62B25"/>
    <w:rsid w:val="61F96874"/>
    <w:rsid w:val="61FA122A"/>
    <w:rsid w:val="62097903"/>
    <w:rsid w:val="620C36EC"/>
    <w:rsid w:val="62130485"/>
    <w:rsid w:val="62287213"/>
    <w:rsid w:val="62377985"/>
    <w:rsid w:val="623F189C"/>
    <w:rsid w:val="62454479"/>
    <w:rsid w:val="624C7228"/>
    <w:rsid w:val="624E25AF"/>
    <w:rsid w:val="62732763"/>
    <w:rsid w:val="6274460D"/>
    <w:rsid w:val="627A1078"/>
    <w:rsid w:val="628A13C2"/>
    <w:rsid w:val="628C63FA"/>
    <w:rsid w:val="628D4CF7"/>
    <w:rsid w:val="629774E6"/>
    <w:rsid w:val="62A654AE"/>
    <w:rsid w:val="62B40FD5"/>
    <w:rsid w:val="62C8535C"/>
    <w:rsid w:val="62E419D3"/>
    <w:rsid w:val="62F71F77"/>
    <w:rsid w:val="63000AA0"/>
    <w:rsid w:val="63001BEF"/>
    <w:rsid w:val="630148F7"/>
    <w:rsid w:val="63037F0D"/>
    <w:rsid w:val="63051C74"/>
    <w:rsid w:val="63084640"/>
    <w:rsid w:val="630E7B71"/>
    <w:rsid w:val="633D721D"/>
    <w:rsid w:val="634F1274"/>
    <w:rsid w:val="63595B51"/>
    <w:rsid w:val="635E7DCF"/>
    <w:rsid w:val="63624E5D"/>
    <w:rsid w:val="63646AEE"/>
    <w:rsid w:val="63652179"/>
    <w:rsid w:val="63656EC5"/>
    <w:rsid w:val="636951BE"/>
    <w:rsid w:val="636E21A9"/>
    <w:rsid w:val="637F1DE0"/>
    <w:rsid w:val="638457FD"/>
    <w:rsid w:val="63933428"/>
    <w:rsid w:val="63957242"/>
    <w:rsid w:val="63AD6150"/>
    <w:rsid w:val="63B75E3A"/>
    <w:rsid w:val="63C112C2"/>
    <w:rsid w:val="63D01E3F"/>
    <w:rsid w:val="63DE41F1"/>
    <w:rsid w:val="63E5242D"/>
    <w:rsid w:val="640B58E9"/>
    <w:rsid w:val="640B731B"/>
    <w:rsid w:val="6411028D"/>
    <w:rsid w:val="643D379B"/>
    <w:rsid w:val="64430C1D"/>
    <w:rsid w:val="64491BEF"/>
    <w:rsid w:val="645B57D0"/>
    <w:rsid w:val="647A4B2B"/>
    <w:rsid w:val="649749FF"/>
    <w:rsid w:val="64A05CB5"/>
    <w:rsid w:val="64A20E9E"/>
    <w:rsid w:val="64BE7EEF"/>
    <w:rsid w:val="64C24464"/>
    <w:rsid w:val="64C717EB"/>
    <w:rsid w:val="64D03BF7"/>
    <w:rsid w:val="64DA10F4"/>
    <w:rsid w:val="64E57819"/>
    <w:rsid w:val="64E95E1E"/>
    <w:rsid w:val="64ED03C6"/>
    <w:rsid w:val="650D0C2C"/>
    <w:rsid w:val="651346D9"/>
    <w:rsid w:val="65243E39"/>
    <w:rsid w:val="652A2569"/>
    <w:rsid w:val="6533646D"/>
    <w:rsid w:val="653B554F"/>
    <w:rsid w:val="65464B75"/>
    <w:rsid w:val="65612E19"/>
    <w:rsid w:val="657607F8"/>
    <w:rsid w:val="657E7E71"/>
    <w:rsid w:val="659B2033"/>
    <w:rsid w:val="659F09EE"/>
    <w:rsid w:val="65A81F2D"/>
    <w:rsid w:val="65A83A16"/>
    <w:rsid w:val="65C81684"/>
    <w:rsid w:val="65C862FD"/>
    <w:rsid w:val="65D6482F"/>
    <w:rsid w:val="65D747A4"/>
    <w:rsid w:val="65D829D8"/>
    <w:rsid w:val="65D97389"/>
    <w:rsid w:val="65E24686"/>
    <w:rsid w:val="65E814BB"/>
    <w:rsid w:val="65F62543"/>
    <w:rsid w:val="65FC7C85"/>
    <w:rsid w:val="65FF6A0B"/>
    <w:rsid w:val="66027B32"/>
    <w:rsid w:val="66134265"/>
    <w:rsid w:val="66216982"/>
    <w:rsid w:val="6626167B"/>
    <w:rsid w:val="66535ABC"/>
    <w:rsid w:val="667436C5"/>
    <w:rsid w:val="6677706D"/>
    <w:rsid w:val="66846F11"/>
    <w:rsid w:val="66884C53"/>
    <w:rsid w:val="668B029F"/>
    <w:rsid w:val="668F1DAC"/>
    <w:rsid w:val="66920D26"/>
    <w:rsid w:val="669500B4"/>
    <w:rsid w:val="6697195C"/>
    <w:rsid w:val="669A73CF"/>
    <w:rsid w:val="669C6028"/>
    <w:rsid w:val="66A67E53"/>
    <w:rsid w:val="66B4528E"/>
    <w:rsid w:val="66BE66F6"/>
    <w:rsid w:val="66C76AB7"/>
    <w:rsid w:val="66CB0F03"/>
    <w:rsid w:val="66CB3C64"/>
    <w:rsid w:val="66EA3218"/>
    <w:rsid w:val="66FD4ED1"/>
    <w:rsid w:val="67142D92"/>
    <w:rsid w:val="671F5F3F"/>
    <w:rsid w:val="671F72A1"/>
    <w:rsid w:val="67250178"/>
    <w:rsid w:val="67362878"/>
    <w:rsid w:val="673A7A9B"/>
    <w:rsid w:val="673E700C"/>
    <w:rsid w:val="674C55A5"/>
    <w:rsid w:val="67672BA5"/>
    <w:rsid w:val="67696AE0"/>
    <w:rsid w:val="678B5F90"/>
    <w:rsid w:val="67924279"/>
    <w:rsid w:val="6794320C"/>
    <w:rsid w:val="67A535E2"/>
    <w:rsid w:val="67A56F5F"/>
    <w:rsid w:val="67A677D4"/>
    <w:rsid w:val="67A755AC"/>
    <w:rsid w:val="67A9320E"/>
    <w:rsid w:val="67B30DBC"/>
    <w:rsid w:val="67B3566F"/>
    <w:rsid w:val="67BF3E07"/>
    <w:rsid w:val="67C95F84"/>
    <w:rsid w:val="67E43750"/>
    <w:rsid w:val="67ED7463"/>
    <w:rsid w:val="67EF0D81"/>
    <w:rsid w:val="67FA30FC"/>
    <w:rsid w:val="6802798E"/>
    <w:rsid w:val="6810358D"/>
    <w:rsid w:val="681147DC"/>
    <w:rsid w:val="682C4DC8"/>
    <w:rsid w:val="682E38F3"/>
    <w:rsid w:val="68352BB8"/>
    <w:rsid w:val="686142B9"/>
    <w:rsid w:val="68623BE2"/>
    <w:rsid w:val="68667DB7"/>
    <w:rsid w:val="686F52C0"/>
    <w:rsid w:val="687051D2"/>
    <w:rsid w:val="68787462"/>
    <w:rsid w:val="687D63CA"/>
    <w:rsid w:val="688B560A"/>
    <w:rsid w:val="688D3A15"/>
    <w:rsid w:val="6899632D"/>
    <w:rsid w:val="68B72DA4"/>
    <w:rsid w:val="68B852C3"/>
    <w:rsid w:val="68C77F23"/>
    <w:rsid w:val="68CD1069"/>
    <w:rsid w:val="68D77363"/>
    <w:rsid w:val="68E019C9"/>
    <w:rsid w:val="68E343C2"/>
    <w:rsid w:val="68F13196"/>
    <w:rsid w:val="68F24564"/>
    <w:rsid w:val="68FD0655"/>
    <w:rsid w:val="69043BC8"/>
    <w:rsid w:val="69045B3C"/>
    <w:rsid w:val="69067EBB"/>
    <w:rsid w:val="69242AFE"/>
    <w:rsid w:val="69270C50"/>
    <w:rsid w:val="69307FEB"/>
    <w:rsid w:val="69441891"/>
    <w:rsid w:val="69523C06"/>
    <w:rsid w:val="69564130"/>
    <w:rsid w:val="69573C68"/>
    <w:rsid w:val="695D2F76"/>
    <w:rsid w:val="6971191E"/>
    <w:rsid w:val="697B45FB"/>
    <w:rsid w:val="697E5409"/>
    <w:rsid w:val="6984204C"/>
    <w:rsid w:val="6991198D"/>
    <w:rsid w:val="69A743BA"/>
    <w:rsid w:val="69A758C8"/>
    <w:rsid w:val="69AA653E"/>
    <w:rsid w:val="69B05FC8"/>
    <w:rsid w:val="69B54B2E"/>
    <w:rsid w:val="69C80E91"/>
    <w:rsid w:val="69D658CA"/>
    <w:rsid w:val="69DC2B09"/>
    <w:rsid w:val="69E61D91"/>
    <w:rsid w:val="69EA7C92"/>
    <w:rsid w:val="69F1450A"/>
    <w:rsid w:val="69F907C4"/>
    <w:rsid w:val="6A167A07"/>
    <w:rsid w:val="6A1B52A9"/>
    <w:rsid w:val="6A1D1ACA"/>
    <w:rsid w:val="6A1F1CF2"/>
    <w:rsid w:val="6A4A4099"/>
    <w:rsid w:val="6A4D2224"/>
    <w:rsid w:val="6A530340"/>
    <w:rsid w:val="6A591182"/>
    <w:rsid w:val="6A5D502A"/>
    <w:rsid w:val="6A5F5CCB"/>
    <w:rsid w:val="6A7773E9"/>
    <w:rsid w:val="6A7D43A3"/>
    <w:rsid w:val="6A7E5D14"/>
    <w:rsid w:val="6A835CC2"/>
    <w:rsid w:val="6A914C7E"/>
    <w:rsid w:val="6AA2788A"/>
    <w:rsid w:val="6AA51019"/>
    <w:rsid w:val="6AA55983"/>
    <w:rsid w:val="6ABF7C09"/>
    <w:rsid w:val="6AC24D28"/>
    <w:rsid w:val="6AC469C2"/>
    <w:rsid w:val="6AD127E8"/>
    <w:rsid w:val="6AEA1097"/>
    <w:rsid w:val="6AF0105A"/>
    <w:rsid w:val="6AF20CCD"/>
    <w:rsid w:val="6AF213D6"/>
    <w:rsid w:val="6AFD77E3"/>
    <w:rsid w:val="6B007438"/>
    <w:rsid w:val="6B014EEF"/>
    <w:rsid w:val="6B021A53"/>
    <w:rsid w:val="6B0E237B"/>
    <w:rsid w:val="6B144A6A"/>
    <w:rsid w:val="6B2A277C"/>
    <w:rsid w:val="6B313306"/>
    <w:rsid w:val="6B381D1A"/>
    <w:rsid w:val="6B41549A"/>
    <w:rsid w:val="6B49074A"/>
    <w:rsid w:val="6B4D4D27"/>
    <w:rsid w:val="6B4F5CD5"/>
    <w:rsid w:val="6B5C3804"/>
    <w:rsid w:val="6B5C4737"/>
    <w:rsid w:val="6B6143D2"/>
    <w:rsid w:val="6B6B6935"/>
    <w:rsid w:val="6B8A321B"/>
    <w:rsid w:val="6B8F7104"/>
    <w:rsid w:val="6B967B9C"/>
    <w:rsid w:val="6B985938"/>
    <w:rsid w:val="6BA0436D"/>
    <w:rsid w:val="6BA63F10"/>
    <w:rsid w:val="6BB01547"/>
    <w:rsid w:val="6BBB6559"/>
    <w:rsid w:val="6BC858A7"/>
    <w:rsid w:val="6BC96822"/>
    <w:rsid w:val="6BDB4E0D"/>
    <w:rsid w:val="6BEB3BDF"/>
    <w:rsid w:val="6BF863D7"/>
    <w:rsid w:val="6C19449E"/>
    <w:rsid w:val="6C210572"/>
    <w:rsid w:val="6C3E474A"/>
    <w:rsid w:val="6C3F7D6B"/>
    <w:rsid w:val="6C4842CC"/>
    <w:rsid w:val="6C4A7483"/>
    <w:rsid w:val="6C4F27DD"/>
    <w:rsid w:val="6C51137F"/>
    <w:rsid w:val="6C5167E6"/>
    <w:rsid w:val="6C5A71C6"/>
    <w:rsid w:val="6C68355C"/>
    <w:rsid w:val="6C8430D7"/>
    <w:rsid w:val="6C9A2CE1"/>
    <w:rsid w:val="6CA41A6A"/>
    <w:rsid w:val="6CB327FA"/>
    <w:rsid w:val="6CB71C6D"/>
    <w:rsid w:val="6CC20BCA"/>
    <w:rsid w:val="6CCF5389"/>
    <w:rsid w:val="6CE04F32"/>
    <w:rsid w:val="6CE746AC"/>
    <w:rsid w:val="6CE867AF"/>
    <w:rsid w:val="6CEE7708"/>
    <w:rsid w:val="6CFD1E4C"/>
    <w:rsid w:val="6CFD705D"/>
    <w:rsid w:val="6D166906"/>
    <w:rsid w:val="6D1C6116"/>
    <w:rsid w:val="6D297923"/>
    <w:rsid w:val="6D3554B5"/>
    <w:rsid w:val="6D3D3011"/>
    <w:rsid w:val="6D447527"/>
    <w:rsid w:val="6D45588B"/>
    <w:rsid w:val="6D493E59"/>
    <w:rsid w:val="6D5276D4"/>
    <w:rsid w:val="6D66560C"/>
    <w:rsid w:val="6D723C51"/>
    <w:rsid w:val="6D7B0771"/>
    <w:rsid w:val="6D7B6E92"/>
    <w:rsid w:val="6D811D6D"/>
    <w:rsid w:val="6D904215"/>
    <w:rsid w:val="6D9A120D"/>
    <w:rsid w:val="6D9E1FBF"/>
    <w:rsid w:val="6DA04ABE"/>
    <w:rsid w:val="6DC5429D"/>
    <w:rsid w:val="6DCD6F00"/>
    <w:rsid w:val="6DCE533B"/>
    <w:rsid w:val="6DCF52FD"/>
    <w:rsid w:val="6DE27083"/>
    <w:rsid w:val="6DE4639F"/>
    <w:rsid w:val="6DFD37AC"/>
    <w:rsid w:val="6E2A2743"/>
    <w:rsid w:val="6E2D59BA"/>
    <w:rsid w:val="6E337B9A"/>
    <w:rsid w:val="6E4109AD"/>
    <w:rsid w:val="6E4625F0"/>
    <w:rsid w:val="6E49499F"/>
    <w:rsid w:val="6E536B70"/>
    <w:rsid w:val="6E5740E3"/>
    <w:rsid w:val="6E577979"/>
    <w:rsid w:val="6E661D1D"/>
    <w:rsid w:val="6E740B64"/>
    <w:rsid w:val="6E7503C3"/>
    <w:rsid w:val="6E7D5CC9"/>
    <w:rsid w:val="6E82642B"/>
    <w:rsid w:val="6E856717"/>
    <w:rsid w:val="6E974DAB"/>
    <w:rsid w:val="6EBF7C1D"/>
    <w:rsid w:val="6ED7628C"/>
    <w:rsid w:val="6EDA3B1D"/>
    <w:rsid w:val="6EE13B87"/>
    <w:rsid w:val="6EE30B51"/>
    <w:rsid w:val="6EEC022A"/>
    <w:rsid w:val="6EF2738B"/>
    <w:rsid w:val="6EF95B40"/>
    <w:rsid w:val="6EFE4C96"/>
    <w:rsid w:val="6F0A486D"/>
    <w:rsid w:val="6F0D650B"/>
    <w:rsid w:val="6F1F391F"/>
    <w:rsid w:val="6F336EEE"/>
    <w:rsid w:val="6F3457AC"/>
    <w:rsid w:val="6F357F21"/>
    <w:rsid w:val="6F3D5F32"/>
    <w:rsid w:val="6F434700"/>
    <w:rsid w:val="6F5A542A"/>
    <w:rsid w:val="6F63004A"/>
    <w:rsid w:val="6F684E08"/>
    <w:rsid w:val="6F703891"/>
    <w:rsid w:val="6F864D34"/>
    <w:rsid w:val="6F8D269D"/>
    <w:rsid w:val="6FA268BC"/>
    <w:rsid w:val="6FA9187D"/>
    <w:rsid w:val="6FC22D2E"/>
    <w:rsid w:val="6FDD65D3"/>
    <w:rsid w:val="6FED7AF5"/>
    <w:rsid w:val="7009339E"/>
    <w:rsid w:val="700A0B97"/>
    <w:rsid w:val="700F741F"/>
    <w:rsid w:val="701A2A9D"/>
    <w:rsid w:val="701A5C19"/>
    <w:rsid w:val="702333CB"/>
    <w:rsid w:val="70274E00"/>
    <w:rsid w:val="703A7AAC"/>
    <w:rsid w:val="704E64FA"/>
    <w:rsid w:val="70532C0E"/>
    <w:rsid w:val="705362D1"/>
    <w:rsid w:val="70562ECD"/>
    <w:rsid w:val="70567B70"/>
    <w:rsid w:val="705A36F0"/>
    <w:rsid w:val="706710FD"/>
    <w:rsid w:val="706D358C"/>
    <w:rsid w:val="707603B2"/>
    <w:rsid w:val="707851C3"/>
    <w:rsid w:val="707A385E"/>
    <w:rsid w:val="707C13EE"/>
    <w:rsid w:val="70825D1B"/>
    <w:rsid w:val="70857FF4"/>
    <w:rsid w:val="70AB1C6A"/>
    <w:rsid w:val="70AC5255"/>
    <w:rsid w:val="70B83FE0"/>
    <w:rsid w:val="70BA56BA"/>
    <w:rsid w:val="70D251A8"/>
    <w:rsid w:val="70D83930"/>
    <w:rsid w:val="70E92F2F"/>
    <w:rsid w:val="70F535CE"/>
    <w:rsid w:val="7101188A"/>
    <w:rsid w:val="710231A9"/>
    <w:rsid w:val="710F2A58"/>
    <w:rsid w:val="712068AA"/>
    <w:rsid w:val="712C3BCD"/>
    <w:rsid w:val="712D249F"/>
    <w:rsid w:val="713978F2"/>
    <w:rsid w:val="713E4915"/>
    <w:rsid w:val="71456464"/>
    <w:rsid w:val="7148357C"/>
    <w:rsid w:val="71561644"/>
    <w:rsid w:val="71585A2B"/>
    <w:rsid w:val="715F3424"/>
    <w:rsid w:val="716D29C6"/>
    <w:rsid w:val="716F0EE9"/>
    <w:rsid w:val="717604C9"/>
    <w:rsid w:val="71832E1C"/>
    <w:rsid w:val="71952DDE"/>
    <w:rsid w:val="71A309D6"/>
    <w:rsid w:val="71A36DE5"/>
    <w:rsid w:val="71AA4CBE"/>
    <w:rsid w:val="71E23871"/>
    <w:rsid w:val="71F66F14"/>
    <w:rsid w:val="71F71BD8"/>
    <w:rsid w:val="720B4C3C"/>
    <w:rsid w:val="72271D27"/>
    <w:rsid w:val="722C61AB"/>
    <w:rsid w:val="723B4BCE"/>
    <w:rsid w:val="724823C8"/>
    <w:rsid w:val="7261476D"/>
    <w:rsid w:val="72696B7D"/>
    <w:rsid w:val="726A20FD"/>
    <w:rsid w:val="72702238"/>
    <w:rsid w:val="727F5C58"/>
    <w:rsid w:val="728362E1"/>
    <w:rsid w:val="728C5ACB"/>
    <w:rsid w:val="729021A4"/>
    <w:rsid w:val="72AA716C"/>
    <w:rsid w:val="72C0133E"/>
    <w:rsid w:val="72CC555D"/>
    <w:rsid w:val="72D51FBA"/>
    <w:rsid w:val="72F13B62"/>
    <w:rsid w:val="72FA3890"/>
    <w:rsid w:val="73021D8D"/>
    <w:rsid w:val="73120AB4"/>
    <w:rsid w:val="73277349"/>
    <w:rsid w:val="73435A94"/>
    <w:rsid w:val="734D5485"/>
    <w:rsid w:val="736D1458"/>
    <w:rsid w:val="73733F51"/>
    <w:rsid w:val="737632C7"/>
    <w:rsid w:val="738151F6"/>
    <w:rsid w:val="738F7621"/>
    <w:rsid w:val="73953AA6"/>
    <w:rsid w:val="73966EA5"/>
    <w:rsid w:val="739E3110"/>
    <w:rsid w:val="73E00C6A"/>
    <w:rsid w:val="73F568F7"/>
    <w:rsid w:val="73FA786D"/>
    <w:rsid w:val="741152AF"/>
    <w:rsid w:val="74125515"/>
    <w:rsid w:val="7416199E"/>
    <w:rsid w:val="74173542"/>
    <w:rsid w:val="74341F76"/>
    <w:rsid w:val="74495B52"/>
    <w:rsid w:val="745411EF"/>
    <w:rsid w:val="746D05CC"/>
    <w:rsid w:val="74745D85"/>
    <w:rsid w:val="748B0EED"/>
    <w:rsid w:val="74962C31"/>
    <w:rsid w:val="74B3733F"/>
    <w:rsid w:val="74C57C3D"/>
    <w:rsid w:val="74CF1C9F"/>
    <w:rsid w:val="74E13CB2"/>
    <w:rsid w:val="74E63AC3"/>
    <w:rsid w:val="74FB64E8"/>
    <w:rsid w:val="750157E5"/>
    <w:rsid w:val="752349BC"/>
    <w:rsid w:val="752B3188"/>
    <w:rsid w:val="75473464"/>
    <w:rsid w:val="75494C28"/>
    <w:rsid w:val="754E6649"/>
    <w:rsid w:val="75505901"/>
    <w:rsid w:val="755B0018"/>
    <w:rsid w:val="7567014A"/>
    <w:rsid w:val="75761854"/>
    <w:rsid w:val="75871D7A"/>
    <w:rsid w:val="758B734F"/>
    <w:rsid w:val="75933E22"/>
    <w:rsid w:val="75991CE6"/>
    <w:rsid w:val="75A41E0B"/>
    <w:rsid w:val="75A526F0"/>
    <w:rsid w:val="75B936EF"/>
    <w:rsid w:val="75C67EBC"/>
    <w:rsid w:val="75CC1EE5"/>
    <w:rsid w:val="75CD4430"/>
    <w:rsid w:val="75D66090"/>
    <w:rsid w:val="75DB69BC"/>
    <w:rsid w:val="75E27F94"/>
    <w:rsid w:val="75E32613"/>
    <w:rsid w:val="75F20C56"/>
    <w:rsid w:val="75F91DD1"/>
    <w:rsid w:val="75FB7185"/>
    <w:rsid w:val="75FC65DA"/>
    <w:rsid w:val="760F2C9B"/>
    <w:rsid w:val="761964FB"/>
    <w:rsid w:val="761D4728"/>
    <w:rsid w:val="765319D9"/>
    <w:rsid w:val="765927F0"/>
    <w:rsid w:val="765D33A0"/>
    <w:rsid w:val="766B4207"/>
    <w:rsid w:val="766D79C1"/>
    <w:rsid w:val="767C4892"/>
    <w:rsid w:val="76A05BB3"/>
    <w:rsid w:val="76A06B52"/>
    <w:rsid w:val="76A64435"/>
    <w:rsid w:val="76AD04E6"/>
    <w:rsid w:val="76BE5B47"/>
    <w:rsid w:val="76C84BF7"/>
    <w:rsid w:val="76CB0A54"/>
    <w:rsid w:val="76CF27C0"/>
    <w:rsid w:val="76D4359C"/>
    <w:rsid w:val="76E0751A"/>
    <w:rsid w:val="76E63D53"/>
    <w:rsid w:val="76EB72BE"/>
    <w:rsid w:val="77026972"/>
    <w:rsid w:val="772159C0"/>
    <w:rsid w:val="77296292"/>
    <w:rsid w:val="7730265A"/>
    <w:rsid w:val="773510C2"/>
    <w:rsid w:val="77361421"/>
    <w:rsid w:val="77391F67"/>
    <w:rsid w:val="773B39E4"/>
    <w:rsid w:val="775B71DD"/>
    <w:rsid w:val="77606E91"/>
    <w:rsid w:val="77673D4E"/>
    <w:rsid w:val="776B2153"/>
    <w:rsid w:val="776B4AB0"/>
    <w:rsid w:val="77785D38"/>
    <w:rsid w:val="77794EE5"/>
    <w:rsid w:val="77825766"/>
    <w:rsid w:val="77BE2025"/>
    <w:rsid w:val="77C370A6"/>
    <w:rsid w:val="77C54980"/>
    <w:rsid w:val="77D0573C"/>
    <w:rsid w:val="77D9614F"/>
    <w:rsid w:val="77DD59FB"/>
    <w:rsid w:val="77E2223B"/>
    <w:rsid w:val="77E82CD1"/>
    <w:rsid w:val="77F3021F"/>
    <w:rsid w:val="77FA5285"/>
    <w:rsid w:val="77FC4F2F"/>
    <w:rsid w:val="781945AC"/>
    <w:rsid w:val="78213A29"/>
    <w:rsid w:val="78376270"/>
    <w:rsid w:val="783937C4"/>
    <w:rsid w:val="78423660"/>
    <w:rsid w:val="78441F7E"/>
    <w:rsid w:val="785439E1"/>
    <w:rsid w:val="785956FF"/>
    <w:rsid w:val="78727511"/>
    <w:rsid w:val="78756096"/>
    <w:rsid w:val="78893C7F"/>
    <w:rsid w:val="788B6664"/>
    <w:rsid w:val="789304F3"/>
    <w:rsid w:val="78AB42E9"/>
    <w:rsid w:val="78AE2081"/>
    <w:rsid w:val="78BD6660"/>
    <w:rsid w:val="78C0776C"/>
    <w:rsid w:val="78D53005"/>
    <w:rsid w:val="790D4E30"/>
    <w:rsid w:val="791C6F7D"/>
    <w:rsid w:val="792A2C02"/>
    <w:rsid w:val="792C7300"/>
    <w:rsid w:val="7940316B"/>
    <w:rsid w:val="794B56F7"/>
    <w:rsid w:val="795D0019"/>
    <w:rsid w:val="796A3BB3"/>
    <w:rsid w:val="796C56D0"/>
    <w:rsid w:val="797E3282"/>
    <w:rsid w:val="79890410"/>
    <w:rsid w:val="798F0179"/>
    <w:rsid w:val="799C290D"/>
    <w:rsid w:val="79A06DC4"/>
    <w:rsid w:val="79A33BBA"/>
    <w:rsid w:val="79AE6BFA"/>
    <w:rsid w:val="79AF198F"/>
    <w:rsid w:val="79B778D1"/>
    <w:rsid w:val="79C251DB"/>
    <w:rsid w:val="79CD1517"/>
    <w:rsid w:val="79D00A12"/>
    <w:rsid w:val="79E76DD7"/>
    <w:rsid w:val="79EC102C"/>
    <w:rsid w:val="79F53F55"/>
    <w:rsid w:val="79FD6E35"/>
    <w:rsid w:val="79FE404F"/>
    <w:rsid w:val="79FE73E4"/>
    <w:rsid w:val="7A0147AB"/>
    <w:rsid w:val="7A027826"/>
    <w:rsid w:val="7A1574C7"/>
    <w:rsid w:val="7A251C4E"/>
    <w:rsid w:val="7A296296"/>
    <w:rsid w:val="7A2A2CC5"/>
    <w:rsid w:val="7A4B6918"/>
    <w:rsid w:val="7A7E3F4B"/>
    <w:rsid w:val="7A871968"/>
    <w:rsid w:val="7A9F7D20"/>
    <w:rsid w:val="7AA33D0B"/>
    <w:rsid w:val="7AB241A6"/>
    <w:rsid w:val="7AC52FA1"/>
    <w:rsid w:val="7AC65AB6"/>
    <w:rsid w:val="7ACD16AF"/>
    <w:rsid w:val="7ACF47A6"/>
    <w:rsid w:val="7AD726B2"/>
    <w:rsid w:val="7AD963D1"/>
    <w:rsid w:val="7AE26B7E"/>
    <w:rsid w:val="7AE8424E"/>
    <w:rsid w:val="7AE941EF"/>
    <w:rsid w:val="7AEC3E69"/>
    <w:rsid w:val="7AED2DDB"/>
    <w:rsid w:val="7AF15127"/>
    <w:rsid w:val="7AFD045E"/>
    <w:rsid w:val="7B05466C"/>
    <w:rsid w:val="7B114B97"/>
    <w:rsid w:val="7B1706C7"/>
    <w:rsid w:val="7B193EF9"/>
    <w:rsid w:val="7B1B06ED"/>
    <w:rsid w:val="7B280F7A"/>
    <w:rsid w:val="7B5A3FC4"/>
    <w:rsid w:val="7B647914"/>
    <w:rsid w:val="7BA4716E"/>
    <w:rsid w:val="7BAA772B"/>
    <w:rsid w:val="7BB156F1"/>
    <w:rsid w:val="7BC142DA"/>
    <w:rsid w:val="7BD96616"/>
    <w:rsid w:val="7BE970EF"/>
    <w:rsid w:val="7BEB7AA8"/>
    <w:rsid w:val="7BF57793"/>
    <w:rsid w:val="7BF70459"/>
    <w:rsid w:val="7BFD0E88"/>
    <w:rsid w:val="7C0236D6"/>
    <w:rsid w:val="7C0273E8"/>
    <w:rsid w:val="7C143EC4"/>
    <w:rsid w:val="7C310CB0"/>
    <w:rsid w:val="7C343766"/>
    <w:rsid w:val="7C5848D0"/>
    <w:rsid w:val="7C7717EB"/>
    <w:rsid w:val="7C887453"/>
    <w:rsid w:val="7C897C2D"/>
    <w:rsid w:val="7C8D4919"/>
    <w:rsid w:val="7C932303"/>
    <w:rsid w:val="7C9B38C6"/>
    <w:rsid w:val="7C9E5DD3"/>
    <w:rsid w:val="7CAB16E6"/>
    <w:rsid w:val="7CB544B0"/>
    <w:rsid w:val="7CBA6C3F"/>
    <w:rsid w:val="7CBC15D2"/>
    <w:rsid w:val="7CC958A2"/>
    <w:rsid w:val="7CD9190C"/>
    <w:rsid w:val="7CDE6C51"/>
    <w:rsid w:val="7CE34728"/>
    <w:rsid w:val="7CEE4502"/>
    <w:rsid w:val="7D0010D3"/>
    <w:rsid w:val="7D0547EC"/>
    <w:rsid w:val="7D1E3982"/>
    <w:rsid w:val="7D270C62"/>
    <w:rsid w:val="7D280A64"/>
    <w:rsid w:val="7D340669"/>
    <w:rsid w:val="7D380A13"/>
    <w:rsid w:val="7D3E6784"/>
    <w:rsid w:val="7D4A1295"/>
    <w:rsid w:val="7D4E2F4D"/>
    <w:rsid w:val="7D513BA1"/>
    <w:rsid w:val="7D99109C"/>
    <w:rsid w:val="7DA510CE"/>
    <w:rsid w:val="7DA650ED"/>
    <w:rsid w:val="7DA86A53"/>
    <w:rsid w:val="7DAF2C94"/>
    <w:rsid w:val="7DB4006F"/>
    <w:rsid w:val="7DB50159"/>
    <w:rsid w:val="7DD65ADA"/>
    <w:rsid w:val="7DDF2F99"/>
    <w:rsid w:val="7DF05E80"/>
    <w:rsid w:val="7DF46481"/>
    <w:rsid w:val="7DF77788"/>
    <w:rsid w:val="7E0835B3"/>
    <w:rsid w:val="7E102093"/>
    <w:rsid w:val="7E136CB0"/>
    <w:rsid w:val="7E507AEB"/>
    <w:rsid w:val="7E546547"/>
    <w:rsid w:val="7E5A4710"/>
    <w:rsid w:val="7E735D57"/>
    <w:rsid w:val="7E86274C"/>
    <w:rsid w:val="7EA35A3C"/>
    <w:rsid w:val="7EA971BC"/>
    <w:rsid w:val="7EB536B3"/>
    <w:rsid w:val="7EBC52EB"/>
    <w:rsid w:val="7ECB34D7"/>
    <w:rsid w:val="7ED50E5C"/>
    <w:rsid w:val="7ED51E00"/>
    <w:rsid w:val="7ED52D64"/>
    <w:rsid w:val="7ED71B00"/>
    <w:rsid w:val="7EDC652F"/>
    <w:rsid w:val="7EEE385E"/>
    <w:rsid w:val="7F0435BE"/>
    <w:rsid w:val="7F1D47D2"/>
    <w:rsid w:val="7F227B81"/>
    <w:rsid w:val="7F321830"/>
    <w:rsid w:val="7F3243C7"/>
    <w:rsid w:val="7F365443"/>
    <w:rsid w:val="7F473538"/>
    <w:rsid w:val="7F4A69EA"/>
    <w:rsid w:val="7F5C0E31"/>
    <w:rsid w:val="7F5D294A"/>
    <w:rsid w:val="7F721BA4"/>
    <w:rsid w:val="7F815141"/>
    <w:rsid w:val="7F8457DC"/>
    <w:rsid w:val="7F875650"/>
    <w:rsid w:val="7F8F49B2"/>
    <w:rsid w:val="7F8F6E2A"/>
    <w:rsid w:val="7F912972"/>
    <w:rsid w:val="7F935EC4"/>
    <w:rsid w:val="7F962E65"/>
    <w:rsid w:val="7FC03CF4"/>
    <w:rsid w:val="7FC053B8"/>
    <w:rsid w:val="7FC95C68"/>
    <w:rsid w:val="7FCE31A5"/>
    <w:rsid w:val="7FDF4497"/>
    <w:rsid w:val="7FE871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50" w:beforeLines="50" w:after="50" w:afterLines="50" w:line="360" w:lineRule="auto"/>
      <w:jc w:val="center"/>
      <w:outlineLvl w:val="0"/>
    </w:pPr>
    <w:rPr>
      <w:b/>
      <w:bCs/>
      <w:kern w:val="44"/>
      <w:sz w:val="30"/>
      <w:szCs w:val="44"/>
    </w:rPr>
  </w:style>
  <w:style w:type="paragraph" w:styleId="5">
    <w:name w:val="heading 3"/>
    <w:basedOn w:val="1"/>
    <w:next w:val="1"/>
    <w:qFormat/>
    <w:uiPriority w:val="0"/>
    <w:pPr>
      <w:keepNext/>
      <w:keepLines/>
      <w:spacing w:before="260" w:after="260" w:line="413" w:lineRule="auto"/>
      <w:outlineLvl w:val="2"/>
    </w:pPr>
    <w:rPr>
      <w:b/>
      <w:bCs/>
      <w:sz w:val="32"/>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widowControl/>
      <w:snapToGrid w:val="0"/>
      <w:spacing w:before="60" w:after="160" w:line="259" w:lineRule="auto"/>
      <w:ind w:right="113"/>
    </w:pPr>
    <w:rPr>
      <w:kern w:val="0"/>
      <w:sz w:val="18"/>
      <w:szCs w:val="20"/>
    </w:rPr>
  </w:style>
  <w:style w:type="paragraph" w:styleId="3">
    <w:name w:val="List Bullet 5"/>
    <w:basedOn w:val="1"/>
    <w:qFormat/>
    <w:uiPriority w:val="0"/>
    <w:pPr>
      <w:numPr>
        <w:ilvl w:val="0"/>
        <w:numId w:val="1"/>
      </w:numPr>
    </w:pPr>
  </w:style>
  <w:style w:type="paragraph" w:styleId="6">
    <w:name w:val="Normal Indent"/>
    <w:basedOn w:val="1"/>
    <w:next w:val="7"/>
    <w:qFormat/>
    <w:uiPriority w:val="0"/>
    <w:pPr>
      <w:ind w:firstLine="200" w:firstLineChars="200"/>
    </w:pPr>
    <w:rPr>
      <w:sz w:val="28"/>
      <w:szCs w:val="20"/>
    </w:rPr>
  </w:style>
  <w:style w:type="paragraph" w:customStyle="1" w:styleId="7">
    <w:name w:val="Default"/>
    <w:basedOn w:val="8"/>
    <w:next w:val="2"/>
    <w:qFormat/>
    <w:uiPriority w:val="0"/>
    <w:pPr>
      <w:widowControl w:val="0"/>
      <w:autoSpaceDE w:val="0"/>
      <w:autoSpaceDN w:val="0"/>
      <w:adjustRightInd w:val="0"/>
    </w:pPr>
    <w:rPr>
      <w:rFonts w:ascii="仿宋_GB2312" w:cs="仿宋_GB2312"/>
      <w:color w:val="000000"/>
      <w:sz w:val="24"/>
    </w:rPr>
  </w:style>
  <w:style w:type="paragraph" w:customStyle="1" w:styleId="8">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styleId="9">
    <w:name w:val="caption"/>
    <w:basedOn w:val="1"/>
    <w:next w:val="1"/>
    <w:qFormat/>
    <w:uiPriority w:val="99"/>
    <w:rPr>
      <w:rFonts w:ascii="Arial" w:hAnsi="Arial" w:eastAsia="黑体" w:cs="Arial"/>
      <w:sz w:val="20"/>
    </w:rPr>
  </w:style>
  <w:style w:type="paragraph" w:styleId="10">
    <w:name w:val="annotation text"/>
    <w:basedOn w:val="1"/>
    <w:link w:val="158"/>
    <w:qFormat/>
    <w:uiPriority w:val="0"/>
    <w:pPr>
      <w:jc w:val="left"/>
    </w:pPr>
    <w:rPr>
      <w:szCs w:val="20"/>
    </w:rPr>
  </w:style>
  <w:style w:type="paragraph" w:styleId="11">
    <w:name w:val="Body Text 3"/>
    <w:basedOn w:val="1"/>
    <w:qFormat/>
    <w:uiPriority w:val="0"/>
    <w:rPr>
      <w:rFonts w:ascii="宋体"/>
    </w:rPr>
  </w:style>
  <w:style w:type="paragraph" w:styleId="12">
    <w:name w:val="Body Text Indent"/>
    <w:basedOn w:val="1"/>
    <w:next w:val="1"/>
    <w:qFormat/>
    <w:uiPriority w:val="0"/>
    <w:pPr>
      <w:spacing w:after="120"/>
      <w:ind w:left="420" w:leftChars="200"/>
    </w:pPr>
    <w:rPr>
      <w:kern w:val="0"/>
      <w:sz w:val="24"/>
      <w:szCs w:val="20"/>
    </w:rPr>
  </w:style>
  <w:style w:type="paragraph" w:styleId="13">
    <w:name w:val="Block Text"/>
    <w:basedOn w:val="1"/>
    <w:qFormat/>
    <w:uiPriority w:val="0"/>
    <w:pPr>
      <w:spacing w:after="120"/>
      <w:ind w:left="1440" w:leftChars="700" w:right="1440" w:rightChars="700"/>
    </w:pPr>
  </w:style>
  <w:style w:type="paragraph" w:styleId="14">
    <w:name w:val="Plain Text"/>
    <w:basedOn w:val="1"/>
    <w:qFormat/>
    <w:uiPriority w:val="0"/>
    <w:pPr>
      <w:widowControl/>
      <w:spacing w:before="100" w:beforeAutospacing="1" w:after="100" w:afterAutospacing="1"/>
      <w:jc w:val="left"/>
    </w:pPr>
    <w:rPr>
      <w:rFonts w:ascii="宋体" w:hAnsi="宋体"/>
      <w:kern w:val="0"/>
      <w:sz w:val="24"/>
    </w:rPr>
  </w:style>
  <w:style w:type="paragraph" w:styleId="15">
    <w:name w:val="Body Text Indent 2"/>
    <w:basedOn w:val="1"/>
    <w:next w:val="16"/>
    <w:qFormat/>
    <w:uiPriority w:val="0"/>
    <w:pPr>
      <w:spacing w:line="360" w:lineRule="auto"/>
      <w:ind w:firstLine="480" w:firstLineChars="200"/>
    </w:pPr>
    <w:rPr>
      <w:color w:val="000000"/>
      <w:sz w:val="24"/>
    </w:rPr>
  </w:style>
  <w:style w:type="paragraph" w:styleId="16">
    <w:name w:val="Body Text First Indent 2"/>
    <w:basedOn w:val="12"/>
    <w:next w:val="17"/>
    <w:qFormat/>
    <w:uiPriority w:val="0"/>
    <w:pPr>
      <w:ind w:firstLine="420" w:firstLineChars="200"/>
    </w:pPr>
    <w:rPr>
      <w:sz w:val="21"/>
    </w:rPr>
  </w:style>
  <w:style w:type="paragraph" w:styleId="17">
    <w:name w:val="Body Text First Indent"/>
    <w:basedOn w:val="2"/>
    <w:next w:val="1"/>
    <w:qFormat/>
    <w:uiPriority w:val="0"/>
    <w:pPr>
      <w:spacing w:after="120" w:line="240" w:lineRule="auto"/>
      <w:ind w:right="0" w:firstLine="420" w:firstLineChars="100"/>
    </w:pPr>
    <w:rPr>
      <w:sz w:val="21"/>
    </w:rPr>
  </w:style>
  <w:style w:type="paragraph" w:styleId="18">
    <w:name w:val="Balloon Text"/>
    <w:basedOn w:val="1"/>
    <w:link w:val="148"/>
    <w:qFormat/>
    <w:uiPriority w:val="0"/>
    <w:rPr>
      <w:sz w:val="18"/>
      <w:szCs w:val="18"/>
    </w:rPr>
  </w:style>
  <w:style w:type="paragraph" w:styleId="19">
    <w:name w:val="footer"/>
    <w:basedOn w:val="1"/>
    <w:qFormat/>
    <w:uiPriority w:val="99"/>
    <w:pPr>
      <w:tabs>
        <w:tab w:val="center" w:pos="4153"/>
        <w:tab w:val="right" w:pos="8306"/>
      </w:tabs>
      <w:snapToGrid w:val="0"/>
      <w:jc w:val="left"/>
    </w:pPr>
    <w:rPr>
      <w:kern w:val="0"/>
      <w:sz w:val="18"/>
      <w:szCs w:val="20"/>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Body Text Indent 3"/>
    <w:basedOn w:val="1"/>
    <w:qFormat/>
    <w:uiPriority w:val="0"/>
    <w:pPr>
      <w:tabs>
        <w:tab w:val="left" w:pos="604"/>
      </w:tabs>
      <w:spacing w:line="360" w:lineRule="auto"/>
      <w:ind w:firstLine="600"/>
    </w:pPr>
    <w:rPr>
      <w:sz w:val="24"/>
    </w:rPr>
  </w:style>
  <w:style w:type="paragraph" w:styleId="22">
    <w:name w:val="toc 2"/>
    <w:basedOn w:val="1"/>
    <w:next w:val="1"/>
    <w:qFormat/>
    <w:uiPriority w:val="0"/>
    <w:pPr>
      <w:ind w:left="420"/>
    </w:pPr>
    <w:rPr>
      <w:szCs w:val="20"/>
    </w:rPr>
  </w:style>
  <w:style w:type="paragraph" w:styleId="2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4">
    <w:name w:val="Title"/>
    <w:basedOn w:val="1"/>
    <w:next w:val="1"/>
    <w:qFormat/>
    <w:uiPriority w:val="0"/>
    <w:pPr>
      <w:spacing w:line="480" w:lineRule="exact"/>
      <w:jc w:val="left"/>
      <w:outlineLvl w:val="0"/>
    </w:pPr>
    <w:rPr>
      <w:rFonts w:ascii="仿宋_GB2312" w:eastAsia="仿宋_GB2312" w:hAnsiTheme="majorHAnsi" w:cstheme="majorBidi"/>
      <w:b/>
      <w:bCs/>
      <w:sz w:val="28"/>
      <w:szCs w:val="32"/>
    </w:rPr>
  </w:style>
  <w:style w:type="paragraph" w:styleId="25">
    <w:name w:val="annotation subject"/>
    <w:basedOn w:val="10"/>
    <w:next w:val="10"/>
    <w:link w:val="159"/>
    <w:qFormat/>
    <w:uiPriority w:val="0"/>
    <w:rPr>
      <w:b/>
      <w:bCs/>
      <w:szCs w:val="24"/>
    </w:rPr>
  </w:style>
  <w:style w:type="table" w:styleId="27">
    <w:name w:val="Table Grid"/>
    <w:basedOn w:val="26"/>
    <w:qFormat/>
    <w:uiPriority w:val="9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bCs/>
    </w:rPr>
  </w:style>
  <w:style w:type="character" w:styleId="30">
    <w:name w:val="page number"/>
    <w:basedOn w:val="28"/>
    <w:qFormat/>
    <w:uiPriority w:val="0"/>
  </w:style>
  <w:style w:type="character" w:styleId="31">
    <w:name w:val="FollowedHyperlink"/>
    <w:basedOn w:val="28"/>
    <w:qFormat/>
    <w:uiPriority w:val="0"/>
    <w:rPr>
      <w:color w:val="333333"/>
      <w:u w:val="none"/>
    </w:rPr>
  </w:style>
  <w:style w:type="character" w:styleId="32">
    <w:name w:val="Emphasis"/>
    <w:basedOn w:val="28"/>
    <w:qFormat/>
    <w:uiPriority w:val="0"/>
  </w:style>
  <w:style w:type="character" w:styleId="33">
    <w:name w:val="Hyperlink"/>
    <w:basedOn w:val="28"/>
    <w:qFormat/>
    <w:uiPriority w:val="0"/>
    <w:rPr>
      <w:color w:val="333333"/>
      <w:u w:val="none"/>
    </w:rPr>
  </w:style>
  <w:style w:type="character" w:styleId="34">
    <w:name w:val="annotation reference"/>
    <w:basedOn w:val="28"/>
    <w:qFormat/>
    <w:uiPriority w:val="0"/>
    <w:rPr>
      <w:sz w:val="21"/>
    </w:rPr>
  </w:style>
  <w:style w:type="character" w:styleId="35">
    <w:name w:val="HTML Cite"/>
    <w:basedOn w:val="28"/>
    <w:qFormat/>
    <w:uiPriority w:val="0"/>
  </w:style>
  <w:style w:type="paragraph" w:customStyle="1" w:styleId="36">
    <w:name w:val="无间隔11"/>
    <w:qFormat/>
    <w:uiPriority w:val="0"/>
    <w:pPr>
      <w:widowControl w:val="0"/>
    </w:pPr>
    <w:rPr>
      <w:rFonts w:ascii="宋体" w:hAnsi="Courier New" w:eastAsia="仿宋_GB2312" w:cs="Times New Roman"/>
      <w:kern w:val="2"/>
      <w:sz w:val="24"/>
      <w:lang w:val="en-US" w:eastAsia="zh-CN" w:bidi="ar-SA"/>
    </w:rPr>
  </w:style>
  <w:style w:type="paragraph" w:customStyle="1" w:styleId="37">
    <w:name w:val="图表"/>
    <w:basedOn w:val="38"/>
    <w:qFormat/>
    <w:uiPriority w:val="0"/>
    <w:rPr>
      <w:color w:val="000000"/>
      <w:sz w:val="21"/>
      <w:szCs w:val="21"/>
    </w:rPr>
  </w:style>
  <w:style w:type="paragraph" w:customStyle="1" w:styleId="38">
    <w:name w:val="表格"/>
    <w:basedOn w:val="1"/>
    <w:next w:val="1"/>
    <w:qFormat/>
    <w:uiPriority w:val="0"/>
    <w:pPr>
      <w:jc w:val="center"/>
    </w:pPr>
    <w:rPr>
      <w:sz w:val="24"/>
    </w:rPr>
  </w:style>
  <w:style w:type="character" w:customStyle="1" w:styleId="39">
    <w:name w:val="font201"/>
    <w:basedOn w:val="28"/>
    <w:qFormat/>
    <w:uiPriority w:val="0"/>
    <w:rPr>
      <w:rFonts w:hint="eastAsia" w:ascii="宋体" w:hAnsi="宋体" w:eastAsia="宋体"/>
      <w:color w:val="C00000"/>
      <w:sz w:val="21"/>
      <w:szCs w:val="21"/>
      <w:u w:val="none"/>
    </w:rPr>
  </w:style>
  <w:style w:type="character" w:customStyle="1" w:styleId="40">
    <w:name w:val="font101"/>
    <w:basedOn w:val="28"/>
    <w:qFormat/>
    <w:uiPriority w:val="0"/>
    <w:rPr>
      <w:rFonts w:hint="default" w:ascii="Times New Roman" w:hAnsi="Times New Roman" w:cs="Times New Roman"/>
      <w:color w:val="C00000"/>
      <w:sz w:val="21"/>
      <w:szCs w:val="21"/>
      <w:u w:val="none"/>
    </w:rPr>
  </w:style>
  <w:style w:type="paragraph" w:customStyle="1" w:styleId="41">
    <w:name w:val="无间隔1"/>
    <w:qFormat/>
    <w:uiPriority w:val="0"/>
    <w:pPr>
      <w:widowControl w:val="0"/>
    </w:pPr>
    <w:rPr>
      <w:rFonts w:ascii="宋体" w:hAnsi="Courier New" w:eastAsia="仿宋_GB2312" w:cs="Times New Roman"/>
      <w:kern w:val="2"/>
      <w:sz w:val="21"/>
      <w:lang w:val="en-US" w:eastAsia="zh-CN" w:bidi="ar-SA"/>
    </w:rPr>
  </w:style>
  <w:style w:type="paragraph" w:customStyle="1" w:styleId="42">
    <w:name w:val="表格的文字"/>
    <w:basedOn w:val="43"/>
    <w:qFormat/>
    <w:uiPriority w:val="99"/>
    <w:pPr>
      <w:tabs>
        <w:tab w:val="left" w:pos="277"/>
        <w:tab w:val="left" w:pos="600"/>
        <w:tab w:val="left" w:pos="780"/>
        <w:tab w:val="left" w:pos="2517"/>
      </w:tabs>
    </w:pPr>
  </w:style>
  <w:style w:type="paragraph" w:customStyle="1" w:styleId="43">
    <w:name w:val="表格文字2"/>
    <w:basedOn w:val="1"/>
    <w:qFormat/>
    <w:uiPriority w:val="99"/>
    <w:pPr>
      <w:tabs>
        <w:tab w:val="left" w:pos="277"/>
        <w:tab w:val="left" w:pos="600"/>
        <w:tab w:val="left" w:pos="780"/>
        <w:tab w:val="left" w:pos="2517"/>
      </w:tabs>
      <w:adjustRightInd w:val="0"/>
      <w:snapToGrid w:val="0"/>
      <w:jc w:val="center"/>
      <w:textAlignment w:val="baseline"/>
    </w:pPr>
    <w:rPr>
      <w:szCs w:val="21"/>
    </w:rPr>
  </w:style>
  <w:style w:type="paragraph" w:customStyle="1" w:styleId="44">
    <w:name w:val="5级标题"/>
    <w:basedOn w:val="1"/>
    <w:qFormat/>
    <w:uiPriority w:val="0"/>
    <w:pPr>
      <w:spacing w:line="360" w:lineRule="auto"/>
      <w:jc w:val="left"/>
    </w:pPr>
    <w:rPr>
      <w:sz w:val="24"/>
    </w:rPr>
  </w:style>
  <w:style w:type="paragraph" w:customStyle="1" w:styleId="45">
    <w:name w:val="！！"/>
    <w:basedOn w:val="42"/>
    <w:qFormat/>
    <w:uiPriority w:val="0"/>
  </w:style>
  <w:style w:type="paragraph" w:customStyle="1" w:styleId="46">
    <w:name w:val="！！表格内容"/>
    <w:basedOn w:val="1"/>
    <w:qFormat/>
    <w:uiPriority w:val="0"/>
    <w:pPr>
      <w:widowControl/>
      <w:jc w:val="center"/>
      <w:textAlignment w:val="bottom"/>
    </w:pPr>
    <w:rPr>
      <w:szCs w:val="18"/>
    </w:rPr>
  </w:style>
  <w:style w:type="paragraph" w:customStyle="1" w:styleId="47">
    <w:name w:val="Char Char Char Char Char Char Char Char Char Char Char Char Char Char Char Char Char Char Char Char Char Char Char Char Char Char1"/>
    <w:basedOn w:val="1"/>
    <w:qFormat/>
    <w:uiPriority w:val="99"/>
    <w:rPr>
      <w:sz w:val="24"/>
    </w:rPr>
  </w:style>
  <w:style w:type="paragraph" w:styleId="48">
    <w:name w:val="No Spacing"/>
    <w:qFormat/>
    <w:uiPriority w:val="0"/>
    <w:pPr>
      <w:widowControl w:val="0"/>
      <w:jc w:val="center"/>
    </w:pPr>
    <w:rPr>
      <w:rFonts w:ascii="宋体" w:hAnsi="Courier New" w:eastAsia="仿宋_GB2312" w:cs="Times New Roman"/>
      <w:kern w:val="2"/>
      <w:sz w:val="24"/>
      <w:lang w:val="en-US" w:eastAsia="zh-CN" w:bidi="ar-SA"/>
    </w:rPr>
  </w:style>
  <w:style w:type="paragraph" w:customStyle="1" w:styleId="49">
    <w:name w:val="样式1"/>
    <w:basedOn w:val="1"/>
    <w:qFormat/>
    <w:uiPriority w:val="0"/>
    <w:pPr>
      <w:spacing w:line="360" w:lineRule="auto"/>
    </w:pPr>
    <w:rPr>
      <w:color w:val="000000"/>
      <w:sz w:val="24"/>
      <w:szCs w:val="20"/>
    </w:rPr>
  </w:style>
  <w:style w:type="paragraph" w:customStyle="1" w:styleId="50">
    <w:name w:val="常用正文样式"/>
    <w:basedOn w:val="1"/>
    <w:qFormat/>
    <w:uiPriority w:val="0"/>
    <w:pPr>
      <w:spacing w:line="360" w:lineRule="auto"/>
      <w:ind w:firstLine="480" w:firstLineChars="200"/>
    </w:pPr>
    <w:rPr>
      <w:rFonts w:ascii="宋体" w:hAnsi="宋体" w:eastAsia="仿宋_GB2312" w:cs="宋体"/>
      <w:bCs/>
      <w:kern w:val="28"/>
      <w:sz w:val="24"/>
    </w:rPr>
  </w:style>
  <w:style w:type="paragraph" w:customStyle="1" w:styleId="51">
    <w:name w:val="111正文"/>
    <w:basedOn w:val="1"/>
    <w:qFormat/>
    <w:uiPriority w:val="0"/>
    <w:pPr>
      <w:tabs>
        <w:tab w:val="left" w:pos="600"/>
      </w:tabs>
      <w:spacing w:line="360" w:lineRule="auto"/>
      <w:ind w:firstLine="200" w:firstLineChars="200"/>
    </w:pPr>
    <w:rPr>
      <w:kern w:val="0"/>
      <w:sz w:val="24"/>
    </w:rPr>
  </w:style>
  <w:style w:type="paragraph" w:customStyle="1" w:styleId="52">
    <w:name w:val="111表头"/>
    <w:basedOn w:val="1"/>
    <w:qFormat/>
    <w:uiPriority w:val="0"/>
    <w:pPr>
      <w:tabs>
        <w:tab w:val="left" w:pos="600"/>
      </w:tabs>
      <w:spacing w:line="400" w:lineRule="exact"/>
      <w:jc w:val="center"/>
    </w:pPr>
    <w:rPr>
      <w:b/>
      <w:kern w:val="0"/>
      <w:sz w:val="24"/>
    </w:rPr>
  </w:style>
  <w:style w:type="paragraph" w:customStyle="1" w:styleId="53">
    <w:name w:val="1表格"/>
    <w:basedOn w:val="1"/>
    <w:link w:val="54"/>
    <w:qFormat/>
    <w:uiPriority w:val="0"/>
    <w:pPr>
      <w:adjustRightInd w:val="0"/>
      <w:snapToGrid w:val="0"/>
      <w:jc w:val="center"/>
    </w:pPr>
    <w:rPr>
      <w:spacing w:val="4"/>
      <w:kern w:val="0"/>
      <w:sz w:val="20"/>
    </w:rPr>
  </w:style>
  <w:style w:type="character" w:customStyle="1" w:styleId="54">
    <w:name w:val="1表格 Char"/>
    <w:link w:val="53"/>
    <w:qFormat/>
    <w:locked/>
    <w:uiPriority w:val="0"/>
    <w:rPr>
      <w:spacing w:val="4"/>
      <w:kern w:val="0"/>
      <w:sz w:val="20"/>
      <w:szCs w:val="24"/>
    </w:rPr>
  </w:style>
  <w:style w:type="paragraph" w:customStyle="1" w:styleId="55">
    <w:name w:val="创业正文"/>
    <w:basedOn w:val="1"/>
    <w:qFormat/>
    <w:uiPriority w:val="0"/>
    <w:pPr>
      <w:autoSpaceDE w:val="0"/>
      <w:autoSpaceDN w:val="0"/>
      <w:adjustRightInd w:val="0"/>
      <w:snapToGrid w:val="0"/>
      <w:spacing w:line="480" w:lineRule="exact"/>
      <w:ind w:firstLine="480" w:firstLineChars="200"/>
    </w:pPr>
    <w:rPr>
      <w:bCs/>
      <w:sz w:val="24"/>
      <w:szCs w:val="28"/>
      <w:lang w:val="zh-CN"/>
    </w:rPr>
  </w:style>
  <w:style w:type="paragraph" w:customStyle="1" w:styleId="56">
    <w:name w:val="表格文字"/>
    <w:basedOn w:val="1"/>
    <w:qFormat/>
    <w:uiPriority w:val="0"/>
    <w:pPr>
      <w:jc w:val="center"/>
    </w:pPr>
    <w:rPr>
      <w:rFonts w:ascii="仿宋_GB2312" w:hAnsi="Arial Black" w:eastAsia="仿宋_GB2312"/>
      <w:kern w:val="44"/>
      <w:sz w:val="24"/>
      <w:szCs w:val="20"/>
    </w:rPr>
  </w:style>
  <w:style w:type="paragraph" w:customStyle="1" w:styleId="57">
    <w:name w:val="xl23"/>
    <w:basedOn w:val="1"/>
    <w:qFormat/>
    <w:uiPriority w:val="0"/>
    <w:pPr>
      <w:widowControl/>
      <w:spacing w:before="100" w:beforeAutospacing="1" w:after="100" w:afterAutospacing="1"/>
      <w:jc w:val="center"/>
    </w:pPr>
    <w:rPr>
      <w:rFonts w:ascii="Arial Unicode MS" w:hAnsi="Arial Unicode MS"/>
      <w:kern w:val="0"/>
      <w:sz w:val="24"/>
    </w:rPr>
  </w:style>
  <w:style w:type="paragraph" w:styleId="58">
    <w:name w:val="List Paragraph"/>
    <w:basedOn w:val="1"/>
    <w:qFormat/>
    <w:uiPriority w:val="99"/>
    <w:pPr>
      <w:ind w:firstLine="420" w:firstLineChars="200"/>
    </w:pPr>
  </w:style>
  <w:style w:type="paragraph" w:customStyle="1" w:styleId="59">
    <w:name w:val="报告书 正文"/>
    <w:qFormat/>
    <w:uiPriority w:val="0"/>
    <w:pPr>
      <w:widowControl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character" w:customStyle="1" w:styleId="60">
    <w:name w:val="font11"/>
    <w:qFormat/>
    <w:uiPriority w:val="0"/>
    <w:rPr>
      <w:sz w:val="18"/>
      <w:szCs w:val="18"/>
    </w:rPr>
  </w:style>
  <w:style w:type="paragraph" w:customStyle="1" w:styleId="61">
    <w:name w:val="框图"/>
    <w:basedOn w:val="1"/>
    <w:qFormat/>
    <w:uiPriority w:val="0"/>
    <w:pPr>
      <w:adjustRightInd w:val="0"/>
      <w:snapToGrid w:val="0"/>
      <w:spacing w:line="27" w:lineRule="atLeast"/>
      <w:ind w:left="12" w:leftChars="-38" w:right="-38" w:rightChars="-38" w:hanging="92" w:hangingChars="54"/>
      <w:jc w:val="center"/>
    </w:pPr>
    <w:rPr>
      <w:rFonts w:ascii="宋体" w:hAnsi="宋体"/>
      <w:spacing w:val="-20"/>
    </w:rPr>
  </w:style>
  <w:style w:type="character" w:customStyle="1" w:styleId="62">
    <w:name w:val="font51"/>
    <w:basedOn w:val="28"/>
    <w:qFormat/>
    <w:uiPriority w:val="0"/>
    <w:rPr>
      <w:rFonts w:hint="default" w:ascii="Times New Roman" w:hAnsi="Times New Roman" w:cs="Times New Roman"/>
      <w:b/>
      <w:color w:val="000000"/>
      <w:sz w:val="18"/>
      <w:szCs w:val="18"/>
      <w:u w:val="none"/>
    </w:rPr>
  </w:style>
  <w:style w:type="paragraph" w:customStyle="1" w:styleId="63">
    <w:name w:val="正文 首行缩进:  2 字符"/>
    <w:basedOn w:val="1"/>
    <w:qFormat/>
    <w:uiPriority w:val="99"/>
    <w:pPr>
      <w:ind w:firstLine="579" w:firstLineChars="200"/>
    </w:pPr>
    <w:rPr>
      <w:rFonts w:eastAsia="等线" w:cs="宋体"/>
      <w:szCs w:val="20"/>
    </w:rPr>
  </w:style>
  <w:style w:type="paragraph" w:customStyle="1" w:styleId="64">
    <w:name w:val="1 正文"/>
    <w:basedOn w:val="1"/>
    <w:qFormat/>
    <w:uiPriority w:val="0"/>
    <w:pPr>
      <w:adjustRightInd w:val="0"/>
      <w:snapToGrid w:val="0"/>
      <w:spacing w:line="360" w:lineRule="auto"/>
      <w:ind w:firstLine="200" w:firstLineChars="200"/>
    </w:pPr>
    <w:rPr>
      <w:kern w:val="0"/>
      <w:sz w:val="24"/>
      <w:szCs w:val="20"/>
    </w:rPr>
  </w:style>
  <w:style w:type="paragraph" w:customStyle="1" w:styleId="65">
    <w:name w:val="p0"/>
    <w:basedOn w:val="1"/>
    <w:qFormat/>
    <w:uiPriority w:val="0"/>
    <w:pPr>
      <w:widowControl/>
    </w:pPr>
    <w:rPr>
      <w:kern w:val="0"/>
      <w:szCs w:val="21"/>
    </w:rPr>
  </w:style>
  <w:style w:type="paragraph" w:customStyle="1" w:styleId="66">
    <w:name w:val="Char4 Char Char Char Char Char Char Char Char Char Char Char Char Char Char Char Char Char1 Char Char Char Char Char Char1 Char"/>
    <w:basedOn w:val="1"/>
    <w:qFormat/>
    <w:uiPriority w:val="0"/>
    <w:pPr>
      <w:spacing w:line="240" w:lineRule="exact"/>
      <w:ind w:firstLine="200" w:firstLineChars="200"/>
    </w:pPr>
    <w:rPr>
      <w:rFonts w:ascii="仿宋_GB2312" w:eastAsia="仿宋_GB2312"/>
      <w:sz w:val="28"/>
    </w:rPr>
  </w:style>
  <w:style w:type="character" w:customStyle="1" w:styleId="67">
    <w:name w:val="fontstyle01"/>
    <w:qFormat/>
    <w:uiPriority w:val="0"/>
    <w:rPr>
      <w:rFonts w:hint="eastAsia" w:ascii="宋体" w:hAnsi="宋体" w:eastAsia="宋体" w:cs="宋体"/>
      <w:color w:val="000000"/>
      <w:kern w:val="0"/>
      <w:sz w:val="24"/>
      <w:szCs w:val="24"/>
    </w:rPr>
  </w:style>
  <w:style w:type="character" w:customStyle="1" w:styleId="68">
    <w:name w:val="font21"/>
    <w:basedOn w:val="28"/>
    <w:qFormat/>
    <w:uiPriority w:val="0"/>
    <w:rPr>
      <w:rFonts w:hint="default" w:ascii="Times New Roman" w:hAnsi="Times New Roman" w:cs="Times New Roman"/>
      <w:color w:val="000000"/>
      <w:sz w:val="21"/>
      <w:szCs w:val="21"/>
      <w:u w:val="none"/>
    </w:rPr>
  </w:style>
  <w:style w:type="character" w:customStyle="1" w:styleId="69">
    <w:name w:val="font41"/>
    <w:basedOn w:val="28"/>
    <w:qFormat/>
    <w:uiPriority w:val="0"/>
    <w:rPr>
      <w:rFonts w:hint="default" w:ascii="Times New Roman" w:hAnsi="Times New Roman" w:cs="Times New Roman"/>
      <w:color w:val="000000"/>
      <w:sz w:val="20"/>
      <w:szCs w:val="20"/>
      <w:u w:val="none"/>
    </w:rPr>
  </w:style>
  <w:style w:type="character" w:customStyle="1" w:styleId="70">
    <w:name w:val="font01"/>
    <w:basedOn w:val="28"/>
    <w:qFormat/>
    <w:uiPriority w:val="0"/>
    <w:rPr>
      <w:rFonts w:hint="default" w:ascii="Times New Roman" w:hAnsi="Times New Roman" w:cs="Times New Roman"/>
      <w:color w:val="000000"/>
      <w:sz w:val="20"/>
      <w:szCs w:val="20"/>
      <w:u w:val="none"/>
    </w:rPr>
  </w:style>
  <w:style w:type="character" w:customStyle="1" w:styleId="71">
    <w:name w:val="font71"/>
    <w:basedOn w:val="28"/>
    <w:qFormat/>
    <w:uiPriority w:val="0"/>
    <w:rPr>
      <w:rFonts w:hint="eastAsia" w:ascii="宋体" w:hAnsi="宋体" w:eastAsia="宋体" w:cs="宋体"/>
      <w:color w:val="000000"/>
      <w:sz w:val="20"/>
      <w:szCs w:val="20"/>
      <w:u w:val="none"/>
    </w:rPr>
  </w:style>
  <w:style w:type="character" w:customStyle="1" w:styleId="72">
    <w:name w:val="font61"/>
    <w:basedOn w:val="28"/>
    <w:qFormat/>
    <w:uiPriority w:val="0"/>
    <w:rPr>
      <w:rFonts w:hint="default" w:ascii="Times New Roman" w:hAnsi="Times New Roman" w:cs="Times New Roman"/>
      <w:color w:val="000000"/>
      <w:sz w:val="20"/>
      <w:szCs w:val="20"/>
      <w:u w:val="none"/>
    </w:rPr>
  </w:style>
  <w:style w:type="paragraph" w:customStyle="1" w:styleId="73">
    <w:name w:val="No Spacing11"/>
    <w:qFormat/>
    <w:uiPriority w:val="0"/>
    <w:pPr>
      <w:widowControl w:val="0"/>
      <w:jc w:val="center"/>
    </w:pPr>
    <w:rPr>
      <w:rFonts w:ascii="宋体" w:hAnsi="Courier New" w:eastAsia="仿宋_GB2312" w:cs="Times New Roman"/>
      <w:kern w:val="2"/>
      <w:sz w:val="24"/>
      <w:lang w:val="en-US" w:eastAsia="zh-CN" w:bidi="ar-SA"/>
    </w:rPr>
  </w:style>
  <w:style w:type="paragraph" w:customStyle="1" w:styleId="74">
    <w:name w:val="常用表格样式"/>
    <w:qFormat/>
    <w:uiPriority w:val="0"/>
    <w:pPr>
      <w:widowControl w:val="0"/>
      <w:adjustRightInd w:val="0"/>
      <w:jc w:val="center"/>
    </w:pPr>
    <w:rPr>
      <w:rFonts w:ascii="宋体" w:hAnsi="宋体" w:eastAsia="仿宋_GB2312" w:cs="宋体"/>
      <w:color w:val="000000"/>
      <w:sz w:val="18"/>
      <w:szCs w:val="18"/>
      <w:lang w:val="en-US" w:eastAsia="zh-CN" w:bidi="ar-SA"/>
    </w:rPr>
  </w:style>
  <w:style w:type="paragraph" w:customStyle="1" w:styleId="75">
    <w:name w:val="表格首行"/>
    <w:basedOn w:val="76"/>
    <w:qFormat/>
    <w:uiPriority w:val="0"/>
    <w:pPr>
      <w:widowControl/>
      <w:overflowPunct w:val="0"/>
      <w:textAlignment w:val="baseline"/>
    </w:pPr>
    <w:rPr>
      <w:rFonts w:eastAsia="仿宋"/>
      <w:kern w:val="0"/>
      <w:sz w:val="24"/>
      <w:szCs w:val="20"/>
    </w:rPr>
  </w:style>
  <w:style w:type="paragraph" w:customStyle="1" w:styleId="76">
    <w:name w:val="表格内容"/>
    <w:basedOn w:val="1"/>
    <w:qFormat/>
    <w:uiPriority w:val="0"/>
    <w:pPr>
      <w:jc w:val="center"/>
    </w:pPr>
  </w:style>
  <w:style w:type="character" w:customStyle="1" w:styleId="77">
    <w:name w:val="font31"/>
    <w:basedOn w:val="28"/>
    <w:qFormat/>
    <w:uiPriority w:val="0"/>
    <w:rPr>
      <w:rFonts w:hint="eastAsia" w:ascii="宋体" w:hAnsi="宋体" w:eastAsia="宋体" w:cs="宋体"/>
      <w:color w:val="000000"/>
      <w:sz w:val="21"/>
      <w:szCs w:val="21"/>
      <w:u w:val="none"/>
    </w:rPr>
  </w:style>
  <w:style w:type="character" w:customStyle="1" w:styleId="78">
    <w:name w:val="uug_m27"/>
    <w:basedOn w:val="28"/>
    <w:qFormat/>
    <w:uiPriority w:val="0"/>
  </w:style>
  <w:style w:type="character" w:customStyle="1" w:styleId="79">
    <w:name w:val="current"/>
    <w:basedOn w:val="28"/>
    <w:qFormat/>
    <w:uiPriority w:val="0"/>
    <w:rPr>
      <w:b/>
      <w:bCs/>
      <w:color w:val="FFFFFF"/>
      <w:bdr w:val="single" w:color="000099" w:sz="6" w:space="0"/>
      <w:shd w:val="clear" w:color="auto" w:fill="000099"/>
    </w:rPr>
  </w:style>
  <w:style w:type="character" w:customStyle="1" w:styleId="80">
    <w:name w:val="uug_m9"/>
    <w:basedOn w:val="28"/>
    <w:qFormat/>
    <w:uiPriority w:val="0"/>
  </w:style>
  <w:style w:type="character" w:customStyle="1" w:styleId="81">
    <w:name w:val="uug_m25"/>
    <w:basedOn w:val="28"/>
    <w:qFormat/>
    <w:uiPriority w:val="0"/>
  </w:style>
  <w:style w:type="character" w:customStyle="1" w:styleId="82">
    <w:name w:val="uug_m16"/>
    <w:basedOn w:val="28"/>
    <w:qFormat/>
    <w:uiPriority w:val="0"/>
  </w:style>
  <w:style w:type="character" w:customStyle="1" w:styleId="83">
    <w:name w:val="ddwe"/>
    <w:basedOn w:val="28"/>
    <w:qFormat/>
    <w:uiPriority w:val="0"/>
    <w:rPr>
      <w:rFonts w:ascii="微软雅黑" w:hAnsi="微软雅黑" w:eastAsia="微软雅黑" w:cs="微软雅黑"/>
      <w:color w:val="333333"/>
      <w:sz w:val="18"/>
      <w:szCs w:val="18"/>
    </w:rPr>
  </w:style>
  <w:style w:type="character" w:customStyle="1" w:styleId="84">
    <w:name w:val="nhg_p12"/>
    <w:basedOn w:val="28"/>
    <w:qFormat/>
    <w:uiPriority w:val="0"/>
  </w:style>
  <w:style w:type="character" w:customStyle="1" w:styleId="85">
    <w:name w:val="lt"/>
    <w:basedOn w:val="28"/>
    <w:qFormat/>
    <w:uiPriority w:val="0"/>
  </w:style>
  <w:style w:type="character" w:customStyle="1" w:styleId="86">
    <w:name w:val="lt1"/>
    <w:basedOn w:val="28"/>
    <w:qFormat/>
    <w:uiPriority w:val="0"/>
  </w:style>
  <w:style w:type="character" w:customStyle="1" w:styleId="87">
    <w:name w:val="uug_m15"/>
    <w:basedOn w:val="28"/>
    <w:qFormat/>
    <w:uiPriority w:val="0"/>
  </w:style>
  <w:style w:type="character" w:customStyle="1" w:styleId="88">
    <w:name w:val="uug_m17"/>
    <w:basedOn w:val="28"/>
    <w:qFormat/>
    <w:uiPriority w:val="0"/>
  </w:style>
  <w:style w:type="character" w:customStyle="1" w:styleId="89">
    <w:name w:val="navon"/>
    <w:basedOn w:val="28"/>
    <w:qFormat/>
    <w:uiPriority w:val="0"/>
    <w:rPr>
      <w:shd w:val="clear" w:color="auto" w:fill="189AED"/>
    </w:rPr>
  </w:style>
  <w:style w:type="character" w:customStyle="1" w:styleId="90">
    <w:name w:val="uug_m24"/>
    <w:basedOn w:val="28"/>
    <w:qFormat/>
    <w:uiPriority w:val="0"/>
  </w:style>
  <w:style w:type="character" w:customStyle="1" w:styleId="91">
    <w:name w:val="tel_m4"/>
    <w:basedOn w:val="28"/>
    <w:qFormat/>
    <w:uiPriority w:val="0"/>
  </w:style>
  <w:style w:type="character" w:customStyle="1" w:styleId="92">
    <w:name w:val="collect_p"/>
    <w:basedOn w:val="28"/>
    <w:qFormat/>
    <w:uiPriority w:val="0"/>
  </w:style>
  <w:style w:type="character" w:customStyle="1" w:styleId="93">
    <w:name w:val="tel_m2"/>
    <w:basedOn w:val="28"/>
    <w:qFormat/>
    <w:uiPriority w:val="0"/>
  </w:style>
  <w:style w:type="character" w:customStyle="1" w:styleId="94">
    <w:name w:val="disabled"/>
    <w:basedOn w:val="28"/>
    <w:qFormat/>
    <w:uiPriority w:val="0"/>
    <w:rPr>
      <w:color w:val="DDDDDD"/>
      <w:bdr w:val="single" w:color="EEEEEE" w:sz="6" w:space="0"/>
    </w:rPr>
  </w:style>
  <w:style w:type="character" w:customStyle="1" w:styleId="95">
    <w:name w:val="uug_m6"/>
    <w:basedOn w:val="28"/>
    <w:qFormat/>
    <w:uiPriority w:val="0"/>
  </w:style>
  <w:style w:type="character" w:customStyle="1" w:styleId="96">
    <w:name w:val="first-child"/>
    <w:basedOn w:val="28"/>
    <w:qFormat/>
    <w:uiPriority w:val="0"/>
  </w:style>
  <w:style w:type="character" w:customStyle="1" w:styleId="97">
    <w:name w:val="on12"/>
    <w:basedOn w:val="28"/>
    <w:qFormat/>
    <w:uiPriority w:val="0"/>
    <w:rPr>
      <w:bdr w:val="single" w:color="189AED" w:sz="6" w:space="0"/>
      <w:shd w:val="clear" w:color="auto" w:fill="189AED"/>
    </w:rPr>
  </w:style>
  <w:style w:type="character" w:customStyle="1" w:styleId="98">
    <w:name w:val="on13"/>
    <w:basedOn w:val="28"/>
    <w:qFormat/>
    <w:uiPriority w:val="0"/>
    <w:rPr>
      <w:color w:val="005BA0"/>
      <w:shd w:val="clear" w:color="auto" w:fill="005BA0"/>
    </w:rPr>
  </w:style>
  <w:style w:type="character" w:customStyle="1" w:styleId="99">
    <w:name w:val="on14"/>
    <w:basedOn w:val="28"/>
    <w:qFormat/>
    <w:uiPriority w:val="0"/>
    <w:rPr>
      <w:shd w:val="clear" w:color="auto" w:fill="2682E7"/>
    </w:rPr>
  </w:style>
  <w:style w:type="character" w:customStyle="1" w:styleId="100">
    <w:name w:val="uug_m26"/>
    <w:basedOn w:val="28"/>
    <w:qFormat/>
    <w:uiPriority w:val="0"/>
  </w:style>
  <w:style w:type="character" w:customStyle="1" w:styleId="101">
    <w:name w:val="uug_m21"/>
    <w:basedOn w:val="28"/>
    <w:qFormat/>
    <w:uiPriority w:val="0"/>
  </w:style>
  <w:style w:type="character" w:customStyle="1" w:styleId="102">
    <w:name w:val="ct_li_ma_pp"/>
    <w:basedOn w:val="28"/>
    <w:qFormat/>
    <w:uiPriority w:val="0"/>
    <w:rPr>
      <w:rFonts w:hint="eastAsia" w:ascii="微软雅黑" w:hAnsi="微软雅黑" w:eastAsia="微软雅黑" w:cs="微软雅黑"/>
      <w:color w:val="333333"/>
      <w:sz w:val="21"/>
      <w:szCs w:val="21"/>
    </w:rPr>
  </w:style>
  <w:style w:type="character" w:customStyle="1" w:styleId="103">
    <w:name w:val="uug_m12"/>
    <w:basedOn w:val="28"/>
    <w:qFormat/>
    <w:uiPriority w:val="0"/>
  </w:style>
  <w:style w:type="character" w:customStyle="1" w:styleId="104">
    <w:name w:val="qg2"/>
    <w:basedOn w:val="28"/>
    <w:qFormat/>
    <w:uiPriority w:val="0"/>
  </w:style>
  <w:style w:type="character" w:customStyle="1" w:styleId="105">
    <w:name w:val="qg21"/>
    <w:basedOn w:val="28"/>
    <w:qFormat/>
    <w:uiPriority w:val="0"/>
  </w:style>
  <w:style w:type="character" w:customStyle="1" w:styleId="106">
    <w:name w:val="qg1"/>
    <w:basedOn w:val="28"/>
    <w:qFormat/>
    <w:uiPriority w:val="0"/>
  </w:style>
  <w:style w:type="character" w:customStyle="1" w:styleId="107">
    <w:name w:val="qg11"/>
    <w:basedOn w:val="28"/>
    <w:qFormat/>
    <w:uiPriority w:val="0"/>
  </w:style>
  <w:style w:type="character" w:customStyle="1" w:styleId="108">
    <w:name w:val="qg3"/>
    <w:basedOn w:val="28"/>
    <w:qFormat/>
    <w:uiPriority w:val="0"/>
  </w:style>
  <w:style w:type="character" w:customStyle="1" w:styleId="109">
    <w:name w:val="qg31"/>
    <w:basedOn w:val="28"/>
    <w:qFormat/>
    <w:uiPriority w:val="0"/>
  </w:style>
  <w:style w:type="character" w:customStyle="1" w:styleId="110">
    <w:name w:val="uug_m11"/>
    <w:basedOn w:val="28"/>
    <w:qFormat/>
    <w:uiPriority w:val="0"/>
  </w:style>
  <w:style w:type="character" w:customStyle="1" w:styleId="111">
    <w:name w:val="qg4"/>
    <w:basedOn w:val="28"/>
    <w:qFormat/>
    <w:uiPriority w:val="0"/>
  </w:style>
  <w:style w:type="character" w:customStyle="1" w:styleId="112">
    <w:name w:val="qg41"/>
    <w:basedOn w:val="28"/>
    <w:qFormat/>
    <w:uiPriority w:val="0"/>
  </w:style>
  <w:style w:type="character" w:customStyle="1" w:styleId="113">
    <w:name w:val="sp_lp1"/>
    <w:basedOn w:val="28"/>
    <w:qFormat/>
    <w:uiPriority w:val="0"/>
  </w:style>
  <w:style w:type="character" w:customStyle="1" w:styleId="114">
    <w:name w:val="sp_lp2"/>
    <w:basedOn w:val="28"/>
    <w:qFormat/>
    <w:uiPriority w:val="0"/>
  </w:style>
  <w:style w:type="character" w:customStyle="1" w:styleId="115">
    <w:name w:val="uug_m4"/>
    <w:basedOn w:val="28"/>
    <w:qFormat/>
    <w:uiPriority w:val="0"/>
  </w:style>
  <w:style w:type="character" w:customStyle="1" w:styleId="116">
    <w:name w:val="uug_m8"/>
    <w:basedOn w:val="28"/>
    <w:qFormat/>
    <w:uiPriority w:val="0"/>
  </w:style>
  <w:style w:type="character" w:customStyle="1" w:styleId="117">
    <w:name w:val="tel_m1"/>
    <w:basedOn w:val="28"/>
    <w:qFormat/>
    <w:uiPriority w:val="0"/>
  </w:style>
  <w:style w:type="character" w:customStyle="1" w:styleId="118">
    <w:name w:val="tel_m3"/>
    <w:basedOn w:val="28"/>
    <w:qFormat/>
    <w:uiPriority w:val="0"/>
  </w:style>
  <w:style w:type="character" w:customStyle="1" w:styleId="119">
    <w:name w:val="uug_m5"/>
    <w:basedOn w:val="28"/>
    <w:qFormat/>
    <w:uiPriority w:val="0"/>
  </w:style>
  <w:style w:type="character" w:customStyle="1" w:styleId="120">
    <w:name w:val="uug_m23"/>
    <w:basedOn w:val="28"/>
    <w:qFormat/>
    <w:uiPriority w:val="0"/>
  </w:style>
  <w:style w:type="character" w:customStyle="1" w:styleId="121">
    <w:name w:val="gy_splu"/>
    <w:basedOn w:val="28"/>
    <w:qFormat/>
    <w:uiPriority w:val="0"/>
    <w:rPr>
      <w:rFonts w:hint="eastAsia" w:ascii="微软雅黑" w:hAnsi="微软雅黑" w:eastAsia="微软雅黑" w:cs="微软雅黑"/>
      <w:b/>
      <w:bCs/>
      <w:color w:val="333333"/>
      <w:sz w:val="24"/>
      <w:szCs w:val="24"/>
    </w:rPr>
  </w:style>
  <w:style w:type="character" w:customStyle="1" w:styleId="122">
    <w:name w:val="bh_p1"/>
    <w:basedOn w:val="28"/>
    <w:qFormat/>
    <w:uiPriority w:val="0"/>
    <w:rPr>
      <w:rFonts w:hint="eastAsia" w:ascii="微软雅黑" w:hAnsi="微软雅黑" w:eastAsia="微软雅黑" w:cs="微软雅黑"/>
      <w:color w:val="333333"/>
      <w:sz w:val="27"/>
      <w:szCs w:val="27"/>
    </w:rPr>
  </w:style>
  <w:style w:type="character" w:customStyle="1" w:styleId="123">
    <w:name w:val="bh_p11"/>
    <w:basedOn w:val="28"/>
    <w:qFormat/>
    <w:uiPriority w:val="0"/>
    <w:rPr>
      <w:rFonts w:hint="eastAsia" w:ascii="微软雅黑" w:hAnsi="微软雅黑" w:eastAsia="微软雅黑" w:cs="微软雅黑"/>
      <w:color w:val="333333"/>
      <w:sz w:val="27"/>
      <w:szCs w:val="27"/>
    </w:rPr>
  </w:style>
  <w:style w:type="character" w:customStyle="1" w:styleId="124">
    <w:name w:val="r"/>
    <w:basedOn w:val="28"/>
    <w:qFormat/>
    <w:uiPriority w:val="0"/>
  </w:style>
  <w:style w:type="character" w:customStyle="1" w:styleId="125">
    <w:name w:val="ex_main_lf_title"/>
    <w:basedOn w:val="28"/>
    <w:qFormat/>
    <w:uiPriority w:val="0"/>
    <w:rPr>
      <w:color w:val="007BC9"/>
      <w:sz w:val="24"/>
      <w:szCs w:val="24"/>
    </w:rPr>
  </w:style>
  <w:style w:type="character" w:customStyle="1" w:styleId="126">
    <w:name w:val="uug_m14"/>
    <w:basedOn w:val="28"/>
    <w:qFormat/>
    <w:uiPriority w:val="0"/>
  </w:style>
  <w:style w:type="character" w:customStyle="1" w:styleId="127">
    <w:name w:val="uug_m18"/>
    <w:basedOn w:val="28"/>
    <w:qFormat/>
    <w:uiPriority w:val="0"/>
  </w:style>
  <w:style w:type="character" w:customStyle="1" w:styleId="128">
    <w:name w:val="uug_m3"/>
    <w:basedOn w:val="28"/>
    <w:qFormat/>
    <w:uiPriority w:val="0"/>
  </w:style>
  <w:style w:type="character" w:customStyle="1" w:styleId="129">
    <w:name w:val="uug_m2"/>
    <w:basedOn w:val="28"/>
    <w:qFormat/>
    <w:uiPriority w:val="0"/>
  </w:style>
  <w:style w:type="character" w:customStyle="1" w:styleId="130">
    <w:name w:val="uug_m19"/>
    <w:basedOn w:val="28"/>
    <w:qFormat/>
    <w:uiPriority w:val="0"/>
  </w:style>
  <w:style w:type="character" w:customStyle="1" w:styleId="131">
    <w:name w:val="lxkf_telt"/>
    <w:basedOn w:val="28"/>
    <w:qFormat/>
    <w:uiPriority w:val="0"/>
    <w:rPr>
      <w:color w:val="666666"/>
      <w:sz w:val="24"/>
      <w:szCs w:val="24"/>
    </w:rPr>
  </w:style>
  <w:style w:type="character" w:customStyle="1" w:styleId="132">
    <w:name w:val="uug_m22"/>
    <w:basedOn w:val="28"/>
    <w:qFormat/>
    <w:uiPriority w:val="0"/>
  </w:style>
  <w:style w:type="character" w:customStyle="1" w:styleId="133">
    <w:name w:val="uug_m1"/>
    <w:basedOn w:val="28"/>
    <w:qFormat/>
    <w:uiPriority w:val="0"/>
  </w:style>
  <w:style w:type="character" w:customStyle="1" w:styleId="134">
    <w:name w:val="layui-this"/>
    <w:basedOn w:val="28"/>
    <w:qFormat/>
    <w:uiPriority w:val="0"/>
    <w:rPr>
      <w:bdr w:val="single" w:color="EEEEEE" w:sz="6" w:space="0"/>
      <w:shd w:val="clear" w:color="auto" w:fill="FFFFFF"/>
    </w:rPr>
  </w:style>
  <w:style w:type="character" w:customStyle="1" w:styleId="135">
    <w:name w:val="uug_m7"/>
    <w:basedOn w:val="28"/>
    <w:qFormat/>
    <w:uiPriority w:val="0"/>
  </w:style>
  <w:style w:type="character" w:customStyle="1" w:styleId="136">
    <w:name w:val="uug_m13"/>
    <w:basedOn w:val="28"/>
    <w:qFormat/>
    <w:uiPriority w:val="0"/>
  </w:style>
  <w:style w:type="character" w:customStyle="1" w:styleId="137">
    <w:name w:val="uug_m30"/>
    <w:basedOn w:val="28"/>
    <w:qFormat/>
    <w:uiPriority w:val="0"/>
  </w:style>
  <w:style w:type="character" w:customStyle="1" w:styleId="138">
    <w:name w:val="uug_m28"/>
    <w:basedOn w:val="28"/>
    <w:qFormat/>
    <w:uiPriority w:val="0"/>
  </w:style>
  <w:style w:type="character" w:customStyle="1" w:styleId="139">
    <w:name w:val="uug_m10"/>
    <w:basedOn w:val="28"/>
    <w:qFormat/>
    <w:uiPriority w:val="0"/>
  </w:style>
  <w:style w:type="character" w:customStyle="1" w:styleId="140">
    <w:name w:val="uug_m20"/>
    <w:basedOn w:val="28"/>
    <w:qFormat/>
    <w:uiPriority w:val="0"/>
  </w:style>
  <w:style w:type="character" w:customStyle="1" w:styleId="141">
    <w:name w:val="uug_m29"/>
    <w:basedOn w:val="28"/>
    <w:qFormat/>
    <w:uiPriority w:val="0"/>
  </w:style>
  <w:style w:type="character" w:customStyle="1" w:styleId="142">
    <w:name w:val="dge"/>
    <w:basedOn w:val="28"/>
    <w:qFormat/>
    <w:uiPriority w:val="0"/>
    <w:rPr>
      <w:rFonts w:hint="eastAsia" w:ascii="微软雅黑" w:hAnsi="微软雅黑" w:eastAsia="微软雅黑" w:cs="微软雅黑"/>
      <w:color w:val="666666"/>
      <w:sz w:val="18"/>
      <w:szCs w:val="18"/>
    </w:rPr>
  </w:style>
  <w:style w:type="character" w:customStyle="1" w:styleId="143">
    <w:name w:val="der_mer"/>
    <w:basedOn w:val="28"/>
    <w:qFormat/>
    <w:uiPriority w:val="0"/>
    <w:rPr>
      <w:b/>
      <w:bCs/>
      <w:color w:val="FFFFFF"/>
      <w:sz w:val="45"/>
      <w:szCs w:val="45"/>
      <w:shd w:val="clear" w:color="auto" w:fill="393D44"/>
    </w:rPr>
  </w:style>
  <w:style w:type="character" w:customStyle="1" w:styleId="144">
    <w:name w:val="unnamed11"/>
    <w:basedOn w:val="28"/>
    <w:qFormat/>
    <w:uiPriority w:val="0"/>
    <w:rPr>
      <w:rFonts w:hint="eastAsia" w:ascii="宋体" w:hAnsi="宋体" w:eastAsia="宋体"/>
      <w:color w:val="000000"/>
      <w:sz w:val="18"/>
      <w:szCs w:val="18"/>
    </w:rPr>
  </w:style>
  <w:style w:type="character" w:customStyle="1" w:styleId="145">
    <w:name w:val="font81"/>
    <w:basedOn w:val="28"/>
    <w:qFormat/>
    <w:uiPriority w:val="0"/>
    <w:rPr>
      <w:rFonts w:hint="eastAsia" w:ascii="宋体" w:hAnsi="宋体" w:eastAsia="宋体" w:cs="宋体"/>
      <w:color w:val="000000"/>
      <w:sz w:val="22"/>
      <w:szCs w:val="22"/>
      <w:u w:val="none"/>
    </w:rPr>
  </w:style>
  <w:style w:type="character" w:customStyle="1" w:styleId="146">
    <w:name w:val="font91"/>
    <w:basedOn w:val="28"/>
    <w:qFormat/>
    <w:uiPriority w:val="0"/>
    <w:rPr>
      <w:rFonts w:hint="default" w:ascii="Times New Roman" w:hAnsi="Times New Roman" w:cs="Times New Roman"/>
      <w:color w:val="000000"/>
      <w:sz w:val="22"/>
      <w:szCs w:val="22"/>
      <w:u w:val="none"/>
    </w:rPr>
  </w:style>
  <w:style w:type="character" w:customStyle="1" w:styleId="147">
    <w:name w:val="font112"/>
    <w:basedOn w:val="28"/>
    <w:qFormat/>
    <w:uiPriority w:val="0"/>
    <w:rPr>
      <w:rFonts w:hint="eastAsia" w:ascii="宋体" w:hAnsi="宋体" w:eastAsia="宋体" w:cs="宋体"/>
      <w:color w:val="000000"/>
      <w:sz w:val="22"/>
      <w:szCs w:val="22"/>
      <w:u w:val="none"/>
    </w:rPr>
  </w:style>
  <w:style w:type="character" w:customStyle="1" w:styleId="148">
    <w:name w:val="批注框文本 字符"/>
    <w:basedOn w:val="28"/>
    <w:link w:val="18"/>
    <w:qFormat/>
    <w:uiPriority w:val="0"/>
    <w:rPr>
      <w:kern w:val="2"/>
      <w:sz w:val="18"/>
      <w:szCs w:val="18"/>
    </w:rPr>
  </w:style>
  <w:style w:type="character" w:customStyle="1" w:styleId="149">
    <w:name w:val="font131"/>
    <w:basedOn w:val="28"/>
    <w:qFormat/>
    <w:uiPriority w:val="0"/>
    <w:rPr>
      <w:rFonts w:hint="default" w:ascii="Times New Roman" w:hAnsi="Times New Roman" w:cs="Times New Roman"/>
      <w:b/>
      <w:bCs/>
      <w:color w:val="000000"/>
      <w:sz w:val="21"/>
      <w:szCs w:val="21"/>
      <w:u w:val="none"/>
      <w:vertAlign w:val="superscript"/>
    </w:rPr>
  </w:style>
  <w:style w:type="paragraph" w:customStyle="1" w:styleId="150">
    <w:name w:val="无间隔2"/>
    <w:qFormat/>
    <w:uiPriority w:val="0"/>
    <w:pPr>
      <w:widowControl w:val="0"/>
      <w:jc w:val="center"/>
    </w:pPr>
    <w:rPr>
      <w:rFonts w:ascii="Times New Roman" w:hAnsi="Times New Roman" w:eastAsia="宋体" w:cs="Times New Roman"/>
      <w:kern w:val="2"/>
      <w:sz w:val="21"/>
      <w:lang w:val="en-US" w:eastAsia="zh-TW" w:bidi="ar-SA"/>
    </w:rPr>
  </w:style>
  <w:style w:type="paragraph" w:customStyle="1" w:styleId="151">
    <w:name w:val="Char Char1 Char"/>
    <w:basedOn w:val="1"/>
    <w:qFormat/>
    <w:uiPriority w:val="0"/>
    <w:rPr>
      <w:sz w:val="24"/>
    </w:rPr>
  </w:style>
  <w:style w:type="paragraph" w:customStyle="1" w:styleId="152">
    <w:name w:val="中文报告书样式"/>
    <w:basedOn w:val="1"/>
    <w:qFormat/>
    <w:uiPriority w:val="99"/>
    <w:pPr>
      <w:spacing w:line="360" w:lineRule="auto"/>
      <w:ind w:firstLine="480" w:firstLineChars="200"/>
      <w:textAlignment w:val="baseline"/>
    </w:pPr>
    <w:rPr>
      <w:kern w:val="24"/>
      <w:szCs w:val="22"/>
    </w:rPr>
  </w:style>
  <w:style w:type="paragraph" w:customStyle="1" w:styleId="153">
    <w:name w:val="Body text|3"/>
    <w:basedOn w:val="1"/>
    <w:qFormat/>
    <w:uiPriority w:val="0"/>
    <w:pPr>
      <w:spacing w:line="282" w:lineRule="exact"/>
    </w:pPr>
    <w:rPr>
      <w:rFonts w:ascii="宋体" w:hAnsi="宋体" w:cs="宋体"/>
      <w:sz w:val="19"/>
      <w:szCs w:val="19"/>
      <w:lang w:val="zh-TW" w:eastAsia="zh-TW" w:bidi="zh-TW"/>
    </w:rPr>
  </w:style>
  <w:style w:type="paragraph" w:customStyle="1" w:styleId="154">
    <w:name w:val="Body text|2"/>
    <w:basedOn w:val="1"/>
    <w:qFormat/>
    <w:uiPriority w:val="0"/>
    <w:pPr>
      <w:spacing w:line="290" w:lineRule="auto"/>
    </w:pPr>
    <w:rPr>
      <w:sz w:val="20"/>
      <w:szCs w:val="20"/>
    </w:rPr>
  </w:style>
  <w:style w:type="paragraph" w:customStyle="1" w:styleId="155">
    <w:name w:val="表题"/>
    <w:basedOn w:val="1"/>
    <w:qFormat/>
    <w:uiPriority w:val="0"/>
    <w:pPr>
      <w:snapToGrid w:val="0"/>
      <w:jc w:val="center"/>
    </w:pPr>
    <w:rPr>
      <w:rFonts w:eastAsia="黑体"/>
      <w:sz w:val="24"/>
      <w:szCs w:val="20"/>
    </w:rPr>
  </w:style>
  <w:style w:type="paragraph" w:customStyle="1" w:styleId="156">
    <w:name w:val="表内表"/>
    <w:basedOn w:val="1"/>
    <w:qFormat/>
    <w:uiPriority w:val="0"/>
    <w:pPr>
      <w:spacing w:line="240" w:lineRule="atLeast"/>
      <w:jc w:val="center"/>
    </w:pPr>
    <w:rPr>
      <w:bCs/>
      <w:szCs w:val="21"/>
    </w:rPr>
  </w:style>
  <w:style w:type="paragraph" w:customStyle="1" w:styleId="157">
    <w:name w:val="列出段落1"/>
    <w:basedOn w:val="1"/>
    <w:qFormat/>
    <w:uiPriority w:val="34"/>
    <w:pPr>
      <w:ind w:firstLine="420" w:firstLineChars="200"/>
    </w:pPr>
    <w:rPr>
      <w:rFonts w:ascii="Calibri" w:hAnsi="Calibri"/>
      <w:szCs w:val="22"/>
    </w:rPr>
  </w:style>
  <w:style w:type="character" w:customStyle="1" w:styleId="158">
    <w:name w:val="批注文字 字符"/>
    <w:basedOn w:val="28"/>
    <w:link w:val="10"/>
    <w:qFormat/>
    <w:uiPriority w:val="0"/>
    <w:rPr>
      <w:kern w:val="2"/>
      <w:sz w:val="21"/>
    </w:rPr>
  </w:style>
  <w:style w:type="character" w:customStyle="1" w:styleId="159">
    <w:name w:val="批注主题 字符"/>
    <w:basedOn w:val="158"/>
    <w:link w:val="25"/>
    <w:qFormat/>
    <w:uiPriority w:val="0"/>
    <w:rPr>
      <w:b/>
      <w:bCs/>
      <w:kern w:val="2"/>
      <w:sz w:val="21"/>
      <w:szCs w:val="24"/>
    </w:rPr>
  </w:style>
  <w:style w:type="paragraph" w:customStyle="1" w:styleId="160">
    <w:name w:val="！正文"/>
    <w:basedOn w:val="1"/>
    <w:qFormat/>
    <w:uiPriority w:val="0"/>
    <w:pPr>
      <w:spacing w:line="500" w:lineRule="exact"/>
      <w:ind w:firstLine="200" w:firstLineChars="200"/>
    </w:pPr>
    <w:rPr>
      <w:rFonts w:asciiTheme="minorHAnsi" w:hAnsiTheme="minorHAnsi" w:eastAsiaTheme="minorEastAsia" w:cstheme="minorBidi"/>
      <w:sz w:val="24"/>
      <w:szCs w:val="22"/>
    </w:rPr>
  </w:style>
</w:style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microsoft.com/office/2011/relationships/people" Target="people.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microsoft.com/office/2011/relationships/commentsExtended" Target="commentsExtended.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jpeg"/><Relationship Id="rId36" Type="http://schemas.openxmlformats.org/officeDocument/2006/relationships/image" Target="media/image23.png"/><Relationship Id="rId35" Type="http://schemas.openxmlformats.org/officeDocument/2006/relationships/image" Target="media/image22.jpeg"/><Relationship Id="rId34" Type="http://schemas.openxmlformats.org/officeDocument/2006/relationships/image" Target="media/image21.wmf"/><Relationship Id="rId33" Type="http://schemas.openxmlformats.org/officeDocument/2006/relationships/oleObject" Target="embeddings/oleObject5.bin"/><Relationship Id="rId32" Type="http://schemas.openxmlformats.org/officeDocument/2006/relationships/image" Target="media/image20.wmf"/><Relationship Id="rId31" Type="http://schemas.openxmlformats.org/officeDocument/2006/relationships/oleObject" Target="embeddings/oleObject4.bin"/><Relationship Id="rId30" Type="http://schemas.openxmlformats.org/officeDocument/2006/relationships/image" Target="media/image19.wmf"/><Relationship Id="rId3" Type="http://schemas.openxmlformats.org/officeDocument/2006/relationships/comments" Target="comments.xml"/><Relationship Id="rId29" Type="http://schemas.openxmlformats.org/officeDocument/2006/relationships/oleObject" Target="embeddings/oleObject3.bin"/><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wmf"/><Relationship Id="rId22" Type="http://schemas.openxmlformats.org/officeDocument/2006/relationships/oleObject" Target="embeddings/oleObject2.bin"/><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oleObject" Target="embeddings/oleObject1.bin"/><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8DDF5B-8783-463B-958C-1451BA6FC4A5}">
  <ds:schemaRefs/>
</ds:datastoreItem>
</file>

<file path=docProps/app.xml><?xml version="1.0" encoding="utf-8"?>
<Properties xmlns="http://schemas.openxmlformats.org/officeDocument/2006/extended-properties" xmlns:vt="http://schemas.openxmlformats.org/officeDocument/2006/docPropsVTypes">
  <Template>Normal</Template>
  <Pages>137</Pages>
  <Words>77368</Words>
  <Characters>90981</Characters>
  <Lines>713</Lines>
  <Paragraphs>200</Paragraphs>
  <TotalTime>16</TotalTime>
  <ScaleCrop>false</ScaleCrop>
  <LinksUpToDate>false</LinksUpToDate>
  <CharactersWithSpaces>91524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2022-12-31T11:49:00Z</dcterms:created>
  <dc:creator>希希。。</dc:creator>
  <cp:lastModifiedBy>Sunny</cp:lastModifiedBy>
  <cp:lastPrinted>2023-01-12T08:59:26Z</cp:lastPrinted>
  <dcterms:modified xsi:type="dcterms:W3CDTF">2023-01-12T09:10:31Z</dcterms:modified>
  <cp:revision>124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31EDA885DBD74B44876300FA2E0DE18E</vt:lpwstr>
  </property>
  <property fmtid="{D5CDD505-2E9C-101B-9397-08002B2CF9AE}" pid="4" name="commondata">
    <vt:lpwstr>eyJoZGlkIjoiZjY1MDA0ODhmZjlmZDExYjkyZjA0YTgzZDlmNGJhNjUifQ==</vt:lpwstr>
  </property>
</Properties>
</file>