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sz w:val="36"/>
          <w:szCs w:val="36"/>
        </w:rPr>
      </w:pPr>
    </w:p>
    <w:p>
      <w:pPr>
        <w:rPr>
          <w:color w:val="auto"/>
          <w:sz w:val="36"/>
          <w:szCs w:val="36"/>
        </w:rPr>
      </w:pPr>
    </w:p>
    <w:p>
      <w:pPr>
        <w:rPr>
          <w:color w:val="auto"/>
          <w:sz w:val="36"/>
          <w:szCs w:val="36"/>
        </w:rPr>
      </w:pPr>
    </w:p>
    <w:p>
      <w:pPr>
        <w:rPr>
          <w:color w:val="auto"/>
          <w:sz w:val="36"/>
          <w:szCs w:val="36"/>
        </w:rPr>
      </w:pPr>
    </w:p>
    <w:p>
      <w:pPr>
        <w:adjustRightInd w:val="0"/>
        <w:snapToGrid w:val="0"/>
        <w:jc w:val="center"/>
        <w:outlineLvl w:val="0"/>
        <w:rPr>
          <w:bCs/>
          <w:color w:val="auto"/>
          <w:sz w:val="72"/>
          <w:szCs w:val="72"/>
        </w:rPr>
      </w:pPr>
      <w:bookmarkStart w:id="0" w:name="_Toc32152"/>
      <w:r>
        <w:rPr>
          <w:bCs/>
          <w:color w:val="auto"/>
          <w:sz w:val="72"/>
          <w:szCs w:val="72"/>
        </w:rPr>
        <w:t>建设项目环境影响报告表</w:t>
      </w:r>
      <w:bookmarkEnd w:id="0"/>
    </w:p>
    <w:p>
      <w:pPr>
        <w:adjustRightInd w:val="0"/>
        <w:snapToGrid w:val="0"/>
        <w:spacing w:before="192" w:beforeLines="80"/>
        <w:jc w:val="center"/>
        <w:rPr>
          <w:bCs/>
          <w:color w:val="auto"/>
          <w:sz w:val="48"/>
          <w:szCs w:val="48"/>
        </w:rPr>
      </w:pPr>
      <w:r>
        <w:rPr>
          <w:bCs/>
          <w:color w:val="auto"/>
          <w:sz w:val="48"/>
          <w:szCs w:val="48"/>
        </w:rPr>
        <w:t>（污染影响类）</w:t>
      </w:r>
    </w:p>
    <w:p>
      <w:pPr>
        <w:adjustRightInd w:val="0"/>
        <w:snapToGrid w:val="0"/>
        <w:spacing w:line="288" w:lineRule="auto"/>
        <w:jc w:val="center"/>
        <w:rPr>
          <w:color w:val="auto"/>
          <w:kern w:val="44"/>
          <w:sz w:val="44"/>
          <w:szCs w:val="44"/>
        </w:rPr>
      </w:pPr>
    </w:p>
    <w:p>
      <w:pPr>
        <w:jc w:val="center"/>
        <w:rPr>
          <w:color w:val="auto"/>
          <w:sz w:val="52"/>
          <w:szCs w:val="52"/>
        </w:rPr>
      </w:pPr>
    </w:p>
    <w:p>
      <w:pPr>
        <w:rPr>
          <w:color w:val="auto"/>
          <w:sz w:val="44"/>
          <w:szCs w:val="44"/>
        </w:rPr>
      </w:pPr>
    </w:p>
    <w:p>
      <w:pPr>
        <w:ind w:firstLine="1040"/>
        <w:rPr>
          <w:color w:val="auto"/>
          <w:sz w:val="44"/>
          <w:szCs w:val="44"/>
        </w:rPr>
      </w:pPr>
    </w:p>
    <w:p>
      <w:pPr>
        <w:ind w:firstLine="1040"/>
        <w:rPr>
          <w:color w:val="auto"/>
          <w:sz w:val="44"/>
          <w:szCs w:val="44"/>
        </w:rPr>
      </w:pPr>
    </w:p>
    <w:p>
      <w:pPr>
        <w:adjustRightInd w:val="0"/>
        <w:snapToGrid w:val="0"/>
        <w:spacing w:line="360" w:lineRule="auto"/>
        <w:ind w:firstLine="540" w:firstLineChars="150"/>
        <w:rPr>
          <w:color w:val="auto"/>
          <w:sz w:val="36"/>
          <w:szCs w:val="36"/>
          <w:u w:val="single"/>
        </w:rPr>
      </w:pPr>
      <w:bookmarkStart w:id="1" w:name="_Hlk57884087"/>
      <w:r>
        <w:rPr>
          <w:color w:val="auto"/>
          <w:sz w:val="36"/>
          <w:szCs w:val="36"/>
        </w:rPr>
        <w:t>项目名称：</w:t>
      </w:r>
      <w:r>
        <w:rPr>
          <w:rFonts w:hint="eastAsia"/>
          <w:color w:val="auto"/>
          <w:sz w:val="36"/>
          <w:szCs w:val="36"/>
          <w:u w:val="single"/>
        </w:rPr>
        <w:t xml:space="preserve"> </w:t>
      </w:r>
      <w:r>
        <w:rPr>
          <w:color w:val="auto"/>
          <w:sz w:val="36"/>
          <w:szCs w:val="36"/>
          <w:u w:val="single"/>
        </w:rPr>
        <w:t xml:space="preserve"> </w:t>
      </w:r>
      <w:r>
        <w:rPr>
          <w:rFonts w:hint="eastAsia"/>
          <w:color w:val="auto"/>
          <w:sz w:val="36"/>
          <w:szCs w:val="36"/>
          <w:u w:val="single"/>
        </w:rPr>
        <w:t>旭森新材料年产360万片饰面板项目</w:t>
      </w:r>
      <w:r>
        <w:rPr>
          <w:color w:val="auto"/>
          <w:sz w:val="36"/>
          <w:szCs w:val="36"/>
          <w:u w:val="single"/>
        </w:rPr>
        <w:t xml:space="preserve">        </w:t>
      </w:r>
    </w:p>
    <w:p>
      <w:pPr>
        <w:adjustRightInd w:val="0"/>
        <w:snapToGrid w:val="0"/>
        <w:spacing w:line="360" w:lineRule="auto"/>
        <w:ind w:firstLine="540" w:firstLineChars="150"/>
        <w:rPr>
          <w:color w:val="auto"/>
          <w:sz w:val="36"/>
          <w:szCs w:val="36"/>
          <w:u w:val="single"/>
        </w:rPr>
      </w:pPr>
      <w:r>
        <w:rPr>
          <w:color w:val="auto"/>
          <w:sz w:val="36"/>
          <w:szCs w:val="36"/>
        </w:rPr>
        <w:t>建设单位（盖章）：</w:t>
      </w:r>
      <w:r>
        <w:rPr>
          <w:rFonts w:hint="eastAsia"/>
          <w:color w:val="auto"/>
          <w:sz w:val="36"/>
          <w:szCs w:val="36"/>
          <w:u w:val="single"/>
        </w:rPr>
        <w:t xml:space="preserve"> 江苏旭森新材料科技有限公司 </w:t>
      </w:r>
      <w:r>
        <w:rPr>
          <w:color w:val="auto"/>
          <w:sz w:val="36"/>
          <w:szCs w:val="36"/>
          <w:u w:val="single"/>
        </w:rPr>
        <w:t xml:space="preserve">      </w:t>
      </w:r>
    </w:p>
    <w:p>
      <w:pPr>
        <w:adjustRightInd w:val="0"/>
        <w:snapToGrid w:val="0"/>
        <w:spacing w:line="360" w:lineRule="auto"/>
        <w:ind w:firstLine="540" w:firstLineChars="150"/>
        <w:rPr>
          <w:color w:val="auto"/>
          <w:sz w:val="36"/>
          <w:szCs w:val="36"/>
          <w:u w:val="single"/>
        </w:rPr>
      </w:pPr>
      <w:r>
        <w:rPr>
          <w:color w:val="auto"/>
          <w:sz w:val="36"/>
          <w:szCs w:val="36"/>
        </w:rPr>
        <w:t>编制日期：</w:t>
      </w:r>
      <w:r>
        <w:rPr>
          <w:color w:val="auto"/>
          <w:sz w:val="36"/>
          <w:szCs w:val="36"/>
          <w:u w:val="single"/>
        </w:rPr>
        <w:t xml:space="preserve">   </w:t>
      </w:r>
      <w:r>
        <w:rPr>
          <w:rFonts w:hint="eastAsia"/>
          <w:color w:val="auto"/>
          <w:sz w:val="36"/>
          <w:szCs w:val="36"/>
          <w:u w:val="single"/>
        </w:rPr>
        <w:t xml:space="preserve">   </w:t>
      </w:r>
      <w:r>
        <w:rPr>
          <w:color w:val="auto"/>
          <w:sz w:val="36"/>
          <w:szCs w:val="36"/>
          <w:u w:val="single"/>
        </w:rPr>
        <w:t xml:space="preserve">      </w:t>
      </w:r>
      <w:r>
        <w:rPr>
          <w:rFonts w:hint="eastAsia"/>
          <w:color w:val="auto"/>
          <w:sz w:val="36"/>
          <w:szCs w:val="36"/>
          <w:u w:val="single"/>
        </w:rPr>
        <w:t>2</w:t>
      </w:r>
      <w:r>
        <w:rPr>
          <w:color w:val="auto"/>
          <w:sz w:val="36"/>
          <w:szCs w:val="36"/>
          <w:u w:val="single"/>
        </w:rPr>
        <w:t>023年</w:t>
      </w:r>
      <w:r>
        <w:rPr>
          <w:rFonts w:hint="eastAsia"/>
          <w:color w:val="auto"/>
          <w:sz w:val="36"/>
          <w:szCs w:val="36"/>
          <w:u w:val="single"/>
          <w:lang w:val="en-US" w:eastAsia="zh-CN"/>
        </w:rPr>
        <w:t>4</w:t>
      </w:r>
      <w:r>
        <w:rPr>
          <w:color w:val="auto"/>
          <w:sz w:val="36"/>
          <w:szCs w:val="36"/>
          <w:u w:val="single"/>
        </w:rPr>
        <w:t xml:space="preserve">月                   </w:t>
      </w:r>
    </w:p>
    <w:p>
      <w:pPr>
        <w:adjustRightInd w:val="0"/>
        <w:snapToGrid w:val="0"/>
        <w:spacing w:line="288" w:lineRule="auto"/>
        <w:ind w:firstLine="1040"/>
        <w:rPr>
          <w:color w:val="auto"/>
          <w:sz w:val="36"/>
          <w:szCs w:val="36"/>
          <w:u w:val="single"/>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bookmarkEnd w:id="1"/>
    <w:p>
      <w:pPr>
        <w:adjustRightInd w:val="0"/>
        <w:snapToGrid w:val="0"/>
        <w:spacing w:line="288" w:lineRule="auto"/>
        <w:jc w:val="center"/>
        <w:rPr>
          <w:rFonts w:eastAsia="楷体"/>
          <w:color w:val="auto"/>
          <w:sz w:val="36"/>
          <w:szCs w:val="36"/>
        </w:rPr>
      </w:pPr>
      <w:r>
        <w:rPr>
          <w:rFonts w:eastAsia="楷体"/>
          <w:color w:val="auto"/>
          <w:sz w:val="36"/>
          <w:szCs w:val="36"/>
        </w:rPr>
        <w:t>中华人民共和国生态环境部制</w:t>
      </w:r>
    </w:p>
    <w:p>
      <w:pPr>
        <w:adjustRightInd w:val="0"/>
        <w:snapToGrid w:val="0"/>
        <w:spacing w:line="288" w:lineRule="auto"/>
        <w:ind w:firstLine="1040"/>
        <w:rPr>
          <w:color w:val="auto"/>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2"/>
        <w:jc w:val="center"/>
        <w:rPr>
          <w:b/>
          <w:bCs/>
          <w:color w:val="auto"/>
          <w:sz w:val="30"/>
          <w:szCs w:val="30"/>
        </w:rPr>
      </w:pPr>
      <w:r>
        <w:rPr>
          <w:b/>
          <w:bCs/>
          <w:color w:val="auto"/>
          <w:sz w:val="30"/>
          <w:szCs w:val="30"/>
        </w:rPr>
        <w:t>目录</w:t>
      </w:r>
    </w:p>
    <w:p>
      <w:pPr>
        <w:pStyle w:val="3"/>
        <w:numPr>
          <w:ilvl w:val="0"/>
          <w:numId w:val="0"/>
        </w:numPr>
        <w:rPr>
          <w:color w:val="auto"/>
        </w:rPr>
      </w:pPr>
    </w:p>
    <w:p>
      <w:pPr>
        <w:pStyle w:val="23"/>
        <w:tabs>
          <w:tab w:val="right" w:leader="dot" w:pos="8844"/>
        </w:tabs>
        <w:rPr>
          <w:color w:val="auto"/>
        </w:rPr>
      </w:pPr>
      <w:r>
        <w:rPr>
          <w:color w:val="auto"/>
        </w:rPr>
        <w:fldChar w:fldCharType="begin"/>
      </w:r>
      <w:r>
        <w:rPr>
          <w:color w:val="auto"/>
        </w:rPr>
        <w:instrText xml:space="preserve">TOC \o "1-1" \h \u </w:instrText>
      </w:r>
      <w:r>
        <w:rPr>
          <w:color w:val="auto"/>
        </w:rPr>
        <w:fldChar w:fldCharType="separate"/>
      </w:r>
    </w:p>
    <w:p>
      <w:pPr>
        <w:pStyle w:val="23"/>
        <w:tabs>
          <w:tab w:val="right" w:leader="dot" w:pos="8844"/>
        </w:tabs>
        <w:rPr>
          <w:b/>
          <w:bCs/>
          <w:color w:val="auto"/>
          <w:sz w:val="24"/>
        </w:rPr>
      </w:pPr>
      <w:r>
        <w:rPr>
          <w:color w:val="auto"/>
        </w:rPr>
        <w:fldChar w:fldCharType="begin"/>
      </w:r>
      <w:r>
        <w:rPr>
          <w:color w:val="auto"/>
        </w:rPr>
        <w:instrText xml:space="preserve"> HYPERLINK \l "_Toc17663" </w:instrText>
      </w:r>
      <w:r>
        <w:rPr>
          <w:color w:val="auto"/>
        </w:rPr>
        <w:fldChar w:fldCharType="separate"/>
      </w:r>
      <w:r>
        <w:rPr>
          <w:b/>
          <w:bCs/>
          <w:snapToGrid w:val="0"/>
          <w:color w:val="auto"/>
          <w:sz w:val="24"/>
        </w:rPr>
        <w:t>一、建设项目基本情况</w:t>
      </w:r>
      <w:r>
        <w:rPr>
          <w:b/>
          <w:bCs/>
          <w:color w:val="auto"/>
          <w:sz w:val="24"/>
        </w:rPr>
        <w:tab/>
      </w:r>
      <w:r>
        <w:rPr>
          <w:b/>
          <w:bCs/>
          <w:color w:val="auto"/>
          <w:sz w:val="24"/>
        </w:rPr>
        <w:fldChar w:fldCharType="begin"/>
      </w:r>
      <w:r>
        <w:rPr>
          <w:b/>
          <w:bCs/>
          <w:color w:val="auto"/>
          <w:sz w:val="24"/>
        </w:rPr>
        <w:instrText xml:space="preserve"> PAGEREF _Toc17663 \h </w:instrText>
      </w:r>
      <w:r>
        <w:rPr>
          <w:b/>
          <w:bCs/>
          <w:color w:val="auto"/>
          <w:sz w:val="24"/>
        </w:rPr>
        <w:fldChar w:fldCharType="separate"/>
      </w:r>
      <w:r>
        <w:rPr>
          <w:b/>
          <w:bCs/>
          <w:color w:val="auto"/>
          <w:sz w:val="24"/>
        </w:rPr>
        <w:t>1</w:t>
      </w:r>
      <w:r>
        <w:rPr>
          <w:b/>
          <w:bCs/>
          <w:color w:val="auto"/>
          <w:sz w:val="24"/>
        </w:rPr>
        <w:fldChar w:fldCharType="end"/>
      </w:r>
      <w:r>
        <w:rPr>
          <w:b/>
          <w:bCs/>
          <w:color w:val="auto"/>
          <w:sz w:val="24"/>
        </w:rPr>
        <w:fldChar w:fldCharType="end"/>
      </w:r>
    </w:p>
    <w:p>
      <w:pPr>
        <w:pStyle w:val="23"/>
        <w:tabs>
          <w:tab w:val="right" w:leader="dot" w:pos="8844"/>
        </w:tabs>
        <w:rPr>
          <w:b/>
          <w:bCs/>
          <w:color w:val="auto"/>
          <w:sz w:val="24"/>
        </w:rPr>
      </w:pPr>
    </w:p>
    <w:p>
      <w:pPr>
        <w:pStyle w:val="23"/>
        <w:tabs>
          <w:tab w:val="right" w:leader="dot" w:pos="8844"/>
        </w:tabs>
        <w:rPr>
          <w:b/>
          <w:bCs/>
          <w:color w:val="auto"/>
          <w:sz w:val="24"/>
        </w:rPr>
      </w:pPr>
      <w:r>
        <w:rPr>
          <w:color w:val="auto"/>
        </w:rPr>
        <w:fldChar w:fldCharType="begin"/>
      </w:r>
      <w:r>
        <w:rPr>
          <w:color w:val="auto"/>
        </w:rPr>
        <w:instrText xml:space="preserve"> HYPERLINK \l "_Toc31544" </w:instrText>
      </w:r>
      <w:r>
        <w:rPr>
          <w:color w:val="auto"/>
        </w:rPr>
        <w:fldChar w:fldCharType="separate"/>
      </w:r>
      <w:r>
        <w:rPr>
          <w:b/>
          <w:bCs/>
          <w:snapToGrid w:val="0"/>
          <w:color w:val="auto"/>
          <w:sz w:val="24"/>
        </w:rPr>
        <w:t>二、建设项目工程分析</w:t>
      </w:r>
      <w:r>
        <w:rPr>
          <w:b/>
          <w:bCs/>
          <w:color w:val="auto"/>
          <w:sz w:val="24"/>
        </w:rPr>
        <w:tab/>
      </w:r>
      <w:r>
        <w:rPr>
          <w:b/>
          <w:bCs/>
          <w:color w:val="auto"/>
          <w:sz w:val="24"/>
        </w:rPr>
        <w:fldChar w:fldCharType="begin"/>
      </w:r>
      <w:r>
        <w:rPr>
          <w:b/>
          <w:bCs/>
          <w:color w:val="auto"/>
          <w:sz w:val="24"/>
        </w:rPr>
        <w:instrText xml:space="preserve"> PAGEREF _Toc31544 \h </w:instrText>
      </w:r>
      <w:r>
        <w:rPr>
          <w:b/>
          <w:bCs/>
          <w:color w:val="auto"/>
          <w:sz w:val="24"/>
        </w:rPr>
        <w:fldChar w:fldCharType="separate"/>
      </w:r>
      <w:r>
        <w:rPr>
          <w:b/>
          <w:bCs/>
          <w:color w:val="auto"/>
          <w:sz w:val="24"/>
        </w:rPr>
        <w:t>20</w:t>
      </w:r>
      <w:r>
        <w:rPr>
          <w:b/>
          <w:bCs/>
          <w:color w:val="auto"/>
          <w:sz w:val="24"/>
        </w:rPr>
        <w:fldChar w:fldCharType="end"/>
      </w:r>
      <w:r>
        <w:rPr>
          <w:b/>
          <w:bCs/>
          <w:color w:val="auto"/>
          <w:sz w:val="24"/>
        </w:rPr>
        <w:fldChar w:fldCharType="end"/>
      </w:r>
    </w:p>
    <w:p>
      <w:pPr>
        <w:pStyle w:val="23"/>
        <w:tabs>
          <w:tab w:val="right" w:leader="dot" w:pos="8844"/>
        </w:tabs>
        <w:rPr>
          <w:b/>
          <w:bCs/>
          <w:color w:val="auto"/>
          <w:sz w:val="24"/>
        </w:rPr>
      </w:pPr>
    </w:p>
    <w:p>
      <w:pPr>
        <w:pStyle w:val="23"/>
        <w:tabs>
          <w:tab w:val="right" w:leader="dot" w:pos="8844"/>
        </w:tabs>
        <w:rPr>
          <w:b/>
          <w:bCs/>
          <w:color w:val="auto"/>
          <w:sz w:val="24"/>
        </w:rPr>
      </w:pPr>
      <w:r>
        <w:rPr>
          <w:color w:val="auto"/>
        </w:rPr>
        <w:fldChar w:fldCharType="begin"/>
      </w:r>
      <w:r>
        <w:rPr>
          <w:color w:val="auto"/>
        </w:rPr>
        <w:instrText xml:space="preserve"> HYPERLINK \l "_Toc7243" </w:instrText>
      </w:r>
      <w:r>
        <w:rPr>
          <w:color w:val="auto"/>
        </w:rPr>
        <w:fldChar w:fldCharType="separate"/>
      </w:r>
      <w:r>
        <w:rPr>
          <w:b/>
          <w:bCs/>
          <w:snapToGrid w:val="0"/>
          <w:color w:val="auto"/>
          <w:sz w:val="24"/>
        </w:rPr>
        <w:t>三、区域环境质量现状、环境保护目标及评价标准</w:t>
      </w:r>
      <w:r>
        <w:rPr>
          <w:b/>
          <w:bCs/>
          <w:color w:val="auto"/>
          <w:sz w:val="24"/>
        </w:rPr>
        <w:tab/>
      </w:r>
      <w:r>
        <w:rPr>
          <w:b/>
          <w:bCs/>
          <w:color w:val="auto"/>
          <w:sz w:val="24"/>
        </w:rPr>
        <w:fldChar w:fldCharType="begin"/>
      </w:r>
      <w:r>
        <w:rPr>
          <w:b/>
          <w:bCs/>
          <w:color w:val="auto"/>
          <w:sz w:val="24"/>
        </w:rPr>
        <w:instrText xml:space="preserve"> PAGEREF _Toc7243 \h </w:instrText>
      </w:r>
      <w:r>
        <w:rPr>
          <w:b/>
          <w:bCs/>
          <w:color w:val="auto"/>
          <w:sz w:val="24"/>
        </w:rPr>
        <w:fldChar w:fldCharType="separate"/>
      </w:r>
      <w:r>
        <w:rPr>
          <w:b/>
          <w:bCs/>
          <w:color w:val="auto"/>
          <w:sz w:val="24"/>
        </w:rPr>
        <w:t>28</w:t>
      </w:r>
      <w:r>
        <w:rPr>
          <w:b/>
          <w:bCs/>
          <w:color w:val="auto"/>
          <w:sz w:val="24"/>
        </w:rPr>
        <w:fldChar w:fldCharType="end"/>
      </w:r>
      <w:r>
        <w:rPr>
          <w:b/>
          <w:bCs/>
          <w:color w:val="auto"/>
          <w:sz w:val="24"/>
        </w:rPr>
        <w:fldChar w:fldCharType="end"/>
      </w:r>
    </w:p>
    <w:p>
      <w:pPr>
        <w:pStyle w:val="23"/>
        <w:tabs>
          <w:tab w:val="right" w:leader="dot" w:pos="8844"/>
        </w:tabs>
        <w:rPr>
          <w:b/>
          <w:bCs/>
          <w:color w:val="auto"/>
          <w:sz w:val="24"/>
        </w:rPr>
      </w:pPr>
    </w:p>
    <w:p>
      <w:pPr>
        <w:pStyle w:val="23"/>
        <w:tabs>
          <w:tab w:val="right" w:leader="dot" w:pos="8844"/>
        </w:tabs>
        <w:rPr>
          <w:b/>
          <w:bCs/>
          <w:color w:val="auto"/>
          <w:sz w:val="24"/>
        </w:rPr>
      </w:pPr>
      <w:r>
        <w:rPr>
          <w:color w:val="auto"/>
        </w:rPr>
        <w:fldChar w:fldCharType="begin"/>
      </w:r>
      <w:r>
        <w:rPr>
          <w:color w:val="auto"/>
        </w:rPr>
        <w:instrText xml:space="preserve"> HYPERLINK \l "_Toc8387" </w:instrText>
      </w:r>
      <w:r>
        <w:rPr>
          <w:color w:val="auto"/>
        </w:rPr>
        <w:fldChar w:fldCharType="separate"/>
      </w:r>
      <w:r>
        <w:rPr>
          <w:b/>
          <w:bCs/>
          <w:snapToGrid w:val="0"/>
          <w:color w:val="auto"/>
          <w:sz w:val="24"/>
        </w:rPr>
        <w:t>四、主要环境影响和保护措施</w:t>
      </w:r>
      <w:r>
        <w:rPr>
          <w:b/>
          <w:bCs/>
          <w:color w:val="auto"/>
          <w:sz w:val="24"/>
        </w:rPr>
        <w:tab/>
      </w:r>
      <w:r>
        <w:rPr>
          <w:b/>
          <w:bCs/>
          <w:color w:val="auto"/>
          <w:sz w:val="24"/>
        </w:rPr>
        <w:fldChar w:fldCharType="begin"/>
      </w:r>
      <w:r>
        <w:rPr>
          <w:b/>
          <w:bCs/>
          <w:color w:val="auto"/>
          <w:sz w:val="24"/>
        </w:rPr>
        <w:instrText xml:space="preserve"> PAGEREF _Toc8387 \h </w:instrText>
      </w:r>
      <w:r>
        <w:rPr>
          <w:b/>
          <w:bCs/>
          <w:color w:val="auto"/>
          <w:sz w:val="24"/>
        </w:rPr>
        <w:fldChar w:fldCharType="separate"/>
      </w:r>
      <w:r>
        <w:rPr>
          <w:b/>
          <w:bCs/>
          <w:color w:val="auto"/>
          <w:sz w:val="24"/>
        </w:rPr>
        <w:t>38</w:t>
      </w:r>
      <w:r>
        <w:rPr>
          <w:b/>
          <w:bCs/>
          <w:color w:val="auto"/>
          <w:sz w:val="24"/>
        </w:rPr>
        <w:fldChar w:fldCharType="end"/>
      </w:r>
      <w:r>
        <w:rPr>
          <w:b/>
          <w:bCs/>
          <w:color w:val="auto"/>
          <w:sz w:val="24"/>
        </w:rPr>
        <w:fldChar w:fldCharType="end"/>
      </w:r>
    </w:p>
    <w:p>
      <w:pPr>
        <w:pStyle w:val="23"/>
        <w:tabs>
          <w:tab w:val="right" w:leader="dot" w:pos="8844"/>
        </w:tabs>
        <w:rPr>
          <w:b/>
          <w:bCs/>
          <w:color w:val="auto"/>
          <w:sz w:val="24"/>
        </w:rPr>
      </w:pPr>
    </w:p>
    <w:p>
      <w:pPr>
        <w:pStyle w:val="23"/>
        <w:tabs>
          <w:tab w:val="right" w:leader="dot" w:pos="8844"/>
        </w:tabs>
        <w:rPr>
          <w:b/>
          <w:bCs/>
          <w:color w:val="auto"/>
          <w:sz w:val="24"/>
        </w:rPr>
      </w:pPr>
      <w:r>
        <w:rPr>
          <w:color w:val="auto"/>
        </w:rPr>
        <w:fldChar w:fldCharType="begin"/>
      </w:r>
      <w:r>
        <w:rPr>
          <w:color w:val="auto"/>
        </w:rPr>
        <w:instrText xml:space="preserve"> HYPERLINK \l "_Toc9026" </w:instrText>
      </w:r>
      <w:r>
        <w:rPr>
          <w:color w:val="auto"/>
        </w:rPr>
        <w:fldChar w:fldCharType="separate"/>
      </w:r>
      <w:r>
        <w:rPr>
          <w:b/>
          <w:bCs/>
          <w:snapToGrid w:val="0"/>
          <w:color w:val="auto"/>
          <w:sz w:val="24"/>
        </w:rPr>
        <w:t>五、环境保护措施监督检查清单</w:t>
      </w:r>
      <w:r>
        <w:rPr>
          <w:b/>
          <w:bCs/>
          <w:color w:val="auto"/>
          <w:sz w:val="24"/>
        </w:rPr>
        <w:tab/>
      </w:r>
      <w:r>
        <w:rPr>
          <w:b/>
          <w:bCs/>
          <w:color w:val="auto"/>
          <w:sz w:val="24"/>
        </w:rPr>
        <w:fldChar w:fldCharType="begin"/>
      </w:r>
      <w:r>
        <w:rPr>
          <w:b/>
          <w:bCs/>
          <w:color w:val="auto"/>
          <w:sz w:val="24"/>
        </w:rPr>
        <w:instrText xml:space="preserve"> PAGEREF _Toc9026 \h </w:instrText>
      </w:r>
      <w:r>
        <w:rPr>
          <w:b/>
          <w:bCs/>
          <w:color w:val="auto"/>
          <w:sz w:val="24"/>
        </w:rPr>
        <w:fldChar w:fldCharType="separate"/>
      </w:r>
      <w:r>
        <w:rPr>
          <w:b/>
          <w:bCs/>
          <w:color w:val="auto"/>
          <w:sz w:val="24"/>
        </w:rPr>
        <w:t>64</w:t>
      </w:r>
      <w:r>
        <w:rPr>
          <w:b/>
          <w:bCs/>
          <w:color w:val="auto"/>
          <w:sz w:val="24"/>
        </w:rPr>
        <w:fldChar w:fldCharType="end"/>
      </w:r>
      <w:r>
        <w:rPr>
          <w:b/>
          <w:bCs/>
          <w:color w:val="auto"/>
          <w:sz w:val="24"/>
        </w:rPr>
        <w:fldChar w:fldCharType="end"/>
      </w:r>
    </w:p>
    <w:p>
      <w:pPr>
        <w:pStyle w:val="23"/>
        <w:tabs>
          <w:tab w:val="right" w:leader="dot" w:pos="8844"/>
        </w:tabs>
        <w:rPr>
          <w:b/>
          <w:bCs/>
          <w:color w:val="auto"/>
          <w:sz w:val="24"/>
        </w:rPr>
      </w:pPr>
    </w:p>
    <w:p>
      <w:pPr>
        <w:pStyle w:val="23"/>
        <w:tabs>
          <w:tab w:val="right" w:leader="dot" w:pos="8844"/>
        </w:tabs>
        <w:rPr>
          <w:b/>
          <w:bCs/>
          <w:color w:val="auto"/>
          <w:sz w:val="24"/>
        </w:rPr>
      </w:pPr>
      <w:r>
        <w:rPr>
          <w:color w:val="auto"/>
        </w:rPr>
        <w:fldChar w:fldCharType="begin"/>
      </w:r>
      <w:r>
        <w:rPr>
          <w:color w:val="auto"/>
        </w:rPr>
        <w:instrText xml:space="preserve"> HYPERLINK \l "_Toc9520" </w:instrText>
      </w:r>
      <w:r>
        <w:rPr>
          <w:color w:val="auto"/>
        </w:rPr>
        <w:fldChar w:fldCharType="separate"/>
      </w:r>
      <w:r>
        <w:rPr>
          <w:b/>
          <w:bCs/>
          <w:snapToGrid w:val="0"/>
          <w:color w:val="auto"/>
          <w:sz w:val="24"/>
        </w:rPr>
        <w:t>六、结论</w:t>
      </w:r>
      <w:r>
        <w:rPr>
          <w:b/>
          <w:bCs/>
          <w:color w:val="auto"/>
          <w:sz w:val="24"/>
        </w:rPr>
        <w:tab/>
      </w:r>
      <w:r>
        <w:rPr>
          <w:b/>
          <w:bCs/>
          <w:color w:val="auto"/>
          <w:sz w:val="24"/>
        </w:rPr>
        <w:fldChar w:fldCharType="begin"/>
      </w:r>
      <w:r>
        <w:rPr>
          <w:b/>
          <w:bCs/>
          <w:color w:val="auto"/>
          <w:sz w:val="24"/>
        </w:rPr>
        <w:instrText xml:space="preserve"> PAGEREF _Toc9520 \h </w:instrText>
      </w:r>
      <w:r>
        <w:rPr>
          <w:b/>
          <w:bCs/>
          <w:color w:val="auto"/>
          <w:sz w:val="24"/>
        </w:rPr>
        <w:fldChar w:fldCharType="separate"/>
      </w:r>
      <w:r>
        <w:rPr>
          <w:b/>
          <w:bCs/>
          <w:color w:val="auto"/>
          <w:sz w:val="24"/>
        </w:rPr>
        <w:t>66</w:t>
      </w:r>
      <w:r>
        <w:rPr>
          <w:b/>
          <w:bCs/>
          <w:color w:val="auto"/>
          <w:sz w:val="24"/>
        </w:rPr>
        <w:fldChar w:fldCharType="end"/>
      </w:r>
      <w:r>
        <w:rPr>
          <w:b/>
          <w:bCs/>
          <w:color w:val="auto"/>
          <w:sz w:val="24"/>
        </w:rPr>
        <w:fldChar w:fldCharType="end"/>
      </w:r>
    </w:p>
    <w:p>
      <w:pPr>
        <w:pStyle w:val="23"/>
        <w:tabs>
          <w:tab w:val="right" w:leader="dot" w:pos="8844"/>
        </w:tabs>
        <w:rPr>
          <w:b/>
          <w:bCs/>
          <w:color w:val="auto"/>
          <w:sz w:val="24"/>
        </w:rPr>
      </w:pPr>
    </w:p>
    <w:p>
      <w:pPr>
        <w:pStyle w:val="23"/>
        <w:tabs>
          <w:tab w:val="right" w:leader="dot" w:pos="8844"/>
        </w:tabs>
        <w:rPr>
          <w:color w:val="auto"/>
          <w:sz w:val="24"/>
        </w:rPr>
      </w:pPr>
      <w:r>
        <w:rPr>
          <w:color w:val="auto"/>
        </w:rPr>
        <w:fldChar w:fldCharType="begin"/>
      </w:r>
      <w:r>
        <w:rPr>
          <w:color w:val="auto"/>
        </w:rPr>
        <w:instrText xml:space="preserve"> HYPERLINK \l "_Toc2191" </w:instrText>
      </w:r>
      <w:r>
        <w:rPr>
          <w:color w:val="auto"/>
        </w:rPr>
        <w:fldChar w:fldCharType="separate"/>
      </w:r>
      <w:r>
        <w:rPr>
          <w:b/>
          <w:bCs/>
          <w:snapToGrid w:val="0"/>
          <w:color w:val="auto"/>
          <w:sz w:val="24"/>
        </w:rPr>
        <w:t>附表</w:t>
      </w:r>
      <w:r>
        <w:rPr>
          <w:b/>
          <w:bCs/>
          <w:color w:val="auto"/>
          <w:sz w:val="24"/>
        </w:rPr>
        <w:tab/>
      </w:r>
      <w:r>
        <w:rPr>
          <w:b/>
          <w:bCs/>
          <w:color w:val="auto"/>
          <w:sz w:val="24"/>
        </w:rPr>
        <w:fldChar w:fldCharType="begin"/>
      </w:r>
      <w:r>
        <w:rPr>
          <w:b/>
          <w:bCs/>
          <w:color w:val="auto"/>
          <w:sz w:val="24"/>
        </w:rPr>
        <w:instrText xml:space="preserve"> PAGEREF _Toc2191 \h </w:instrText>
      </w:r>
      <w:r>
        <w:rPr>
          <w:b/>
          <w:bCs/>
          <w:color w:val="auto"/>
          <w:sz w:val="24"/>
        </w:rPr>
        <w:fldChar w:fldCharType="separate"/>
      </w:r>
      <w:r>
        <w:rPr>
          <w:b/>
          <w:bCs/>
          <w:color w:val="auto"/>
          <w:sz w:val="24"/>
        </w:rPr>
        <w:t>67</w:t>
      </w:r>
      <w:r>
        <w:rPr>
          <w:b/>
          <w:bCs/>
          <w:color w:val="auto"/>
          <w:sz w:val="24"/>
        </w:rPr>
        <w:fldChar w:fldCharType="end"/>
      </w:r>
      <w:r>
        <w:rPr>
          <w:b/>
          <w:bCs/>
          <w:color w:val="auto"/>
          <w:sz w:val="24"/>
        </w:rPr>
        <w:fldChar w:fldCharType="end"/>
      </w:r>
    </w:p>
    <w:p>
      <w:pPr>
        <w:pStyle w:val="23"/>
        <w:tabs>
          <w:tab w:val="right" w:leader="dot" w:pos="8844"/>
        </w:tabs>
        <w:rPr>
          <w:color w:val="auto"/>
        </w:rPr>
      </w:pPr>
    </w:p>
    <w:p>
      <w:pPr>
        <w:pStyle w:val="3"/>
        <w:numPr>
          <w:ilvl w:val="0"/>
          <w:numId w:val="0"/>
        </w:numPr>
        <w:rPr>
          <w:color w:val="auto"/>
        </w:rPr>
        <w:sectPr>
          <w:pgSz w:w="11906" w:h="16838"/>
          <w:pgMar w:top="1701" w:right="1531" w:bottom="1701" w:left="1531" w:header="851" w:footer="1077" w:gutter="0"/>
          <w:pgNumType w:start="3"/>
          <w:cols w:space="720" w:num="1"/>
          <w:docGrid w:linePitch="312" w:charSpace="0"/>
        </w:sectPr>
      </w:pPr>
      <w:r>
        <w:rPr>
          <w:color w:val="auto"/>
        </w:rPr>
        <w:fldChar w:fldCharType="end"/>
      </w:r>
    </w:p>
    <w:p>
      <w:pPr>
        <w:spacing w:line="360" w:lineRule="auto"/>
        <w:jc w:val="center"/>
        <w:rPr>
          <w:b/>
          <w:color w:val="auto"/>
          <w:sz w:val="24"/>
        </w:rPr>
      </w:pPr>
      <w:bookmarkStart w:id="2" w:name="_Toc23751"/>
      <w:r>
        <w:rPr>
          <w:b/>
          <w:color w:val="auto"/>
          <w:sz w:val="24"/>
        </w:rPr>
        <w:t>附图及附件清单</w:t>
      </w:r>
    </w:p>
    <w:p>
      <w:pPr>
        <w:spacing w:line="360" w:lineRule="auto"/>
        <w:jc w:val="left"/>
        <w:rPr>
          <w:b/>
          <w:color w:val="auto"/>
          <w:sz w:val="24"/>
        </w:rPr>
      </w:pPr>
      <w:r>
        <w:rPr>
          <w:b/>
          <w:color w:val="auto"/>
          <w:sz w:val="24"/>
        </w:rPr>
        <w:t>附图</w:t>
      </w:r>
    </w:p>
    <w:p>
      <w:pPr>
        <w:adjustRightInd w:val="0"/>
        <w:snapToGrid w:val="0"/>
        <w:spacing w:line="360" w:lineRule="auto"/>
        <w:rPr>
          <w:color w:val="auto"/>
          <w:sz w:val="24"/>
        </w:rPr>
      </w:pPr>
      <w:r>
        <w:rPr>
          <w:rFonts w:hint="eastAsia"/>
          <w:color w:val="auto"/>
          <w:sz w:val="24"/>
        </w:rPr>
        <w:t>附</w:t>
      </w:r>
      <w:r>
        <w:rPr>
          <w:color w:val="auto"/>
          <w:sz w:val="24"/>
        </w:rPr>
        <w:t>图1-1 无锡惠山工业转型集聚区（东区）土地利用规划图</w:t>
      </w:r>
    </w:p>
    <w:p>
      <w:pPr>
        <w:adjustRightInd w:val="0"/>
        <w:snapToGrid w:val="0"/>
        <w:spacing w:line="360" w:lineRule="auto"/>
        <w:rPr>
          <w:color w:val="auto"/>
          <w:sz w:val="24"/>
        </w:rPr>
      </w:pPr>
      <w:r>
        <w:rPr>
          <w:rFonts w:hint="eastAsia"/>
          <w:color w:val="auto"/>
          <w:sz w:val="24"/>
        </w:rPr>
        <w:t>附</w:t>
      </w:r>
      <w:r>
        <w:rPr>
          <w:color w:val="auto"/>
          <w:sz w:val="24"/>
        </w:rPr>
        <w:t>图1-2 江苏省生态空间保护区域分布图</w:t>
      </w:r>
    </w:p>
    <w:p>
      <w:pPr>
        <w:adjustRightInd w:val="0"/>
        <w:snapToGrid w:val="0"/>
        <w:spacing w:line="360" w:lineRule="auto"/>
        <w:rPr>
          <w:color w:val="auto"/>
          <w:sz w:val="24"/>
        </w:rPr>
      </w:pPr>
      <w:r>
        <w:rPr>
          <w:rFonts w:hint="eastAsia"/>
          <w:color w:val="auto"/>
          <w:sz w:val="24"/>
        </w:rPr>
        <w:t>附</w:t>
      </w:r>
      <w:r>
        <w:rPr>
          <w:color w:val="auto"/>
          <w:sz w:val="24"/>
        </w:rPr>
        <w:t>图1-3 江苏省无锡市环境管控单元</w:t>
      </w:r>
    </w:p>
    <w:p>
      <w:pPr>
        <w:adjustRightInd w:val="0"/>
        <w:snapToGrid w:val="0"/>
        <w:spacing w:line="360" w:lineRule="auto"/>
        <w:rPr>
          <w:color w:val="auto"/>
          <w:sz w:val="24"/>
        </w:rPr>
      </w:pPr>
      <w:r>
        <w:rPr>
          <w:rFonts w:hint="eastAsia"/>
          <w:color w:val="auto"/>
          <w:sz w:val="24"/>
        </w:rPr>
        <w:t>附</w:t>
      </w:r>
      <w:r>
        <w:rPr>
          <w:color w:val="auto"/>
          <w:sz w:val="24"/>
        </w:rPr>
        <w:t xml:space="preserve">图2-1 厂区地理位置图 </w:t>
      </w:r>
    </w:p>
    <w:p>
      <w:pPr>
        <w:adjustRightInd w:val="0"/>
        <w:snapToGrid w:val="0"/>
        <w:spacing w:line="360" w:lineRule="auto"/>
        <w:rPr>
          <w:color w:val="auto"/>
          <w:sz w:val="24"/>
        </w:rPr>
      </w:pPr>
      <w:r>
        <w:rPr>
          <w:rFonts w:hint="eastAsia"/>
          <w:color w:val="auto"/>
          <w:sz w:val="24"/>
        </w:rPr>
        <w:t>附</w:t>
      </w:r>
      <w:r>
        <w:rPr>
          <w:color w:val="auto"/>
          <w:sz w:val="24"/>
        </w:rPr>
        <w:t>图2-2</w:t>
      </w:r>
      <w:r>
        <w:rPr>
          <w:rFonts w:hint="eastAsia"/>
          <w:color w:val="auto"/>
          <w:sz w:val="24"/>
        </w:rPr>
        <w:t xml:space="preserve"> </w:t>
      </w:r>
      <w:r>
        <w:rPr>
          <w:color w:val="auto"/>
          <w:sz w:val="24"/>
        </w:rPr>
        <w:t>厂区周围500m环境示意图</w:t>
      </w:r>
    </w:p>
    <w:p>
      <w:pPr>
        <w:adjustRightInd w:val="0"/>
        <w:snapToGrid w:val="0"/>
        <w:spacing w:line="360" w:lineRule="auto"/>
        <w:rPr>
          <w:color w:val="auto"/>
          <w:sz w:val="24"/>
        </w:rPr>
      </w:pPr>
      <w:r>
        <w:rPr>
          <w:rFonts w:hint="eastAsia"/>
          <w:color w:val="auto"/>
          <w:sz w:val="24"/>
        </w:rPr>
        <w:t>附</w:t>
      </w:r>
      <w:r>
        <w:rPr>
          <w:color w:val="auto"/>
          <w:sz w:val="24"/>
        </w:rPr>
        <w:t>图2-3</w:t>
      </w:r>
      <w:r>
        <w:rPr>
          <w:rFonts w:hint="eastAsia"/>
          <w:color w:val="auto"/>
          <w:sz w:val="24"/>
        </w:rPr>
        <w:t xml:space="preserve"> 厂区平面布置图及雨污管网图</w:t>
      </w:r>
    </w:p>
    <w:p>
      <w:pPr>
        <w:adjustRightInd w:val="0"/>
        <w:snapToGrid w:val="0"/>
        <w:spacing w:line="360" w:lineRule="auto"/>
        <w:rPr>
          <w:color w:val="auto"/>
          <w:sz w:val="24"/>
        </w:rPr>
      </w:pPr>
    </w:p>
    <w:p>
      <w:pPr>
        <w:adjustRightInd w:val="0"/>
        <w:snapToGrid w:val="0"/>
        <w:spacing w:line="360" w:lineRule="auto"/>
        <w:jc w:val="left"/>
        <w:rPr>
          <w:bCs/>
          <w:color w:val="auto"/>
          <w:sz w:val="24"/>
        </w:rPr>
      </w:pPr>
    </w:p>
    <w:p>
      <w:pPr>
        <w:spacing w:line="360" w:lineRule="auto"/>
        <w:jc w:val="left"/>
        <w:rPr>
          <w:b/>
          <w:color w:val="auto"/>
          <w:sz w:val="24"/>
        </w:rPr>
      </w:pPr>
      <w:r>
        <w:rPr>
          <w:b/>
          <w:color w:val="auto"/>
          <w:sz w:val="24"/>
        </w:rPr>
        <w:t>附件</w:t>
      </w:r>
      <w:bookmarkEnd w:id="2"/>
    </w:p>
    <w:p>
      <w:pPr>
        <w:spacing w:line="360" w:lineRule="auto"/>
        <w:rPr>
          <w:color w:val="auto"/>
          <w:sz w:val="24"/>
        </w:rPr>
      </w:pPr>
      <w:r>
        <w:rPr>
          <w:color w:val="auto"/>
          <w:sz w:val="24"/>
        </w:rPr>
        <w:t>附件1、备案证；</w:t>
      </w:r>
    </w:p>
    <w:p>
      <w:pPr>
        <w:spacing w:line="360" w:lineRule="auto"/>
        <w:rPr>
          <w:color w:val="auto"/>
          <w:sz w:val="24"/>
        </w:rPr>
      </w:pPr>
      <w:r>
        <w:rPr>
          <w:color w:val="auto"/>
          <w:sz w:val="24"/>
        </w:rPr>
        <w:t>附件2、营业执照；</w:t>
      </w:r>
    </w:p>
    <w:p>
      <w:pPr>
        <w:spacing w:line="360" w:lineRule="auto"/>
        <w:rPr>
          <w:color w:val="auto"/>
          <w:sz w:val="24"/>
        </w:rPr>
      </w:pPr>
      <w:r>
        <w:rPr>
          <w:color w:val="auto"/>
          <w:sz w:val="24"/>
        </w:rPr>
        <w:t>附件3、</w:t>
      </w:r>
      <w:r>
        <w:rPr>
          <w:rFonts w:hint="eastAsia"/>
          <w:color w:val="auto"/>
          <w:sz w:val="24"/>
        </w:rPr>
        <w:t>不动产权证</w:t>
      </w:r>
      <w:r>
        <w:rPr>
          <w:color w:val="auto"/>
          <w:sz w:val="24"/>
        </w:rPr>
        <w:t>；</w:t>
      </w:r>
    </w:p>
    <w:p>
      <w:pPr>
        <w:spacing w:line="360" w:lineRule="auto"/>
        <w:rPr>
          <w:rFonts w:hint="eastAsia"/>
          <w:color w:val="auto"/>
          <w:sz w:val="24"/>
        </w:rPr>
      </w:pPr>
      <w:r>
        <w:rPr>
          <w:rFonts w:hint="eastAsia"/>
          <w:color w:val="auto"/>
          <w:sz w:val="24"/>
        </w:rPr>
        <w:t>附件</w:t>
      </w:r>
      <w:r>
        <w:rPr>
          <w:rFonts w:hint="eastAsia"/>
          <w:color w:val="auto"/>
          <w:sz w:val="24"/>
          <w:lang w:val="en-US" w:eastAsia="zh-CN"/>
        </w:rPr>
        <w:t>4</w:t>
      </w:r>
      <w:r>
        <w:rPr>
          <w:rFonts w:hint="eastAsia"/>
          <w:color w:val="auto"/>
          <w:sz w:val="24"/>
        </w:rPr>
        <w:t>、</w:t>
      </w:r>
      <w:r>
        <w:rPr>
          <w:rFonts w:hint="eastAsia"/>
          <w:color w:val="auto"/>
          <w:sz w:val="24"/>
          <w:lang w:eastAsia="zh-CN"/>
        </w:rPr>
        <w:t>环境质量现状</w:t>
      </w:r>
      <w:r>
        <w:rPr>
          <w:rFonts w:hint="eastAsia"/>
          <w:color w:val="auto"/>
          <w:sz w:val="24"/>
        </w:rPr>
        <w:t>检测报告；</w:t>
      </w:r>
    </w:p>
    <w:p>
      <w:pPr>
        <w:spacing w:line="360" w:lineRule="auto"/>
        <w:rPr>
          <w:color w:val="auto"/>
          <w:sz w:val="24"/>
        </w:rPr>
      </w:pPr>
      <w:r>
        <w:rPr>
          <w:color w:val="auto"/>
          <w:sz w:val="24"/>
        </w:rPr>
        <w:t>附件</w:t>
      </w:r>
      <w:r>
        <w:rPr>
          <w:rFonts w:hint="eastAsia"/>
          <w:color w:val="auto"/>
          <w:sz w:val="24"/>
          <w:lang w:val="en-US" w:eastAsia="zh-CN"/>
        </w:rPr>
        <w:t>5</w:t>
      </w:r>
      <w:r>
        <w:rPr>
          <w:color w:val="auto"/>
          <w:sz w:val="24"/>
        </w:rPr>
        <w:t>、危废处置承诺书；</w:t>
      </w:r>
    </w:p>
    <w:p>
      <w:pPr>
        <w:spacing w:line="360" w:lineRule="auto"/>
        <w:rPr>
          <w:rFonts w:hint="eastAsia" w:eastAsia="宋体"/>
          <w:color w:val="auto"/>
          <w:sz w:val="24"/>
          <w:lang w:eastAsia="zh-CN"/>
        </w:rPr>
      </w:pPr>
      <w:r>
        <w:rPr>
          <w:color w:val="auto"/>
          <w:sz w:val="24"/>
        </w:rPr>
        <w:t>附件</w:t>
      </w:r>
      <w:r>
        <w:rPr>
          <w:rFonts w:hint="eastAsia"/>
          <w:color w:val="auto"/>
          <w:sz w:val="24"/>
          <w:lang w:val="en-US" w:eastAsia="zh-CN"/>
        </w:rPr>
        <w:t>6</w:t>
      </w:r>
      <w:r>
        <w:rPr>
          <w:color w:val="auto"/>
          <w:sz w:val="24"/>
        </w:rPr>
        <w:t>、环评</w:t>
      </w:r>
      <w:r>
        <w:rPr>
          <w:rFonts w:hint="eastAsia"/>
          <w:color w:val="auto"/>
          <w:sz w:val="24"/>
        </w:rPr>
        <w:t>编制</w:t>
      </w:r>
      <w:r>
        <w:rPr>
          <w:color w:val="auto"/>
          <w:sz w:val="24"/>
        </w:rPr>
        <w:t>委托书</w:t>
      </w:r>
      <w:r>
        <w:rPr>
          <w:rFonts w:hint="eastAsia"/>
          <w:color w:val="auto"/>
          <w:sz w:val="24"/>
          <w:lang w:eastAsia="zh-CN"/>
        </w:rPr>
        <w:t>；</w:t>
      </w:r>
    </w:p>
    <w:p>
      <w:pPr>
        <w:spacing w:line="360" w:lineRule="auto"/>
        <w:rPr>
          <w:color w:val="auto"/>
          <w:sz w:val="24"/>
        </w:rPr>
      </w:pPr>
      <w:r>
        <w:rPr>
          <w:color w:val="auto"/>
          <w:sz w:val="24"/>
        </w:rPr>
        <w:t>附件</w:t>
      </w:r>
      <w:r>
        <w:rPr>
          <w:rFonts w:hint="eastAsia"/>
          <w:color w:val="auto"/>
          <w:sz w:val="24"/>
          <w:lang w:val="en-US" w:eastAsia="zh-CN"/>
        </w:rPr>
        <w:t>7</w:t>
      </w:r>
      <w:r>
        <w:rPr>
          <w:color w:val="auto"/>
          <w:sz w:val="24"/>
        </w:rPr>
        <w:t>、技术服务合同；</w:t>
      </w:r>
    </w:p>
    <w:p>
      <w:pPr>
        <w:spacing w:line="360" w:lineRule="auto"/>
        <w:rPr>
          <w:color w:val="auto"/>
          <w:sz w:val="24"/>
        </w:rPr>
      </w:pPr>
      <w:r>
        <w:rPr>
          <w:color w:val="auto"/>
          <w:sz w:val="24"/>
        </w:rPr>
        <w:t>附件</w:t>
      </w:r>
      <w:r>
        <w:rPr>
          <w:rFonts w:hint="eastAsia"/>
          <w:color w:val="auto"/>
          <w:sz w:val="24"/>
          <w:lang w:val="en-US" w:eastAsia="zh-CN"/>
        </w:rPr>
        <w:t>8</w:t>
      </w:r>
      <w:r>
        <w:rPr>
          <w:color w:val="auto"/>
          <w:sz w:val="24"/>
        </w:rPr>
        <w:t>、建设单位确认单；</w:t>
      </w:r>
    </w:p>
    <w:p>
      <w:pPr>
        <w:spacing w:line="360" w:lineRule="auto"/>
        <w:rPr>
          <w:color w:val="auto"/>
          <w:sz w:val="24"/>
        </w:rPr>
      </w:pPr>
      <w:r>
        <w:rPr>
          <w:color w:val="auto"/>
          <w:sz w:val="24"/>
        </w:rPr>
        <w:t>附件</w:t>
      </w:r>
      <w:r>
        <w:rPr>
          <w:rFonts w:hint="eastAsia"/>
          <w:color w:val="auto"/>
          <w:sz w:val="24"/>
          <w:lang w:val="en-US" w:eastAsia="zh-CN"/>
        </w:rPr>
        <w:t>9</w:t>
      </w:r>
      <w:r>
        <w:rPr>
          <w:color w:val="auto"/>
          <w:sz w:val="24"/>
        </w:rPr>
        <w:t>、编制单位承诺书；</w:t>
      </w:r>
    </w:p>
    <w:p>
      <w:pPr>
        <w:spacing w:line="360" w:lineRule="auto"/>
        <w:rPr>
          <w:color w:val="auto"/>
          <w:sz w:val="24"/>
        </w:rPr>
      </w:pPr>
      <w:r>
        <w:rPr>
          <w:color w:val="auto"/>
          <w:sz w:val="24"/>
        </w:rPr>
        <w:t>附件</w:t>
      </w:r>
      <w:r>
        <w:rPr>
          <w:rFonts w:hint="eastAsia"/>
          <w:color w:val="auto"/>
          <w:sz w:val="24"/>
          <w:lang w:val="en-US" w:eastAsia="zh-CN"/>
        </w:rPr>
        <w:t>10</w:t>
      </w:r>
      <w:r>
        <w:rPr>
          <w:color w:val="auto"/>
          <w:sz w:val="24"/>
        </w:rPr>
        <w:t xml:space="preserve">、编制人员承诺书； </w:t>
      </w:r>
    </w:p>
    <w:p>
      <w:pPr>
        <w:spacing w:line="360" w:lineRule="auto"/>
        <w:rPr>
          <w:color w:val="auto"/>
          <w:sz w:val="24"/>
        </w:rPr>
      </w:pPr>
      <w:r>
        <w:rPr>
          <w:color w:val="auto"/>
          <w:sz w:val="24"/>
        </w:rPr>
        <w:t>附件</w:t>
      </w:r>
      <w:r>
        <w:rPr>
          <w:rFonts w:hint="eastAsia"/>
          <w:color w:val="auto"/>
          <w:sz w:val="24"/>
          <w:lang w:val="en-US" w:eastAsia="zh-CN"/>
        </w:rPr>
        <w:t>11</w:t>
      </w:r>
      <w:r>
        <w:rPr>
          <w:color w:val="auto"/>
          <w:sz w:val="24"/>
        </w:rPr>
        <w:t>、建设项目环境影响报告书（表）编制情况承诺书；</w:t>
      </w:r>
    </w:p>
    <w:p>
      <w:pPr>
        <w:spacing w:line="360" w:lineRule="auto"/>
        <w:rPr>
          <w:color w:val="auto"/>
          <w:sz w:val="24"/>
        </w:rPr>
      </w:pPr>
      <w:r>
        <w:rPr>
          <w:color w:val="auto"/>
          <w:sz w:val="24"/>
        </w:rPr>
        <w:t>附件1</w:t>
      </w:r>
      <w:r>
        <w:rPr>
          <w:rFonts w:hint="eastAsia"/>
          <w:color w:val="auto"/>
          <w:sz w:val="24"/>
          <w:lang w:val="en-US" w:eastAsia="zh-CN"/>
        </w:rPr>
        <w:t>2</w:t>
      </w:r>
      <w:r>
        <w:rPr>
          <w:color w:val="auto"/>
          <w:sz w:val="24"/>
        </w:rPr>
        <w:t>、项目负责人现场踏勘照片；</w:t>
      </w:r>
    </w:p>
    <w:p>
      <w:pPr>
        <w:spacing w:line="360" w:lineRule="auto"/>
        <w:rPr>
          <w:rFonts w:hint="eastAsia"/>
          <w:color w:val="auto"/>
          <w:sz w:val="24"/>
          <w:lang w:eastAsia="zh-CN"/>
        </w:rPr>
      </w:pPr>
      <w:r>
        <w:rPr>
          <w:color w:val="auto"/>
          <w:sz w:val="24"/>
        </w:rPr>
        <w:t>附件1</w:t>
      </w:r>
      <w:r>
        <w:rPr>
          <w:rFonts w:hint="eastAsia"/>
          <w:color w:val="auto"/>
          <w:sz w:val="24"/>
          <w:lang w:val="en-US" w:eastAsia="zh-CN"/>
        </w:rPr>
        <w:t>3</w:t>
      </w:r>
      <w:r>
        <w:rPr>
          <w:color w:val="auto"/>
          <w:sz w:val="24"/>
        </w:rPr>
        <w:t>、</w:t>
      </w:r>
      <w:r>
        <w:rPr>
          <w:rFonts w:hint="eastAsia"/>
          <w:color w:val="auto"/>
          <w:sz w:val="24"/>
          <w:lang w:eastAsia="zh-CN"/>
        </w:rPr>
        <w:t>建设项目排放污染物指标申请表；</w:t>
      </w:r>
    </w:p>
    <w:p>
      <w:pPr>
        <w:spacing w:line="360" w:lineRule="auto"/>
        <w:rPr>
          <w:color w:val="auto"/>
        </w:rPr>
        <w:sectPr>
          <w:pgSz w:w="11906" w:h="16838"/>
          <w:pgMar w:top="1701" w:right="1531" w:bottom="1701" w:left="1531" w:header="851" w:footer="1077" w:gutter="0"/>
          <w:pgNumType w:start="3"/>
          <w:cols w:space="720" w:num="1"/>
          <w:docGrid w:linePitch="312" w:charSpace="0"/>
        </w:sectPr>
      </w:pPr>
      <w:r>
        <w:rPr>
          <w:color w:val="auto"/>
          <w:sz w:val="24"/>
        </w:rPr>
        <w:t>附件1</w:t>
      </w:r>
      <w:r>
        <w:rPr>
          <w:rFonts w:hint="eastAsia"/>
          <w:color w:val="auto"/>
          <w:sz w:val="24"/>
          <w:lang w:val="en-US" w:eastAsia="zh-CN"/>
        </w:rPr>
        <w:t>4</w:t>
      </w:r>
      <w:r>
        <w:rPr>
          <w:color w:val="auto"/>
          <w:sz w:val="24"/>
        </w:rPr>
        <w:t>、建设单位同意全本公开的说明及公示截图。</w:t>
      </w:r>
      <w:r>
        <w:rPr>
          <w:rFonts w:hint="eastAsia"/>
          <w:color w:val="auto"/>
          <w:sz w:val="24"/>
        </w:rPr>
        <w:t xml:space="preserve"> </w:t>
      </w:r>
    </w:p>
    <w:p>
      <w:pPr>
        <w:pStyle w:val="26"/>
        <w:adjustRightInd w:val="0"/>
        <w:snapToGrid w:val="0"/>
        <w:spacing w:before="0" w:beforeAutospacing="0" w:after="0" w:afterAutospacing="0"/>
        <w:jc w:val="center"/>
        <w:outlineLvl w:val="0"/>
        <w:rPr>
          <w:rFonts w:ascii="Times New Roman" w:hAnsi="Times New Roman"/>
          <w:b/>
          <w:bCs/>
          <w:snapToGrid w:val="0"/>
          <w:color w:val="auto"/>
          <w:sz w:val="30"/>
          <w:szCs w:val="30"/>
        </w:rPr>
      </w:pPr>
      <w:bookmarkStart w:id="3" w:name="_Toc17663"/>
      <w:r>
        <w:rPr>
          <w:rFonts w:ascii="Times New Roman" w:hAnsi="Times New Roman"/>
          <w:b/>
          <w:bCs/>
          <w:snapToGrid w:val="0"/>
          <w:color w:val="auto"/>
          <w:sz w:val="30"/>
          <w:szCs w:val="30"/>
        </w:rPr>
        <w:t>一、建设项目基本情况</w:t>
      </w:r>
      <w:bookmarkEnd w:id="3"/>
    </w:p>
    <w:tbl>
      <w:tblPr>
        <w:tblStyle w:val="2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22"/>
        <w:gridCol w:w="911"/>
        <w:gridCol w:w="2291"/>
        <w:gridCol w:w="1820"/>
        <w:gridCol w:w="29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7037" w:type="dxa"/>
            <w:gridSpan w:val="3"/>
            <w:vAlign w:val="center"/>
          </w:tcPr>
          <w:p>
            <w:pPr>
              <w:adjustRightInd w:val="0"/>
              <w:snapToGrid w:val="0"/>
              <w:jc w:val="center"/>
              <w:rPr>
                <w:color w:val="auto"/>
                <w:sz w:val="24"/>
              </w:rPr>
            </w:pPr>
            <w:r>
              <w:rPr>
                <w:rFonts w:hint="eastAsia"/>
                <w:color w:val="auto"/>
                <w:sz w:val="24"/>
              </w:rPr>
              <w:t>旭森新材料年产360万片饰面板项目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7037" w:type="dxa"/>
            <w:gridSpan w:val="3"/>
            <w:vAlign w:val="center"/>
          </w:tcPr>
          <w:p>
            <w:pPr>
              <w:adjustRightInd w:val="0"/>
              <w:snapToGrid w:val="0"/>
              <w:jc w:val="center"/>
              <w:rPr>
                <w:color w:val="auto"/>
                <w:sz w:val="24"/>
              </w:rPr>
            </w:pPr>
            <w:r>
              <w:rPr>
                <w:color w:val="auto"/>
                <w:sz w:val="24"/>
              </w:rPr>
              <w:t>2104-320206-89-01-906574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2291" w:type="dxa"/>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w:t>
            </w:r>
            <w:bookmarkStart w:id="43" w:name="_GoBack"/>
            <w:bookmarkEnd w:id="43"/>
          </w:p>
        </w:tc>
        <w:tc>
          <w:tcPr>
            <w:tcW w:w="1820" w:type="dxa"/>
            <w:vAlign w:val="center"/>
          </w:tcPr>
          <w:p>
            <w:pPr>
              <w:adjustRightInd w:val="0"/>
              <w:snapToGrid w:val="0"/>
              <w:jc w:val="center"/>
              <w:rPr>
                <w:color w:val="auto"/>
                <w:sz w:val="24"/>
              </w:rPr>
            </w:pPr>
            <w:r>
              <w:rPr>
                <w:color w:val="auto"/>
                <w:sz w:val="24"/>
              </w:rPr>
              <w:t>联系方式</w:t>
            </w:r>
          </w:p>
        </w:tc>
        <w:tc>
          <w:tcPr>
            <w:tcW w:w="2926" w:type="dxa"/>
            <w:vAlign w:val="center"/>
          </w:tcPr>
          <w:p>
            <w:pPr>
              <w:adjustRightInd w:val="0"/>
              <w:snapToGrid w:val="0"/>
              <w:jc w:val="center"/>
              <w:rPr>
                <w:color w:val="auto"/>
                <w:sz w:val="24"/>
              </w:rPr>
            </w:pPr>
            <w:r>
              <w:rPr>
                <w:color w:val="auto"/>
                <w:sz w:val="24"/>
              </w:rPr>
              <w:t>139</w:t>
            </w:r>
            <w:r>
              <w:rPr>
                <w:rFonts w:hint="eastAsia"/>
                <w:color w:val="auto"/>
                <w:sz w:val="24"/>
                <w:lang w:val="en-US" w:eastAsia="zh-CN"/>
              </w:rPr>
              <w:t>****</w:t>
            </w:r>
            <w:r>
              <w:rPr>
                <w:color w:val="auto"/>
                <w:sz w:val="24"/>
              </w:rPr>
              <w:t>9998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7037" w:type="dxa"/>
            <w:gridSpan w:val="3"/>
            <w:vAlign w:val="center"/>
          </w:tcPr>
          <w:p>
            <w:pPr>
              <w:adjustRightInd w:val="0"/>
              <w:snapToGrid w:val="0"/>
              <w:jc w:val="center"/>
              <w:rPr>
                <w:color w:val="auto"/>
                <w:sz w:val="24"/>
              </w:rPr>
            </w:pPr>
            <w:r>
              <w:rPr>
                <w:rFonts w:hint="eastAsia"/>
                <w:color w:val="auto"/>
                <w:sz w:val="24"/>
              </w:rPr>
              <w:t>江苏省</w:t>
            </w:r>
            <w:r>
              <w:rPr>
                <w:color w:val="auto"/>
                <w:sz w:val="24"/>
              </w:rPr>
              <w:t>无锡</w:t>
            </w:r>
            <w:r>
              <w:rPr>
                <w:rFonts w:hint="eastAsia"/>
                <w:color w:val="auto"/>
                <w:sz w:val="24"/>
              </w:rPr>
              <w:t>市</w:t>
            </w:r>
            <w:r>
              <w:rPr>
                <w:color w:val="auto"/>
                <w:sz w:val="24"/>
              </w:rPr>
              <w:t>惠山工业转型集聚区北洲路与邓北路交叉口西北侧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7037" w:type="dxa"/>
            <w:gridSpan w:val="3"/>
            <w:vAlign w:val="center"/>
          </w:tcPr>
          <w:p>
            <w:pPr>
              <w:jc w:val="center"/>
              <w:rPr>
                <w:color w:val="auto"/>
                <w:sz w:val="24"/>
              </w:rPr>
            </w:pPr>
            <w:r>
              <w:rPr>
                <w:color w:val="auto"/>
                <w:sz w:val="24"/>
              </w:rPr>
              <w:t>（</w:t>
            </w:r>
            <w:r>
              <w:rPr>
                <w:color w:val="auto"/>
                <w:sz w:val="24"/>
                <w:u w:val="single"/>
              </w:rPr>
              <w:t>120</w:t>
            </w:r>
            <w:r>
              <w:rPr>
                <w:color w:val="auto"/>
                <w:sz w:val="24"/>
              </w:rPr>
              <w:t>度</w:t>
            </w:r>
            <w:r>
              <w:rPr>
                <w:color w:val="auto"/>
                <w:sz w:val="24"/>
                <w:u w:val="single"/>
              </w:rPr>
              <w:t>13</w:t>
            </w:r>
            <w:r>
              <w:rPr>
                <w:color w:val="auto"/>
                <w:sz w:val="24"/>
              </w:rPr>
              <w:t>分</w:t>
            </w:r>
            <w:r>
              <w:rPr>
                <w:color w:val="auto"/>
                <w:sz w:val="24"/>
                <w:u w:val="single"/>
              </w:rPr>
              <w:t>25.947</w:t>
            </w:r>
            <w:r>
              <w:rPr>
                <w:color w:val="auto"/>
                <w:sz w:val="24"/>
              </w:rPr>
              <w:t>秒，</w:t>
            </w:r>
            <w:r>
              <w:rPr>
                <w:color w:val="auto"/>
                <w:sz w:val="24"/>
                <w:u w:val="single"/>
              </w:rPr>
              <w:t>31</w:t>
            </w:r>
            <w:r>
              <w:rPr>
                <w:color w:val="auto"/>
                <w:sz w:val="24"/>
              </w:rPr>
              <w:t>度</w:t>
            </w:r>
            <w:r>
              <w:rPr>
                <w:color w:val="auto"/>
                <w:sz w:val="24"/>
                <w:u w:val="single"/>
              </w:rPr>
              <w:t>43</w:t>
            </w:r>
            <w:r>
              <w:rPr>
                <w:color w:val="auto"/>
                <w:sz w:val="24"/>
              </w:rPr>
              <w:t>分</w:t>
            </w:r>
            <w:r>
              <w:rPr>
                <w:color w:val="auto"/>
                <w:sz w:val="24"/>
                <w:u w:val="single"/>
              </w:rPr>
              <w:t>7.767</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2291" w:type="dxa"/>
            <w:vAlign w:val="center"/>
          </w:tcPr>
          <w:p>
            <w:pPr>
              <w:adjustRightInd w:val="0"/>
              <w:snapToGrid w:val="0"/>
              <w:jc w:val="center"/>
              <w:rPr>
                <w:color w:val="auto"/>
                <w:sz w:val="24"/>
              </w:rPr>
            </w:pPr>
            <w:r>
              <w:rPr>
                <w:color w:val="auto"/>
                <w:sz w:val="24"/>
              </w:rPr>
              <w:t>[C2029]其他人造板制造</w:t>
            </w:r>
          </w:p>
        </w:tc>
        <w:tc>
          <w:tcPr>
            <w:tcW w:w="1820" w:type="dxa"/>
            <w:vAlign w:val="center"/>
          </w:tcPr>
          <w:p>
            <w:pPr>
              <w:adjustRightInd w:val="0"/>
              <w:snapToGrid w:val="0"/>
              <w:jc w:val="center"/>
              <w:rPr>
                <w:color w:val="auto"/>
                <w:sz w:val="24"/>
              </w:rPr>
            </w:pPr>
            <w:bookmarkStart w:id="4" w:name="_Hlk49843745"/>
            <w:r>
              <w:rPr>
                <w:color w:val="auto"/>
                <w:sz w:val="24"/>
              </w:rPr>
              <w:t>建设项目</w:t>
            </w:r>
          </w:p>
          <w:p>
            <w:pPr>
              <w:adjustRightInd w:val="0"/>
              <w:snapToGrid w:val="0"/>
              <w:jc w:val="center"/>
              <w:rPr>
                <w:color w:val="auto"/>
                <w:sz w:val="24"/>
              </w:rPr>
            </w:pPr>
            <w:r>
              <w:rPr>
                <w:color w:val="auto"/>
                <w:sz w:val="24"/>
              </w:rPr>
              <w:t>行业类别</w:t>
            </w:r>
            <w:bookmarkEnd w:id="4"/>
          </w:p>
        </w:tc>
        <w:tc>
          <w:tcPr>
            <w:tcW w:w="2926" w:type="dxa"/>
            <w:vAlign w:val="center"/>
          </w:tcPr>
          <w:p>
            <w:pPr>
              <w:adjustRightInd w:val="0"/>
              <w:snapToGrid w:val="0"/>
              <w:rPr>
                <w:color w:val="auto"/>
                <w:sz w:val="24"/>
              </w:rPr>
            </w:pPr>
            <w:r>
              <w:rPr>
                <w:rFonts w:hint="eastAsia"/>
                <w:color w:val="auto"/>
                <w:sz w:val="24"/>
              </w:rPr>
              <w:t>十七、木材加工和木、竹、藤、棕、草制品业20</w:t>
            </w:r>
            <w:r>
              <w:rPr>
                <w:color w:val="auto"/>
                <w:sz w:val="24"/>
              </w:rPr>
              <w:t>-34</w:t>
            </w:r>
            <w:r>
              <w:rPr>
                <w:rFonts w:hint="eastAsia"/>
                <w:color w:val="auto"/>
                <w:sz w:val="24"/>
              </w:rPr>
              <w:t>人造板制造202</w:t>
            </w:r>
            <w:r>
              <w:rPr>
                <w:color w:val="auto"/>
                <w:sz w:val="24"/>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2291" w:type="dxa"/>
            <w:vAlign w:val="center"/>
          </w:tcPr>
          <w:p>
            <w:pPr>
              <w:pStyle w:val="19"/>
              <w:widowControl/>
              <w:spacing w:after="0"/>
              <w:ind w:firstLine="0" w:firstLineChars="0"/>
              <w:rPr>
                <w:color w:val="auto"/>
                <w:sz w:val="24"/>
                <w:szCs w:val="24"/>
              </w:rPr>
            </w:pPr>
            <w:r>
              <w:rPr>
                <w:color w:val="auto"/>
                <w:sz w:val="24"/>
                <w:szCs w:val="24"/>
              </w:rPr>
              <w:t>☑新建（迁建）</w:t>
            </w:r>
          </w:p>
          <w:p>
            <w:pPr>
              <w:pStyle w:val="19"/>
              <w:widowControl/>
              <w:spacing w:after="0"/>
              <w:ind w:firstLine="0" w:firstLineChars="0"/>
              <w:rPr>
                <w:color w:val="auto"/>
                <w:sz w:val="24"/>
                <w:szCs w:val="24"/>
              </w:rPr>
            </w:pPr>
            <w:r>
              <w:rPr>
                <w:color w:val="auto"/>
                <w:sz w:val="24"/>
              </w:rPr>
              <w:t>□</w:t>
            </w:r>
            <w:r>
              <w:rPr>
                <w:color w:val="auto"/>
                <w:sz w:val="24"/>
                <w:szCs w:val="24"/>
              </w:rPr>
              <w:t>改建</w:t>
            </w:r>
          </w:p>
          <w:p>
            <w:pPr>
              <w:pStyle w:val="19"/>
              <w:widowControl/>
              <w:spacing w:after="0"/>
              <w:ind w:firstLine="0" w:firstLineChars="0"/>
              <w:rPr>
                <w:color w:val="auto"/>
                <w:sz w:val="24"/>
                <w:szCs w:val="24"/>
              </w:rPr>
            </w:pPr>
            <w:r>
              <w:rPr>
                <w:color w:val="auto"/>
                <w:sz w:val="24"/>
              </w:rPr>
              <w:t>□</w:t>
            </w:r>
            <w:r>
              <w:rPr>
                <w:color w:val="auto"/>
                <w:sz w:val="24"/>
                <w:szCs w:val="24"/>
              </w:rPr>
              <w:t>扩建</w:t>
            </w:r>
          </w:p>
          <w:p>
            <w:pPr>
              <w:jc w:val="left"/>
              <w:rPr>
                <w:color w:val="auto"/>
                <w:sz w:val="24"/>
              </w:rPr>
            </w:pPr>
            <w:r>
              <w:rPr>
                <w:color w:val="auto"/>
                <w:sz w:val="24"/>
              </w:rPr>
              <w:t>□技术改造</w:t>
            </w:r>
          </w:p>
        </w:tc>
        <w:tc>
          <w:tcPr>
            <w:tcW w:w="1820" w:type="dxa"/>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926" w:type="dxa"/>
            <w:vAlign w:val="center"/>
          </w:tcPr>
          <w:p>
            <w:pPr>
              <w:pStyle w:val="19"/>
              <w:widowControl/>
              <w:spacing w:after="0"/>
              <w:ind w:firstLine="0" w:firstLineChars="0"/>
              <w:rPr>
                <w:color w:val="auto"/>
                <w:sz w:val="24"/>
                <w:szCs w:val="24"/>
              </w:rPr>
            </w:pPr>
            <w:r>
              <w:rPr>
                <w:color w:val="auto"/>
                <w:sz w:val="24"/>
                <w:szCs w:val="24"/>
              </w:rPr>
              <w:t>☑首次申报项目</w:t>
            </w:r>
          </w:p>
          <w:p>
            <w:pPr>
              <w:pStyle w:val="19"/>
              <w:widowControl/>
              <w:spacing w:after="0"/>
              <w:ind w:firstLine="0" w:firstLineChars="0"/>
              <w:rPr>
                <w:color w:val="auto"/>
                <w:sz w:val="24"/>
                <w:szCs w:val="24"/>
              </w:rPr>
            </w:pPr>
            <w:r>
              <w:rPr>
                <w:color w:val="auto"/>
                <w:sz w:val="24"/>
                <w:szCs w:val="24"/>
              </w:rPr>
              <w:t>□不予批准后再次申报项目</w:t>
            </w:r>
          </w:p>
          <w:p>
            <w:pPr>
              <w:pStyle w:val="19"/>
              <w:widowControl/>
              <w:spacing w:after="0"/>
              <w:ind w:firstLine="0" w:firstLineChars="0"/>
              <w:rPr>
                <w:color w:val="auto"/>
                <w:sz w:val="24"/>
                <w:szCs w:val="24"/>
              </w:rPr>
            </w:pPr>
            <w:r>
              <w:rPr>
                <w:color w:val="auto"/>
                <w:sz w:val="24"/>
                <w:szCs w:val="24"/>
              </w:rPr>
              <w:t>□超五年重新审核项目</w:t>
            </w:r>
          </w:p>
          <w:p>
            <w:pPr>
              <w:jc w:val="left"/>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项目审批（核准/备案）部门（选填）</w:t>
            </w:r>
          </w:p>
        </w:tc>
        <w:tc>
          <w:tcPr>
            <w:tcW w:w="2291" w:type="dxa"/>
            <w:vAlign w:val="center"/>
          </w:tcPr>
          <w:p>
            <w:pPr>
              <w:adjustRightInd w:val="0"/>
              <w:snapToGrid w:val="0"/>
              <w:jc w:val="center"/>
              <w:rPr>
                <w:color w:val="auto"/>
                <w:sz w:val="24"/>
              </w:rPr>
            </w:pPr>
            <w:r>
              <w:rPr>
                <w:color w:val="auto"/>
                <w:sz w:val="24"/>
              </w:rPr>
              <w:t>无锡市惠山区行政审批局</w:t>
            </w:r>
          </w:p>
        </w:tc>
        <w:tc>
          <w:tcPr>
            <w:tcW w:w="1820" w:type="dxa"/>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2926" w:type="dxa"/>
            <w:vAlign w:val="center"/>
          </w:tcPr>
          <w:p>
            <w:pPr>
              <w:adjustRightInd w:val="0"/>
              <w:snapToGrid w:val="0"/>
              <w:jc w:val="center"/>
              <w:rPr>
                <w:color w:val="auto"/>
                <w:sz w:val="24"/>
              </w:rPr>
            </w:pPr>
            <w:r>
              <w:rPr>
                <w:color w:val="auto"/>
                <w:sz w:val="24"/>
              </w:rPr>
              <w:t>惠行审备〔2021〕174号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2291" w:type="dxa"/>
            <w:vAlign w:val="center"/>
          </w:tcPr>
          <w:p>
            <w:pPr>
              <w:adjustRightInd w:val="0"/>
              <w:snapToGrid w:val="0"/>
              <w:jc w:val="center"/>
              <w:rPr>
                <w:color w:val="auto"/>
                <w:sz w:val="24"/>
              </w:rPr>
            </w:pPr>
            <w:r>
              <w:rPr>
                <w:color w:val="auto"/>
                <w:sz w:val="24"/>
              </w:rPr>
              <w:t>50000</w:t>
            </w:r>
          </w:p>
          <w:p>
            <w:pPr>
              <w:adjustRightInd w:val="0"/>
              <w:snapToGrid w:val="0"/>
              <w:jc w:val="center"/>
              <w:rPr>
                <w:color w:val="auto"/>
                <w:sz w:val="24"/>
              </w:rPr>
            </w:pPr>
            <w:r>
              <w:rPr>
                <w:rFonts w:hint="eastAsia"/>
                <w:color w:val="auto"/>
                <w:sz w:val="24"/>
              </w:rPr>
              <w:t>（其中包括厂房建设</w:t>
            </w:r>
            <w:r>
              <w:rPr>
                <w:color w:val="auto"/>
                <w:sz w:val="24"/>
              </w:rPr>
              <w:t>及基础设施投资</w:t>
            </w:r>
            <w:r>
              <w:rPr>
                <w:rFonts w:hint="eastAsia"/>
                <w:color w:val="auto"/>
                <w:sz w:val="24"/>
              </w:rPr>
              <w:t>）</w:t>
            </w:r>
          </w:p>
        </w:tc>
        <w:tc>
          <w:tcPr>
            <w:tcW w:w="1820" w:type="dxa"/>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2926" w:type="dxa"/>
            <w:vAlign w:val="center"/>
          </w:tcPr>
          <w:p>
            <w:pPr>
              <w:adjustRightInd w:val="0"/>
              <w:snapToGrid w:val="0"/>
              <w:jc w:val="center"/>
              <w:rPr>
                <w:color w:val="auto"/>
                <w:sz w:val="24"/>
              </w:rPr>
            </w:pPr>
            <w:r>
              <w:rPr>
                <w:rFonts w:hint="eastAsia"/>
                <w:color w:val="auto"/>
                <w:sz w:val="24"/>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2291" w:type="dxa"/>
            <w:vAlign w:val="center"/>
          </w:tcPr>
          <w:p>
            <w:pPr>
              <w:adjustRightInd w:val="0"/>
              <w:snapToGrid w:val="0"/>
              <w:jc w:val="center"/>
              <w:rPr>
                <w:color w:val="auto"/>
                <w:sz w:val="24"/>
              </w:rPr>
            </w:pPr>
            <w:r>
              <w:rPr>
                <w:color w:val="auto"/>
                <w:sz w:val="24"/>
              </w:rPr>
              <w:t>0.2%</w:t>
            </w:r>
          </w:p>
        </w:tc>
        <w:tc>
          <w:tcPr>
            <w:tcW w:w="1820" w:type="dxa"/>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2926" w:type="dxa"/>
            <w:vAlign w:val="center"/>
          </w:tcPr>
          <w:p>
            <w:pPr>
              <w:adjustRightInd w:val="0"/>
              <w:snapToGrid w:val="0"/>
              <w:jc w:val="center"/>
              <w:rPr>
                <w:color w:val="auto"/>
                <w:sz w:val="24"/>
              </w:rPr>
            </w:pPr>
            <w:r>
              <w:rPr>
                <w:color w:val="auto"/>
                <w:sz w:val="24"/>
              </w:rPr>
              <w:t>2023年0</w:t>
            </w:r>
            <w:r>
              <w:rPr>
                <w:rFonts w:hint="eastAsia"/>
                <w:color w:val="auto"/>
                <w:sz w:val="24"/>
                <w:lang w:val="en-US" w:eastAsia="zh-CN"/>
              </w:rPr>
              <w:t>6</w:t>
            </w:r>
            <w:r>
              <w:rPr>
                <w:color w:val="auto"/>
                <w:sz w:val="24"/>
              </w:rPr>
              <w:t>月~2023年0</w:t>
            </w:r>
            <w:r>
              <w:rPr>
                <w:rFonts w:hint="eastAsia"/>
                <w:color w:val="auto"/>
                <w:sz w:val="24"/>
                <w:lang w:val="en-US" w:eastAsia="zh-CN"/>
              </w:rPr>
              <w:t>8</w:t>
            </w:r>
            <w:r>
              <w:rPr>
                <w:color w:val="auto"/>
                <w:sz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2291" w:type="dxa"/>
            <w:vAlign w:val="center"/>
          </w:tcPr>
          <w:p>
            <w:pPr>
              <w:pStyle w:val="19"/>
              <w:widowControl/>
              <w:spacing w:after="0"/>
              <w:ind w:firstLine="0" w:firstLineChars="0"/>
              <w:rPr>
                <w:color w:val="auto"/>
                <w:sz w:val="24"/>
                <w:szCs w:val="24"/>
              </w:rPr>
            </w:pPr>
            <w:r>
              <w:rPr>
                <w:color w:val="auto"/>
                <w:sz w:val="24"/>
                <w:szCs w:val="24"/>
              </w:rPr>
              <w:t>☑否</w:t>
            </w:r>
          </w:p>
          <w:p>
            <w:pPr>
              <w:adjustRightInd w:val="0"/>
              <w:snapToGrid w:val="0"/>
              <w:rPr>
                <w:color w:val="auto"/>
                <w:sz w:val="24"/>
              </w:rPr>
            </w:pPr>
            <w:r>
              <w:rPr>
                <w:color w:val="auto"/>
                <w:sz w:val="24"/>
              </w:rPr>
              <w:t>□是：</w:t>
            </w:r>
            <w:r>
              <w:rPr>
                <w:color w:val="auto"/>
                <w:sz w:val="24"/>
                <w:u w:val="single"/>
              </w:rPr>
              <w:t xml:space="preserve">             </w:t>
            </w:r>
          </w:p>
        </w:tc>
        <w:tc>
          <w:tcPr>
            <w:tcW w:w="1820" w:type="dxa"/>
            <w:tcMar>
              <w:top w:w="16" w:type="dxa"/>
              <w:left w:w="16" w:type="dxa"/>
              <w:right w:w="16" w:type="dxa"/>
            </w:tcMar>
            <w:vAlign w:val="center"/>
          </w:tcPr>
          <w:p>
            <w:pPr>
              <w:adjustRightInd w:val="0"/>
              <w:snapToGrid w:val="0"/>
              <w:jc w:val="center"/>
              <w:rPr>
                <w:color w:val="auto"/>
                <w:spacing w:val="-6"/>
                <w:sz w:val="24"/>
              </w:rPr>
            </w:pPr>
            <w:r>
              <w:rPr>
                <w:color w:val="auto"/>
                <w:spacing w:val="-6"/>
                <w:sz w:val="24"/>
              </w:rPr>
              <w:t>用地（用海）</w:t>
            </w:r>
          </w:p>
          <w:p>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926" w:type="dxa"/>
            <w:vAlign w:val="center"/>
          </w:tcPr>
          <w:p>
            <w:pPr>
              <w:adjustRightInd w:val="0"/>
              <w:snapToGrid w:val="0"/>
              <w:jc w:val="center"/>
              <w:rPr>
                <w:color w:val="auto"/>
                <w:sz w:val="24"/>
              </w:rPr>
            </w:pPr>
            <w:r>
              <w:rPr>
                <w:rFonts w:hint="eastAsia"/>
                <w:color w:val="auto"/>
                <w:sz w:val="24"/>
              </w:rPr>
              <w:t>2</w:t>
            </w:r>
            <w:r>
              <w:rPr>
                <w:color w:val="auto"/>
                <w:sz w:val="24"/>
              </w:rPr>
              <w:t>3707.4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33" w:type="dxa"/>
            <w:gridSpan w:val="2"/>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7037" w:type="dxa"/>
            <w:gridSpan w:val="3"/>
            <w:vAlign w:val="center"/>
          </w:tcPr>
          <w:p>
            <w:pPr>
              <w:adjustRightInd w:val="0"/>
              <w:snapToGrid w:val="0"/>
              <w:spacing w:line="360" w:lineRule="auto"/>
              <w:ind w:firstLine="480" w:firstLineChars="200"/>
              <w:rPr>
                <w:color w:val="auto"/>
                <w:sz w:val="24"/>
              </w:rPr>
            </w:pPr>
            <w:r>
              <w:rPr>
                <w:rFonts w:hint="eastAsia"/>
                <w:color w:val="auto"/>
                <w:sz w:val="24"/>
              </w:rPr>
              <w:t>本项目与《建设项目环境影响报告表编制技术指南》（污染影响类）表1专项评价设置原则表对照情况见下表。</w:t>
            </w:r>
          </w:p>
          <w:p>
            <w:pPr>
              <w:jc w:val="center"/>
              <w:rPr>
                <w:b/>
                <w:color w:val="auto"/>
                <w:sz w:val="24"/>
              </w:rPr>
            </w:pPr>
            <w:r>
              <w:rPr>
                <w:b/>
                <w:color w:val="auto"/>
                <w:sz w:val="24"/>
              </w:rPr>
              <w:t xml:space="preserve">表1-1  </w:t>
            </w:r>
            <w:r>
              <w:rPr>
                <w:rFonts w:hint="eastAsia"/>
                <w:b/>
                <w:color w:val="auto"/>
                <w:sz w:val="24"/>
              </w:rPr>
              <w:t>专项评价设置原则表</w:t>
            </w:r>
          </w:p>
          <w:tbl>
            <w:tblPr>
              <w:tblStyle w:val="29"/>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3118"/>
              <w:gridCol w:w="252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68" w:type="dxa"/>
                  <w:tcBorders>
                    <w:tl2br w:val="nil"/>
                    <w:tr2bl w:val="nil"/>
                  </w:tcBorders>
                  <w:vAlign w:val="center"/>
                </w:tcPr>
                <w:p>
                  <w:pPr>
                    <w:jc w:val="center"/>
                    <w:rPr>
                      <w:b/>
                      <w:color w:val="auto"/>
                      <w:szCs w:val="18"/>
                    </w:rPr>
                  </w:pPr>
                  <w:r>
                    <w:rPr>
                      <w:rFonts w:hint="eastAsia"/>
                      <w:b/>
                      <w:color w:val="auto"/>
                      <w:szCs w:val="18"/>
                    </w:rPr>
                    <w:t>专项评价</w:t>
                  </w:r>
                  <w:r>
                    <w:rPr>
                      <w:b/>
                      <w:color w:val="auto"/>
                      <w:szCs w:val="18"/>
                    </w:rPr>
                    <w:t>的类别</w:t>
                  </w:r>
                </w:p>
              </w:tc>
              <w:tc>
                <w:tcPr>
                  <w:tcW w:w="3118" w:type="dxa"/>
                  <w:tcBorders>
                    <w:tl2br w:val="nil"/>
                    <w:tr2bl w:val="nil"/>
                  </w:tcBorders>
                  <w:vAlign w:val="center"/>
                </w:tcPr>
                <w:p>
                  <w:pPr>
                    <w:jc w:val="center"/>
                    <w:rPr>
                      <w:b/>
                      <w:color w:val="auto"/>
                      <w:szCs w:val="18"/>
                    </w:rPr>
                  </w:pPr>
                  <w:r>
                    <w:rPr>
                      <w:rFonts w:hint="eastAsia"/>
                      <w:b/>
                      <w:color w:val="auto"/>
                      <w:szCs w:val="18"/>
                    </w:rPr>
                    <w:t>设置原则</w:t>
                  </w:r>
                </w:p>
              </w:tc>
              <w:tc>
                <w:tcPr>
                  <w:tcW w:w="2528" w:type="dxa"/>
                  <w:tcBorders>
                    <w:tl2br w:val="nil"/>
                    <w:tr2bl w:val="nil"/>
                  </w:tcBorders>
                  <w:vAlign w:val="center"/>
                </w:tcPr>
                <w:p>
                  <w:pPr>
                    <w:jc w:val="center"/>
                    <w:rPr>
                      <w:b/>
                      <w:color w:val="auto"/>
                      <w:szCs w:val="18"/>
                    </w:rPr>
                  </w:pPr>
                  <w:r>
                    <w:rPr>
                      <w:b/>
                      <w:color w:val="auto"/>
                      <w:szCs w:val="18"/>
                    </w:rPr>
                    <w:t>建设项目情况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68" w:type="dxa"/>
                  <w:tcBorders>
                    <w:tl2br w:val="nil"/>
                    <w:tr2bl w:val="nil"/>
                  </w:tcBorders>
                  <w:vAlign w:val="center"/>
                </w:tcPr>
                <w:p>
                  <w:pPr>
                    <w:jc w:val="center"/>
                    <w:rPr>
                      <w:color w:val="auto"/>
                      <w:szCs w:val="18"/>
                    </w:rPr>
                  </w:pPr>
                  <w:r>
                    <w:rPr>
                      <w:rFonts w:hint="eastAsia"/>
                      <w:color w:val="auto"/>
                      <w:szCs w:val="18"/>
                    </w:rPr>
                    <w:t>大气</w:t>
                  </w:r>
                </w:p>
              </w:tc>
              <w:tc>
                <w:tcPr>
                  <w:tcW w:w="3118" w:type="dxa"/>
                  <w:tcBorders>
                    <w:tl2br w:val="nil"/>
                    <w:tr2bl w:val="nil"/>
                  </w:tcBorders>
                  <w:vAlign w:val="center"/>
                </w:tcPr>
                <w:p>
                  <w:pPr>
                    <w:rPr>
                      <w:color w:val="auto"/>
                      <w:szCs w:val="18"/>
                    </w:rPr>
                  </w:pPr>
                  <w:r>
                    <w:rPr>
                      <w:rFonts w:hint="eastAsia"/>
                      <w:color w:val="auto"/>
                      <w:szCs w:val="18"/>
                    </w:rPr>
                    <w:t>排放废气含有毒有害污染物</w:t>
                  </w:r>
                  <w:r>
                    <w:rPr>
                      <w:rFonts w:hint="eastAsia"/>
                      <w:color w:val="auto"/>
                      <w:szCs w:val="18"/>
                      <w:vertAlign w:val="superscript"/>
                    </w:rPr>
                    <w:t>1</w:t>
                  </w:r>
                  <w:r>
                    <w:rPr>
                      <w:rFonts w:hint="eastAsia"/>
                      <w:color w:val="auto"/>
                      <w:szCs w:val="18"/>
                    </w:rPr>
                    <w:t>、二噁英、苯并[a]芘、氰化物、氯气且厂界外500米范围内有环境空气保护目标</w:t>
                  </w:r>
                  <w:r>
                    <w:rPr>
                      <w:rFonts w:hint="eastAsia"/>
                      <w:color w:val="auto"/>
                      <w:szCs w:val="18"/>
                      <w:vertAlign w:val="superscript"/>
                    </w:rPr>
                    <w:t>2</w:t>
                  </w:r>
                  <w:r>
                    <w:rPr>
                      <w:rFonts w:hint="eastAsia"/>
                      <w:color w:val="auto"/>
                      <w:szCs w:val="18"/>
                    </w:rPr>
                    <w:t>的建设项目</w:t>
                  </w:r>
                </w:p>
              </w:tc>
              <w:tc>
                <w:tcPr>
                  <w:tcW w:w="2528" w:type="dxa"/>
                  <w:tcBorders>
                    <w:tl2br w:val="nil"/>
                    <w:tr2bl w:val="nil"/>
                  </w:tcBorders>
                  <w:vAlign w:val="center"/>
                </w:tcPr>
                <w:p>
                  <w:pPr>
                    <w:jc w:val="center"/>
                    <w:rPr>
                      <w:color w:val="auto"/>
                      <w:szCs w:val="18"/>
                    </w:rPr>
                  </w:pPr>
                  <w:r>
                    <w:rPr>
                      <w:rFonts w:hint="eastAsia"/>
                      <w:color w:val="auto"/>
                      <w:szCs w:val="18"/>
                    </w:rPr>
                    <w:t>本项目</w:t>
                  </w:r>
                  <w:r>
                    <w:rPr>
                      <w:color w:val="auto"/>
                      <w:szCs w:val="18"/>
                    </w:rPr>
                    <w:t>排放废气为热压工段产生的甲醛，属于</w:t>
                  </w:r>
                  <w:r>
                    <w:rPr>
                      <w:rFonts w:hint="eastAsia"/>
                      <w:color w:val="auto"/>
                      <w:szCs w:val="18"/>
                    </w:rPr>
                    <w:t>《有毒有害大气污染物名录》的污染物，且厂界</w:t>
                  </w:r>
                  <w:r>
                    <w:rPr>
                      <w:color w:val="auto"/>
                      <w:szCs w:val="18"/>
                    </w:rPr>
                    <w:t>外455</w:t>
                  </w:r>
                  <w:r>
                    <w:rPr>
                      <w:rFonts w:hint="eastAsia"/>
                      <w:color w:val="auto"/>
                      <w:szCs w:val="18"/>
                    </w:rPr>
                    <w:t>米处有</w:t>
                  </w:r>
                  <w:r>
                    <w:rPr>
                      <w:color w:val="auto"/>
                      <w:szCs w:val="18"/>
                    </w:rPr>
                    <w:t>居住区等</w:t>
                  </w:r>
                  <w:r>
                    <w:rPr>
                      <w:rFonts w:hint="eastAsia"/>
                      <w:color w:val="auto"/>
                      <w:szCs w:val="18"/>
                    </w:rPr>
                    <w:t>环境空气保护目标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68" w:type="dxa"/>
                  <w:tcBorders>
                    <w:tl2br w:val="nil"/>
                    <w:tr2bl w:val="nil"/>
                  </w:tcBorders>
                  <w:vAlign w:val="center"/>
                </w:tcPr>
                <w:p>
                  <w:pPr>
                    <w:jc w:val="center"/>
                    <w:rPr>
                      <w:color w:val="auto"/>
                      <w:szCs w:val="18"/>
                    </w:rPr>
                  </w:pPr>
                  <w:r>
                    <w:rPr>
                      <w:rFonts w:hint="eastAsia"/>
                      <w:color w:val="auto"/>
                      <w:szCs w:val="18"/>
                    </w:rPr>
                    <w:t>地表水</w:t>
                  </w:r>
                </w:p>
              </w:tc>
              <w:tc>
                <w:tcPr>
                  <w:tcW w:w="3118" w:type="dxa"/>
                  <w:tcBorders>
                    <w:tl2br w:val="nil"/>
                    <w:tr2bl w:val="nil"/>
                  </w:tcBorders>
                  <w:vAlign w:val="center"/>
                </w:tcPr>
                <w:p>
                  <w:pPr>
                    <w:rPr>
                      <w:color w:val="auto"/>
                      <w:szCs w:val="18"/>
                    </w:rPr>
                  </w:pPr>
                  <w:r>
                    <w:rPr>
                      <w:rFonts w:hint="eastAsia"/>
                      <w:color w:val="auto"/>
                      <w:szCs w:val="18"/>
                    </w:rPr>
                    <w:t>新增工业废水直排建设项目（槽罐车外送污水处理厂的除外）；</w:t>
                  </w:r>
                </w:p>
                <w:p>
                  <w:pPr>
                    <w:rPr>
                      <w:color w:val="auto"/>
                      <w:szCs w:val="18"/>
                    </w:rPr>
                  </w:pPr>
                  <w:r>
                    <w:rPr>
                      <w:rFonts w:hint="eastAsia"/>
                      <w:color w:val="auto"/>
                      <w:szCs w:val="18"/>
                    </w:rPr>
                    <w:t>新增废水直排的污水集中处理厂</w:t>
                  </w:r>
                </w:p>
              </w:tc>
              <w:tc>
                <w:tcPr>
                  <w:tcW w:w="2528" w:type="dxa"/>
                  <w:tcBorders>
                    <w:tl2br w:val="nil"/>
                    <w:tr2bl w:val="nil"/>
                  </w:tcBorders>
                  <w:vAlign w:val="center"/>
                </w:tcPr>
                <w:p>
                  <w:pPr>
                    <w:jc w:val="center"/>
                    <w:rPr>
                      <w:color w:val="auto"/>
                      <w:szCs w:val="18"/>
                    </w:rPr>
                  </w:pPr>
                  <w:r>
                    <w:rPr>
                      <w:rFonts w:hint="eastAsia"/>
                      <w:color w:val="auto"/>
                      <w:szCs w:val="18"/>
                    </w:rPr>
                    <w:t>本项目</w:t>
                  </w:r>
                  <w:r>
                    <w:rPr>
                      <w:color w:val="auto"/>
                      <w:szCs w:val="18"/>
                    </w:rPr>
                    <w:t>无</w:t>
                  </w:r>
                  <w:r>
                    <w:rPr>
                      <w:rFonts w:hint="eastAsia"/>
                      <w:color w:val="auto"/>
                      <w:szCs w:val="18"/>
                    </w:rPr>
                    <w:t>工业废水直排</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68" w:type="dxa"/>
                  <w:tcBorders>
                    <w:tl2br w:val="nil"/>
                    <w:tr2bl w:val="nil"/>
                  </w:tcBorders>
                  <w:vAlign w:val="center"/>
                </w:tcPr>
                <w:p>
                  <w:pPr>
                    <w:jc w:val="center"/>
                    <w:rPr>
                      <w:color w:val="auto"/>
                      <w:szCs w:val="18"/>
                    </w:rPr>
                  </w:pPr>
                  <w:r>
                    <w:rPr>
                      <w:rFonts w:hint="eastAsia"/>
                      <w:color w:val="auto"/>
                      <w:szCs w:val="18"/>
                    </w:rPr>
                    <w:t>环境风险</w:t>
                  </w:r>
                </w:p>
              </w:tc>
              <w:tc>
                <w:tcPr>
                  <w:tcW w:w="3118" w:type="dxa"/>
                  <w:tcBorders>
                    <w:tl2br w:val="nil"/>
                    <w:tr2bl w:val="nil"/>
                  </w:tcBorders>
                  <w:vAlign w:val="center"/>
                </w:tcPr>
                <w:p>
                  <w:pPr>
                    <w:rPr>
                      <w:color w:val="auto"/>
                      <w:szCs w:val="18"/>
                    </w:rPr>
                  </w:pPr>
                  <w:r>
                    <w:rPr>
                      <w:rFonts w:hint="eastAsia"/>
                      <w:color w:val="auto"/>
                      <w:szCs w:val="18"/>
                    </w:rPr>
                    <w:t>有毒有害和易燃易爆危险物质存储量超过临界量</w:t>
                  </w:r>
                  <w:r>
                    <w:rPr>
                      <w:rFonts w:hint="eastAsia"/>
                      <w:color w:val="auto"/>
                      <w:szCs w:val="18"/>
                      <w:vertAlign w:val="superscript"/>
                    </w:rPr>
                    <w:t>3</w:t>
                  </w:r>
                  <w:r>
                    <w:rPr>
                      <w:rFonts w:hint="eastAsia"/>
                      <w:color w:val="auto"/>
                      <w:szCs w:val="18"/>
                    </w:rPr>
                    <w:t>的建设项目</w:t>
                  </w:r>
                </w:p>
              </w:tc>
              <w:tc>
                <w:tcPr>
                  <w:tcW w:w="2528" w:type="dxa"/>
                  <w:tcBorders>
                    <w:tl2br w:val="nil"/>
                    <w:tr2bl w:val="nil"/>
                  </w:tcBorders>
                  <w:vAlign w:val="center"/>
                </w:tcPr>
                <w:p>
                  <w:pPr>
                    <w:jc w:val="center"/>
                    <w:rPr>
                      <w:color w:val="auto"/>
                      <w:szCs w:val="18"/>
                    </w:rPr>
                  </w:pPr>
                  <w:r>
                    <w:rPr>
                      <w:rFonts w:hint="eastAsia"/>
                      <w:color w:val="auto"/>
                      <w:szCs w:val="18"/>
                    </w:rPr>
                    <w:t>本项目有毒有害</w:t>
                  </w:r>
                  <w:r>
                    <w:rPr>
                      <w:color w:val="auto"/>
                      <w:szCs w:val="18"/>
                    </w:rPr>
                    <w:t>和</w:t>
                  </w:r>
                  <w:r>
                    <w:rPr>
                      <w:rFonts w:hint="eastAsia"/>
                      <w:color w:val="auto"/>
                      <w:szCs w:val="18"/>
                    </w:rPr>
                    <w:t>易燃易爆危险物质存储量未超过临界量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68" w:type="dxa"/>
                  <w:tcBorders>
                    <w:tl2br w:val="nil"/>
                    <w:tr2bl w:val="nil"/>
                  </w:tcBorders>
                  <w:vAlign w:val="center"/>
                </w:tcPr>
                <w:p>
                  <w:pPr>
                    <w:jc w:val="center"/>
                    <w:rPr>
                      <w:color w:val="auto"/>
                      <w:szCs w:val="18"/>
                    </w:rPr>
                  </w:pPr>
                  <w:r>
                    <w:rPr>
                      <w:rFonts w:hint="eastAsia"/>
                      <w:color w:val="auto"/>
                      <w:szCs w:val="18"/>
                    </w:rPr>
                    <w:t>生态</w:t>
                  </w:r>
                </w:p>
              </w:tc>
              <w:tc>
                <w:tcPr>
                  <w:tcW w:w="3118" w:type="dxa"/>
                  <w:tcBorders>
                    <w:tl2br w:val="nil"/>
                    <w:tr2bl w:val="nil"/>
                  </w:tcBorders>
                  <w:vAlign w:val="center"/>
                </w:tcPr>
                <w:p>
                  <w:pPr>
                    <w:rPr>
                      <w:color w:val="auto"/>
                      <w:szCs w:val="18"/>
                    </w:rPr>
                  </w:pPr>
                  <w:r>
                    <w:rPr>
                      <w:rFonts w:hint="eastAsia"/>
                      <w:color w:val="auto"/>
                      <w:szCs w:val="18"/>
                    </w:rPr>
                    <w:t>取水口下游500米范围内有重要水生生物的自然产卵场、索饵场、越冬场和洄游通道的新增河道取水的污染类建设项目</w:t>
                  </w:r>
                </w:p>
              </w:tc>
              <w:tc>
                <w:tcPr>
                  <w:tcW w:w="2528" w:type="dxa"/>
                  <w:tcBorders>
                    <w:tl2br w:val="nil"/>
                    <w:tr2bl w:val="nil"/>
                  </w:tcBorders>
                  <w:vAlign w:val="center"/>
                </w:tcPr>
                <w:p>
                  <w:pPr>
                    <w:jc w:val="center"/>
                    <w:rPr>
                      <w:color w:val="auto"/>
                      <w:szCs w:val="18"/>
                    </w:rPr>
                  </w:pPr>
                  <w:r>
                    <w:rPr>
                      <w:rFonts w:hint="eastAsia"/>
                      <w:color w:val="auto"/>
                      <w:szCs w:val="18"/>
                    </w:rPr>
                    <w:t>本项目水源</w:t>
                  </w:r>
                  <w:r>
                    <w:rPr>
                      <w:color w:val="auto"/>
                      <w:szCs w:val="18"/>
                    </w:rPr>
                    <w:t>使用自来水</w:t>
                  </w:r>
                  <w:r>
                    <w:rPr>
                      <w:rFonts w:hint="eastAsia"/>
                      <w:color w:val="auto"/>
                      <w:szCs w:val="18"/>
                    </w:rPr>
                    <w:t>，</w:t>
                  </w:r>
                  <w:r>
                    <w:rPr>
                      <w:color w:val="auto"/>
                      <w:szCs w:val="18"/>
                    </w:rPr>
                    <w:t>不直接从河道取水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68" w:type="dxa"/>
                  <w:tcBorders>
                    <w:tl2br w:val="nil"/>
                    <w:tr2bl w:val="nil"/>
                  </w:tcBorders>
                  <w:vAlign w:val="center"/>
                </w:tcPr>
                <w:p>
                  <w:pPr>
                    <w:jc w:val="center"/>
                    <w:rPr>
                      <w:color w:val="auto"/>
                      <w:szCs w:val="18"/>
                    </w:rPr>
                  </w:pPr>
                  <w:r>
                    <w:rPr>
                      <w:rFonts w:hint="eastAsia"/>
                      <w:color w:val="auto"/>
                      <w:szCs w:val="18"/>
                    </w:rPr>
                    <w:t>海洋</w:t>
                  </w:r>
                </w:p>
              </w:tc>
              <w:tc>
                <w:tcPr>
                  <w:tcW w:w="3118" w:type="dxa"/>
                  <w:tcBorders>
                    <w:tl2br w:val="nil"/>
                    <w:tr2bl w:val="nil"/>
                  </w:tcBorders>
                  <w:vAlign w:val="center"/>
                </w:tcPr>
                <w:p>
                  <w:pPr>
                    <w:rPr>
                      <w:color w:val="auto"/>
                      <w:szCs w:val="18"/>
                    </w:rPr>
                  </w:pPr>
                  <w:r>
                    <w:rPr>
                      <w:rFonts w:hint="eastAsia"/>
                      <w:color w:val="auto"/>
                      <w:szCs w:val="18"/>
                    </w:rPr>
                    <w:t>直接向海排放污染物的海洋工程建设项目</w:t>
                  </w:r>
                </w:p>
              </w:tc>
              <w:tc>
                <w:tcPr>
                  <w:tcW w:w="2528" w:type="dxa"/>
                  <w:tcBorders>
                    <w:tl2br w:val="nil"/>
                    <w:tr2bl w:val="nil"/>
                  </w:tcBorders>
                  <w:vAlign w:val="center"/>
                </w:tcPr>
                <w:p>
                  <w:pPr>
                    <w:jc w:val="center"/>
                    <w:rPr>
                      <w:color w:val="auto"/>
                      <w:szCs w:val="18"/>
                    </w:rPr>
                  </w:pPr>
                  <w:r>
                    <w:rPr>
                      <w:rFonts w:hint="eastAsia"/>
                      <w:color w:val="auto"/>
                      <w:szCs w:val="18"/>
                    </w:rPr>
                    <w:t>本项目</w:t>
                  </w:r>
                  <w:r>
                    <w:rPr>
                      <w:color w:val="auto"/>
                      <w:szCs w:val="18"/>
                    </w:rPr>
                    <w:t>不</w:t>
                  </w:r>
                  <w:r>
                    <w:rPr>
                      <w:rFonts w:hint="eastAsia"/>
                      <w:color w:val="auto"/>
                      <w:szCs w:val="18"/>
                    </w:rPr>
                    <w:t>属于直接向海排放污染物的海洋工程建设项目</w:t>
                  </w:r>
                </w:p>
              </w:tc>
            </w:tr>
          </w:tbl>
          <w:p>
            <w:pPr>
              <w:adjustRightInd w:val="0"/>
              <w:snapToGrid w:val="0"/>
              <w:spacing w:line="360" w:lineRule="auto"/>
              <w:ind w:firstLine="480" w:firstLineChars="200"/>
              <w:rPr>
                <w:color w:val="auto"/>
                <w:sz w:val="24"/>
              </w:rPr>
            </w:pPr>
            <w:r>
              <w:rPr>
                <w:rFonts w:hint="eastAsia"/>
                <w:color w:val="auto"/>
                <w:sz w:val="24"/>
              </w:rPr>
              <w:t>由</w:t>
            </w:r>
            <w:r>
              <w:rPr>
                <w:color w:val="auto"/>
                <w:sz w:val="24"/>
              </w:rPr>
              <w:t>上表</w:t>
            </w:r>
            <w:r>
              <w:rPr>
                <w:rFonts w:hint="eastAsia"/>
                <w:color w:val="auto"/>
                <w:sz w:val="24"/>
              </w:rPr>
              <w:t>可知</w:t>
            </w:r>
            <w:r>
              <w:rPr>
                <w:color w:val="auto"/>
                <w:sz w:val="24"/>
              </w:rPr>
              <w:t>，本项目需设置</w:t>
            </w:r>
            <w:r>
              <w:rPr>
                <w:rFonts w:hint="eastAsia"/>
                <w:color w:val="auto"/>
                <w:sz w:val="24"/>
              </w:rPr>
              <w:t>大气环境影响专项评价；无需设置地表水、环境风险、生态、海洋环境影响专项</w:t>
            </w:r>
            <w:r>
              <w:rPr>
                <w:color w:val="auto"/>
                <w:sz w:val="24"/>
              </w:rPr>
              <w:t>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1833" w:type="dxa"/>
            <w:gridSpan w:val="2"/>
            <w:vAlign w:val="center"/>
          </w:tcPr>
          <w:p>
            <w:pPr>
              <w:autoSpaceDE w:val="0"/>
              <w:autoSpaceDN w:val="0"/>
              <w:adjustRightInd w:val="0"/>
              <w:snapToGrid w:val="0"/>
              <w:jc w:val="center"/>
              <w:rPr>
                <w:color w:val="auto"/>
                <w:kern w:val="0"/>
                <w:sz w:val="24"/>
              </w:rPr>
            </w:pPr>
            <w:r>
              <w:rPr>
                <w:color w:val="auto"/>
                <w:sz w:val="24"/>
              </w:rPr>
              <w:t>规划情况</w:t>
            </w:r>
          </w:p>
        </w:tc>
        <w:tc>
          <w:tcPr>
            <w:tcW w:w="7037" w:type="dxa"/>
            <w:gridSpan w:val="3"/>
          </w:tcPr>
          <w:p>
            <w:pPr>
              <w:adjustRightInd w:val="0"/>
              <w:snapToGrid w:val="0"/>
              <w:spacing w:line="360" w:lineRule="auto"/>
              <w:rPr>
                <w:color w:val="auto"/>
                <w:sz w:val="24"/>
              </w:rPr>
            </w:pPr>
            <w:r>
              <w:rPr>
                <w:color w:val="auto"/>
                <w:sz w:val="24"/>
              </w:rPr>
              <w:t>规划名称：《无锡惠山工业转型集聚区（东区）</w:t>
            </w:r>
            <w:r>
              <w:rPr>
                <w:rFonts w:hint="eastAsia"/>
                <w:color w:val="auto"/>
                <w:sz w:val="24"/>
              </w:rPr>
              <w:t>控制性详细规划</w:t>
            </w:r>
            <w:r>
              <w:rPr>
                <w:color w:val="auto"/>
                <w:sz w:val="24"/>
              </w:rPr>
              <w:t>》</w:t>
            </w:r>
          </w:p>
          <w:p>
            <w:pPr>
              <w:adjustRightInd w:val="0"/>
              <w:snapToGrid w:val="0"/>
              <w:spacing w:line="360" w:lineRule="auto"/>
              <w:rPr>
                <w:color w:val="auto"/>
                <w:sz w:val="24"/>
              </w:rPr>
            </w:pPr>
            <w:r>
              <w:rPr>
                <w:color w:val="auto"/>
                <w:sz w:val="24"/>
              </w:rPr>
              <w:t>审批机关：无锡市人民政府</w:t>
            </w:r>
          </w:p>
          <w:p>
            <w:pPr>
              <w:adjustRightInd w:val="0"/>
              <w:snapToGrid w:val="0"/>
              <w:spacing w:line="360" w:lineRule="auto"/>
              <w:rPr>
                <w:color w:val="auto"/>
                <w:sz w:val="24"/>
              </w:rPr>
            </w:pPr>
            <w:r>
              <w:rPr>
                <w:color w:val="auto"/>
                <w:sz w:val="24"/>
              </w:rPr>
              <w:t>审查文件：《市政府关于无锡惠山工业转型集聚区（东区）</w:t>
            </w:r>
            <w:r>
              <w:rPr>
                <w:rFonts w:hint="eastAsia"/>
                <w:color w:val="auto"/>
                <w:sz w:val="24"/>
              </w:rPr>
              <w:t>控制性详细规划</w:t>
            </w:r>
            <w:r>
              <w:rPr>
                <w:color w:val="auto"/>
                <w:sz w:val="24"/>
              </w:rPr>
              <w:t>的批复》</w:t>
            </w:r>
          </w:p>
          <w:p>
            <w:pPr>
              <w:adjustRightInd w:val="0"/>
              <w:snapToGrid w:val="0"/>
              <w:spacing w:line="360" w:lineRule="auto"/>
              <w:rPr>
                <w:color w:val="auto"/>
                <w:sz w:val="24"/>
              </w:rPr>
            </w:pPr>
            <w:r>
              <w:rPr>
                <w:color w:val="auto"/>
                <w:sz w:val="24"/>
              </w:rPr>
              <w:t>审查文号：锡政复〔2017〕60号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1833" w:type="dxa"/>
            <w:gridSpan w:val="2"/>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rPr>
            </w:pPr>
            <w:r>
              <w:rPr>
                <w:color w:val="auto"/>
                <w:sz w:val="24"/>
              </w:rPr>
              <w:t>评价情况</w:t>
            </w:r>
          </w:p>
        </w:tc>
        <w:tc>
          <w:tcPr>
            <w:tcW w:w="7037" w:type="dxa"/>
            <w:gridSpan w:val="3"/>
          </w:tcPr>
          <w:p>
            <w:pPr>
              <w:adjustRightInd w:val="0"/>
              <w:snapToGrid w:val="0"/>
              <w:spacing w:line="360" w:lineRule="auto"/>
              <w:rPr>
                <w:color w:val="auto"/>
                <w:sz w:val="24"/>
              </w:rPr>
            </w:pPr>
            <w:r>
              <w:rPr>
                <w:color w:val="auto"/>
                <w:sz w:val="24"/>
              </w:rPr>
              <w:t>规划环评名称：《无锡惠山工业转型集聚区（东区）规划环境影响报告书》</w:t>
            </w:r>
          </w:p>
          <w:p>
            <w:pPr>
              <w:adjustRightInd w:val="0"/>
              <w:snapToGrid w:val="0"/>
              <w:spacing w:line="360" w:lineRule="auto"/>
              <w:rPr>
                <w:color w:val="auto"/>
                <w:sz w:val="24"/>
              </w:rPr>
            </w:pPr>
            <w:r>
              <w:rPr>
                <w:color w:val="auto"/>
                <w:sz w:val="24"/>
              </w:rPr>
              <w:t>审查机关：无锡市</w:t>
            </w:r>
            <w:r>
              <w:rPr>
                <w:rFonts w:hint="eastAsia"/>
                <w:color w:val="auto"/>
                <w:sz w:val="24"/>
              </w:rPr>
              <w:t>环境保护局</w:t>
            </w:r>
          </w:p>
          <w:p>
            <w:pPr>
              <w:adjustRightInd w:val="0"/>
              <w:snapToGrid w:val="0"/>
              <w:spacing w:line="360" w:lineRule="auto"/>
              <w:rPr>
                <w:color w:val="auto"/>
                <w:sz w:val="24"/>
              </w:rPr>
            </w:pPr>
            <w:r>
              <w:rPr>
                <w:color w:val="auto"/>
                <w:sz w:val="24"/>
              </w:rPr>
              <w:t>审查文件：《关于&lt;无锡惠山工业转型集聚区（东区）规划环境影响报告书&gt;的审查意见》</w:t>
            </w:r>
          </w:p>
          <w:p>
            <w:pPr>
              <w:adjustRightInd w:val="0"/>
              <w:snapToGrid w:val="0"/>
              <w:spacing w:line="360" w:lineRule="auto"/>
              <w:rPr>
                <w:color w:val="auto"/>
                <w:sz w:val="24"/>
              </w:rPr>
            </w:pPr>
            <w:r>
              <w:rPr>
                <w:color w:val="auto"/>
                <w:sz w:val="24"/>
              </w:rPr>
              <w:t>审查文号：</w:t>
            </w:r>
            <w:r>
              <w:rPr>
                <w:rFonts w:hint="eastAsia"/>
                <w:color w:val="auto"/>
                <w:sz w:val="24"/>
              </w:rPr>
              <w:t>锡</w:t>
            </w:r>
            <w:r>
              <w:rPr>
                <w:color w:val="auto"/>
                <w:sz w:val="24"/>
              </w:rPr>
              <w:t>环</w:t>
            </w:r>
            <w:r>
              <w:rPr>
                <w:rFonts w:hint="eastAsia"/>
                <w:color w:val="auto"/>
                <w:sz w:val="24"/>
              </w:rPr>
              <w:t>管</w:t>
            </w:r>
            <w:r>
              <w:rPr>
                <w:color w:val="auto"/>
                <w:sz w:val="24"/>
              </w:rPr>
              <w:t>〔2019〕1号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948" w:type="dxa"/>
            <w:gridSpan w:val="4"/>
          </w:tcPr>
          <w:p>
            <w:pPr>
              <w:spacing w:line="360" w:lineRule="auto"/>
              <w:ind w:firstLine="482" w:firstLineChars="200"/>
              <w:rPr>
                <w:color w:val="auto"/>
                <w:sz w:val="24"/>
              </w:rPr>
            </w:pPr>
            <w:r>
              <w:rPr>
                <w:b/>
                <w:bCs/>
                <w:color w:val="auto"/>
                <w:sz w:val="24"/>
              </w:rPr>
              <w:t>（1）</w:t>
            </w:r>
            <w:r>
              <w:rPr>
                <w:b/>
                <w:color w:val="auto"/>
                <w:sz w:val="24"/>
              </w:rPr>
              <w:t>与规划相符性</w:t>
            </w:r>
          </w:p>
          <w:p>
            <w:pPr>
              <w:adjustRightInd w:val="0"/>
              <w:snapToGrid w:val="0"/>
              <w:spacing w:line="360" w:lineRule="auto"/>
              <w:ind w:firstLine="480" w:firstLineChars="200"/>
              <w:rPr>
                <w:color w:val="auto"/>
                <w:sz w:val="24"/>
              </w:rPr>
            </w:pPr>
            <w:r>
              <w:rPr>
                <w:color w:val="auto"/>
                <w:sz w:val="24"/>
              </w:rPr>
              <w:t>本项目选址位于无锡惠山工业转型集聚区北洲路与邓北路交叉口西北侧，属于</w:t>
            </w:r>
            <w:r>
              <w:rPr>
                <w:rFonts w:hint="eastAsia"/>
                <w:color w:val="auto"/>
                <w:sz w:val="24"/>
              </w:rPr>
              <w:t>无锡惠山工业转型集聚区（东区）</w:t>
            </w:r>
            <w:r>
              <w:rPr>
                <w:color w:val="auto"/>
                <w:sz w:val="24"/>
              </w:rPr>
              <w:t>范围内，根据《无锡惠山工业转型集聚区（东区）</w:t>
            </w:r>
            <w:r>
              <w:rPr>
                <w:rFonts w:hint="eastAsia"/>
                <w:color w:val="auto"/>
                <w:sz w:val="24"/>
              </w:rPr>
              <w:t>控制性详细规划-土地利用规划</w:t>
            </w:r>
            <w:r>
              <w:rPr>
                <w:color w:val="auto"/>
                <w:sz w:val="24"/>
              </w:rPr>
              <w:t>图》</w:t>
            </w:r>
            <w:r>
              <w:rPr>
                <w:rFonts w:hint="eastAsia"/>
                <w:color w:val="auto"/>
                <w:sz w:val="24"/>
              </w:rPr>
              <w:t>（见图1-1）</w:t>
            </w:r>
            <w:r>
              <w:rPr>
                <w:color w:val="auto"/>
                <w:sz w:val="24"/>
              </w:rPr>
              <w:t>，本项目所在地为工业用地，符合</w:t>
            </w:r>
            <w:r>
              <w:rPr>
                <w:rFonts w:hint="eastAsia"/>
                <w:color w:val="auto"/>
                <w:sz w:val="24"/>
              </w:rPr>
              <w:t>区域土地</w:t>
            </w:r>
            <w:r>
              <w:rPr>
                <w:color w:val="auto"/>
                <w:sz w:val="24"/>
              </w:rPr>
              <w:t>用地规划。</w:t>
            </w:r>
          </w:p>
          <w:p>
            <w:pPr>
              <w:adjustRightInd w:val="0"/>
              <w:snapToGrid w:val="0"/>
              <w:spacing w:line="360" w:lineRule="auto"/>
              <w:ind w:left="482"/>
              <w:rPr>
                <w:b/>
                <w:bCs/>
                <w:color w:val="auto"/>
                <w:sz w:val="24"/>
              </w:rPr>
            </w:pPr>
            <w:r>
              <w:rPr>
                <w:b/>
                <w:bCs/>
                <w:color w:val="auto"/>
                <w:sz w:val="24"/>
              </w:rPr>
              <w:t>（2）与规划环境影响评价相符性分析</w:t>
            </w:r>
          </w:p>
          <w:p>
            <w:pPr>
              <w:adjustRightInd w:val="0"/>
              <w:snapToGrid w:val="0"/>
              <w:spacing w:line="360" w:lineRule="auto"/>
              <w:ind w:firstLine="480" w:firstLineChars="200"/>
              <w:rPr>
                <w:color w:val="auto"/>
                <w:sz w:val="24"/>
              </w:rPr>
            </w:pPr>
            <w:r>
              <w:rPr>
                <w:color w:val="auto"/>
                <w:sz w:val="24"/>
              </w:rPr>
              <w:t>本项目与《关于&lt;无锡惠山工业转型集聚区（东区）规划环境影响报告书&gt;的审查意见》（</w:t>
            </w:r>
            <w:r>
              <w:rPr>
                <w:rFonts w:hint="eastAsia"/>
                <w:color w:val="auto"/>
                <w:kern w:val="0"/>
                <w:sz w:val="24"/>
              </w:rPr>
              <w:t>锡</w:t>
            </w:r>
            <w:r>
              <w:rPr>
                <w:color w:val="auto"/>
                <w:kern w:val="0"/>
                <w:sz w:val="24"/>
              </w:rPr>
              <w:t>环</w:t>
            </w:r>
            <w:r>
              <w:rPr>
                <w:rFonts w:hint="eastAsia"/>
                <w:color w:val="auto"/>
                <w:kern w:val="0"/>
                <w:sz w:val="24"/>
              </w:rPr>
              <w:t>管</w:t>
            </w:r>
            <w:r>
              <w:rPr>
                <w:color w:val="auto"/>
                <w:kern w:val="0"/>
                <w:sz w:val="24"/>
              </w:rPr>
              <w:t>〔2019〕1号</w:t>
            </w:r>
            <w:r>
              <w:rPr>
                <w:color w:val="auto"/>
                <w:sz w:val="24"/>
              </w:rPr>
              <w:t>）相符性分析见下表：</w:t>
            </w:r>
          </w:p>
          <w:p>
            <w:pPr>
              <w:jc w:val="center"/>
              <w:rPr>
                <w:b/>
                <w:color w:val="auto"/>
                <w:sz w:val="24"/>
              </w:rPr>
            </w:pPr>
          </w:p>
          <w:p>
            <w:pPr>
              <w:jc w:val="center"/>
              <w:rPr>
                <w:b/>
                <w:color w:val="auto"/>
                <w:sz w:val="24"/>
              </w:rPr>
            </w:pPr>
          </w:p>
          <w:p>
            <w:pPr>
              <w:jc w:val="center"/>
              <w:rPr>
                <w:b/>
                <w:color w:val="auto"/>
                <w:sz w:val="24"/>
              </w:rPr>
            </w:pPr>
          </w:p>
          <w:p>
            <w:pPr>
              <w:jc w:val="center"/>
              <w:rPr>
                <w:b/>
                <w:color w:val="auto"/>
                <w:sz w:val="24"/>
              </w:rPr>
            </w:pPr>
          </w:p>
          <w:p>
            <w:pPr>
              <w:jc w:val="center"/>
              <w:rPr>
                <w:b/>
                <w:color w:val="auto"/>
                <w:sz w:val="24"/>
              </w:rPr>
            </w:pPr>
            <w:r>
              <w:rPr>
                <w:b/>
                <w:color w:val="auto"/>
                <w:sz w:val="24"/>
              </w:rPr>
              <w:t>表1-2  本项目与规划环评及审查意见相符性分析</w:t>
            </w:r>
          </w:p>
          <w:tbl>
            <w:tblPr>
              <w:tblStyle w:val="29"/>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61"/>
              <w:gridCol w:w="3449"/>
              <w:gridCol w:w="2746"/>
              <w:gridCol w:w="86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4110" w:type="dxa"/>
                  <w:gridSpan w:val="2"/>
                  <w:tcBorders>
                    <w:tl2br w:val="nil"/>
                    <w:tr2bl w:val="nil"/>
                  </w:tcBorders>
                  <w:vAlign w:val="center"/>
                </w:tcPr>
                <w:p>
                  <w:pPr>
                    <w:jc w:val="center"/>
                    <w:rPr>
                      <w:b/>
                      <w:color w:val="auto"/>
                      <w:sz w:val="18"/>
                      <w:szCs w:val="18"/>
                    </w:rPr>
                  </w:pPr>
                  <w:r>
                    <w:rPr>
                      <w:b/>
                      <w:color w:val="auto"/>
                      <w:sz w:val="18"/>
                      <w:szCs w:val="18"/>
                    </w:rPr>
                    <w:t>“锡环管[2019]1号</w:t>
                  </w:r>
                  <w:r>
                    <w:rPr>
                      <w:rFonts w:hint="eastAsia"/>
                      <w:b/>
                      <w:color w:val="auto"/>
                      <w:sz w:val="18"/>
                      <w:szCs w:val="18"/>
                    </w:rPr>
                    <w:t>”</w:t>
                  </w:r>
                  <w:r>
                    <w:rPr>
                      <w:b/>
                      <w:color w:val="auto"/>
                      <w:sz w:val="18"/>
                      <w:szCs w:val="18"/>
                    </w:rPr>
                    <w:t>要求</w:t>
                  </w:r>
                </w:p>
              </w:tc>
              <w:tc>
                <w:tcPr>
                  <w:tcW w:w="2746" w:type="dxa"/>
                  <w:tcBorders>
                    <w:tl2br w:val="nil"/>
                    <w:tr2bl w:val="nil"/>
                  </w:tcBorders>
                  <w:vAlign w:val="center"/>
                </w:tcPr>
                <w:p>
                  <w:pPr>
                    <w:jc w:val="center"/>
                    <w:rPr>
                      <w:b/>
                      <w:color w:val="auto"/>
                      <w:sz w:val="18"/>
                      <w:szCs w:val="18"/>
                    </w:rPr>
                  </w:pPr>
                  <w:r>
                    <w:rPr>
                      <w:b/>
                      <w:color w:val="auto"/>
                      <w:sz w:val="18"/>
                      <w:szCs w:val="18"/>
                    </w:rPr>
                    <w:t>建设项目情况</w:t>
                  </w:r>
                </w:p>
              </w:tc>
              <w:tc>
                <w:tcPr>
                  <w:tcW w:w="868" w:type="dxa"/>
                  <w:tcBorders>
                    <w:tl2br w:val="nil"/>
                    <w:tr2bl w:val="nil"/>
                  </w:tcBorders>
                  <w:vAlign w:val="center"/>
                </w:tcPr>
                <w:p>
                  <w:pPr>
                    <w:jc w:val="center"/>
                    <w:rPr>
                      <w:b/>
                      <w:color w:val="auto"/>
                      <w:sz w:val="18"/>
                      <w:szCs w:val="18"/>
                    </w:rPr>
                  </w:pPr>
                  <w:r>
                    <w:rPr>
                      <w:b/>
                      <w:color w:val="auto"/>
                      <w:sz w:val="18"/>
                      <w:szCs w:val="18"/>
                    </w:rPr>
                    <w:t>相符性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88" w:hRule="atLeast"/>
                <w:jc w:val="center"/>
              </w:trPr>
              <w:tc>
                <w:tcPr>
                  <w:tcW w:w="4110" w:type="dxa"/>
                  <w:gridSpan w:val="2"/>
                  <w:tcBorders>
                    <w:tl2br w:val="nil"/>
                    <w:tr2bl w:val="nil"/>
                  </w:tcBorders>
                  <w:vAlign w:val="center"/>
                </w:tcPr>
                <w:p>
                  <w:pPr>
                    <w:rPr>
                      <w:color w:val="auto"/>
                      <w:sz w:val="18"/>
                      <w:szCs w:val="18"/>
                    </w:rPr>
                  </w:pPr>
                  <w:r>
                    <w:rPr>
                      <w:rFonts w:hint="eastAsia"/>
                      <w:color w:val="auto"/>
                      <w:sz w:val="18"/>
                      <w:szCs w:val="18"/>
                    </w:rPr>
                    <w:t>无锡惠山工业转型聚集区（东区）位于无锡市惠山区前洲街道。2015年7月经无锡市政府批复（锡政复[2015]48号）成立。2016年8月，无锡市政府同意惠山区人民政府对规划范围进行调整（锡政字[2016]330号），调整后园区总面积20.37km</w:t>
                  </w:r>
                  <w:r>
                    <w:rPr>
                      <w:rFonts w:hint="eastAsia"/>
                      <w:color w:val="auto"/>
                      <w:sz w:val="18"/>
                      <w:szCs w:val="18"/>
                      <w:vertAlign w:val="superscript"/>
                    </w:rPr>
                    <w:t>2</w:t>
                  </w:r>
                  <w:r>
                    <w:rPr>
                      <w:rFonts w:hint="eastAsia"/>
                      <w:color w:val="auto"/>
                      <w:sz w:val="18"/>
                      <w:szCs w:val="18"/>
                    </w:rPr>
                    <w:t>，分为前洲（东区）、玉祁（西区）两个片区，面积分别为9.69km</w:t>
                  </w:r>
                  <w:r>
                    <w:rPr>
                      <w:rFonts w:hint="eastAsia"/>
                      <w:color w:val="auto"/>
                      <w:sz w:val="18"/>
                      <w:szCs w:val="18"/>
                      <w:vertAlign w:val="superscript"/>
                    </w:rPr>
                    <w:t>2</w:t>
                  </w:r>
                  <w:r>
                    <w:rPr>
                      <w:rFonts w:hint="eastAsia"/>
                      <w:color w:val="auto"/>
                      <w:sz w:val="18"/>
                      <w:szCs w:val="18"/>
                    </w:rPr>
                    <w:t>、10.68km</w:t>
                  </w:r>
                  <w:r>
                    <w:rPr>
                      <w:rFonts w:hint="eastAsia"/>
                      <w:color w:val="auto"/>
                      <w:sz w:val="18"/>
                      <w:szCs w:val="18"/>
                      <w:vertAlign w:val="superscript"/>
                    </w:rPr>
                    <w:t>2</w:t>
                  </w:r>
                  <w:r>
                    <w:rPr>
                      <w:rFonts w:hint="eastAsia"/>
                      <w:color w:val="auto"/>
                      <w:sz w:val="18"/>
                      <w:szCs w:val="18"/>
                    </w:rPr>
                    <w:t>。将聚集区（东区）定位为产业充分融合，产业生态建构合理，产业配套服务完备，园区生态环境优美的工业转型聚集示范区，规划面积9.69平方公里，拟形成“一心、六片”的空间格局。重点发展汽车制造业、高端装备及电子信息、新材料、节能环保四大主导产业。规划近期2018-2020年，远期2021-2030年。</w:t>
                  </w:r>
                </w:p>
              </w:tc>
              <w:tc>
                <w:tcPr>
                  <w:tcW w:w="2746" w:type="dxa"/>
                  <w:tcBorders>
                    <w:tl2br w:val="nil"/>
                    <w:tr2bl w:val="nil"/>
                  </w:tcBorders>
                  <w:vAlign w:val="center"/>
                </w:tcPr>
                <w:p>
                  <w:pPr>
                    <w:rPr>
                      <w:color w:val="auto"/>
                      <w:sz w:val="18"/>
                      <w:szCs w:val="18"/>
                    </w:rPr>
                  </w:pPr>
                  <w:r>
                    <w:rPr>
                      <w:rFonts w:hint="eastAsia"/>
                      <w:color w:val="auto"/>
                      <w:sz w:val="18"/>
                      <w:szCs w:val="18"/>
                    </w:rPr>
                    <w:t>本项目位于无锡惠山工业转型集聚区北洲路与邓北路交叉口西北侧，属于工业转型聚集区（东区），本项目为[C2029]其他人造板制造</w:t>
                  </w:r>
                  <w:r>
                    <w:rPr>
                      <w:rFonts w:hint="eastAsia"/>
                      <w:color w:val="auto"/>
                      <w:sz w:val="18"/>
                      <w:szCs w:val="18"/>
                      <w:lang w:eastAsia="zh-CN"/>
                    </w:rPr>
                    <w:t>，不违背区域产业定位</w:t>
                  </w:r>
                  <w:r>
                    <w:rPr>
                      <w:rFonts w:hint="eastAsia"/>
                      <w:color w:val="auto"/>
                      <w:sz w:val="18"/>
                      <w:szCs w:val="18"/>
                    </w:rPr>
                    <w:t>，符合工业转型聚集区（东区）发展定位。</w:t>
                  </w:r>
                </w:p>
              </w:tc>
              <w:tc>
                <w:tcPr>
                  <w:tcW w:w="868" w:type="dxa"/>
                  <w:tcBorders>
                    <w:tl2br w:val="nil"/>
                    <w:tr2bl w:val="nil"/>
                  </w:tcBorders>
                  <w:vAlign w:val="center"/>
                </w:tcPr>
                <w:p>
                  <w:pPr>
                    <w:jc w:val="center"/>
                    <w:rPr>
                      <w:color w:val="auto"/>
                      <w:sz w:val="18"/>
                      <w:szCs w:val="18"/>
                    </w:rPr>
                  </w:pPr>
                  <w:r>
                    <w:rPr>
                      <w:color w:val="auto"/>
                      <w:sz w:val="18"/>
                      <w:szCs w:val="18"/>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5" w:hRule="atLeast"/>
                <w:jc w:val="center"/>
              </w:trPr>
              <w:tc>
                <w:tcPr>
                  <w:tcW w:w="661" w:type="dxa"/>
                  <w:vMerge w:val="restart"/>
                  <w:tcBorders>
                    <w:tl2br w:val="nil"/>
                    <w:tr2bl w:val="nil"/>
                  </w:tcBorders>
                  <w:vAlign w:val="center"/>
                </w:tcPr>
                <w:p>
                  <w:pPr>
                    <w:jc w:val="center"/>
                    <w:rPr>
                      <w:color w:val="auto"/>
                      <w:kern w:val="0"/>
                      <w:szCs w:val="21"/>
                    </w:rPr>
                  </w:pPr>
                  <w:r>
                    <w:rPr>
                      <w:rFonts w:hint="eastAsia"/>
                      <w:color w:val="auto"/>
                      <w:sz w:val="18"/>
                      <w:szCs w:val="18"/>
                    </w:rPr>
                    <w:t>三、《规划》在优化调整和实施过程中应重点做好的工作</w:t>
                  </w:r>
                </w:p>
              </w:tc>
              <w:tc>
                <w:tcPr>
                  <w:tcW w:w="3449" w:type="dxa"/>
                  <w:tcBorders>
                    <w:tl2br w:val="nil"/>
                    <w:tr2bl w:val="nil"/>
                  </w:tcBorders>
                  <w:vAlign w:val="center"/>
                </w:tcPr>
                <w:p>
                  <w:pPr>
                    <w:rPr>
                      <w:color w:val="auto"/>
                      <w:sz w:val="18"/>
                      <w:szCs w:val="18"/>
                    </w:rPr>
                  </w:pPr>
                  <w:r>
                    <w:rPr>
                      <w:rFonts w:hint="eastAsia"/>
                      <w:color w:val="auto"/>
                      <w:sz w:val="18"/>
                      <w:szCs w:val="18"/>
                    </w:rPr>
                    <w:t>（一）聚集区（东区）位于太湖流域三级保护区，《规划》实施应突出“环保优先”，促进区域经济、人口、资源和环境协调发展。</w:t>
                  </w:r>
                </w:p>
              </w:tc>
              <w:tc>
                <w:tcPr>
                  <w:tcW w:w="2746" w:type="dxa"/>
                  <w:tcBorders>
                    <w:tl2br w:val="nil"/>
                    <w:tr2bl w:val="nil"/>
                  </w:tcBorders>
                  <w:vAlign w:val="center"/>
                </w:tcPr>
                <w:p>
                  <w:pPr>
                    <w:jc w:val="center"/>
                    <w:rPr>
                      <w:color w:val="auto"/>
                      <w:sz w:val="18"/>
                      <w:szCs w:val="18"/>
                    </w:rPr>
                  </w:pPr>
                  <w:r>
                    <w:rPr>
                      <w:color w:val="auto"/>
                      <w:sz w:val="18"/>
                      <w:szCs w:val="18"/>
                    </w:rPr>
                    <w:t>本项目</w:t>
                  </w:r>
                  <w:r>
                    <w:rPr>
                      <w:rFonts w:hint="eastAsia"/>
                      <w:color w:val="auto"/>
                      <w:sz w:val="18"/>
                      <w:szCs w:val="18"/>
                    </w:rPr>
                    <w:t>位于太湖流域三级保护区，</w:t>
                  </w:r>
                  <w:r>
                    <w:rPr>
                      <w:color w:val="auto"/>
                      <w:sz w:val="18"/>
                      <w:szCs w:val="18"/>
                    </w:rPr>
                    <w:t>行业类别为</w:t>
                  </w:r>
                  <w:r>
                    <w:rPr>
                      <w:rFonts w:hint="eastAsia"/>
                      <w:color w:val="auto"/>
                      <w:sz w:val="18"/>
                      <w:szCs w:val="18"/>
                    </w:rPr>
                    <w:t>[C2029]其他人造板制造</w:t>
                  </w:r>
                  <w:r>
                    <w:rPr>
                      <w:color w:val="auto"/>
                      <w:sz w:val="18"/>
                      <w:szCs w:val="18"/>
                    </w:rPr>
                    <w:t>，不属于《江苏省太湖水污染防治条例》、《太湖流域管理条例》</w:t>
                  </w:r>
                  <w:r>
                    <w:rPr>
                      <w:rFonts w:hint="eastAsia"/>
                      <w:color w:val="auto"/>
                      <w:sz w:val="18"/>
                      <w:szCs w:val="18"/>
                    </w:rPr>
                    <w:t>中的</w:t>
                  </w:r>
                  <w:r>
                    <w:rPr>
                      <w:color w:val="auto"/>
                      <w:sz w:val="18"/>
                      <w:szCs w:val="18"/>
                    </w:rPr>
                    <w:t>禁止建设项目。</w:t>
                  </w:r>
                </w:p>
              </w:tc>
              <w:tc>
                <w:tcPr>
                  <w:tcW w:w="868" w:type="dxa"/>
                  <w:tcBorders>
                    <w:tl2br w:val="nil"/>
                    <w:tr2bl w:val="nil"/>
                  </w:tcBorders>
                  <w:vAlign w:val="center"/>
                </w:tcPr>
                <w:p>
                  <w:pPr>
                    <w:jc w:val="center"/>
                    <w:rPr>
                      <w:color w:val="auto"/>
                      <w:sz w:val="18"/>
                      <w:szCs w:val="18"/>
                    </w:rPr>
                  </w:pPr>
                  <w:r>
                    <w:rPr>
                      <w:color w:val="auto"/>
                      <w:sz w:val="18"/>
                      <w:szCs w:val="18"/>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5" w:hRule="atLeast"/>
                <w:jc w:val="center"/>
              </w:trPr>
              <w:tc>
                <w:tcPr>
                  <w:tcW w:w="661" w:type="dxa"/>
                  <w:vMerge w:val="continue"/>
                  <w:tcBorders>
                    <w:tl2br w:val="nil"/>
                    <w:tr2bl w:val="nil"/>
                  </w:tcBorders>
                  <w:vAlign w:val="center"/>
                </w:tcPr>
                <w:p>
                  <w:pPr>
                    <w:autoSpaceDE w:val="0"/>
                    <w:autoSpaceDN w:val="0"/>
                    <w:adjustRightInd w:val="0"/>
                    <w:snapToGrid w:val="0"/>
                    <w:jc w:val="left"/>
                    <w:rPr>
                      <w:color w:val="auto"/>
                      <w:kern w:val="0"/>
                      <w:szCs w:val="21"/>
                    </w:rPr>
                  </w:pPr>
                </w:p>
              </w:tc>
              <w:tc>
                <w:tcPr>
                  <w:tcW w:w="3449" w:type="dxa"/>
                  <w:tcBorders>
                    <w:tl2br w:val="nil"/>
                    <w:tr2bl w:val="nil"/>
                  </w:tcBorders>
                  <w:vAlign w:val="center"/>
                </w:tcPr>
                <w:p>
                  <w:pPr>
                    <w:numPr>
                      <w:ilvl w:val="0"/>
                      <w:numId w:val="2"/>
                    </w:numPr>
                    <w:rPr>
                      <w:color w:val="auto"/>
                    </w:rPr>
                  </w:pPr>
                  <w:r>
                    <w:rPr>
                      <w:rFonts w:hint="eastAsia"/>
                      <w:color w:val="auto"/>
                      <w:sz w:val="18"/>
                      <w:szCs w:val="21"/>
                    </w:rPr>
                    <w:t>严格产业的环境准入。执行《报告书》提出的产业发展负面清单，引进项目的生产工艺、设备、污染治理技术，以及单位产品能耗、物耗、污染物排放和资源利用率等均达到同行业先进水平。</w:t>
                  </w:r>
                </w:p>
              </w:tc>
              <w:tc>
                <w:tcPr>
                  <w:tcW w:w="2746" w:type="dxa"/>
                  <w:tcBorders>
                    <w:tl2br w:val="nil"/>
                    <w:tr2bl w:val="nil"/>
                  </w:tcBorders>
                  <w:vAlign w:val="center"/>
                </w:tcPr>
                <w:p>
                  <w:pPr>
                    <w:jc w:val="center"/>
                    <w:rPr>
                      <w:color w:val="auto"/>
                      <w:sz w:val="18"/>
                      <w:szCs w:val="18"/>
                    </w:rPr>
                  </w:pPr>
                  <w:r>
                    <w:rPr>
                      <w:rFonts w:hint="eastAsia"/>
                      <w:color w:val="auto"/>
                      <w:sz w:val="18"/>
                      <w:szCs w:val="18"/>
                    </w:rPr>
                    <w:t>本项目属于[C2029]其他人造板制造，不属于</w:t>
                  </w:r>
                  <w:r>
                    <w:rPr>
                      <w:rFonts w:hint="eastAsia"/>
                      <w:color w:val="auto"/>
                      <w:sz w:val="18"/>
                      <w:szCs w:val="21"/>
                    </w:rPr>
                    <w:t>《报告书》</w:t>
                  </w:r>
                  <w:r>
                    <w:rPr>
                      <w:rFonts w:hint="eastAsia"/>
                      <w:color w:val="auto"/>
                      <w:sz w:val="18"/>
                      <w:szCs w:val="18"/>
                    </w:rPr>
                    <w:t>提出的产业发展负面清单。</w:t>
                  </w:r>
                </w:p>
              </w:tc>
              <w:tc>
                <w:tcPr>
                  <w:tcW w:w="868" w:type="dxa"/>
                  <w:tcBorders>
                    <w:tl2br w:val="nil"/>
                    <w:tr2bl w:val="nil"/>
                  </w:tcBorders>
                  <w:vAlign w:val="center"/>
                </w:tcPr>
                <w:p>
                  <w:pPr>
                    <w:jc w:val="center"/>
                    <w:rPr>
                      <w:color w:val="auto"/>
                      <w:sz w:val="18"/>
                      <w:szCs w:val="18"/>
                    </w:rPr>
                  </w:pPr>
                  <w:r>
                    <w:rPr>
                      <w:color w:val="auto"/>
                      <w:sz w:val="18"/>
                      <w:szCs w:val="18"/>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56" w:hRule="atLeast"/>
                <w:jc w:val="center"/>
              </w:trPr>
              <w:tc>
                <w:tcPr>
                  <w:tcW w:w="661" w:type="dxa"/>
                  <w:vMerge w:val="continue"/>
                  <w:tcBorders>
                    <w:tl2br w:val="nil"/>
                    <w:tr2bl w:val="nil"/>
                  </w:tcBorders>
                  <w:vAlign w:val="center"/>
                </w:tcPr>
                <w:p>
                  <w:pPr>
                    <w:autoSpaceDE w:val="0"/>
                    <w:autoSpaceDN w:val="0"/>
                    <w:adjustRightInd w:val="0"/>
                    <w:snapToGrid w:val="0"/>
                    <w:jc w:val="left"/>
                    <w:rPr>
                      <w:color w:val="auto"/>
                      <w:kern w:val="0"/>
                      <w:szCs w:val="21"/>
                    </w:rPr>
                  </w:pPr>
                </w:p>
              </w:tc>
              <w:tc>
                <w:tcPr>
                  <w:tcW w:w="3449" w:type="dxa"/>
                  <w:tcBorders>
                    <w:tl2br w:val="nil"/>
                    <w:tr2bl w:val="nil"/>
                  </w:tcBorders>
                  <w:vAlign w:val="center"/>
                </w:tcPr>
                <w:p>
                  <w:pPr>
                    <w:rPr>
                      <w:color w:val="auto"/>
                      <w:sz w:val="18"/>
                      <w:szCs w:val="18"/>
                    </w:rPr>
                  </w:pPr>
                  <w:r>
                    <w:rPr>
                      <w:rFonts w:hint="eastAsia"/>
                      <w:color w:val="auto"/>
                      <w:sz w:val="18"/>
                      <w:szCs w:val="18"/>
                    </w:rPr>
                    <w:t>（三）加强区域空间管控。按照《报告书》提出的空间管控要求，加快计划内居民点和企业的拆迁工作，确保入驻企业设定的防护距离范围内无居住区、医院、学校等环境敏感目标。区内部分规划建设用地占用永久基本农田，目前尚未开发，今后开发建设必须征求国土部门意见，根据上级统一部署，按照规定程序办理用地手续。</w:t>
                  </w:r>
                </w:p>
              </w:tc>
              <w:tc>
                <w:tcPr>
                  <w:tcW w:w="2746" w:type="dxa"/>
                  <w:tcBorders>
                    <w:tl2br w:val="nil"/>
                    <w:tr2bl w:val="nil"/>
                  </w:tcBorders>
                  <w:vAlign w:val="center"/>
                </w:tcPr>
                <w:p>
                  <w:pPr>
                    <w:rPr>
                      <w:color w:val="auto"/>
                      <w:sz w:val="18"/>
                      <w:szCs w:val="18"/>
                    </w:rPr>
                  </w:pPr>
                  <w:r>
                    <w:rPr>
                      <w:rFonts w:hint="eastAsia"/>
                      <w:color w:val="auto"/>
                      <w:sz w:val="18"/>
                      <w:szCs w:val="18"/>
                    </w:rPr>
                    <w:t>本项目卫生防护距离范围内无居住区、医院、学校等环境敏感目标；本项目所在地属于工业用地，符合无锡惠山区用地规划。</w:t>
                  </w:r>
                </w:p>
              </w:tc>
              <w:tc>
                <w:tcPr>
                  <w:tcW w:w="868" w:type="dxa"/>
                  <w:tcBorders>
                    <w:tl2br w:val="nil"/>
                    <w:tr2bl w:val="nil"/>
                  </w:tcBorders>
                  <w:vAlign w:val="center"/>
                </w:tcPr>
                <w:p>
                  <w:pPr>
                    <w:jc w:val="center"/>
                    <w:rPr>
                      <w:color w:val="auto"/>
                      <w:sz w:val="18"/>
                      <w:szCs w:val="18"/>
                    </w:rPr>
                  </w:pPr>
                  <w:r>
                    <w:rPr>
                      <w:color w:val="auto"/>
                      <w:sz w:val="18"/>
                      <w:szCs w:val="18"/>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56" w:hRule="atLeast"/>
                <w:jc w:val="center"/>
              </w:trPr>
              <w:tc>
                <w:tcPr>
                  <w:tcW w:w="661" w:type="dxa"/>
                  <w:vMerge w:val="continue"/>
                  <w:tcBorders>
                    <w:tl2br w:val="nil"/>
                    <w:tr2bl w:val="nil"/>
                  </w:tcBorders>
                  <w:vAlign w:val="center"/>
                </w:tcPr>
                <w:p>
                  <w:pPr>
                    <w:autoSpaceDE w:val="0"/>
                    <w:autoSpaceDN w:val="0"/>
                    <w:adjustRightInd w:val="0"/>
                    <w:snapToGrid w:val="0"/>
                    <w:jc w:val="left"/>
                    <w:rPr>
                      <w:color w:val="auto"/>
                      <w:kern w:val="0"/>
                      <w:szCs w:val="21"/>
                    </w:rPr>
                  </w:pPr>
                </w:p>
              </w:tc>
              <w:tc>
                <w:tcPr>
                  <w:tcW w:w="3449" w:type="dxa"/>
                  <w:tcBorders>
                    <w:tl2br w:val="nil"/>
                    <w:tr2bl w:val="nil"/>
                  </w:tcBorders>
                  <w:vAlign w:val="center"/>
                </w:tcPr>
                <w:p>
                  <w:pPr>
                    <w:rPr>
                      <w:color w:val="auto"/>
                      <w:sz w:val="18"/>
                      <w:szCs w:val="18"/>
                    </w:rPr>
                  </w:pPr>
                  <w:r>
                    <w:rPr>
                      <w:rFonts w:hint="eastAsia"/>
                      <w:color w:val="auto"/>
                      <w:sz w:val="18"/>
                      <w:szCs w:val="18"/>
                    </w:rPr>
                    <w:t>（四）严守环境质量底线，落实污染物总量管控要求。根据国家、江苏省、无锡市、惠山区有关大气、水、土壤污染防治行动计划相关要求，明确园区内环境质量改善阶段目标，制定和落实区域污染减排方案及污染物总量管控要求，加强区内河流总和整治，确保实现区域环境质量改善目标。</w:t>
                  </w:r>
                </w:p>
              </w:tc>
              <w:tc>
                <w:tcPr>
                  <w:tcW w:w="2746" w:type="dxa"/>
                  <w:tcBorders>
                    <w:tl2br w:val="nil"/>
                    <w:tr2bl w:val="nil"/>
                  </w:tcBorders>
                  <w:vAlign w:val="center"/>
                </w:tcPr>
                <w:p>
                  <w:pPr>
                    <w:rPr>
                      <w:color w:val="auto"/>
                      <w:sz w:val="18"/>
                      <w:szCs w:val="18"/>
                    </w:rPr>
                  </w:pPr>
                  <w:r>
                    <w:rPr>
                      <w:rFonts w:hint="eastAsia"/>
                      <w:color w:val="auto"/>
                      <w:sz w:val="18"/>
                      <w:szCs w:val="18"/>
                    </w:rPr>
                    <w:t>本项目新增的大气污染物在惠山区内平衡；本项目冷却排水与经化粪池预处理后的生活污水一并达标接管无锡玉祁永新污水处理有限公司集中处理；固废得到有效处置，零排放；满足污染物总量控制要求。</w:t>
                  </w:r>
                </w:p>
              </w:tc>
              <w:tc>
                <w:tcPr>
                  <w:tcW w:w="868" w:type="dxa"/>
                  <w:tcBorders>
                    <w:tl2br w:val="nil"/>
                    <w:tr2bl w:val="nil"/>
                  </w:tcBorders>
                  <w:vAlign w:val="center"/>
                </w:tcPr>
                <w:p>
                  <w:pPr>
                    <w:jc w:val="center"/>
                    <w:rPr>
                      <w:color w:val="auto"/>
                      <w:sz w:val="18"/>
                      <w:szCs w:val="18"/>
                    </w:rPr>
                  </w:pPr>
                  <w:r>
                    <w:rPr>
                      <w:color w:val="auto"/>
                      <w:sz w:val="18"/>
                      <w:szCs w:val="18"/>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56" w:hRule="atLeast"/>
                <w:jc w:val="center"/>
              </w:trPr>
              <w:tc>
                <w:tcPr>
                  <w:tcW w:w="661" w:type="dxa"/>
                  <w:vMerge w:val="continue"/>
                  <w:tcBorders>
                    <w:tl2br w:val="nil"/>
                    <w:tr2bl w:val="nil"/>
                  </w:tcBorders>
                  <w:vAlign w:val="center"/>
                </w:tcPr>
                <w:p>
                  <w:pPr>
                    <w:autoSpaceDE w:val="0"/>
                    <w:autoSpaceDN w:val="0"/>
                    <w:adjustRightInd w:val="0"/>
                    <w:snapToGrid w:val="0"/>
                    <w:jc w:val="left"/>
                    <w:rPr>
                      <w:color w:val="auto"/>
                      <w:kern w:val="0"/>
                      <w:szCs w:val="21"/>
                    </w:rPr>
                  </w:pPr>
                </w:p>
              </w:tc>
              <w:tc>
                <w:tcPr>
                  <w:tcW w:w="3449" w:type="dxa"/>
                  <w:tcBorders>
                    <w:tl2br w:val="nil"/>
                    <w:tr2bl w:val="nil"/>
                  </w:tcBorders>
                  <w:vAlign w:val="center"/>
                </w:tcPr>
                <w:p>
                  <w:pPr>
                    <w:rPr>
                      <w:color w:val="auto"/>
                      <w:sz w:val="18"/>
                      <w:szCs w:val="18"/>
                    </w:rPr>
                  </w:pPr>
                  <w:r>
                    <w:rPr>
                      <w:rFonts w:hint="eastAsia"/>
                      <w:color w:val="auto"/>
                      <w:sz w:val="18"/>
                      <w:szCs w:val="18"/>
                    </w:rPr>
                    <w:t>（五）严守资源利用上线，降低污染物排放强度。结合区域环境质量改善目标要求，衔接区域水资源、能源利用总量管控目标，进一步优化区内能源结构，提升能源、用水效率。</w:t>
                  </w:r>
                </w:p>
              </w:tc>
              <w:tc>
                <w:tcPr>
                  <w:tcW w:w="2746" w:type="dxa"/>
                  <w:tcBorders>
                    <w:tl2br w:val="nil"/>
                    <w:tr2bl w:val="nil"/>
                  </w:tcBorders>
                  <w:vAlign w:val="center"/>
                </w:tcPr>
                <w:p>
                  <w:pPr>
                    <w:rPr>
                      <w:color w:val="auto"/>
                      <w:sz w:val="18"/>
                      <w:szCs w:val="18"/>
                    </w:rPr>
                  </w:pPr>
                  <w:r>
                    <w:rPr>
                      <w:rFonts w:hint="eastAsia"/>
                      <w:color w:val="auto"/>
                      <w:sz w:val="18"/>
                      <w:szCs w:val="18"/>
                    </w:rPr>
                    <w:t>本项目冷却排水与经化粪池预处理后的生活污水一并达标接管无锡玉祁永新污水处理有限公司集中处理，提升了用水效率。</w:t>
                  </w:r>
                </w:p>
              </w:tc>
              <w:tc>
                <w:tcPr>
                  <w:tcW w:w="868" w:type="dxa"/>
                  <w:tcBorders>
                    <w:tl2br w:val="nil"/>
                    <w:tr2bl w:val="nil"/>
                  </w:tcBorders>
                  <w:vAlign w:val="center"/>
                </w:tcPr>
                <w:p>
                  <w:pPr>
                    <w:jc w:val="center"/>
                    <w:rPr>
                      <w:color w:val="auto"/>
                      <w:sz w:val="18"/>
                      <w:szCs w:val="18"/>
                    </w:rPr>
                  </w:pPr>
                  <w:r>
                    <w:rPr>
                      <w:color w:val="auto"/>
                      <w:sz w:val="18"/>
                      <w:szCs w:val="18"/>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56" w:hRule="atLeast"/>
                <w:jc w:val="center"/>
              </w:trPr>
              <w:tc>
                <w:tcPr>
                  <w:tcW w:w="661" w:type="dxa"/>
                  <w:vMerge w:val="continue"/>
                  <w:tcBorders>
                    <w:tl2br w:val="nil"/>
                    <w:tr2bl w:val="nil"/>
                  </w:tcBorders>
                  <w:vAlign w:val="center"/>
                </w:tcPr>
                <w:p>
                  <w:pPr>
                    <w:autoSpaceDE w:val="0"/>
                    <w:autoSpaceDN w:val="0"/>
                    <w:adjustRightInd w:val="0"/>
                    <w:snapToGrid w:val="0"/>
                    <w:jc w:val="left"/>
                    <w:rPr>
                      <w:color w:val="auto"/>
                      <w:kern w:val="0"/>
                      <w:szCs w:val="21"/>
                    </w:rPr>
                  </w:pPr>
                </w:p>
              </w:tc>
              <w:tc>
                <w:tcPr>
                  <w:tcW w:w="3449" w:type="dxa"/>
                  <w:tcBorders>
                    <w:tl2br w:val="nil"/>
                    <w:tr2bl w:val="nil"/>
                  </w:tcBorders>
                  <w:vAlign w:val="center"/>
                </w:tcPr>
                <w:p>
                  <w:pPr>
                    <w:rPr>
                      <w:color w:val="auto"/>
                      <w:sz w:val="18"/>
                      <w:szCs w:val="18"/>
                    </w:rPr>
                  </w:pPr>
                  <w:r>
                    <w:rPr>
                      <w:rFonts w:hint="eastAsia"/>
                      <w:color w:val="auto"/>
                      <w:sz w:val="18"/>
                      <w:szCs w:val="18"/>
                    </w:rPr>
                    <w:t>（六）完善环境基础设施和环境风险应急体系建设。加快推进聚集区规划污水处理厂及区内污水管网建设，入河排污口设置须按规定办理手续。入区企业严禁建设自备燃煤设备，确因工艺需要的须使用清洁燃料。危险废物按照相关管理规定落实综合利用和处置措施。加强园区环境风险防范应急体系建设，编制园区环境应急预案，配备必须的设备、物资、人员，并定期演练。</w:t>
                  </w:r>
                </w:p>
              </w:tc>
              <w:tc>
                <w:tcPr>
                  <w:tcW w:w="2746" w:type="dxa"/>
                  <w:tcBorders>
                    <w:tl2br w:val="nil"/>
                    <w:tr2bl w:val="nil"/>
                  </w:tcBorders>
                  <w:vAlign w:val="center"/>
                </w:tcPr>
                <w:p>
                  <w:pPr>
                    <w:rPr>
                      <w:color w:val="auto"/>
                      <w:sz w:val="18"/>
                      <w:szCs w:val="18"/>
                    </w:rPr>
                  </w:pPr>
                  <w:r>
                    <w:rPr>
                      <w:color w:val="auto"/>
                      <w:sz w:val="18"/>
                      <w:szCs w:val="18"/>
                    </w:rPr>
                    <w:t>建设项目建立完整的</w:t>
                  </w:r>
                  <w:r>
                    <w:rPr>
                      <w:rFonts w:hint="eastAsia"/>
                      <w:color w:val="auto"/>
                      <w:sz w:val="18"/>
                      <w:szCs w:val="18"/>
                    </w:rPr>
                    <w:t>环境风险应急体系</w:t>
                  </w:r>
                  <w:r>
                    <w:rPr>
                      <w:color w:val="auto"/>
                      <w:sz w:val="18"/>
                      <w:szCs w:val="18"/>
                    </w:rPr>
                    <w:t>，</w:t>
                  </w:r>
                  <w:r>
                    <w:rPr>
                      <w:rFonts w:hint="eastAsia"/>
                      <w:color w:val="auto"/>
                      <w:sz w:val="18"/>
                      <w:szCs w:val="18"/>
                    </w:rPr>
                    <w:t>编制环境应急预案，配备必须的设备、物资、人员，定期演练。</w:t>
                  </w:r>
                  <w:r>
                    <w:rPr>
                      <w:color w:val="auto"/>
                      <w:sz w:val="18"/>
                      <w:szCs w:val="18"/>
                    </w:rPr>
                    <w:t>建设项目实行雨污分流、清污分流</w:t>
                  </w:r>
                  <w:r>
                    <w:rPr>
                      <w:rFonts w:hint="eastAsia"/>
                      <w:color w:val="auto"/>
                      <w:sz w:val="18"/>
                      <w:szCs w:val="18"/>
                    </w:rPr>
                    <w:t>。危废委托</w:t>
                  </w:r>
                  <w:r>
                    <w:rPr>
                      <w:color w:val="auto"/>
                      <w:sz w:val="18"/>
                      <w:szCs w:val="18"/>
                    </w:rPr>
                    <w:t>有资质单位处置</w:t>
                  </w:r>
                  <w:r>
                    <w:rPr>
                      <w:rFonts w:hint="eastAsia"/>
                      <w:color w:val="auto"/>
                      <w:sz w:val="18"/>
                      <w:szCs w:val="18"/>
                    </w:rPr>
                    <w:t>，零排放。因工艺需求配备的模温机，使用燃料为清洁能源天然气。</w:t>
                  </w:r>
                </w:p>
              </w:tc>
              <w:tc>
                <w:tcPr>
                  <w:tcW w:w="868" w:type="dxa"/>
                  <w:tcBorders>
                    <w:tl2br w:val="nil"/>
                    <w:tr2bl w:val="nil"/>
                  </w:tcBorders>
                  <w:vAlign w:val="center"/>
                </w:tcPr>
                <w:p>
                  <w:pPr>
                    <w:jc w:val="center"/>
                    <w:rPr>
                      <w:color w:val="auto"/>
                      <w:sz w:val="18"/>
                      <w:szCs w:val="18"/>
                    </w:rPr>
                  </w:pPr>
                  <w:r>
                    <w:rPr>
                      <w:color w:val="auto"/>
                      <w:sz w:val="18"/>
                      <w:szCs w:val="18"/>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56" w:hRule="atLeast"/>
                <w:jc w:val="center"/>
              </w:trPr>
              <w:tc>
                <w:tcPr>
                  <w:tcW w:w="661" w:type="dxa"/>
                  <w:vMerge w:val="continue"/>
                  <w:tcBorders>
                    <w:tl2br w:val="nil"/>
                    <w:tr2bl w:val="nil"/>
                  </w:tcBorders>
                  <w:vAlign w:val="center"/>
                </w:tcPr>
                <w:p>
                  <w:pPr>
                    <w:autoSpaceDE w:val="0"/>
                    <w:autoSpaceDN w:val="0"/>
                    <w:adjustRightInd w:val="0"/>
                    <w:snapToGrid w:val="0"/>
                    <w:jc w:val="left"/>
                    <w:rPr>
                      <w:color w:val="auto"/>
                      <w:kern w:val="0"/>
                      <w:szCs w:val="21"/>
                    </w:rPr>
                  </w:pPr>
                </w:p>
              </w:tc>
              <w:tc>
                <w:tcPr>
                  <w:tcW w:w="3449" w:type="dxa"/>
                  <w:tcBorders>
                    <w:tl2br w:val="nil"/>
                    <w:tr2bl w:val="nil"/>
                  </w:tcBorders>
                  <w:vAlign w:val="center"/>
                </w:tcPr>
                <w:p>
                  <w:pPr>
                    <w:rPr>
                      <w:color w:val="auto"/>
                      <w:sz w:val="18"/>
                      <w:szCs w:val="18"/>
                    </w:rPr>
                  </w:pPr>
                  <w:r>
                    <w:rPr>
                      <w:rFonts w:hint="eastAsia"/>
                      <w:color w:val="auto"/>
                      <w:sz w:val="18"/>
                      <w:szCs w:val="18"/>
                    </w:rPr>
                    <w:t>（七）切实加强环境监管。健全园区环境管理机构，统筹考虑区内污染物排放与监管、区域环境综合整治、环境管理等事宜。新建项目须严格执行环境影响评价制度及“三同时”制度。强化挥发性有机物（VOCs）污染控制与治理，减少无组织废气排放。组织做好区内企业环境信息公开工作。园区须按照规范设置严格的防渗措施，控制地下水和土壤污染。</w:t>
                  </w:r>
                </w:p>
              </w:tc>
              <w:tc>
                <w:tcPr>
                  <w:tcW w:w="2746" w:type="dxa"/>
                  <w:tcBorders>
                    <w:tl2br w:val="nil"/>
                    <w:tr2bl w:val="nil"/>
                  </w:tcBorders>
                  <w:vAlign w:val="center"/>
                </w:tcPr>
                <w:p>
                  <w:pPr>
                    <w:rPr>
                      <w:color w:val="auto"/>
                      <w:sz w:val="18"/>
                      <w:szCs w:val="18"/>
                    </w:rPr>
                  </w:pPr>
                  <w:r>
                    <w:rPr>
                      <w:rFonts w:hint="eastAsia"/>
                      <w:color w:val="auto"/>
                      <w:sz w:val="18"/>
                      <w:szCs w:val="18"/>
                    </w:rPr>
                    <w:t>本项目严格执行环境影响评价制度及“三同时”制度，生产过程中产生的有机废气通过治理后达标排放；生产车间内做好防腐防渗措施。</w:t>
                  </w:r>
                </w:p>
              </w:tc>
              <w:tc>
                <w:tcPr>
                  <w:tcW w:w="868" w:type="dxa"/>
                  <w:tcBorders>
                    <w:tl2br w:val="nil"/>
                    <w:tr2bl w:val="nil"/>
                  </w:tcBorders>
                  <w:vAlign w:val="center"/>
                </w:tcPr>
                <w:p>
                  <w:pPr>
                    <w:jc w:val="center"/>
                    <w:rPr>
                      <w:color w:val="auto"/>
                      <w:sz w:val="18"/>
                      <w:szCs w:val="18"/>
                    </w:rPr>
                  </w:pPr>
                  <w:r>
                    <w:rPr>
                      <w:color w:val="auto"/>
                      <w:sz w:val="18"/>
                      <w:szCs w:val="18"/>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56" w:hRule="atLeast"/>
                <w:jc w:val="center"/>
              </w:trPr>
              <w:tc>
                <w:tcPr>
                  <w:tcW w:w="661" w:type="dxa"/>
                  <w:vMerge w:val="continue"/>
                  <w:tcBorders>
                    <w:tl2br w:val="nil"/>
                    <w:tr2bl w:val="nil"/>
                  </w:tcBorders>
                  <w:vAlign w:val="center"/>
                </w:tcPr>
                <w:p>
                  <w:pPr>
                    <w:autoSpaceDE w:val="0"/>
                    <w:autoSpaceDN w:val="0"/>
                    <w:adjustRightInd w:val="0"/>
                    <w:snapToGrid w:val="0"/>
                    <w:jc w:val="left"/>
                    <w:rPr>
                      <w:color w:val="auto"/>
                      <w:kern w:val="0"/>
                      <w:szCs w:val="21"/>
                    </w:rPr>
                  </w:pPr>
                </w:p>
              </w:tc>
              <w:tc>
                <w:tcPr>
                  <w:tcW w:w="3449" w:type="dxa"/>
                  <w:tcBorders>
                    <w:tl2br w:val="nil"/>
                    <w:tr2bl w:val="nil"/>
                  </w:tcBorders>
                  <w:vAlign w:val="center"/>
                </w:tcPr>
                <w:p>
                  <w:pPr>
                    <w:rPr>
                      <w:color w:val="auto"/>
                      <w:sz w:val="18"/>
                      <w:szCs w:val="18"/>
                    </w:rPr>
                  </w:pPr>
                  <w:r>
                    <w:rPr>
                      <w:rFonts w:hint="eastAsia"/>
                      <w:color w:val="auto"/>
                      <w:sz w:val="18"/>
                      <w:szCs w:val="18"/>
                    </w:rPr>
                    <w:t>（八）加强环境影响跟踪监测。建立包括环境空气、地表水、环境噪声、地下水、土壤、底泥等环境要素的监控体系，明确责任主体和实施阶段等。做好园区大气、水、土壤、地下水等环境的长期跟踪监测与管理，根据监测结果并结合环境影响、区域污染物削减措施实施的进度和效果，适时优化、调整《规划》。</w:t>
                  </w:r>
                </w:p>
              </w:tc>
              <w:tc>
                <w:tcPr>
                  <w:tcW w:w="2746" w:type="dxa"/>
                  <w:tcBorders>
                    <w:tl2br w:val="nil"/>
                    <w:tr2bl w:val="nil"/>
                  </w:tcBorders>
                  <w:vAlign w:val="center"/>
                </w:tcPr>
                <w:p>
                  <w:pPr>
                    <w:rPr>
                      <w:color w:val="auto"/>
                      <w:sz w:val="18"/>
                      <w:szCs w:val="18"/>
                    </w:rPr>
                  </w:pPr>
                  <w:r>
                    <w:rPr>
                      <w:rFonts w:hint="eastAsia"/>
                      <w:color w:val="auto"/>
                      <w:sz w:val="18"/>
                      <w:szCs w:val="18"/>
                    </w:rPr>
                    <w:t>本项目建成后</w:t>
                  </w:r>
                  <w:r>
                    <w:rPr>
                      <w:color w:val="auto"/>
                      <w:sz w:val="18"/>
                      <w:szCs w:val="18"/>
                    </w:rPr>
                    <w:t>定期对各厂界噪声、废气、废水各污染物进行监测。</w:t>
                  </w:r>
                </w:p>
              </w:tc>
              <w:tc>
                <w:tcPr>
                  <w:tcW w:w="868" w:type="dxa"/>
                  <w:tcBorders>
                    <w:tl2br w:val="nil"/>
                    <w:tr2bl w:val="nil"/>
                  </w:tcBorders>
                  <w:vAlign w:val="center"/>
                </w:tcPr>
                <w:p>
                  <w:pPr>
                    <w:jc w:val="center"/>
                    <w:rPr>
                      <w:color w:val="auto"/>
                      <w:sz w:val="18"/>
                      <w:szCs w:val="18"/>
                    </w:rPr>
                  </w:pPr>
                  <w:r>
                    <w:rPr>
                      <w:color w:val="auto"/>
                      <w:sz w:val="18"/>
                      <w:szCs w:val="18"/>
                    </w:rPr>
                    <w:t>相符</w:t>
                  </w:r>
                </w:p>
              </w:tc>
            </w:tr>
          </w:tbl>
          <w:p>
            <w:pPr>
              <w:adjustRightInd w:val="0"/>
              <w:snapToGrid w:val="0"/>
              <w:spacing w:before="120" w:beforeLines="50" w:line="360" w:lineRule="auto"/>
              <w:ind w:firstLine="480" w:firstLineChars="200"/>
              <w:rPr>
                <w:color w:val="auto"/>
                <w:sz w:val="24"/>
              </w:rPr>
            </w:pPr>
            <w:r>
              <w:rPr>
                <w:color w:val="auto"/>
                <w:sz w:val="24"/>
              </w:rPr>
              <w:t>由上表可知，本项目符合无锡惠山工业转型集聚区（东区）发展规划。</w:t>
            </w: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adjustRightInd w:val="0"/>
              <w:snapToGrid w:val="0"/>
              <w:spacing w:before="120" w:beforeLines="50" w:line="360" w:lineRule="auto"/>
              <w:ind w:firstLine="480" w:firstLineChars="200"/>
              <w:rPr>
                <w:color w:val="auto"/>
                <w:sz w:val="24"/>
              </w:rPr>
            </w:pPr>
          </w:p>
          <w:p>
            <w:pPr>
              <w:pStyle w:val="18"/>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5" w:hRule="atLeast"/>
          <w:jc w:val="center"/>
        </w:trPr>
        <w:tc>
          <w:tcPr>
            <w:tcW w:w="922" w:type="dxa"/>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7948" w:type="dxa"/>
            <w:gridSpan w:val="4"/>
            <w:vAlign w:val="center"/>
          </w:tcPr>
          <w:p>
            <w:pPr>
              <w:autoSpaceDE w:val="0"/>
              <w:autoSpaceDN w:val="0"/>
              <w:adjustRightInd w:val="0"/>
              <w:snapToGrid w:val="0"/>
              <w:spacing w:line="360" w:lineRule="auto"/>
              <w:jc w:val="left"/>
              <w:rPr>
                <w:b/>
                <w:bCs/>
                <w:color w:val="auto"/>
                <w:kern w:val="0"/>
                <w:sz w:val="24"/>
              </w:rPr>
            </w:pPr>
            <w:r>
              <w:rPr>
                <w:b/>
                <w:bCs/>
                <w:color w:val="auto"/>
                <w:kern w:val="0"/>
                <w:sz w:val="24"/>
              </w:rPr>
              <w:t>1、与“三线一单”相符性分析</w:t>
            </w:r>
          </w:p>
          <w:p>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（1）与生态保护红线的相符性</w:t>
            </w:r>
          </w:p>
          <w:p>
            <w:pPr>
              <w:pStyle w:val="18"/>
              <w:autoSpaceDE w:val="0"/>
              <w:adjustRightInd w:val="0"/>
              <w:snapToGrid w:val="0"/>
              <w:spacing w:after="0" w:line="360" w:lineRule="auto"/>
              <w:ind w:left="0" w:leftChars="0" w:firstLine="480"/>
              <w:rPr>
                <w:color w:val="auto"/>
                <w:kern w:val="0"/>
                <w:sz w:val="24"/>
                <w:szCs w:val="24"/>
                <w:lang w:val="zh-CN"/>
              </w:rPr>
            </w:pPr>
            <w:r>
              <w:rPr>
                <w:color w:val="auto"/>
                <w:sz w:val="24"/>
                <w:szCs w:val="24"/>
              </w:rPr>
              <w:t>本项目位于无锡惠山工业转型集聚区北洲路与邓北路交叉口西北侧。根据</w:t>
            </w:r>
            <w:r>
              <w:rPr>
                <w:color w:val="auto"/>
                <w:kern w:val="0"/>
                <w:sz w:val="24"/>
                <w:szCs w:val="24"/>
                <w:lang w:val="zh-CN"/>
              </w:rPr>
              <w:t>《省政府关于印发江苏省国家级生态保护红线规划的通知》（苏政发〔2018〕74号）中《江苏省国家级生态保护红线规划》及《省政府关于印发江苏省生态空间管控区域规划的通知》</w:t>
            </w:r>
            <w:r>
              <w:rPr>
                <w:color w:val="auto"/>
                <w:sz w:val="24"/>
                <w:szCs w:val="24"/>
              </w:rPr>
              <w:t>（</w:t>
            </w:r>
            <w:r>
              <w:rPr>
                <w:color w:val="auto"/>
                <w:kern w:val="0"/>
                <w:sz w:val="24"/>
                <w:szCs w:val="24"/>
                <w:lang w:val="zh-CN"/>
              </w:rPr>
              <w:t>苏政发</w:t>
            </w:r>
            <w:r>
              <w:rPr>
                <w:color w:val="auto"/>
                <w:kern w:val="0"/>
                <w:sz w:val="24"/>
                <w:szCs w:val="24"/>
              </w:rPr>
              <w:t>〔2020〕</w:t>
            </w:r>
            <w:r>
              <w:rPr>
                <w:color w:val="auto"/>
                <w:kern w:val="0"/>
                <w:sz w:val="24"/>
                <w:szCs w:val="24"/>
                <w:lang w:val="zh-CN"/>
              </w:rPr>
              <w:t>1号）中《江苏省生态空间管控区域规划》中“无锡市生态空间保护区域名录”</w:t>
            </w:r>
            <w:r>
              <w:rPr>
                <w:color w:val="auto"/>
                <w:sz w:val="24"/>
                <w:lang w:val="zh-CN"/>
              </w:rPr>
              <w:t>及《江苏省自然资源厅关于无锡市惠山区生态空间管控区域调整方案的复函》（苏自然资函</w:t>
            </w:r>
            <w:r>
              <w:rPr>
                <w:color w:val="auto"/>
                <w:sz w:val="24"/>
              </w:rPr>
              <w:t>〔2022〕40号）</w:t>
            </w:r>
            <w:r>
              <w:rPr>
                <w:color w:val="auto"/>
                <w:kern w:val="0"/>
                <w:sz w:val="24"/>
                <w:szCs w:val="24"/>
                <w:lang w:val="zh-CN"/>
              </w:rPr>
              <w:t>，</w:t>
            </w:r>
            <w:r>
              <w:rPr>
                <w:color w:val="auto"/>
                <w:kern w:val="0"/>
                <w:sz w:val="24"/>
                <w:lang w:val="zh-CN"/>
              </w:rPr>
              <w:t>本项目距离最近的国家级生态保护红线为</w:t>
            </w:r>
            <w:r>
              <w:rPr>
                <w:color w:val="auto"/>
                <w:sz w:val="24"/>
                <w:szCs w:val="21"/>
              </w:rPr>
              <w:t>惠山国家级森林公园</w:t>
            </w:r>
            <w:r>
              <w:rPr>
                <w:color w:val="auto"/>
                <w:kern w:val="0"/>
                <w:sz w:val="24"/>
                <w:lang w:val="zh-CN"/>
              </w:rPr>
              <w:t>，距离</w:t>
            </w:r>
            <w:r>
              <w:rPr>
                <w:color w:val="auto"/>
                <w:sz w:val="24"/>
              </w:rPr>
              <w:t>约13.3km</w:t>
            </w:r>
            <w:r>
              <w:rPr>
                <w:color w:val="auto"/>
                <w:kern w:val="0"/>
                <w:sz w:val="24"/>
                <w:lang w:val="zh-CN"/>
              </w:rPr>
              <w:t>；距离最近的生态空间管控区域为</w:t>
            </w:r>
            <w:r>
              <w:rPr>
                <w:rFonts w:hint="eastAsia"/>
                <w:color w:val="auto"/>
                <w:kern w:val="0"/>
                <w:sz w:val="24"/>
                <w:lang w:val="zh-CN"/>
              </w:rPr>
              <w:t>马镇河流重要湿地</w:t>
            </w:r>
            <w:r>
              <w:rPr>
                <w:color w:val="auto"/>
                <w:kern w:val="0"/>
                <w:sz w:val="24"/>
                <w:lang w:val="zh-CN"/>
              </w:rPr>
              <w:t>，距离</w:t>
            </w:r>
            <w:r>
              <w:rPr>
                <w:color w:val="auto"/>
                <w:sz w:val="24"/>
              </w:rPr>
              <w:t>约</w:t>
            </w:r>
            <w:r>
              <w:rPr>
                <w:rFonts w:hint="eastAsia"/>
                <w:color w:val="auto"/>
                <w:sz w:val="24"/>
                <w:lang w:val="en-US" w:eastAsia="zh-CN"/>
              </w:rPr>
              <w:t>4.5</w:t>
            </w:r>
            <w:r>
              <w:rPr>
                <w:color w:val="auto"/>
                <w:sz w:val="24"/>
              </w:rPr>
              <w:t>km</w:t>
            </w:r>
            <w:r>
              <w:rPr>
                <w:color w:val="auto"/>
                <w:kern w:val="0"/>
                <w:sz w:val="24"/>
                <w:szCs w:val="24"/>
                <w:lang w:val="zh-CN"/>
              </w:rPr>
              <w:t>（见图1-</w:t>
            </w:r>
            <w:r>
              <w:rPr>
                <w:color w:val="auto"/>
                <w:kern w:val="0"/>
                <w:sz w:val="24"/>
                <w:szCs w:val="24"/>
              </w:rPr>
              <w:t>2</w:t>
            </w:r>
            <w:r>
              <w:rPr>
                <w:color w:val="auto"/>
                <w:kern w:val="0"/>
                <w:sz w:val="24"/>
                <w:szCs w:val="24"/>
                <w:lang w:val="zh-CN"/>
              </w:rPr>
              <w:t>）。具体情况如下表：</w:t>
            </w:r>
          </w:p>
          <w:p>
            <w:pPr>
              <w:jc w:val="center"/>
              <w:rPr>
                <w:b/>
                <w:bCs/>
                <w:color w:val="auto"/>
                <w:sz w:val="24"/>
              </w:rPr>
            </w:pPr>
            <w:r>
              <w:rPr>
                <w:b/>
                <w:bCs/>
                <w:color w:val="auto"/>
                <w:sz w:val="24"/>
              </w:rPr>
              <w:t>表1-3  重要生态功能区一览表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49"/>
              <w:gridCol w:w="663"/>
              <w:gridCol w:w="740"/>
              <w:gridCol w:w="1628"/>
              <w:gridCol w:w="1798"/>
              <w:gridCol w:w="848"/>
              <w:gridCol w:w="697"/>
              <w:gridCol w:w="6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3" w:hRule="atLeast"/>
                <w:jc w:val="center"/>
              </w:trPr>
              <w:tc>
                <w:tcPr>
                  <w:tcW w:w="485" w:type="pct"/>
                  <w:vMerge w:val="restart"/>
                  <w:vAlign w:val="center"/>
                </w:tcPr>
                <w:p>
                  <w:pPr>
                    <w:pStyle w:val="18"/>
                    <w:adjustRightInd w:val="0"/>
                    <w:snapToGrid w:val="0"/>
                    <w:spacing w:after="0"/>
                    <w:ind w:left="0" w:leftChars="0" w:firstLine="0" w:firstLineChars="0"/>
                    <w:jc w:val="center"/>
                    <w:rPr>
                      <w:b/>
                      <w:bCs/>
                      <w:color w:val="auto"/>
                      <w:sz w:val="18"/>
                      <w:szCs w:val="21"/>
                    </w:rPr>
                  </w:pPr>
                  <w:r>
                    <w:rPr>
                      <w:b/>
                      <w:bCs/>
                      <w:color w:val="auto"/>
                      <w:sz w:val="18"/>
                      <w:szCs w:val="21"/>
                    </w:rPr>
                    <w:t>生态空间保护区域名称</w:t>
                  </w:r>
                </w:p>
              </w:tc>
              <w:tc>
                <w:tcPr>
                  <w:tcW w:w="429" w:type="pct"/>
                  <w:vMerge w:val="restart"/>
                  <w:vAlign w:val="center"/>
                </w:tcPr>
                <w:p>
                  <w:pPr>
                    <w:pStyle w:val="18"/>
                    <w:adjustRightInd w:val="0"/>
                    <w:snapToGrid w:val="0"/>
                    <w:spacing w:after="0"/>
                    <w:ind w:left="0" w:leftChars="0" w:firstLine="0" w:firstLineChars="0"/>
                    <w:jc w:val="center"/>
                    <w:rPr>
                      <w:b/>
                      <w:bCs/>
                      <w:color w:val="auto"/>
                      <w:sz w:val="18"/>
                      <w:szCs w:val="21"/>
                    </w:rPr>
                  </w:pPr>
                  <w:r>
                    <w:rPr>
                      <w:b/>
                      <w:bCs/>
                      <w:color w:val="auto"/>
                      <w:sz w:val="18"/>
                      <w:szCs w:val="21"/>
                    </w:rPr>
                    <w:t>县（市、区）</w:t>
                  </w:r>
                </w:p>
              </w:tc>
              <w:tc>
                <w:tcPr>
                  <w:tcW w:w="479" w:type="pct"/>
                  <w:vMerge w:val="restart"/>
                  <w:vAlign w:val="center"/>
                </w:tcPr>
                <w:p>
                  <w:pPr>
                    <w:pStyle w:val="18"/>
                    <w:adjustRightInd w:val="0"/>
                    <w:snapToGrid w:val="0"/>
                    <w:spacing w:after="0"/>
                    <w:ind w:left="0" w:leftChars="0" w:firstLine="0" w:firstLineChars="0"/>
                    <w:jc w:val="center"/>
                    <w:rPr>
                      <w:b/>
                      <w:bCs/>
                      <w:color w:val="auto"/>
                      <w:sz w:val="18"/>
                      <w:szCs w:val="21"/>
                    </w:rPr>
                  </w:pPr>
                  <w:r>
                    <w:rPr>
                      <w:b/>
                      <w:bCs/>
                      <w:color w:val="auto"/>
                      <w:sz w:val="18"/>
                      <w:szCs w:val="21"/>
                    </w:rPr>
                    <w:t>主导生态功能</w:t>
                  </w:r>
                </w:p>
              </w:tc>
              <w:tc>
                <w:tcPr>
                  <w:tcW w:w="2218" w:type="pct"/>
                  <w:gridSpan w:val="2"/>
                  <w:vAlign w:val="center"/>
                </w:tcPr>
                <w:p>
                  <w:pPr>
                    <w:pStyle w:val="18"/>
                    <w:adjustRightInd w:val="0"/>
                    <w:snapToGrid w:val="0"/>
                    <w:spacing w:after="0"/>
                    <w:ind w:left="0" w:leftChars="0" w:firstLine="0" w:firstLineChars="0"/>
                    <w:jc w:val="center"/>
                    <w:rPr>
                      <w:b/>
                      <w:bCs/>
                      <w:color w:val="auto"/>
                      <w:sz w:val="18"/>
                      <w:szCs w:val="21"/>
                    </w:rPr>
                  </w:pPr>
                  <w:r>
                    <w:rPr>
                      <w:b/>
                      <w:bCs/>
                      <w:color w:val="auto"/>
                      <w:sz w:val="18"/>
                      <w:szCs w:val="21"/>
                    </w:rPr>
                    <w:t>范围</w:t>
                  </w:r>
                </w:p>
              </w:tc>
              <w:tc>
                <w:tcPr>
                  <w:tcW w:w="1389" w:type="pct"/>
                  <w:gridSpan w:val="3"/>
                  <w:vAlign w:val="center"/>
                </w:tcPr>
                <w:p>
                  <w:pPr>
                    <w:pStyle w:val="18"/>
                    <w:adjustRightInd w:val="0"/>
                    <w:snapToGrid w:val="0"/>
                    <w:spacing w:after="0"/>
                    <w:ind w:left="0" w:leftChars="0" w:firstLine="0" w:firstLineChars="0"/>
                    <w:jc w:val="center"/>
                    <w:rPr>
                      <w:b/>
                      <w:bCs/>
                      <w:color w:val="auto"/>
                      <w:sz w:val="18"/>
                      <w:szCs w:val="21"/>
                    </w:rPr>
                  </w:pPr>
                  <w:r>
                    <w:rPr>
                      <w:b/>
                      <w:bCs/>
                      <w:color w:val="auto"/>
                      <w:sz w:val="18"/>
                      <w:szCs w:val="21"/>
                    </w:rPr>
                    <w:t>总面积（平方公里）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6" w:hRule="atLeast"/>
                <w:jc w:val="center"/>
              </w:trPr>
              <w:tc>
                <w:tcPr>
                  <w:tcW w:w="485" w:type="pct"/>
                  <w:vMerge w:val="continue"/>
                  <w:vAlign w:val="center"/>
                </w:tcPr>
                <w:p>
                  <w:pPr>
                    <w:pStyle w:val="18"/>
                    <w:adjustRightInd w:val="0"/>
                    <w:snapToGrid w:val="0"/>
                    <w:spacing w:after="0"/>
                    <w:ind w:left="0" w:leftChars="0" w:firstLine="0" w:firstLineChars="0"/>
                    <w:jc w:val="center"/>
                    <w:rPr>
                      <w:color w:val="auto"/>
                      <w:sz w:val="18"/>
                      <w:szCs w:val="21"/>
                    </w:rPr>
                  </w:pPr>
                </w:p>
              </w:tc>
              <w:tc>
                <w:tcPr>
                  <w:tcW w:w="429" w:type="pct"/>
                  <w:vMerge w:val="continue"/>
                  <w:vAlign w:val="center"/>
                </w:tcPr>
                <w:p>
                  <w:pPr>
                    <w:pStyle w:val="18"/>
                    <w:adjustRightInd w:val="0"/>
                    <w:snapToGrid w:val="0"/>
                    <w:spacing w:after="0"/>
                    <w:ind w:left="0" w:leftChars="0" w:firstLine="0" w:firstLineChars="0"/>
                    <w:jc w:val="center"/>
                    <w:rPr>
                      <w:color w:val="auto"/>
                      <w:sz w:val="18"/>
                      <w:szCs w:val="21"/>
                    </w:rPr>
                  </w:pPr>
                </w:p>
              </w:tc>
              <w:tc>
                <w:tcPr>
                  <w:tcW w:w="479" w:type="pct"/>
                  <w:vMerge w:val="continue"/>
                  <w:vAlign w:val="center"/>
                </w:tcPr>
                <w:p>
                  <w:pPr>
                    <w:pStyle w:val="18"/>
                    <w:adjustRightInd w:val="0"/>
                    <w:snapToGrid w:val="0"/>
                    <w:spacing w:after="0"/>
                    <w:ind w:left="0" w:leftChars="0" w:firstLine="0" w:firstLineChars="0"/>
                    <w:jc w:val="center"/>
                    <w:rPr>
                      <w:color w:val="auto"/>
                      <w:sz w:val="18"/>
                      <w:szCs w:val="21"/>
                    </w:rPr>
                  </w:pPr>
                </w:p>
              </w:tc>
              <w:tc>
                <w:tcPr>
                  <w:tcW w:w="1054" w:type="pct"/>
                  <w:vAlign w:val="center"/>
                </w:tcPr>
                <w:p>
                  <w:pPr>
                    <w:pStyle w:val="18"/>
                    <w:adjustRightInd w:val="0"/>
                    <w:snapToGrid w:val="0"/>
                    <w:spacing w:after="0"/>
                    <w:ind w:left="0" w:leftChars="0" w:firstLine="0" w:firstLineChars="0"/>
                    <w:jc w:val="center"/>
                    <w:rPr>
                      <w:b/>
                      <w:bCs/>
                      <w:color w:val="auto"/>
                      <w:sz w:val="18"/>
                      <w:szCs w:val="21"/>
                    </w:rPr>
                  </w:pPr>
                  <w:r>
                    <w:rPr>
                      <w:b/>
                      <w:color w:val="auto"/>
                      <w:sz w:val="18"/>
                      <w:szCs w:val="21"/>
                    </w:rPr>
                    <w:t>国家级生态保护红线范围</w:t>
                  </w:r>
                </w:p>
              </w:tc>
              <w:tc>
                <w:tcPr>
                  <w:tcW w:w="1164" w:type="pct"/>
                  <w:vAlign w:val="center"/>
                </w:tcPr>
                <w:p>
                  <w:pPr>
                    <w:pStyle w:val="18"/>
                    <w:adjustRightInd w:val="0"/>
                    <w:snapToGrid w:val="0"/>
                    <w:spacing w:after="0"/>
                    <w:ind w:left="0" w:leftChars="0" w:firstLine="0" w:firstLineChars="0"/>
                    <w:jc w:val="center"/>
                    <w:rPr>
                      <w:b/>
                      <w:bCs/>
                      <w:color w:val="auto"/>
                      <w:sz w:val="18"/>
                      <w:szCs w:val="21"/>
                    </w:rPr>
                  </w:pPr>
                  <w:r>
                    <w:rPr>
                      <w:b/>
                      <w:color w:val="auto"/>
                      <w:sz w:val="18"/>
                      <w:szCs w:val="21"/>
                    </w:rPr>
                    <w:t>生态空间管控区域范围</w:t>
                  </w:r>
                </w:p>
              </w:tc>
              <w:tc>
                <w:tcPr>
                  <w:tcW w:w="549" w:type="pct"/>
                  <w:vAlign w:val="center"/>
                </w:tcPr>
                <w:p>
                  <w:pPr>
                    <w:pStyle w:val="18"/>
                    <w:adjustRightInd w:val="0"/>
                    <w:snapToGrid w:val="0"/>
                    <w:spacing w:after="0"/>
                    <w:ind w:left="0" w:leftChars="0" w:firstLine="0" w:firstLineChars="0"/>
                    <w:jc w:val="center"/>
                    <w:rPr>
                      <w:b/>
                      <w:color w:val="auto"/>
                      <w:sz w:val="18"/>
                      <w:szCs w:val="21"/>
                    </w:rPr>
                  </w:pPr>
                  <w:r>
                    <w:rPr>
                      <w:b/>
                      <w:color w:val="auto"/>
                      <w:sz w:val="18"/>
                      <w:szCs w:val="21"/>
                    </w:rPr>
                    <w:t>国家级生态保护红线面积</w:t>
                  </w:r>
                </w:p>
              </w:tc>
              <w:tc>
                <w:tcPr>
                  <w:tcW w:w="451" w:type="pct"/>
                  <w:vAlign w:val="center"/>
                </w:tcPr>
                <w:p>
                  <w:pPr>
                    <w:pStyle w:val="18"/>
                    <w:adjustRightInd w:val="0"/>
                    <w:snapToGrid w:val="0"/>
                    <w:spacing w:after="0"/>
                    <w:ind w:left="0" w:leftChars="0" w:firstLine="0" w:firstLineChars="0"/>
                    <w:jc w:val="center"/>
                    <w:rPr>
                      <w:b/>
                      <w:color w:val="auto"/>
                      <w:sz w:val="18"/>
                      <w:szCs w:val="21"/>
                    </w:rPr>
                  </w:pPr>
                  <w:r>
                    <w:rPr>
                      <w:b/>
                      <w:color w:val="auto"/>
                      <w:sz w:val="18"/>
                      <w:szCs w:val="21"/>
                    </w:rPr>
                    <w:t>生态空间管控区域面积</w:t>
                  </w:r>
                </w:p>
              </w:tc>
              <w:tc>
                <w:tcPr>
                  <w:tcW w:w="389" w:type="pct"/>
                  <w:vAlign w:val="center"/>
                </w:tcPr>
                <w:p>
                  <w:pPr>
                    <w:pStyle w:val="18"/>
                    <w:adjustRightInd w:val="0"/>
                    <w:snapToGrid w:val="0"/>
                    <w:spacing w:after="0"/>
                    <w:ind w:left="0" w:leftChars="0" w:firstLine="0" w:firstLineChars="0"/>
                    <w:jc w:val="center"/>
                    <w:rPr>
                      <w:b/>
                      <w:color w:val="auto"/>
                      <w:sz w:val="18"/>
                      <w:szCs w:val="21"/>
                    </w:rPr>
                  </w:pPr>
                  <w:r>
                    <w:rPr>
                      <w:b/>
                      <w:color w:val="auto"/>
                      <w:sz w:val="18"/>
                      <w:szCs w:val="21"/>
                    </w:rPr>
                    <w:t>总面积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04" w:hRule="atLeast"/>
                <w:jc w:val="center"/>
              </w:trPr>
              <w:tc>
                <w:tcPr>
                  <w:tcW w:w="485" w:type="pct"/>
                  <w:vAlign w:val="center"/>
                </w:tcPr>
                <w:p>
                  <w:pPr>
                    <w:adjustRightInd w:val="0"/>
                    <w:snapToGrid w:val="0"/>
                    <w:jc w:val="center"/>
                    <w:rPr>
                      <w:color w:val="auto"/>
                      <w:sz w:val="18"/>
                      <w:szCs w:val="18"/>
                    </w:rPr>
                  </w:pPr>
                  <w:r>
                    <w:rPr>
                      <w:color w:val="auto"/>
                      <w:sz w:val="18"/>
                      <w:szCs w:val="18"/>
                    </w:rPr>
                    <w:t>惠山国家级森林公园</w:t>
                  </w:r>
                </w:p>
              </w:tc>
              <w:tc>
                <w:tcPr>
                  <w:tcW w:w="429" w:type="pct"/>
                  <w:vAlign w:val="center"/>
                </w:tcPr>
                <w:p>
                  <w:pPr>
                    <w:spacing w:after="120"/>
                    <w:jc w:val="center"/>
                    <w:rPr>
                      <w:color w:val="auto"/>
                      <w:sz w:val="18"/>
                      <w:szCs w:val="18"/>
                    </w:rPr>
                  </w:pPr>
                  <w:r>
                    <w:rPr>
                      <w:color w:val="auto"/>
                      <w:sz w:val="18"/>
                      <w:szCs w:val="18"/>
                    </w:rPr>
                    <w:t>无锡市区</w:t>
                  </w:r>
                </w:p>
              </w:tc>
              <w:tc>
                <w:tcPr>
                  <w:tcW w:w="479" w:type="pct"/>
                  <w:vAlign w:val="center"/>
                </w:tcPr>
                <w:p>
                  <w:pPr>
                    <w:adjustRightInd w:val="0"/>
                    <w:snapToGrid w:val="0"/>
                    <w:jc w:val="center"/>
                    <w:rPr>
                      <w:color w:val="auto"/>
                      <w:sz w:val="18"/>
                      <w:szCs w:val="18"/>
                    </w:rPr>
                  </w:pPr>
                  <w:r>
                    <w:rPr>
                      <w:color w:val="auto"/>
                      <w:sz w:val="18"/>
                      <w:szCs w:val="18"/>
                    </w:rPr>
                    <w:t>自然与人文景观保护</w:t>
                  </w:r>
                </w:p>
              </w:tc>
              <w:tc>
                <w:tcPr>
                  <w:tcW w:w="1054" w:type="pct"/>
                  <w:vAlign w:val="center"/>
                </w:tcPr>
                <w:p>
                  <w:pPr>
                    <w:adjustRightInd w:val="0"/>
                    <w:snapToGrid w:val="0"/>
                    <w:jc w:val="center"/>
                    <w:rPr>
                      <w:color w:val="auto"/>
                      <w:sz w:val="18"/>
                      <w:szCs w:val="18"/>
                    </w:rPr>
                  </w:pPr>
                  <w:r>
                    <w:rPr>
                      <w:color w:val="auto"/>
                      <w:sz w:val="18"/>
                      <w:szCs w:val="18"/>
                    </w:rPr>
                    <w:t>惠山国家级森林公园总体规划中确定的范围(包含生态保育区和核心景观区等)，包含惠山海拔150米以上及锡山山体范围，以及寄畅园、天下第二泉、三茅峰等景区</w:t>
                  </w:r>
                </w:p>
              </w:tc>
              <w:tc>
                <w:tcPr>
                  <w:tcW w:w="1164" w:type="pct"/>
                  <w:vAlign w:val="center"/>
                </w:tcPr>
                <w:p>
                  <w:pPr>
                    <w:adjustRightInd w:val="0"/>
                    <w:snapToGrid w:val="0"/>
                    <w:jc w:val="center"/>
                    <w:rPr>
                      <w:color w:val="auto"/>
                      <w:sz w:val="18"/>
                      <w:szCs w:val="18"/>
                    </w:rPr>
                  </w:pPr>
                  <w:r>
                    <w:rPr>
                      <w:color w:val="auto"/>
                      <w:sz w:val="18"/>
                      <w:szCs w:val="18"/>
                    </w:rPr>
                    <w:t>—</w:t>
                  </w:r>
                </w:p>
              </w:tc>
              <w:tc>
                <w:tcPr>
                  <w:tcW w:w="549" w:type="pct"/>
                  <w:vAlign w:val="center"/>
                </w:tcPr>
                <w:p>
                  <w:pPr>
                    <w:adjustRightInd w:val="0"/>
                    <w:snapToGrid w:val="0"/>
                    <w:jc w:val="center"/>
                    <w:rPr>
                      <w:color w:val="auto"/>
                      <w:sz w:val="18"/>
                      <w:szCs w:val="18"/>
                    </w:rPr>
                  </w:pPr>
                  <w:r>
                    <w:rPr>
                      <w:color w:val="auto"/>
                      <w:sz w:val="18"/>
                      <w:szCs w:val="18"/>
                    </w:rPr>
                    <w:t>9.36</w:t>
                  </w:r>
                </w:p>
              </w:tc>
              <w:tc>
                <w:tcPr>
                  <w:tcW w:w="451" w:type="pct"/>
                  <w:vAlign w:val="center"/>
                </w:tcPr>
                <w:p>
                  <w:pPr>
                    <w:adjustRightInd w:val="0"/>
                    <w:snapToGrid w:val="0"/>
                    <w:jc w:val="center"/>
                    <w:rPr>
                      <w:color w:val="auto"/>
                      <w:sz w:val="18"/>
                      <w:szCs w:val="18"/>
                    </w:rPr>
                  </w:pPr>
                  <w:r>
                    <w:rPr>
                      <w:color w:val="auto"/>
                      <w:sz w:val="18"/>
                      <w:szCs w:val="18"/>
                    </w:rPr>
                    <w:t>—</w:t>
                  </w:r>
                </w:p>
              </w:tc>
              <w:tc>
                <w:tcPr>
                  <w:tcW w:w="389" w:type="pct"/>
                  <w:vAlign w:val="center"/>
                </w:tcPr>
                <w:p>
                  <w:pPr>
                    <w:adjustRightInd w:val="0"/>
                    <w:snapToGrid w:val="0"/>
                    <w:jc w:val="center"/>
                    <w:rPr>
                      <w:color w:val="auto"/>
                      <w:sz w:val="18"/>
                      <w:szCs w:val="18"/>
                    </w:rPr>
                  </w:pPr>
                  <w:r>
                    <w:rPr>
                      <w:color w:val="auto"/>
                      <w:sz w:val="18"/>
                      <w:szCs w:val="18"/>
                    </w:rPr>
                    <w:t>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9" w:hRule="atLeast"/>
                <w:jc w:val="center"/>
              </w:trPr>
              <w:tc>
                <w:tcPr>
                  <w:tcW w:w="485" w:type="pct"/>
                  <w:vAlign w:val="center"/>
                </w:tcPr>
                <w:p>
                  <w:pPr>
                    <w:adjustRightInd w:val="0"/>
                    <w:snapToGrid w:val="0"/>
                    <w:jc w:val="center"/>
                    <w:rPr>
                      <w:rFonts w:hint="eastAsia" w:eastAsia="宋体"/>
                      <w:color w:val="auto"/>
                      <w:sz w:val="18"/>
                      <w:szCs w:val="18"/>
                      <w:lang w:val="en-US" w:eastAsia="zh-CN"/>
                    </w:rPr>
                  </w:pPr>
                  <w:r>
                    <w:rPr>
                      <w:color w:val="auto"/>
                      <w:sz w:val="18"/>
                      <w:szCs w:val="18"/>
                    </w:rPr>
                    <w:t>马镇河流重要湿地</w:t>
                  </w:r>
                  <w:r>
                    <w:rPr>
                      <w:rFonts w:hint="eastAsia"/>
                      <w:color w:val="auto"/>
                      <w:sz w:val="18"/>
                      <w:szCs w:val="18"/>
                      <w:lang w:val="en-US" w:eastAsia="zh-CN"/>
                    </w:rPr>
                    <w:t>*</w:t>
                  </w:r>
                </w:p>
              </w:tc>
              <w:tc>
                <w:tcPr>
                  <w:tcW w:w="429" w:type="pct"/>
                  <w:vAlign w:val="center"/>
                </w:tcPr>
                <w:p>
                  <w:pPr>
                    <w:spacing w:after="120"/>
                    <w:jc w:val="center"/>
                    <w:rPr>
                      <w:color w:val="auto"/>
                      <w:sz w:val="18"/>
                      <w:szCs w:val="18"/>
                    </w:rPr>
                  </w:pPr>
                  <w:r>
                    <w:rPr>
                      <w:color w:val="auto"/>
                      <w:sz w:val="18"/>
                      <w:szCs w:val="18"/>
                    </w:rPr>
                    <w:t>江阴市</w:t>
                  </w:r>
                </w:p>
              </w:tc>
              <w:tc>
                <w:tcPr>
                  <w:tcW w:w="479" w:type="pct"/>
                  <w:vAlign w:val="center"/>
                </w:tcPr>
                <w:p>
                  <w:pPr>
                    <w:adjustRightInd w:val="0"/>
                    <w:snapToGrid w:val="0"/>
                    <w:jc w:val="center"/>
                    <w:rPr>
                      <w:color w:val="auto"/>
                      <w:sz w:val="18"/>
                      <w:szCs w:val="18"/>
                    </w:rPr>
                  </w:pPr>
                  <w:r>
                    <w:rPr>
                      <w:color w:val="auto"/>
                      <w:sz w:val="18"/>
                      <w:szCs w:val="18"/>
                    </w:rPr>
                    <w:t>湿地生态系统保护</w:t>
                  </w:r>
                </w:p>
              </w:tc>
              <w:tc>
                <w:tcPr>
                  <w:tcW w:w="1054" w:type="pct"/>
                  <w:vAlign w:val="center"/>
                </w:tcPr>
                <w:p>
                  <w:pPr>
                    <w:adjustRightInd w:val="0"/>
                    <w:snapToGrid w:val="0"/>
                    <w:jc w:val="center"/>
                    <w:rPr>
                      <w:color w:val="auto"/>
                      <w:sz w:val="18"/>
                      <w:szCs w:val="18"/>
                    </w:rPr>
                  </w:pPr>
                  <w:r>
                    <w:rPr>
                      <w:color w:val="auto"/>
                      <w:sz w:val="18"/>
                      <w:szCs w:val="18"/>
                    </w:rPr>
                    <w:t>—</w:t>
                  </w:r>
                </w:p>
              </w:tc>
              <w:tc>
                <w:tcPr>
                  <w:tcW w:w="1164" w:type="pct"/>
                  <w:vAlign w:val="center"/>
                </w:tcPr>
                <w:p>
                  <w:pPr>
                    <w:adjustRightInd w:val="0"/>
                    <w:snapToGrid w:val="0"/>
                    <w:jc w:val="center"/>
                    <w:rPr>
                      <w:color w:val="auto"/>
                      <w:sz w:val="18"/>
                      <w:szCs w:val="18"/>
                    </w:rPr>
                  </w:pPr>
                  <w:r>
                    <w:rPr>
                      <w:color w:val="auto"/>
                      <w:sz w:val="18"/>
                      <w:szCs w:val="18"/>
                    </w:rPr>
                    <w:t>地跨江阴市域南部地区青阳镇、徐霞客镇、祝塘镇、长泾镇，北起暨南大道，南至江阴市界，西至锡澄公路，东至河塘杨家浜一线；以及京沪高速以西，璜塘、峭岐部分区域</w:t>
                  </w:r>
                </w:p>
              </w:tc>
              <w:tc>
                <w:tcPr>
                  <w:tcW w:w="549" w:type="pct"/>
                  <w:vAlign w:val="center"/>
                </w:tcPr>
                <w:p>
                  <w:pPr>
                    <w:adjustRightInd w:val="0"/>
                    <w:snapToGrid w:val="0"/>
                    <w:jc w:val="center"/>
                    <w:rPr>
                      <w:color w:val="auto"/>
                      <w:sz w:val="18"/>
                      <w:szCs w:val="18"/>
                    </w:rPr>
                  </w:pPr>
                  <w:r>
                    <w:rPr>
                      <w:color w:val="auto"/>
                      <w:sz w:val="18"/>
                      <w:szCs w:val="18"/>
                    </w:rPr>
                    <w:t>—</w:t>
                  </w:r>
                </w:p>
              </w:tc>
              <w:tc>
                <w:tcPr>
                  <w:tcW w:w="451" w:type="pct"/>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63.09974</w:t>
                  </w:r>
                </w:p>
              </w:tc>
              <w:tc>
                <w:tcPr>
                  <w:tcW w:w="389" w:type="pct"/>
                  <w:vAlign w:val="center"/>
                </w:tcPr>
                <w:p>
                  <w:pPr>
                    <w:adjustRightInd w:val="0"/>
                    <w:snapToGrid w:val="0"/>
                    <w:jc w:val="center"/>
                    <w:rPr>
                      <w:color w:val="auto"/>
                      <w:sz w:val="18"/>
                      <w:szCs w:val="18"/>
                    </w:rPr>
                  </w:pPr>
                  <w:r>
                    <w:rPr>
                      <w:rFonts w:hint="eastAsia"/>
                      <w:color w:val="auto"/>
                      <w:sz w:val="18"/>
                      <w:szCs w:val="18"/>
                      <w:lang w:val="en-US" w:eastAsia="zh-CN"/>
                    </w:rPr>
                    <w:t>63.09974</w:t>
                  </w:r>
                </w:p>
              </w:tc>
            </w:tr>
          </w:tbl>
          <w:p>
            <w:pPr>
              <w:autoSpaceDE w:val="0"/>
              <w:autoSpaceDN w:val="0"/>
              <w:adjustRightInd w:val="0"/>
              <w:snapToGrid w:val="0"/>
              <w:spacing w:before="0" w:beforeLines="0" w:line="240" w:lineRule="auto"/>
              <w:ind w:firstLine="0" w:firstLineChars="0"/>
              <w:jc w:val="left"/>
              <w:rPr>
                <w:b/>
                <w:bCs/>
                <w:color w:val="auto"/>
                <w:sz w:val="21"/>
                <w:szCs w:val="21"/>
              </w:rPr>
            </w:pPr>
            <w:r>
              <w:rPr>
                <w:rFonts w:hint="eastAsia"/>
                <w:b/>
                <w:bCs/>
                <w:color w:val="auto"/>
                <w:sz w:val="21"/>
                <w:szCs w:val="21"/>
                <w:lang w:eastAsia="zh-CN"/>
              </w:rPr>
              <w:t>注：</w:t>
            </w:r>
            <w:r>
              <w:rPr>
                <w:rFonts w:hint="eastAsia"/>
                <w:b/>
                <w:bCs/>
                <w:color w:val="auto"/>
                <w:szCs w:val="21"/>
              </w:rPr>
              <w:t>马镇河流重要湿地</w:t>
            </w:r>
            <w:r>
              <w:rPr>
                <w:rFonts w:hint="eastAsia"/>
                <w:b/>
                <w:bCs/>
                <w:color w:val="auto"/>
                <w:sz w:val="21"/>
                <w:szCs w:val="21"/>
              </w:rPr>
              <w:t>根据《江苏省自然资源厅关于无锡市惠山区生态空间管控区域调整方案的复函》（苏自然资函</w:t>
            </w:r>
            <w:r>
              <w:rPr>
                <w:rFonts w:hint="eastAsia"/>
                <w:b/>
                <w:bCs/>
                <w:color w:val="auto"/>
                <w:szCs w:val="21"/>
              </w:rPr>
              <w:t>〔2022〕</w:t>
            </w:r>
            <w:r>
              <w:rPr>
                <w:rFonts w:hint="eastAsia"/>
                <w:b/>
                <w:bCs/>
                <w:color w:val="auto"/>
                <w:sz w:val="21"/>
                <w:szCs w:val="21"/>
              </w:rPr>
              <w:t>40号）可知，</w:t>
            </w:r>
            <w:r>
              <w:rPr>
                <w:rFonts w:hint="eastAsia"/>
                <w:b/>
                <w:bCs/>
                <w:color w:val="auto"/>
                <w:sz w:val="21"/>
                <w:szCs w:val="21"/>
                <w:lang w:eastAsia="zh-CN"/>
              </w:rPr>
              <w:t>其中惠山区范围内地块因行政区划的调整</w:t>
            </w:r>
            <w:r>
              <w:rPr>
                <w:rFonts w:hint="eastAsia"/>
                <w:b/>
                <w:bCs/>
                <w:color w:val="auto"/>
                <w:sz w:val="21"/>
                <w:szCs w:val="21"/>
              </w:rPr>
              <w:t>调出，调出面积共计</w:t>
            </w:r>
            <w:r>
              <w:rPr>
                <w:rFonts w:hint="eastAsia"/>
                <w:b/>
                <w:bCs/>
                <w:color w:val="auto"/>
                <w:sz w:val="21"/>
                <w:szCs w:val="21"/>
                <w:lang w:val="en-US" w:eastAsia="zh-CN"/>
              </w:rPr>
              <w:t>70.0260</w:t>
            </w:r>
            <w:r>
              <w:rPr>
                <w:rFonts w:hint="eastAsia"/>
                <w:b/>
                <w:bCs/>
                <w:color w:val="auto"/>
                <w:sz w:val="21"/>
                <w:szCs w:val="21"/>
              </w:rPr>
              <w:t>公顷，调整后</w:t>
            </w:r>
            <w:r>
              <w:rPr>
                <w:rFonts w:hint="eastAsia"/>
                <w:b/>
                <w:bCs/>
                <w:color w:val="auto"/>
                <w:szCs w:val="21"/>
              </w:rPr>
              <w:t>马镇河流重要湿地</w:t>
            </w:r>
            <w:r>
              <w:rPr>
                <w:rFonts w:hint="eastAsia"/>
                <w:b/>
                <w:bCs/>
                <w:color w:val="auto"/>
                <w:sz w:val="21"/>
                <w:szCs w:val="21"/>
              </w:rPr>
              <w:t>总面积为</w:t>
            </w:r>
            <w:r>
              <w:rPr>
                <w:rFonts w:hint="eastAsia"/>
                <w:b/>
                <w:bCs/>
                <w:color w:val="auto"/>
                <w:sz w:val="21"/>
                <w:szCs w:val="21"/>
                <w:lang w:val="en-US" w:eastAsia="zh-CN"/>
              </w:rPr>
              <w:t>63.09974平方公里</w:t>
            </w:r>
            <w:r>
              <w:rPr>
                <w:rFonts w:hint="eastAsia"/>
                <w:b/>
                <w:bCs/>
                <w:color w:val="auto"/>
                <w:sz w:val="21"/>
                <w:szCs w:val="21"/>
              </w:rPr>
              <w:t>。</w:t>
            </w:r>
          </w:p>
          <w:p>
            <w:pPr>
              <w:autoSpaceDE w:val="0"/>
              <w:autoSpaceDN w:val="0"/>
              <w:adjustRightInd w:val="0"/>
              <w:snapToGrid w:val="0"/>
              <w:spacing w:before="120" w:beforeLines="50" w:line="360" w:lineRule="auto"/>
              <w:ind w:firstLine="480" w:firstLineChars="200"/>
              <w:jc w:val="left"/>
              <w:rPr>
                <w:color w:val="auto"/>
                <w:sz w:val="24"/>
              </w:rPr>
            </w:pPr>
            <w:r>
              <w:rPr>
                <w:color w:val="auto"/>
                <w:sz w:val="24"/>
              </w:rPr>
              <w:t>因此，本项目选址符合《江苏省国家级生态保护红线规划》、</w:t>
            </w:r>
            <w:r>
              <w:rPr>
                <w:color w:val="auto"/>
                <w:kern w:val="0"/>
                <w:sz w:val="24"/>
                <w:lang w:val="zh-CN"/>
              </w:rPr>
              <w:t>《江苏省生态空间管控区域规划》</w:t>
            </w:r>
            <w:r>
              <w:rPr>
                <w:color w:val="auto"/>
                <w:sz w:val="24"/>
              </w:rPr>
              <w:t>的要求。</w:t>
            </w:r>
          </w:p>
          <w:p>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（2）与《无锡市“三线一单”生态环境分区管控实施方案》的相符性</w:t>
            </w:r>
          </w:p>
          <w:p>
            <w:pPr>
              <w:autoSpaceDE w:val="0"/>
              <w:autoSpaceDN w:val="0"/>
              <w:snapToGrid w:val="0"/>
              <w:spacing w:line="360" w:lineRule="auto"/>
              <w:ind w:firstLine="480" w:firstLineChars="200"/>
              <w:rPr>
                <w:snapToGrid w:val="0"/>
                <w:color w:val="auto"/>
                <w:kern w:val="0"/>
                <w:sz w:val="24"/>
              </w:rPr>
            </w:pPr>
            <w:r>
              <w:rPr>
                <w:snapToGrid w:val="0"/>
                <w:color w:val="auto"/>
                <w:kern w:val="0"/>
                <w:sz w:val="24"/>
              </w:rPr>
              <w:t>根据关于印发《无锡市“三线一单”生态环境分区管控实施方案》的通知（锡环委办</w:t>
            </w:r>
            <w:r>
              <w:rPr>
                <w:color w:val="auto"/>
                <w:sz w:val="24"/>
              </w:rPr>
              <w:t>〔2020〕</w:t>
            </w:r>
            <w:r>
              <w:rPr>
                <w:snapToGrid w:val="0"/>
                <w:color w:val="auto"/>
                <w:kern w:val="0"/>
                <w:sz w:val="24"/>
              </w:rPr>
              <w:t>40号），无锡市共划定环境管控单元194个，分为优先保护单元、重点管控单元和一般管控单元三类，实施分类管控。优先保护单元，指以生态环境保护为主的区域，包括生态保护红线和生态空间管控区域。全市划分优先保护单元51个，占全市国土面积的28.63%。重点管控单元，指涉及水、大气、土壤、自然资源等资源环境要素重点管控的区域，主要包括人口密集的中心城区和各级各类产业集聚的工业园区（工业集中区）。全市划分重点管控单元89个，占全市国土面积的34.06%。一般管控单元，指除优先保护单元、重点管控单元以外的其他区域，衔接街道（乡镇）边界形成管控单元。全市划分一般管控单元54个，占全市国土面积的37.31%。以环境管控单元为基础，从空间布局约束、污染物排放管控、环境风险防控和资源利用效率等方面明确准入、限制和禁止的要求，建立无锡市市域生态环境管控要求和194个环境管控单元的生态环境准入清单。</w:t>
            </w:r>
          </w:p>
          <w:p>
            <w:pPr>
              <w:pStyle w:val="2"/>
              <w:spacing w:before="0" w:after="0" w:line="360" w:lineRule="auto"/>
              <w:ind w:right="0" w:firstLine="480" w:firstLineChars="200"/>
              <w:rPr>
                <w:b/>
                <w:bCs/>
                <w:color w:val="auto"/>
                <w:sz w:val="24"/>
                <w:szCs w:val="24"/>
              </w:rPr>
            </w:pPr>
            <w:r>
              <w:rPr>
                <w:color w:val="auto"/>
                <w:sz w:val="24"/>
                <w:szCs w:val="24"/>
              </w:rPr>
              <w:t>本项目位于无锡惠山工业转型集聚区北洲路与邓北路交叉口西北侧，属于无锡惠山工业转型集聚区（东区）</w:t>
            </w:r>
            <w:r>
              <w:rPr>
                <w:color w:val="auto"/>
                <w:sz w:val="21"/>
                <w:szCs w:val="21"/>
              </w:rPr>
              <w:t>，</w:t>
            </w:r>
            <w:r>
              <w:rPr>
                <w:snapToGrid w:val="0"/>
                <w:color w:val="auto"/>
                <w:sz w:val="24"/>
                <w:szCs w:val="24"/>
              </w:rPr>
              <w:t>位于重点管控单元（</w:t>
            </w:r>
            <w:r>
              <w:rPr>
                <w:color w:val="auto"/>
                <w:sz w:val="24"/>
                <w:szCs w:val="24"/>
              </w:rPr>
              <w:t>见图1-3</w:t>
            </w:r>
            <w:r>
              <w:rPr>
                <w:snapToGrid w:val="0"/>
                <w:color w:val="auto"/>
                <w:sz w:val="24"/>
                <w:szCs w:val="24"/>
              </w:rPr>
              <w:t>），根据无锡市惠山区环境管控单元准入清单，本项目与其相符性分析如下：</w:t>
            </w: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p>
          <w:p>
            <w:pPr>
              <w:ind w:left="634"/>
              <w:rPr>
                <w:b/>
                <w:snapToGrid w:val="0"/>
                <w:color w:val="auto"/>
                <w:sz w:val="24"/>
              </w:rPr>
            </w:pPr>
            <w:r>
              <w:rPr>
                <w:b/>
                <w:snapToGrid w:val="0"/>
                <w:color w:val="auto"/>
                <w:sz w:val="24"/>
              </w:rPr>
              <w:t>表1-4  项目与无锡市惠山区环境管控单元准入清单相符性分析</w:t>
            </w:r>
          </w:p>
          <w:tbl>
            <w:tblPr>
              <w:tblStyle w:val="2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4"/>
              <w:gridCol w:w="351"/>
              <w:gridCol w:w="599"/>
              <w:gridCol w:w="3838"/>
              <w:gridCol w:w="2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7" w:hRule="atLeast"/>
                <w:jc w:val="center"/>
              </w:trPr>
              <w:tc>
                <w:tcPr>
                  <w:tcW w:w="449" w:type="pct"/>
                  <w:vAlign w:val="center"/>
                </w:tcPr>
                <w:p>
                  <w:pPr>
                    <w:jc w:val="center"/>
                    <w:rPr>
                      <w:b/>
                      <w:bCs/>
                      <w:snapToGrid w:val="0"/>
                      <w:color w:val="auto"/>
                      <w:sz w:val="18"/>
                      <w:szCs w:val="18"/>
                    </w:rPr>
                  </w:pPr>
                  <w:r>
                    <w:rPr>
                      <w:b/>
                      <w:bCs/>
                      <w:snapToGrid w:val="0"/>
                      <w:color w:val="auto"/>
                      <w:sz w:val="18"/>
                      <w:szCs w:val="18"/>
                    </w:rPr>
                    <w:t>环境管控单元名称</w:t>
                  </w:r>
                </w:p>
              </w:tc>
              <w:tc>
                <w:tcPr>
                  <w:tcW w:w="227" w:type="pct"/>
                  <w:vAlign w:val="center"/>
                </w:tcPr>
                <w:p>
                  <w:pPr>
                    <w:jc w:val="center"/>
                    <w:rPr>
                      <w:b/>
                      <w:bCs/>
                      <w:snapToGrid w:val="0"/>
                      <w:color w:val="auto"/>
                      <w:sz w:val="18"/>
                      <w:szCs w:val="18"/>
                    </w:rPr>
                  </w:pPr>
                  <w:r>
                    <w:rPr>
                      <w:b/>
                      <w:bCs/>
                      <w:snapToGrid w:val="0"/>
                      <w:color w:val="auto"/>
                      <w:sz w:val="18"/>
                      <w:szCs w:val="18"/>
                    </w:rPr>
                    <w:t>类型</w:t>
                  </w:r>
                </w:p>
              </w:tc>
              <w:tc>
                <w:tcPr>
                  <w:tcW w:w="2873" w:type="pct"/>
                  <w:gridSpan w:val="2"/>
                  <w:vAlign w:val="center"/>
                </w:tcPr>
                <w:p>
                  <w:pPr>
                    <w:jc w:val="center"/>
                    <w:rPr>
                      <w:b/>
                      <w:bCs/>
                      <w:snapToGrid w:val="0"/>
                      <w:color w:val="auto"/>
                      <w:sz w:val="18"/>
                      <w:szCs w:val="18"/>
                    </w:rPr>
                  </w:pPr>
                  <w:r>
                    <w:rPr>
                      <w:b/>
                      <w:bCs/>
                      <w:snapToGrid w:val="0"/>
                      <w:color w:val="auto"/>
                      <w:sz w:val="18"/>
                      <w:szCs w:val="18"/>
                    </w:rPr>
                    <w:t>无锡市惠山区“三线一单”生态环境准入清单</w:t>
                  </w:r>
                </w:p>
              </w:tc>
              <w:tc>
                <w:tcPr>
                  <w:tcW w:w="1452" w:type="pct"/>
                  <w:vAlign w:val="center"/>
                </w:tcPr>
                <w:p>
                  <w:pPr>
                    <w:jc w:val="center"/>
                    <w:rPr>
                      <w:b/>
                      <w:bCs/>
                      <w:snapToGrid w:val="0"/>
                      <w:color w:val="auto"/>
                      <w:sz w:val="18"/>
                      <w:szCs w:val="18"/>
                    </w:rPr>
                  </w:pPr>
                  <w:r>
                    <w:rPr>
                      <w:b/>
                      <w:bCs/>
                      <w:snapToGrid w:val="0"/>
                      <w:color w:val="auto"/>
                      <w:sz w:val="18"/>
                      <w:szCs w:val="18"/>
                    </w:rPr>
                    <w:t>本项目相符性分析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9" w:hRule="atLeast"/>
                <w:jc w:val="center"/>
              </w:trPr>
              <w:tc>
                <w:tcPr>
                  <w:tcW w:w="449" w:type="pct"/>
                  <w:vMerge w:val="restart"/>
                  <w:vAlign w:val="center"/>
                </w:tcPr>
                <w:p>
                  <w:pPr>
                    <w:jc w:val="center"/>
                    <w:rPr>
                      <w:snapToGrid w:val="0"/>
                      <w:color w:val="auto"/>
                      <w:sz w:val="18"/>
                      <w:szCs w:val="18"/>
                    </w:rPr>
                  </w:pPr>
                  <w:r>
                    <w:rPr>
                      <w:snapToGrid w:val="0"/>
                      <w:color w:val="auto"/>
                      <w:sz w:val="18"/>
                      <w:szCs w:val="18"/>
                    </w:rPr>
                    <w:t>无锡惠山工业转型集聚区</w:t>
                  </w:r>
                </w:p>
              </w:tc>
              <w:tc>
                <w:tcPr>
                  <w:tcW w:w="227" w:type="pct"/>
                  <w:vMerge w:val="restart"/>
                  <w:vAlign w:val="center"/>
                </w:tcPr>
                <w:p>
                  <w:pPr>
                    <w:jc w:val="center"/>
                    <w:rPr>
                      <w:snapToGrid w:val="0"/>
                      <w:color w:val="auto"/>
                      <w:sz w:val="18"/>
                      <w:szCs w:val="18"/>
                    </w:rPr>
                  </w:pPr>
                  <w:r>
                    <w:rPr>
                      <w:snapToGrid w:val="0"/>
                      <w:color w:val="auto"/>
                      <w:sz w:val="18"/>
                      <w:szCs w:val="18"/>
                    </w:rPr>
                    <w:t>园区</w:t>
                  </w:r>
                </w:p>
              </w:tc>
              <w:tc>
                <w:tcPr>
                  <w:tcW w:w="388" w:type="pct"/>
                  <w:vAlign w:val="center"/>
                </w:tcPr>
                <w:p>
                  <w:pPr>
                    <w:jc w:val="center"/>
                    <w:rPr>
                      <w:snapToGrid w:val="0"/>
                      <w:color w:val="auto"/>
                      <w:sz w:val="18"/>
                      <w:szCs w:val="18"/>
                    </w:rPr>
                  </w:pPr>
                  <w:r>
                    <w:rPr>
                      <w:snapToGrid w:val="0"/>
                      <w:color w:val="auto"/>
                      <w:sz w:val="18"/>
                      <w:szCs w:val="18"/>
                    </w:rPr>
                    <w:t>空间布局约束</w:t>
                  </w:r>
                </w:p>
              </w:tc>
              <w:tc>
                <w:tcPr>
                  <w:tcW w:w="2485" w:type="pct"/>
                  <w:vAlign w:val="center"/>
                </w:tcPr>
                <w:p>
                  <w:pPr>
                    <w:jc w:val="left"/>
                    <w:rPr>
                      <w:color w:val="auto"/>
                      <w:sz w:val="18"/>
                      <w:szCs w:val="18"/>
                    </w:rPr>
                  </w:pPr>
                  <w:r>
                    <w:rPr>
                      <w:color w:val="auto"/>
                      <w:sz w:val="18"/>
                      <w:szCs w:val="18"/>
                    </w:rPr>
                    <w:t>（1）节能环保禁止：含电镀工序；国家和地方的产业政策限制或禁止类或淘汰类的项目。</w:t>
                  </w:r>
                </w:p>
                <w:p>
                  <w:pPr>
                    <w:jc w:val="left"/>
                    <w:rPr>
                      <w:color w:val="auto"/>
                      <w:sz w:val="18"/>
                      <w:szCs w:val="18"/>
                    </w:rPr>
                  </w:pPr>
                  <w:r>
                    <w:rPr>
                      <w:color w:val="auto"/>
                      <w:sz w:val="18"/>
                      <w:szCs w:val="18"/>
                    </w:rPr>
                    <w:t>（2）高端装备制造禁止：国家和地方的产业政策限制或禁止类或淘汰类的项目。</w:t>
                  </w:r>
                </w:p>
                <w:p>
                  <w:pPr>
                    <w:jc w:val="left"/>
                    <w:rPr>
                      <w:color w:val="auto"/>
                      <w:sz w:val="18"/>
                      <w:szCs w:val="18"/>
                    </w:rPr>
                  </w:pPr>
                  <w:r>
                    <w:rPr>
                      <w:color w:val="auto"/>
                      <w:sz w:val="18"/>
                      <w:szCs w:val="18"/>
                    </w:rPr>
                    <w:t>（3）汽车制造禁止</w:t>
                  </w:r>
                  <w:r>
                    <w:rPr>
                      <w:rFonts w:hint="eastAsia"/>
                      <w:color w:val="auto"/>
                      <w:sz w:val="18"/>
                      <w:szCs w:val="18"/>
                    </w:rPr>
                    <w:t>：</w:t>
                  </w:r>
                  <w:r>
                    <w:rPr>
                      <w:color w:val="auto"/>
                      <w:sz w:val="18"/>
                      <w:szCs w:val="18"/>
                    </w:rPr>
                    <w:t>4档及以下机械式车用自动变速箱；排放标准国三及以下的机动车用发动机；未达到《汽车产业发展政策》（国家发展改革委2004年第8号令）规定的投资主体资格条件及项目准入标准的新建汽车产业投资项目；含电镀工序；国家和地方的产业政策限制或禁止类或淘汰类的项目。</w:t>
                  </w:r>
                </w:p>
                <w:p>
                  <w:pPr>
                    <w:jc w:val="left"/>
                    <w:rPr>
                      <w:color w:val="auto"/>
                      <w:sz w:val="18"/>
                      <w:szCs w:val="18"/>
                    </w:rPr>
                  </w:pPr>
                  <w:r>
                    <w:rPr>
                      <w:color w:val="auto"/>
                      <w:sz w:val="18"/>
                      <w:szCs w:val="18"/>
                    </w:rPr>
                    <w:t>（4）新材料禁止：国家和地方的产业政策限制或禁止类或淘汰类的项目。</w:t>
                  </w:r>
                </w:p>
                <w:p>
                  <w:pPr>
                    <w:jc w:val="left"/>
                    <w:rPr>
                      <w:color w:val="auto"/>
                      <w:sz w:val="18"/>
                      <w:szCs w:val="18"/>
                    </w:rPr>
                  </w:pPr>
                  <w:r>
                    <w:rPr>
                      <w:color w:val="auto"/>
                      <w:sz w:val="18"/>
                      <w:szCs w:val="18"/>
                    </w:rPr>
                    <w:t>（5）电子信息禁止：电子配件组装（含酸洗或有机溶剂清洗工艺的）；仪器仪表制造（有电镀工艺）；国家和地方的产业政策限制或禁止类或淘汰类的项目。</w:t>
                  </w:r>
                </w:p>
                <w:p>
                  <w:pPr>
                    <w:jc w:val="left"/>
                    <w:rPr>
                      <w:color w:val="auto"/>
                      <w:sz w:val="18"/>
                      <w:szCs w:val="18"/>
                    </w:rPr>
                  </w:pPr>
                  <w:r>
                    <w:rPr>
                      <w:color w:val="auto"/>
                      <w:sz w:val="18"/>
                      <w:szCs w:val="18"/>
                    </w:rPr>
                    <w:t>（6）其他1、禁止新建、改建、扩建化学制浆造纸、制革、酿造、染料、电镀以及其他排放含磷、氮等污染的企业和项目（城镇污水集中处理等环境基础设施项目和太湖条例第四十六条规定的情形除外）。2、禁止新建、扩建印染企业。3、禁止新（扩）建排放含汞、砷、镉、铬、铅等重金属以及持久性有机污染物的工业项目。</w:t>
                  </w:r>
                </w:p>
              </w:tc>
              <w:tc>
                <w:tcPr>
                  <w:tcW w:w="1452" w:type="pct"/>
                  <w:vAlign w:val="center"/>
                </w:tcPr>
                <w:p>
                  <w:pPr>
                    <w:jc w:val="left"/>
                    <w:rPr>
                      <w:snapToGrid w:val="0"/>
                      <w:color w:val="auto"/>
                      <w:sz w:val="18"/>
                      <w:szCs w:val="18"/>
                    </w:rPr>
                  </w:pPr>
                  <w:r>
                    <w:rPr>
                      <w:rFonts w:hint="eastAsia"/>
                      <w:snapToGrid w:val="0"/>
                      <w:color w:val="auto"/>
                      <w:sz w:val="18"/>
                      <w:szCs w:val="18"/>
                    </w:rPr>
                    <w:t>本项目位于无锡惠山工业转型集聚区北洲路与邓北路交叉口西北侧，行业代码为[C2029]其他人造板制造，不属于禁止类项目。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449" w:type="pct"/>
                  <w:vMerge w:val="continue"/>
                  <w:vAlign w:val="center"/>
                </w:tcPr>
                <w:p>
                  <w:pPr>
                    <w:jc w:val="center"/>
                    <w:rPr>
                      <w:snapToGrid w:val="0"/>
                      <w:color w:val="auto"/>
                      <w:sz w:val="18"/>
                      <w:szCs w:val="18"/>
                    </w:rPr>
                  </w:pPr>
                </w:p>
              </w:tc>
              <w:tc>
                <w:tcPr>
                  <w:tcW w:w="227" w:type="pct"/>
                  <w:vMerge w:val="continue"/>
                  <w:vAlign w:val="center"/>
                </w:tcPr>
                <w:p>
                  <w:pPr>
                    <w:jc w:val="center"/>
                    <w:rPr>
                      <w:snapToGrid w:val="0"/>
                      <w:color w:val="auto"/>
                      <w:sz w:val="18"/>
                      <w:szCs w:val="18"/>
                    </w:rPr>
                  </w:pPr>
                </w:p>
              </w:tc>
              <w:tc>
                <w:tcPr>
                  <w:tcW w:w="388" w:type="pct"/>
                  <w:vAlign w:val="center"/>
                </w:tcPr>
                <w:p>
                  <w:pPr>
                    <w:jc w:val="center"/>
                    <w:rPr>
                      <w:snapToGrid w:val="0"/>
                      <w:color w:val="auto"/>
                      <w:sz w:val="18"/>
                      <w:szCs w:val="18"/>
                    </w:rPr>
                  </w:pPr>
                  <w:r>
                    <w:rPr>
                      <w:snapToGrid w:val="0"/>
                      <w:color w:val="auto"/>
                      <w:sz w:val="18"/>
                      <w:szCs w:val="18"/>
                    </w:rPr>
                    <w:t>污染物排放管控</w:t>
                  </w:r>
                </w:p>
              </w:tc>
              <w:tc>
                <w:tcPr>
                  <w:tcW w:w="2485" w:type="pct"/>
                  <w:vAlign w:val="center"/>
                </w:tcPr>
                <w:p>
                  <w:pPr>
                    <w:jc w:val="left"/>
                    <w:rPr>
                      <w:color w:val="auto"/>
                      <w:sz w:val="18"/>
                      <w:szCs w:val="18"/>
                    </w:rPr>
                  </w:pPr>
                  <w:r>
                    <w:rPr>
                      <w:color w:val="auto"/>
                      <w:sz w:val="18"/>
                      <w:szCs w:val="18"/>
                    </w:rPr>
                    <w:t>（1）严格实施污染物总量控制制度，根据区域环境质量改善目标，采取有效措施减少主要污染物排放总量，确保区域环境质量持续改善。</w:t>
                  </w:r>
                </w:p>
                <w:p>
                  <w:pPr>
                    <w:jc w:val="left"/>
                    <w:rPr>
                      <w:color w:val="auto"/>
                      <w:sz w:val="18"/>
                      <w:szCs w:val="18"/>
                    </w:rPr>
                  </w:pPr>
                  <w:r>
                    <w:rPr>
                      <w:color w:val="auto"/>
                      <w:sz w:val="18"/>
                      <w:szCs w:val="18"/>
                    </w:rPr>
                    <w:t>（2）园区污染物排放总量不得突破环评报告及批复的总量。</w:t>
                  </w:r>
                </w:p>
              </w:tc>
              <w:tc>
                <w:tcPr>
                  <w:tcW w:w="1452" w:type="pct"/>
                  <w:vAlign w:val="center"/>
                </w:tcPr>
                <w:p>
                  <w:pPr>
                    <w:jc w:val="left"/>
                    <w:rPr>
                      <w:snapToGrid w:val="0"/>
                      <w:color w:val="auto"/>
                      <w:sz w:val="18"/>
                      <w:szCs w:val="18"/>
                    </w:rPr>
                  </w:pPr>
                  <w:r>
                    <w:rPr>
                      <w:snapToGrid w:val="0"/>
                      <w:color w:val="auto"/>
                      <w:sz w:val="18"/>
                      <w:szCs w:val="18"/>
                    </w:rPr>
                    <w:t>本项目废气在惠山区范围内平衡；</w:t>
                  </w:r>
                  <w:r>
                    <w:rPr>
                      <w:color w:val="auto"/>
                      <w:sz w:val="18"/>
                      <w:szCs w:val="18"/>
                    </w:rPr>
                    <w:t>水污染物</w:t>
                  </w:r>
                  <w:r>
                    <w:rPr>
                      <w:snapToGrid w:val="0"/>
                      <w:color w:val="auto"/>
                      <w:sz w:val="18"/>
                      <w:szCs w:val="18"/>
                    </w:rPr>
                    <w:t>在</w:t>
                  </w:r>
                  <w:r>
                    <w:rPr>
                      <w:color w:val="auto"/>
                      <w:sz w:val="18"/>
                      <w:szCs w:val="18"/>
                    </w:rPr>
                    <w:t>无锡玉祁永新污水处理有限公司</w:t>
                  </w:r>
                  <w:r>
                    <w:rPr>
                      <w:snapToGrid w:val="0"/>
                      <w:color w:val="auto"/>
                      <w:sz w:val="18"/>
                      <w:szCs w:val="18"/>
                    </w:rPr>
                    <w:t>的污染物排放总量控制指标内进行平衡；固废</w:t>
                  </w:r>
                  <w:r>
                    <w:rPr>
                      <w:color w:val="auto"/>
                      <w:sz w:val="18"/>
                      <w:szCs w:val="18"/>
                    </w:rPr>
                    <w:t>“</w:t>
                  </w:r>
                  <w:r>
                    <w:rPr>
                      <w:snapToGrid w:val="0"/>
                      <w:color w:val="auto"/>
                      <w:sz w:val="18"/>
                      <w:szCs w:val="18"/>
                    </w:rPr>
                    <w:t>零</w:t>
                  </w:r>
                  <w:r>
                    <w:rPr>
                      <w:color w:val="auto"/>
                      <w:sz w:val="18"/>
                      <w:szCs w:val="18"/>
                    </w:rPr>
                    <w:t>”</w:t>
                  </w:r>
                  <w:r>
                    <w:rPr>
                      <w:snapToGrid w:val="0"/>
                      <w:color w:val="auto"/>
                      <w:sz w:val="18"/>
                      <w:szCs w:val="18"/>
                    </w:rPr>
                    <w:t>排放，符合总量控制要求。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7" w:hRule="atLeast"/>
                <w:jc w:val="center"/>
              </w:trPr>
              <w:tc>
                <w:tcPr>
                  <w:tcW w:w="449" w:type="pct"/>
                  <w:vMerge w:val="continue"/>
                  <w:vAlign w:val="center"/>
                </w:tcPr>
                <w:p>
                  <w:pPr>
                    <w:jc w:val="center"/>
                    <w:rPr>
                      <w:snapToGrid w:val="0"/>
                      <w:color w:val="auto"/>
                      <w:sz w:val="18"/>
                      <w:szCs w:val="18"/>
                    </w:rPr>
                  </w:pPr>
                </w:p>
              </w:tc>
              <w:tc>
                <w:tcPr>
                  <w:tcW w:w="227" w:type="pct"/>
                  <w:vMerge w:val="continue"/>
                  <w:vAlign w:val="center"/>
                </w:tcPr>
                <w:p>
                  <w:pPr>
                    <w:jc w:val="center"/>
                    <w:rPr>
                      <w:snapToGrid w:val="0"/>
                      <w:color w:val="auto"/>
                      <w:sz w:val="18"/>
                      <w:szCs w:val="18"/>
                    </w:rPr>
                  </w:pPr>
                </w:p>
              </w:tc>
              <w:tc>
                <w:tcPr>
                  <w:tcW w:w="388" w:type="pct"/>
                  <w:vAlign w:val="center"/>
                </w:tcPr>
                <w:p>
                  <w:pPr>
                    <w:jc w:val="center"/>
                    <w:rPr>
                      <w:snapToGrid w:val="0"/>
                      <w:color w:val="auto"/>
                      <w:sz w:val="18"/>
                      <w:szCs w:val="18"/>
                    </w:rPr>
                  </w:pPr>
                  <w:r>
                    <w:rPr>
                      <w:snapToGrid w:val="0"/>
                      <w:color w:val="auto"/>
                      <w:sz w:val="18"/>
                      <w:szCs w:val="18"/>
                    </w:rPr>
                    <w:t>环境风险防控</w:t>
                  </w:r>
                </w:p>
              </w:tc>
              <w:tc>
                <w:tcPr>
                  <w:tcW w:w="2485" w:type="pct"/>
                  <w:vAlign w:val="center"/>
                </w:tcPr>
                <w:p>
                  <w:pPr>
                    <w:jc w:val="left"/>
                    <w:rPr>
                      <w:color w:val="auto"/>
                      <w:sz w:val="18"/>
                      <w:szCs w:val="18"/>
                    </w:rPr>
                  </w:pPr>
                  <w:r>
                    <w:rPr>
                      <w:color w:val="auto"/>
                      <w:sz w:val="18"/>
                      <w:szCs w:val="18"/>
                    </w:rPr>
                    <w:t>（1）应建立环境风险防范体系，制定园区应急预案，开展应急演练。</w:t>
                  </w:r>
                </w:p>
                <w:p>
                  <w:pPr>
                    <w:jc w:val="left"/>
                    <w:rPr>
                      <w:color w:val="auto"/>
                      <w:sz w:val="18"/>
                      <w:szCs w:val="18"/>
                    </w:rPr>
                  </w:pPr>
                  <w:r>
                    <w:rPr>
                      <w:color w:val="auto"/>
                      <w:sz w:val="18"/>
                      <w:szCs w:val="18"/>
                    </w:rPr>
                    <w:t>（2）在集聚区保留村庄及余氏宗祠和周围工业用地之间设置不小于50米的绿化隔离带。</w:t>
                  </w:r>
                </w:p>
              </w:tc>
              <w:tc>
                <w:tcPr>
                  <w:tcW w:w="1452" w:type="pct"/>
                  <w:vAlign w:val="center"/>
                </w:tcPr>
                <w:p>
                  <w:pPr>
                    <w:jc w:val="left"/>
                    <w:rPr>
                      <w:snapToGrid w:val="0"/>
                      <w:color w:val="auto"/>
                      <w:sz w:val="18"/>
                      <w:szCs w:val="18"/>
                    </w:rPr>
                  </w:pPr>
                  <w:r>
                    <w:rPr>
                      <w:rFonts w:hint="eastAsia"/>
                      <w:snapToGrid w:val="0"/>
                      <w:color w:val="auto"/>
                      <w:sz w:val="18"/>
                      <w:szCs w:val="18"/>
                    </w:rPr>
                    <w:t>本项目将按照要求，建立健全环境风险管控体系，制定应急预案，开展应急演练。本项目50米范围内无村庄，距离余氏宗祠</w:t>
                  </w:r>
                  <w:r>
                    <w:rPr>
                      <w:snapToGrid w:val="0"/>
                      <w:color w:val="auto"/>
                      <w:sz w:val="18"/>
                      <w:szCs w:val="18"/>
                    </w:rPr>
                    <w:t>790</w:t>
                  </w:r>
                  <w:r>
                    <w:rPr>
                      <w:rFonts w:hint="eastAsia"/>
                      <w:snapToGrid w:val="0"/>
                      <w:color w:val="auto"/>
                      <w:sz w:val="18"/>
                      <w:szCs w:val="18"/>
                    </w:rPr>
                    <w:t>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5" w:hRule="atLeast"/>
                <w:jc w:val="center"/>
              </w:trPr>
              <w:tc>
                <w:tcPr>
                  <w:tcW w:w="449" w:type="pct"/>
                  <w:vMerge w:val="continue"/>
                  <w:vAlign w:val="center"/>
                </w:tcPr>
                <w:p>
                  <w:pPr>
                    <w:jc w:val="center"/>
                    <w:rPr>
                      <w:snapToGrid w:val="0"/>
                      <w:color w:val="auto"/>
                      <w:sz w:val="18"/>
                      <w:szCs w:val="18"/>
                    </w:rPr>
                  </w:pPr>
                </w:p>
              </w:tc>
              <w:tc>
                <w:tcPr>
                  <w:tcW w:w="227" w:type="pct"/>
                  <w:vMerge w:val="continue"/>
                  <w:vAlign w:val="center"/>
                </w:tcPr>
                <w:p>
                  <w:pPr>
                    <w:jc w:val="center"/>
                    <w:rPr>
                      <w:snapToGrid w:val="0"/>
                      <w:color w:val="auto"/>
                      <w:sz w:val="18"/>
                      <w:szCs w:val="18"/>
                    </w:rPr>
                  </w:pPr>
                </w:p>
              </w:tc>
              <w:tc>
                <w:tcPr>
                  <w:tcW w:w="388" w:type="pct"/>
                  <w:vAlign w:val="center"/>
                </w:tcPr>
                <w:p>
                  <w:pPr>
                    <w:jc w:val="center"/>
                    <w:rPr>
                      <w:snapToGrid w:val="0"/>
                      <w:color w:val="auto"/>
                      <w:sz w:val="18"/>
                      <w:szCs w:val="18"/>
                    </w:rPr>
                  </w:pPr>
                  <w:r>
                    <w:rPr>
                      <w:snapToGrid w:val="0"/>
                      <w:color w:val="auto"/>
                      <w:sz w:val="18"/>
                      <w:szCs w:val="18"/>
                    </w:rPr>
                    <w:t>资源开发效率要求</w:t>
                  </w:r>
                </w:p>
              </w:tc>
              <w:tc>
                <w:tcPr>
                  <w:tcW w:w="2485" w:type="pct"/>
                  <w:vAlign w:val="center"/>
                </w:tcPr>
                <w:p>
                  <w:pPr>
                    <w:jc w:val="left"/>
                    <w:rPr>
                      <w:color w:val="auto"/>
                      <w:sz w:val="18"/>
                      <w:szCs w:val="18"/>
                    </w:rPr>
                  </w:pPr>
                  <w:r>
                    <w:rPr>
                      <w:color w:val="auto"/>
                      <w:sz w:val="18"/>
                      <w:szCs w:val="18"/>
                    </w:rPr>
                    <w:t>禁止销售使用燃料为“</w:t>
                  </w:r>
                  <w:r>
                    <w:rPr>
                      <w:rFonts w:hint="eastAsia"/>
                      <w:color w:val="auto"/>
                      <w:sz w:val="18"/>
                      <w:szCs w:val="18"/>
                    </w:rPr>
                    <w:t>Ⅱ</w:t>
                  </w:r>
                  <w:r>
                    <w:rPr>
                      <w:color w:val="auto"/>
                      <w:sz w:val="18"/>
                      <w:szCs w:val="18"/>
                    </w:rPr>
                    <w:t>类”（较严），具体包括：1、除单台出力大于等于20蒸吨/小时锅炉以外燃用的煤炭及其制品。2、石油焦、油页岩、原油、重油、渣油、煤焦油。</w:t>
                  </w:r>
                </w:p>
              </w:tc>
              <w:tc>
                <w:tcPr>
                  <w:tcW w:w="1452" w:type="pct"/>
                  <w:vAlign w:val="center"/>
                </w:tcPr>
                <w:p>
                  <w:pPr>
                    <w:pStyle w:val="3"/>
                    <w:numPr>
                      <w:ilvl w:val="0"/>
                      <w:numId w:val="0"/>
                    </w:numPr>
                    <w:rPr>
                      <w:snapToGrid w:val="0"/>
                      <w:color w:val="auto"/>
                      <w:sz w:val="18"/>
                      <w:szCs w:val="18"/>
                    </w:rPr>
                  </w:pPr>
                  <w:r>
                    <w:rPr>
                      <w:color w:val="auto"/>
                      <w:sz w:val="18"/>
                      <w:szCs w:val="18"/>
                    </w:rPr>
                    <w:t>本项目不销售和使用“Ⅱ类”燃料。</w:t>
                  </w:r>
                </w:p>
              </w:tc>
            </w:tr>
          </w:tbl>
          <w:p>
            <w:pPr>
              <w:autoSpaceDE w:val="0"/>
              <w:autoSpaceDN w:val="0"/>
              <w:adjustRightInd w:val="0"/>
              <w:snapToGrid w:val="0"/>
              <w:spacing w:before="120" w:beforeLines="50" w:line="360" w:lineRule="auto"/>
              <w:ind w:firstLine="480" w:firstLineChars="200"/>
              <w:jc w:val="left"/>
              <w:rPr>
                <w:bCs/>
                <w:color w:val="auto"/>
                <w:kern w:val="0"/>
                <w:sz w:val="24"/>
              </w:rPr>
            </w:pPr>
            <w:r>
              <w:rPr>
                <w:rFonts w:hint="eastAsia"/>
                <w:bCs/>
                <w:color w:val="auto"/>
                <w:kern w:val="0"/>
                <w:sz w:val="24"/>
              </w:rPr>
              <w:t>综上，本项目与《无锡市“三线一单”生态环境分区管控实施方案》（锡环委办[2020]40号）管控要求相符。</w:t>
            </w:r>
          </w:p>
          <w:p>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（3）与环境质量底线的相符性</w:t>
            </w:r>
          </w:p>
          <w:p>
            <w:pPr>
              <w:autoSpaceDE w:val="0"/>
              <w:autoSpaceDN w:val="0"/>
              <w:adjustRightInd w:val="0"/>
              <w:snapToGrid w:val="0"/>
              <w:spacing w:line="360" w:lineRule="auto"/>
              <w:ind w:firstLine="480" w:firstLineChars="200"/>
              <w:jc w:val="left"/>
              <w:rPr>
                <w:color w:val="auto"/>
                <w:kern w:val="0"/>
                <w:sz w:val="24"/>
              </w:rPr>
            </w:pPr>
            <w:r>
              <w:rPr>
                <w:color w:val="auto"/>
                <w:sz w:val="24"/>
              </w:rPr>
              <w:t>根据《无锡市生态环境状况公报（2021年度）》，惠山区为非达标区</w:t>
            </w:r>
            <w:r>
              <w:rPr>
                <w:color w:val="auto"/>
                <w:kern w:val="0"/>
                <w:sz w:val="24"/>
              </w:rPr>
              <w:t>。</w:t>
            </w:r>
            <w:r>
              <w:rPr>
                <w:color w:val="auto"/>
                <w:sz w:val="24"/>
              </w:rPr>
              <w:t>根据《无锡市大气环境质量限期达标规划（2018-2025年）》，通过提以不断降低PM</w:t>
            </w:r>
            <w:r>
              <w:rPr>
                <w:color w:val="auto"/>
                <w:sz w:val="24"/>
                <w:vertAlign w:val="subscript"/>
              </w:rPr>
              <w:t>2.5</w:t>
            </w:r>
            <w:r>
              <w:rPr>
                <w:color w:val="auto"/>
                <w:sz w:val="24"/>
              </w:rPr>
              <w:t>浓度，明显减少重污染天数，明显改善环境空气质量，明显增强人民的蓝天幸福感为核心目标，推进能源结构调整，推进热电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color w:val="auto"/>
                <w:sz w:val="24"/>
                <w:vertAlign w:val="subscript"/>
              </w:rPr>
              <w:t>2.5</w:t>
            </w:r>
            <w:r>
              <w:rPr>
                <w:color w:val="auto"/>
                <w:sz w:val="24"/>
              </w:rPr>
              <w:t>和臭氧协同控制，推进区域联防联控，提升大气污染精细化防控能力等措施，大气环境质量状况可以得到进一步改善</w:t>
            </w:r>
            <w:r>
              <w:rPr>
                <w:color w:val="auto"/>
                <w:kern w:val="0"/>
                <w:sz w:val="24"/>
              </w:rPr>
              <w:t>。</w:t>
            </w:r>
          </w:p>
          <w:p>
            <w:pPr>
              <w:autoSpaceDE w:val="0"/>
              <w:autoSpaceDN w:val="0"/>
              <w:adjustRightInd w:val="0"/>
              <w:snapToGrid w:val="0"/>
              <w:spacing w:line="360" w:lineRule="auto"/>
              <w:ind w:firstLine="480" w:firstLineChars="200"/>
              <w:jc w:val="left"/>
              <w:rPr>
                <w:color w:val="auto"/>
                <w:kern w:val="0"/>
                <w:sz w:val="24"/>
              </w:rPr>
            </w:pPr>
            <w:r>
              <w:rPr>
                <w:rFonts w:hint="eastAsia"/>
                <w:color w:val="auto"/>
                <w:sz w:val="24"/>
              </w:rPr>
              <w:t>建设</w:t>
            </w:r>
            <w:r>
              <w:rPr>
                <w:color w:val="auto"/>
                <w:sz w:val="24"/>
              </w:rPr>
              <w:t>项目所在区域非甲烷总烃环境质量现状监测值可达到《大气污染物综合排放标准详解》中标准限值。建设项目纳污水体为横港，横港卫东桥监测断面</w:t>
            </w:r>
            <w:r>
              <w:rPr>
                <w:snapToGrid w:val="0"/>
                <w:color w:val="auto"/>
                <w:sz w:val="24"/>
                <w:lang w:val="zh-CN"/>
              </w:rPr>
              <w:t>溶解氧、高锰酸盐指数、五日生化需氧量、化学需氧量、氨氮、总磷的浓度均满足《地表水环境质量标准》（GB3838-2002）表1中</w:t>
            </w:r>
            <w:r>
              <w:rPr>
                <w:rFonts w:hint="eastAsia"/>
                <w:snapToGrid w:val="0"/>
                <w:color w:val="auto"/>
                <w:sz w:val="24"/>
                <w:lang w:val="zh-CN"/>
              </w:rPr>
              <w:t>Ⅲ</w:t>
            </w:r>
            <w:r>
              <w:rPr>
                <w:rFonts w:hint="eastAsia" w:ascii="宋体" w:hAnsi="宋体" w:cs="宋体"/>
                <w:snapToGrid w:val="0"/>
                <w:color w:val="auto"/>
                <w:sz w:val="24"/>
                <w:lang w:val="zh-CN"/>
              </w:rPr>
              <w:t>类</w:t>
            </w:r>
            <w:r>
              <w:rPr>
                <w:snapToGrid w:val="0"/>
                <w:color w:val="auto"/>
                <w:sz w:val="24"/>
                <w:lang w:val="zh-CN"/>
              </w:rPr>
              <w:t>标准要求</w:t>
            </w:r>
            <w:r>
              <w:rPr>
                <w:color w:val="auto"/>
                <w:kern w:val="0"/>
                <w:sz w:val="24"/>
              </w:rPr>
              <w:t>。</w:t>
            </w:r>
            <w:r>
              <w:rPr>
                <w:rFonts w:hint="eastAsia"/>
                <w:color w:val="auto"/>
                <w:sz w:val="24"/>
              </w:rPr>
              <w:t>根据《2022年无锡市声环境质量状况》，2022年无锡市区域环境噪声昼间均值为56.2分贝（A），质量等级三级，评价水平为一般。</w:t>
            </w:r>
          </w:p>
          <w:p>
            <w:pPr>
              <w:autoSpaceDE w:val="0"/>
              <w:autoSpaceDN w:val="0"/>
              <w:adjustRightInd w:val="0"/>
              <w:snapToGrid w:val="0"/>
              <w:spacing w:line="360" w:lineRule="auto"/>
              <w:ind w:firstLine="480" w:firstLineChars="200"/>
              <w:jc w:val="left"/>
              <w:rPr>
                <w:color w:val="auto"/>
                <w:kern w:val="0"/>
                <w:sz w:val="24"/>
              </w:rPr>
            </w:pPr>
            <w:r>
              <w:rPr>
                <w:color w:val="auto"/>
                <w:sz w:val="24"/>
              </w:rPr>
              <w:t>本项目产生的废气经收集处理后达标排放，废气在惠山区内平衡；本项目冷却排水</w:t>
            </w:r>
            <w:r>
              <w:rPr>
                <w:rFonts w:hint="eastAsia"/>
                <w:color w:val="auto"/>
                <w:sz w:val="24"/>
              </w:rPr>
              <w:t>与经化粪池预处理后的</w:t>
            </w:r>
            <w:r>
              <w:rPr>
                <w:color w:val="auto"/>
                <w:sz w:val="24"/>
              </w:rPr>
              <w:t>生活污水一并接管至无锡玉祁永新污水处理有限公司集中处理；</w:t>
            </w:r>
            <w:r>
              <w:rPr>
                <w:rFonts w:hint="eastAsia"/>
                <w:color w:val="auto"/>
                <w:sz w:val="24"/>
              </w:rPr>
              <w:t>本项目各设备采用低噪声设备，经隔声、减振及距离衰减后达标排放</w:t>
            </w:r>
            <w:r>
              <w:rPr>
                <w:color w:val="auto"/>
                <w:sz w:val="24"/>
              </w:rPr>
              <w:t>；本项目产生的固废分类收集、妥善处置。因此，本项目符合项目所在地环境质量底线</w:t>
            </w:r>
            <w:r>
              <w:rPr>
                <w:color w:val="auto"/>
                <w:kern w:val="0"/>
                <w:sz w:val="24"/>
              </w:rPr>
              <w:t>。</w:t>
            </w:r>
          </w:p>
          <w:p>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（4）与资源利用上线的相符性</w:t>
            </w:r>
          </w:p>
          <w:p>
            <w:pPr>
              <w:autoSpaceDE w:val="0"/>
              <w:autoSpaceDN w:val="0"/>
              <w:adjustRightInd w:val="0"/>
              <w:snapToGrid w:val="0"/>
              <w:spacing w:line="360" w:lineRule="auto"/>
              <w:ind w:firstLine="480" w:firstLineChars="200"/>
              <w:jc w:val="left"/>
              <w:rPr>
                <w:snapToGrid w:val="0"/>
                <w:color w:val="auto"/>
                <w:kern w:val="0"/>
                <w:sz w:val="24"/>
              </w:rPr>
            </w:pPr>
            <w:r>
              <w:rPr>
                <w:snapToGrid w:val="0"/>
                <w:color w:val="auto"/>
                <w:kern w:val="0"/>
                <w:sz w:val="24"/>
              </w:rPr>
              <w:t>土地资源：本项目在</w:t>
            </w:r>
            <w:r>
              <w:rPr>
                <w:color w:val="auto"/>
                <w:sz w:val="24"/>
              </w:rPr>
              <w:t>无锡惠山工业转型集聚区（东区）</w:t>
            </w:r>
            <w:r>
              <w:rPr>
                <w:snapToGrid w:val="0"/>
                <w:color w:val="auto"/>
                <w:kern w:val="0"/>
                <w:sz w:val="24"/>
              </w:rPr>
              <w:t>工业用地内实施，未突破</w:t>
            </w:r>
            <w:r>
              <w:rPr>
                <w:color w:val="auto"/>
                <w:sz w:val="24"/>
              </w:rPr>
              <w:t>无锡惠山工业转型集聚区（东区）</w:t>
            </w:r>
            <w:r>
              <w:rPr>
                <w:snapToGrid w:val="0"/>
                <w:color w:val="auto"/>
                <w:kern w:val="0"/>
                <w:sz w:val="24"/>
              </w:rPr>
              <w:t>土地资源总量上线要求。</w:t>
            </w:r>
          </w:p>
          <w:p>
            <w:pPr>
              <w:autoSpaceDE w:val="0"/>
              <w:autoSpaceDN w:val="0"/>
              <w:adjustRightInd w:val="0"/>
              <w:snapToGrid w:val="0"/>
              <w:spacing w:line="360" w:lineRule="auto"/>
              <w:ind w:firstLine="480" w:firstLineChars="200"/>
              <w:jc w:val="left"/>
              <w:rPr>
                <w:color w:val="auto"/>
                <w:kern w:val="0"/>
                <w:sz w:val="24"/>
              </w:rPr>
            </w:pPr>
            <w:r>
              <w:rPr>
                <w:snapToGrid w:val="0"/>
                <w:color w:val="auto"/>
                <w:kern w:val="0"/>
                <w:sz w:val="24"/>
              </w:rPr>
              <w:t>水资源及能耗：本项目给水、供电、天然气由</w:t>
            </w:r>
            <w:r>
              <w:rPr>
                <w:color w:val="auto"/>
                <w:sz w:val="24"/>
              </w:rPr>
              <w:t>无锡惠山工业转型集聚区（东区）</w:t>
            </w:r>
            <w:r>
              <w:rPr>
                <w:snapToGrid w:val="0"/>
                <w:color w:val="auto"/>
                <w:kern w:val="0"/>
                <w:sz w:val="24"/>
              </w:rPr>
              <w:t>市政统一供给，无其他自然资源消耗。因此，项目建设不超过区域资源上线要求。</w:t>
            </w:r>
          </w:p>
          <w:p>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（5）环境准入负面清单</w:t>
            </w:r>
          </w:p>
          <w:p>
            <w:pPr>
              <w:adjustRightInd w:val="0"/>
              <w:snapToGrid w:val="0"/>
              <w:spacing w:line="360" w:lineRule="auto"/>
              <w:ind w:firstLine="466" w:firstLineChars="200"/>
              <w:rPr>
                <w:b/>
                <w:bCs/>
                <w:color w:val="auto"/>
                <w:spacing w:val="-4"/>
                <w:sz w:val="24"/>
                <w:szCs w:val="32"/>
              </w:rPr>
            </w:pPr>
            <w:r>
              <w:rPr>
                <w:rFonts w:hint="eastAsia" w:ascii="宋体" w:hAnsi="宋体" w:cs="宋体"/>
                <w:b/>
                <w:bCs/>
                <w:color w:val="auto"/>
                <w:spacing w:val="-4"/>
                <w:sz w:val="24"/>
                <w:szCs w:val="32"/>
                <w:lang w:eastAsia="ja-JP"/>
              </w:rPr>
              <w:t>①</w:t>
            </w:r>
            <w:r>
              <w:rPr>
                <w:b/>
                <w:bCs/>
                <w:color w:val="auto"/>
                <w:sz w:val="24"/>
                <w:szCs w:val="32"/>
              </w:rPr>
              <w:t>与《市场准入负面清单》（2022年版）相符性</w:t>
            </w:r>
          </w:p>
          <w:p>
            <w:pPr>
              <w:pStyle w:val="18"/>
              <w:adjustRightInd w:val="0"/>
              <w:snapToGrid w:val="0"/>
              <w:spacing w:after="0" w:line="360" w:lineRule="auto"/>
              <w:ind w:left="0" w:leftChars="0" w:firstLine="480"/>
              <w:rPr>
                <w:color w:val="auto"/>
                <w:kern w:val="0"/>
                <w:sz w:val="24"/>
              </w:rPr>
            </w:pPr>
            <w:r>
              <w:rPr>
                <w:color w:val="auto"/>
                <w:kern w:val="0"/>
                <w:sz w:val="24"/>
              </w:rPr>
              <w:t>根据《市场准入负面清单》（2022年版），本项目的建设不属于禁止准入类。因此，本项目的建设未列入《市场准入负面清单》（2022年版）。</w:t>
            </w:r>
          </w:p>
          <w:p>
            <w:pPr>
              <w:adjustRightInd w:val="0"/>
              <w:snapToGrid w:val="0"/>
              <w:spacing w:line="360" w:lineRule="auto"/>
              <w:ind w:firstLine="482" w:firstLineChars="200"/>
              <w:outlineLvl w:val="0"/>
              <w:rPr>
                <w:b/>
                <w:color w:val="auto"/>
                <w:sz w:val="24"/>
                <w:szCs w:val="32"/>
              </w:rPr>
            </w:pPr>
            <w:r>
              <w:rPr>
                <w:rFonts w:hint="eastAsia" w:ascii="宋体" w:hAnsi="宋体" w:cs="宋体"/>
                <w:b/>
                <w:bCs/>
                <w:color w:val="auto"/>
                <w:kern w:val="0"/>
                <w:sz w:val="24"/>
                <w:lang w:eastAsia="ja-JP"/>
              </w:rPr>
              <w:t>②</w:t>
            </w:r>
            <w:r>
              <w:rPr>
                <w:b/>
                <w:bCs/>
                <w:color w:val="auto"/>
                <w:kern w:val="0"/>
                <w:sz w:val="24"/>
              </w:rPr>
              <w:t>与《长江经济带发展负面清单指南（试行，2022版）》（长江办[2022]7号）、《长江经济带发展负面清单指南》江苏省实施细则（试行）相符性</w:t>
            </w:r>
          </w:p>
          <w:p>
            <w:pPr>
              <w:jc w:val="center"/>
              <w:rPr>
                <w:b/>
                <w:color w:val="auto"/>
                <w:sz w:val="24"/>
                <w:szCs w:val="32"/>
              </w:rPr>
            </w:pPr>
            <w:r>
              <w:rPr>
                <w:b/>
                <w:color w:val="auto"/>
                <w:sz w:val="24"/>
                <w:szCs w:val="32"/>
              </w:rPr>
              <w:t>表1-5  项目与《长江经济带发展负面清单指南》江苏省实施细则（试行）相符性分析</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2"/>
              <w:gridCol w:w="423"/>
              <w:gridCol w:w="3827"/>
              <w:gridCol w:w="2271"/>
              <w:gridCol w:w="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blHeader/>
                <w:jc w:val="center"/>
              </w:trPr>
              <w:tc>
                <w:tcPr>
                  <w:tcW w:w="337" w:type="pct"/>
                  <w:vAlign w:val="center"/>
                </w:tcPr>
                <w:p>
                  <w:pPr>
                    <w:jc w:val="center"/>
                    <w:rPr>
                      <w:b/>
                      <w:bCs/>
                      <w:color w:val="auto"/>
                      <w:szCs w:val="21"/>
                    </w:rPr>
                  </w:pPr>
                  <w:r>
                    <w:rPr>
                      <w:b/>
                      <w:bCs/>
                      <w:color w:val="auto"/>
                      <w:szCs w:val="21"/>
                    </w:rPr>
                    <w:t>序号</w:t>
                  </w:r>
                </w:p>
              </w:tc>
              <w:tc>
                <w:tcPr>
                  <w:tcW w:w="2751" w:type="pct"/>
                  <w:gridSpan w:val="2"/>
                  <w:vAlign w:val="center"/>
                </w:tcPr>
                <w:p>
                  <w:pPr>
                    <w:jc w:val="center"/>
                    <w:rPr>
                      <w:b/>
                      <w:bCs/>
                      <w:color w:val="auto"/>
                      <w:szCs w:val="21"/>
                    </w:rPr>
                  </w:pPr>
                  <w:r>
                    <w:rPr>
                      <w:b/>
                      <w:bCs/>
                      <w:color w:val="auto"/>
                      <w:szCs w:val="21"/>
                    </w:rPr>
                    <w:t>准入指标</w:t>
                  </w:r>
                </w:p>
              </w:tc>
              <w:tc>
                <w:tcPr>
                  <w:tcW w:w="1470" w:type="pct"/>
                  <w:vAlign w:val="center"/>
                </w:tcPr>
                <w:p>
                  <w:pPr>
                    <w:jc w:val="center"/>
                    <w:rPr>
                      <w:b/>
                      <w:bCs/>
                      <w:color w:val="auto"/>
                      <w:szCs w:val="21"/>
                    </w:rPr>
                  </w:pPr>
                  <w:r>
                    <w:rPr>
                      <w:b/>
                      <w:bCs/>
                      <w:color w:val="auto"/>
                      <w:szCs w:val="21"/>
                    </w:rPr>
                    <w:t>本项目情况</w:t>
                  </w:r>
                </w:p>
              </w:tc>
              <w:tc>
                <w:tcPr>
                  <w:tcW w:w="442" w:type="pct"/>
                  <w:vAlign w:val="center"/>
                </w:tcPr>
                <w:p>
                  <w:pPr>
                    <w:jc w:val="center"/>
                    <w:rPr>
                      <w:b/>
                      <w:bCs/>
                      <w:color w:val="auto"/>
                      <w:szCs w:val="21"/>
                    </w:rPr>
                  </w:pPr>
                  <w:r>
                    <w:rPr>
                      <w:b/>
                      <w:bCs/>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1</w:t>
                  </w:r>
                </w:p>
              </w:tc>
              <w:tc>
                <w:tcPr>
                  <w:tcW w:w="274" w:type="pct"/>
                  <w:vMerge w:val="restart"/>
                  <w:vAlign w:val="center"/>
                </w:tcPr>
                <w:p>
                  <w:pPr>
                    <w:jc w:val="center"/>
                    <w:rPr>
                      <w:color w:val="auto"/>
                      <w:szCs w:val="21"/>
                    </w:rPr>
                  </w:pPr>
                  <w:r>
                    <w:rPr>
                      <w:color w:val="auto"/>
                      <w:szCs w:val="21"/>
                    </w:rPr>
                    <w:t>区域活动</w:t>
                  </w:r>
                </w:p>
              </w:tc>
              <w:tc>
                <w:tcPr>
                  <w:tcW w:w="2477" w:type="pct"/>
                  <w:vAlign w:val="center"/>
                </w:tcPr>
                <w:p>
                  <w:pPr>
                    <w:rPr>
                      <w:color w:val="auto"/>
                      <w:szCs w:val="21"/>
                    </w:rPr>
                  </w:pPr>
                  <w:r>
                    <w:rPr>
                      <w:color w:val="auto"/>
                      <w:szCs w:val="21"/>
                    </w:rPr>
                    <w:t>（六）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1470" w:type="pct"/>
                  <w:vAlign w:val="center"/>
                </w:tcPr>
                <w:p>
                  <w:pPr>
                    <w:jc w:val="left"/>
                    <w:rPr>
                      <w:bCs/>
                      <w:color w:val="auto"/>
                      <w:szCs w:val="21"/>
                    </w:rPr>
                  </w:pPr>
                  <w:r>
                    <w:rPr>
                      <w:bCs/>
                      <w:color w:val="auto"/>
                      <w:szCs w:val="21"/>
                    </w:rPr>
                    <w:t>本项目位于无锡惠山工业转型集聚区北洲路与邓北路交叉口西北侧</w:t>
                  </w:r>
                  <w:r>
                    <w:rPr>
                      <w:color w:val="auto"/>
                      <w:spacing w:val="-4"/>
                      <w:szCs w:val="21"/>
                    </w:rPr>
                    <w:t>，不在国家确定的生态保护红线和永久基本农田范围内。</w:t>
                  </w:r>
                </w:p>
              </w:tc>
              <w:tc>
                <w:tcPr>
                  <w:tcW w:w="442" w:type="pct"/>
                  <w:vAlign w:val="center"/>
                </w:tcPr>
                <w:p>
                  <w:pPr>
                    <w:jc w:val="center"/>
                    <w:rPr>
                      <w:bCs/>
                      <w:color w:val="auto"/>
                      <w:szCs w:val="21"/>
                    </w:rPr>
                  </w:pPr>
                  <w:r>
                    <w:rPr>
                      <w:bCs/>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2</w:t>
                  </w:r>
                </w:p>
              </w:tc>
              <w:tc>
                <w:tcPr>
                  <w:tcW w:w="274" w:type="pct"/>
                  <w:vMerge w:val="continue"/>
                  <w:vAlign w:val="center"/>
                </w:tcPr>
                <w:p>
                  <w:pPr>
                    <w:jc w:val="center"/>
                    <w:rPr>
                      <w:color w:val="auto"/>
                      <w:szCs w:val="21"/>
                    </w:rPr>
                  </w:pPr>
                </w:p>
              </w:tc>
              <w:tc>
                <w:tcPr>
                  <w:tcW w:w="2477" w:type="pct"/>
                  <w:vAlign w:val="center"/>
                </w:tcPr>
                <w:p>
                  <w:pPr>
                    <w:rPr>
                      <w:color w:val="auto"/>
                      <w:szCs w:val="21"/>
                    </w:rPr>
                  </w:pPr>
                  <w:r>
                    <w:rPr>
                      <w:color w:val="auto"/>
                      <w:szCs w:val="21"/>
                    </w:rPr>
                    <w:t>（七）禁止在距离长江干流和京杭大运河（南水北调东线江苏段）、新沟河、新孟河、走马塘、望虞河、秦淮新河、城南河、德胜河、三茅大港、夹江（扬州）、润扬河、潘家河、蟛蜞港、泰州引江河1公里范围内新建、扩建化工园区和化工项目。长江干支流1公里按照长江干支流岸线边界（即水利部门河道管理范围边界）向陆域纵深1公里执行。严格落实国家和省关于水源地保护、岸线利用项目清理整治、沿江重化产能转型升级等相关政策文件要求，对长江干支流两岸排污行为试行严格监管，对违法违规工业园区和企业依法淘汰取缔。</w:t>
                  </w:r>
                </w:p>
              </w:tc>
              <w:tc>
                <w:tcPr>
                  <w:tcW w:w="1470" w:type="pct"/>
                  <w:vAlign w:val="center"/>
                </w:tcPr>
                <w:p>
                  <w:pPr>
                    <w:rPr>
                      <w:color w:val="auto"/>
                      <w:szCs w:val="21"/>
                    </w:rPr>
                  </w:pPr>
                  <w:r>
                    <w:rPr>
                      <w:color w:val="auto"/>
                      <w:szCs w:val="21"/>
                    </w:rPr>
                    <w:t>本项目行业类别为[C2029]其他人造板制造，主要生产饰面板，不属于化工项目。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3</w:t>
                  </w:r>
                </w:p>
              </w:tc>
              <w:tc>
                <w:tcPr>
                  <w:tcW w:w="274" w:type="pct"/>
                  <w:vMerge w:val="continue"/>
                  <w:vAlign w:val="center"/>
                </w:tcPr>
                <w:p>
                  <w:pPr>
                    <w:jc w:val="center"/>
                    <w:rPr>
                      <w:color w:val="auto"/>
                      <w:szCs w:val="21"/>
                    </w:rPr>
                  </w:pPr>
                </w:p>
              </w:tc>
              <w:tc>
                <w:tcPr>
                  <w:tcW w:w="2477" w:type="pct"/>
                  <w:vAlign w:val="center"/>
                </w:tcPr>
                <w:p>
                  <w:pPr>
                    <w:rPr>
                      <w:color w:val="auto"/>
                      <w:szCs w:val="21"/>
                    </w:rPr>
                  </w:pPr>
                  <w:r>
                    <w:rPr>
                      <w:color w:val="auto"/>
                      <w:szCs w:val="21"/>
                    </w:rPr>
                    <w:t>（八）禁止在距离长江干流岸线3公里范围内新建、改建、扩建尾矿库。</w:t>
                  </w:r>
                </w:p>
              </w:tc>
              <w:tc>
                <w:tcPr>
                  <w:tcW w:w="1470" w:type="pct"/>
                  <w:vAlign w:val="center"/>
                </w:tcPr>
                <w:p>
                  <w:pPr>
                    <w:jc w:val="left"/>
                    <w:rPr>
                      <w:color w:val="auto"/>
                      <w:szCs w:val="21"/>
                    </w:rPr>
                  </w:pPr>
                  <w:r>
                    <w:rPr>
                      <w:color w:val="auto"/>
                      <w:szCs w:val="21"/>
                    </w:rPr>
                    <w:t>本项目不属于尾矿库项目。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4</w:t>
                  </w:r>
                </w:p>
              </w:tc>
              <w:tc>
                <w:tcPr>
                  <w:tcW w:w="274" w:type="pct"/>
                  <w:vMerge w:val="continue"/>
                </w:tcPr>
                <w:p>
                  <w:pPr>
                    <w:jc w:val="center"/>
                    <w:rPr>
                      <w:color w:val="auto"/>
                      <w:szCs w:val="21"/>
                    </w:rPr>
                  </w:pPr>
                </w:p>
              </w:tc>
              <w:tc>
                <w:tcPr>
                  <w:tcW w:w="2477" w:type="pct"/>
                </w:tcPr>
                <w:p>
                  <w:pPr>
                    <w:rPr>
                      <w:color w:val="auto"/>
                      <w:szCs w:val="21"/>
                    </w:rPr>
                  </w:pPr>
                  <w:r>
                    <w:rPr>
                      <w:color w:val="auto"/>
                      <w:szCs w:val="21"/>
                    </w:rPr>
                    <w:t>（九）禁止在沿江地区新建、扩建未纳入国家和省布局规划的燃煤发电项目。</w:t>
                  </w:r>
                </w:p>
              </w:tc>
              <w:tc>
                <w:tcPr>
                  <w:tcW w:w="1470" w:type="pct"/>
                  <w:vAlign w:val="center"/>
                </w:tcPr>
                <w:p>
                  <w:pPr>
                    <w:rPr>
                      <w:color w:val="auto"/>
                      <w:szCs w:val="21"/>
                    </w:rPr>
                  </w:pPr>
                  <w:r>
                    <w:rPr>
                      <w:color w:val="auto"/>
                      <w:szCs w:val="21"/>
                    </w:rPr>
                    <w:t>本项目不属于燃煤发电项目。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5</w:t>
                  </w:r>
                </w:p>
              </w:tc>
              <w:tc>
                <w:tcPr>
                  <w:tcW w:w="274" w:type="pct"/>
                  <w:vMerge w:val="continue"/>
                </w:tcPr>
                <w:p>
                  <w:pPr>
                    <w:jc w:val="center"/>
                    <w:rPr>
                      <w:color w:val="auto"/>
                      <w:szCs w:val="21"/>
                    </w:rPr>
                  </w:pPr>
                </w:p>
              </w:tc>
              <w:tc>
                <w:tcPr>
                  <w:tcW w:w="2477" w:type="pct"/>
                </w:tcPr>
                <w:p>
                  <w:pPr>
                    <w:rPr>
                      <w:color w:val="auto"/>
                      <w:szCs w:val="21"/>
                    </w:rPr>
                  </w:pPr>
                  <w:r>
                    <w:rPr>
                      <w:color w:val="auto"/>
                      <w:szCs w:val="21"/>
                    </w:rPr>
                    <w:t>（十）禁止在合规园区外新建、扩建钢铁、石化、化工、焦化、建材、有色等高污染项目。</w:t>
                  </w:r>
                </w:p>
              </w:tc>
              <w:tc>
                <w:tcPr>
                  <w:tcW w:w="1470" w:type="pct"/>
                </w:tcPr>
                <w:p>
                  <w:pPr>
                    <w:rPr>
                      <w:color w:val="auto"/>
                      <w:szCs w:val="21"/>
                    </w:rPr>
                  </w:pPr>
                  <w:r>
                    <w:rPr>
                      <w:color w:val="auto"/>
                      <w:szCs w:val="21"/>
                    </w:rPr>
                    <w:t>本项目不属于钢铁、石化、化工、焦化、建材、有色等高污染项目。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6</w:t>
                  </w:r>
                </w:p>
              </w:tc>
              <w:tc>
                <w:tcPr>
                  <w:tcW w:w="274" w:type="pct"/>
                  <w:vMerge w:val="continue"/>
                </w:tcPr>
                <w:p>
                  <w:pPr>
                    <w:jc w:val="center"/>
                    <w:rPr>
                      <w:color w:val="auto"/>
                      <w:szCs w:val="21"/>
                    </w:rPr>
                  </w:pPr>
                </w:p>
              </w:tc>
              <w:tc>
                <w:tcPr>
                  <w:tcW w:w="2477" w:type="pct"/>
                </w:tcPr>
                <w:p>
                  <w:pPr>
                    <w:rPr>
                      <w:color w:val="auto"/>
                      <w:szCs w:val="21"/>
                    </w:rPr>
                  </w:pPr>
                  <w:r>
                    <w:rPr>
                      <w:color w:val="auto"/>
                      <w:szCs w:val="21"/>
                    </w:rPr>
                    <w:t>（十一）禁止在取消化工定位的园区（集中区）内新建化工项目。</w:t>
                  </w:r>
                </w:p>
              </w:tc>
              <w:tc>
                <w:tcPr>
                  <w:tcW w:w="1470" w:type="pct"/>
                  <w:vAlign w:val="center"/>
                </w:tcPr>
                <w:p>
                  <w:pPr>
                    <w:jc w:val="left"/>
                    <w:rPr>
                      <w:color w:val="auto"/>
                      <w:szCs w:val="21"/>
                    </w:rPr>
                  </w:pPr>
                  <w:r>
                    <w:rPr>
                      <w:color w:val="auto"/>
                      <w:szCs w:val="21"/>
                    </w:rPr>
                    <w:t>本项目不属于化工项目。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7</w:t>
                  </w:r>
                </w:p>
              </w:tc>
              <w:tc>
                <w:tcPr>
                  <w:tcW w:w="274" w:type="pct"/>
                  <w:vMerge w:val="continue"/>
                </w:tcPr>
                <w:p>
                  <w:pPr>
                    <w:jc w:val="center"/>
                    <w:rPr>
                      <w:color w:val="auto"/>
                      <w:szCs w:val="21"/>
                    </w:rPr>
                  </w:pPr>
                </w:p>
              </w:tc>
              <w:tc>
                <w:tcPr>
                  <w:tcW w:w="2477" w:type="pct"/>
                </w:tcPr>
                <w:p>
                  <w:pPr>
                    <w:rPr>
                      <w:color w:val="auto"/>
                      <w:szCs w:val="21"/>
                    </w:rPr>
                  </w:pPr>
                  <w:r>
                    <w:rPr>
                      <w:color w:val="auto"/>
                      <w:szCs w:val="21"/>
                    </w:rPr>
                    <w:t>（十二）禁止在化工集中区内新建、改建、扩建生产和使用《危险化学品目录》中具有爆炸特性化学品的项目。</w:t>
                  </w:r>
                </w:p>
              </w:tc>
              <w:tc>
                <w:tcPr>
                  <w:tcW w:w="1470" w:type="pct"/>
                  <w:vAlign w:val="center"/>
                </w:tcPr>
                <w:p>
                  <w:pPr>
                    <w:jc w:val="left"/>
                    <w:rPr>
                      <w:color w:val="auto"/>
                      <w:szCs w:val="21"/>
                    </w:rPr>
                  </w:pPr>
                  <w:r>
                    <w:rPr>
                      <w:color w:val="auto"/>
                      <w:szCs w:val="21"/>
                    </w:rPr>
                    <w:t>本项目不在化工集中区内。</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8</w:t>
                  </w:r>
                </w:p>
              </w:tc>
              <w:tc>
                <w:tcPr>
                  <w:tcW w:w="274" w:type="pct"/>
                  <w:vMerge w:val="continue"/>
                </w:tcPr>
                <w:p>
                  <w:pPr>
                    <w:jc w:val="center"/>
                    <w:rPr>
                      <w:color w:val="auto"/>
                      <w:szCs w:val="21"/>
                    </w:rPr>
                  </w:pPr>
                </w:p>
              </w:tc>
              <w:tc>
                <w:tcPr>
                  <w:tcW w:w="2477" w:type="pct"/>
                </w:tcPr>
                <w:p>
                  <w:pPr>
                    <w:rPr>
                      <w:color w:val="auto"/>
                      <w:szCs w:val="21"/>
                    </w:rPr>
                  </w:pPr>
                  <w:r>
                    <w:rPr>
                      <w:color w:val="auto"/>
                      <w:szCs w:val="21"/>
                    </w:rPr>
                    <w:t>（十三）禁止在化工企业周边建设不符合安全距离规定的劳动密集型的非化工项目和其他人员密集的公共设施项目。</w:t>
                  </w:r>
                </w:p>
              </w:tc>
              <w:tc>
                <w:tcPr>
                  <w:tcW w:w="1470" w:type="pct"/>
                </w:tcPr>
                <w:p>
                  <w:pPr>
                    <w:rPr>
                      <w:color w:val="auto"/>
                      <w:szCs w:val="21"/>
                    </w:rPr>
                  </w:pPr>
                  <w:r>
                    <w:rPr>
                      <w:color w:val="auto"/>
                      <w:szCs w:val="21"/>
                    </w:rPr>
                    <w:t>本项目周边无化工企业，本项目应按照安全距离规定的要求建设。</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9</w:t>
                  </w:r>
                </w:p>
              </w:tc>
              <w:tc>
                <w:tcPr>
                  <w:tcW w:w="274" w:type="pct"/>
                  <w:vMerge w:val="continue"/>
                  <w:vAlign w:val="center"/>
                </w:tcPr>
                <w:p>
                  <w:pPr>
                    <w:jc w:val="center"/>
                    <w:rPr>
                      <w:color w:val="auto"/>
                      <w:szCs w:val="21"/>
                    </w:rPr>
                  </w:pPr>
                </w:p>
              </w:tc>
              <w:tc>
                <w:tcPr>
                  <w:tcW w:w="2477" w:type="pct"/>
                  <w:vAlign w:val="center"/>
                </w:tcPr>
                <w:p>
                  <w:pPr>
                    <w:rPr>
                      <w:color w:val="auto"/>
                      <w:szCs w:val="21"/>
                    </w:rPr>
                  </w:pPr>
                  <w:r>
                    <w:rPr>
                      <w:color w:val="auto"/>
                      <w:szCs w:val="21"/>
                    </w:rPr>
                    <w:t>（十四）禁止在太湖流域一、二、三级保护区内开展《江苏省太湖水污染防治条例》禁止的投资建设活动。</w:t>
                  </w:r>
                </w:p>
              </w:tc>
              <w:tc>
                <w:tcPr>
                  <w:tcW w:w="1470" w:type="pct"/>
                  <w:vAlign w:val="center"/>
                </w:tcPr>
                <w:p>
                  <w:pPr>
                    <w:rPr>
                      <w:color w:val="auto"/>
                      <w:szCs w:val="21"/>
                    </w:rPr>
                  </w:pPr>
                  <w:r>
                    <w:rPr>
                      <w:color w:val="auto"/>
                      <w:szCs w:val="21"/>
                    </w:rPr>
                    <w:t>本项目位于太湖流域</w:t>
                  </w:r>
                  <w:r>
                    <w:rPr>
                      <w:rFonts w:hint="eastAsia"/>
                      <w:color w:val="auto"/>
                      <w:szCs w:val="21"/>
                    </w:rPr>
                    <w:t>三</w:t>
                  </w:r>
                  <w:r>
                    <w:rPr>
                      <w:color w:val="auto"/>
                      <w:szCs w:val="21"/>
                    </w:rPr>
                    <w:t>级保护区，不属于《江苏省太湖水污染防治条例》禁止的投资建设活动。</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10</w:t>
                  </w:r>
                </w:p>
              </w:tc>
              <w:tc>
                <w:tcPr>
                  <w:tcW w:w="274" w:type="pct"/>
                  <w:vMerge w:val="restart"/>
                  <w:vAlign w:val="center"/>
                </w:tcPr>
                <w:p>
                  <w:pPr>
                    <w:jc w:val="center"/>
                    <w:rPr>
                      <w:color w:val="auto"/>
                      <w:szCs w:val="21"/>
                    </w:rPr>
                  </w:pPr>
                  <w:r>
                    <w:rPr>
                      <w:color w:val="auto"/>
                      <w:szCs w:val="21"/>
                    </w:rPr>
                    <w:t>产业发展</w:t>
                  </w:r>
                </w:p>
              </w:tc>
              <w:tc>
                <w:tcPr>
                  <w:tcW w:w="2477" w:type="pct"/>
                  <w:vAlign w:val="center"/>
                </w:tcPr>
                <w:p>
                  <w:pPr>
                    <w:rPr>
                      <w:color w:val="auto"/>
                      <w:szCs w:val="21"/>
                    </w:rPr>
                  </w:pPr>
                  <w:r>
                    <w:rPr>
                      <w:color w:val="auto"/>
                      <w:szCs w:val="21"/>
                    </w:rPr>
                    <w:t>（十五）禁止新建、扩建尿素、磷铵、电石、烧碱、聚氯乙烯、纯碱新增产能项目。</w:t>
                  </w:r>
                </w:p>
              </w:tc>
              <w:tc>
                <w:tcPr>
                  <w:tcW w:w="1470" w:type="pct"/>
                  <w:vAlign w:val="center"/>
                </w:tcPr>
                <w:p>
                  <w:pPr>
                    <w:rPr>
                      <w:color w:val="auto"/>
                      <w:szCs w:val="21"/>
                    </w:rPr>
                  </w:pPr>
                  <w:r>
                    <w:rPr>
                      <w:color w:val="auto"/>
                      <w:szCs w:val="21"/>
                    </w:rPr>
                    <w:t>本项目不属于尿素、磷铵、电石、烧碱、聚氯乙烯、纯碱新增产能项目。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11</w:t>
                  </w:r>
                </w:p>
              </w:tc>
              <w:tc>
                <w:tcPr>
                  <w:tcW w:w="274" w:type="pct"/>
                  <w:vMerge w:val="continue"/>
                  <w:vAlign w:val="center"/>
                </w:tcPr>
                <w:p>
                  <w:pPr>
                    <w:jc w:val="center"/>
                    <w:rPr>
                      <w:color w:val="auto"/>
                      <w:szCs w:val="21"/>
                    </w:rPr>
                  </w:pPr>
                </w:p>
              </w:tc>
              <w:tc>
                <w:tcPr>
                  <w:tcW w:w="2477" w:type="pct"/>
                  <w:vAlign w:val="center"/>
                </w:tcPr>
                <w:p>
                  <w:pPr>
                    <w:numPr>
                      <w:ilvl w:val="0"/>
                      <w:numId w:val="3"/>
                    </w:numPr>
                    <w:rPr>
                      <w:color w:val="auto"/>
                      <w:szCs w:val="21"/>
                    </w:rPr>
                  </w:pPr>
                  <w:r>
                    <w:rPr>
                      <w:color w:val="auto"/>
                      <w:szCs w:val="21"/>
                    </w:rPr>
                    <w:t>禁止新建、改建、扩建高毒、高残留以及对环境影响大的农药原药项目，禁止新建、扩建农药、医药和染料中间体化工项目。</w:t>
                  </w:r>
                </w:p>
              </w:tc>
              <w:tc>
                <w:tcPr>
                  <w:tcW w:w="1470" w:type="pct"/>
                  <w:vAlign w:val="center"/>
                </w:tcPr>
                <w:p>
                  <w:pPr>
                    <w:rPr>
                      <w:color w:val="auto"/>
                      <w:szCs w:val="21"/>
                    </w:rPr>
                  </w:pPr>
                  <w:r>
                    <w:rPr>
                      <w:color w:val="auto"/>
                      <w:szCs w:val="21"/>
                    </w:rPr>
                    <w:t>本项目不属于高毒、高残留以及对环境影响大的农药原药项目，亦不属于农药、医药和染料中间体化工项目。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12</w:t>
                  </w:r>
                </w:p>
              </w:tc>
              <w:tc>
                <w:tcPr>
                  <w:tcW w:w="274" w:type="pct"/>
                  <w:vMerge w:val="continue"/>
                  <w:vAlign w:val="center"/>
                </w:tcPr>
                <w:p>
                  <w:pPr>
                    <w:jc w:val="center"/>
                    <w:rPr>
                      <w:color w:val="auto"/>
                      <w:szCs w:val="21"/>
                    </w:rPr>
                  </w:pPr>
                </w:p>
              </w:tc>
              <w:tc>
                <w:tcPr>
                  <w:tcW w:w="2477" w:type="pct"/>
                  <w:vAlign w:val="center"/>
                </w:tcPr>
                <w:p>
                  <w:pPr>
                    <w:rPr>
                      <w:color w:val="auto"/>
                      <w:szCs w:val="21"/>
                    </w:rPr>
                  </w:pPr>
                  <w:r>
                    <w:rPr>
                      <w:color w:val="auto"/>
                      <w:szCs w:val="21"/>
                    </w:rPr>
                    <w:t>（十七）禁止新建不符合行业准入条件的合成氨、对二甲苯、二硫化碳、氟化氢、轮胎等项目。</w:t>
                  </w:r>
                </w:p>
              </w:tc>
              <w:tc>
                <w:tcPr>
                  <w:tcW w:w="1470" w:type="pct"/>
                  <w:vAlign w:val="center"/>
                </w:tcPr>
                <w:p>
                  <w:pPr>
                    <w:rPr>
                      <w:color w:val="auto"/>
                      <w:szCs w:val="21"/>
                    </w:rPr>
                  </w:pPr>
                  <w:r>
                    <w:rPr>
                      <w:color w:val="auto"/>
                      <w:szCs w:val="21"/>
                    </w:rPr>
                    <w:t>本项目不属于合成氨、对二甲苯、二硫化碳、氟化氢、轮胎等项目。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13</w:t>
                  </w:r>
                </w:p>
              </w:tc>
              <w:tc>
                <w:tcPr>
                  <w:tcW w:w="274" w:type="pct"/>
                  <w:vMerge w:val="continue"/>
                  <w:vAlign w:val="center"/>
                </w:tcPr>
                <w:p>
                  <w:pPr>
                    <w:jc w:val="center"/>
                    <w:rPr>
                      <w:color w:val="auto"/>
                      <w:szCs w:val="21"/>
                    </w:rPr>
                  </w:pPr>
                </w:p>
              </w:tc>
              <w:tc>
                <w:tcPr>
                  <w:tcW w:w="2477" w:type="pct"/>
                  <w:vAlign w:val="center"/>
                </w:tcPr>
                <w:p>
                  <w:pPr>
                    <w:rPr>
                      <w:color w:val="auto"/>
                      <w:szCs w:val="21"/>
                    </w:rPr>
                  </w:pPr>
                  <w:r>
                    <w:rPr>
                      <w:color w:val="auto"/>
                      <w:szCs w:val="21"/>
                    </w:rPr>
                    <w:t>（十八）禁止新建、扩建不符合国家石化、现代煤化工等产业布局规划的项目，禁止新建独立焦化项目。</w:t>
                  </w:r>
                </w:p>
              </w:tc>
              <w:tc>
                <w:tcPr>
                  <w:tcW w:w="1470" w:type="pct"/>
                  <w:vAlign w:val="center"/>
                </w:tcPr>
                <w:p>
                  <w:pPr>
                    <w:rPr>
                      <w:color w:val="auto"/>
                      <w:szCs w:val="21"/>
                    </w:rPr>
                  </w:pPr>
                  <w:r>
                    <w:rPr>
                      <w:color w:val="auto"/>
                      <w:szCs w:val="21"/>
                    </w:rPr>
                    <w:t>本项目不属于石化、现代煤化工以及独立焦化项目。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14</w:t>
                  </w:r>
                </w:p>
              </w:tc>
              <w:tc>
                <w:tcPr>
                  <w:tcW w:w="274" w:type="pct"/>
                  <w:vMerge w:val="continue"/>
                  <w:vAlign w:val="center"/>
                </w:tcPr>
                <w:p>
                  <w:pPr>
                    <w:jc w:val="center"/>
                    <w:rPr>
                      <w:color w:val="auto"/>
                      <w:szCs w:val="21"/>
                    </w:rPr>
                  </w:pPr>
                </w:p>
              </w:tc>
              <w:tc>
                <w:tcPr>
                  <w:tcW w:w="2477" w:type="pct"/>
                  <w:vAlign w:val="center"/>
                </w:tcPr>
                <w:p>
                  <w:pPr>
                    <w:rPr>
                      <w:color w:val="auto"/>
                      <w:szCs w:val="21"/>
                    </w:rPr>
                  </w:pPr>
                  <w:r>
                    <w:rPr>
                      <w:color w:val="auto"/>
                      <w:szCs w:val="21"/>
                    </w:rPr>
                    <w:t>（十九）禁止新建、扩建不符合国家产能置换要求的严重过剩产能行业的项目。</w:t>
                  </w:r>
                </w:p>
              </w:tc>
              <w:tc>
                <w:tcPr>
                  <w:tcW w:w="1470" w:type="pct"/>
                  <w:vAlign w:val="center"/>
                </w:tcPr>
                <w:p>
                  <w:pPr>
                    <w:rPr>
                      <w:color w:val="auto"/>
                      <w:szCs w:val="21"/>
                    </w:rPr>
                  </w:pPr>
                  <w:r>
                    <w:rPr>
                      <w:color w:val="auto"/>
                      <w:szCs w:val="21"/>
                    </w:rPr>
                    <w:t>本项目不属于严重过剩产能行业的项目。</w:t>
                  </w:r>
                </w:p>
              </w:tc>
              <w:tc>
                <w:tcPr>
                  <w:tcW w:w="442" w:type="pct"/>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37" w:type="pct"/>
                  <w:vAlign w:val="center"/>
                </w:tcPr>
                <w:p>
                  <w:pPr>
                    <w:jc w:val="center"/>
                    <w:rPr>
                      <w:color w:val="auto"/>
                      <w:szCs w:val="21"/>
                    </w:rPr>
                  </w:pPr>
                  <w:r>
                    <w:rPr>
                      <w:color w:val="auto"/>
                      <w:szCs w:val="21"/>
                    </w:rPr>
                    <w:t>15</w:t>
                  </w:r>
                </w:p>
              </w:tc>
              <w:tc>
                <w:tcPr>
                  <w:tcW w:w="274" w:type="pct"/>
                  <w:vMerge w:val="continue"/>
                  <w:vAlign w:val="center"/>
                </w:tcPr>
                <w:p>
                  <w:pPr>
                    <w:jc w:val="center"/>
                    <w:rPr>
                      <w:color w:val="auto"/>
                      <w:szCs w:val="21"/>
                    </w:rPr>
                  </w:pPr>
                </w:p>
              </w:tc>
              <w:tc>
                <w:tcPr>
                  <w:tcW w:w="2477" w:type="pct"/>
                  <w:vAlign w:val="center"/>
                </w:tcPr>
                <w:p>
                  <w:pPr>
                    <w:rPr>
                      <w:color w:val="auto"/>
                      <w:szCs w:val="21"/>
                    </w:rPr>
                  </w:pPr>
                  <w:r>
                    <w:rPr>
                      <w:color w:val="auto"/>
                      <w:szCs w:val="21"/>
                    </w:rPr>
                    <w:t>（二十）禁止新建、扩建国家《产业结构调整指导目录》《江苏省产业结构调整限制、淘汰和禁止目录》明确的限制类、淘汰类、禁止类项目，法律法规和相关政策命令禁止的落后产能项目，以及明令淘汰的安全生产落后工艺及装备项目。</w:t>
                  </w:r>
                </w:p>
              </w:tc>
              <w:tc>
                <w:tcPr>
                  <w:tcW w:w="1470" w:type="pct"/>
                  <w:vAlign w:val="center"/>
                </w:tcPr>
                <w:p>
                  <w:pPr>
                    <w:rPr>
                      <w:color w:val="auto"/>
                      <w:szCs w:val="21"/>
                    </w:rPr>
                  </w:pPr>
                  <w:r>
                    <w:rPr>
                      <w:color w:val="auto"/>
                      <w:szCs w:val="21"/>
                    </w:rPr>
                    <w:t>本项目不属于《产业结构调整指导目录》中明确的限制类、淘汰类项目，法律法规和相关政策命令禁止的落后产能项目，明令淘汰的安全生产落后工艺及装备项目。</w:t>
                  </w:r>
                </w:p>
              </w:tc>
              <w:tc>
                <w:tcPr>
                  <w:tcW w:w="442" w:type="pct"/>
                  <w:vAlign w:val="center"/>
                </w:tcPr>
                <w:p>
                  <w:pPr>
                    <w:jc w:val="center"/>
                    <w:rPr>
                      <w:color w:val="auto"/>
                      <w:szCs w:val="21"/>
                    </w:rPr>
                  </w:pPr>
                  <w:r>
                    <w:rPr>
                      <w:color w:val="auto"/>
                      <w:szCs w:val="21"/>
                    </w:rPr>
                    <w:t>符合</w:t>
                  </w:r>
                </w:p>
              </w:tc>
            </w:tr>
          </w:tbl>
          <w:p>
            <w:pPr>
              <w:jc w:val="center"/>
              <w:rPr>
                <w:b/>
                <w:color w:val="auto"/>
                <w:sz w:val="24"/>
                <w:szCs w:val="32"/>
              </w:rPr>
            </w:pPr>
          </w:p>
          <w:p>
            <w:pPr>
              <w:jc w:val="center"/>
              <w:rPr>
                <w:b/>
                <w:color w:val="auto"/>
                <w:sz w:val="24"/>
                <w:szCs w:val="32"/>
              </w:rPr>
            </w:pPr>
            <w:r>
              <w:rPr>
                <w:b/>
                <w:color w:val="auto"/>
                <w:sz w:val="24"/>
                <w:szCs w:val="32"/>
              </w:rPr>
              <w:t>表1-6  与长江办[2022]7号的相符性分析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79"/>
              <w:gridCol w:w="3401"/>
              <w:gridCol w:w="3252"/>
              <w:gridCol w:w="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45" w:type="pct"/>
                  <w:tcBorders>
                    <w:tl2br w:val="nil"/>
                    <w:tr2bl w:val="nil"/>
                  </w:tcBorders>
                  <w:tcMar>
                    <w:top w:w="0" w:type="dxa"/>
                    <w:left w:w="0" w:type="dxa"/>
                    <w:bottom w:w="0" w:type="dxa"/>
                    <w:right w:w="0" w:type="dxa"/>
                  </w:tcMar>
                  <w:vAlign w:val="center"/>
                </w:tcPr>
                <w:p>
                  <w:pPr>
                    <w:jc w:val="center"/>
                    <w:rPr>
                      <w:b/>
                      <w:bCs/>
                      <w:color w:val="auto"/>
                      <w:szCs w:val="21"/>
                    </w:rPr>
                  </w:pPr>
                  <w:r>
                    <w:rPr>
                      <w:b/>
                      <w:bCs/>
                      <w:color w:val="auto"/>
                      <w:szCs w:val="21"/>
                    </w:rPr>
                    <w:t>序号</w:t>
                  </w:r>
                </w:p>
              </w:tc>
              <w:tc>
                <w:tcPr>
                  <w:tcW w:w="2200" w:type="pct"/>
                  <w:tcBorders>
                    <w:tl2br w:val="nil"/>
                    <w:tr2bl w:val="nil"/>
                  </w:tcBorders>
                  <w:tcMar>
                    <w:top w:w="0" w:type="dxa"/>
                    <w:left w:w="0" w:type="dxa"/>
                    <w:bottom w:w="0" w:type="dxa"/>
                    <w:right w:w="0" w:type="dxa"/>
                  </w:tcMar>
                  <w:vAlign w:val="center"/>
                </w:tcPr>
                <w:p>
                  <w:pPr>
                    <w:jc w:val="center"/>
                    <w:rPr>
                      <w:b/>
                      <w:bCs/>
                      <w:color w:val="auto"/>
                      <w:szCs w:val="21"/>
                    </w:rPr>
                  </w:pPr>
                  <w:r>
                    <w:rPr>
                      <w:b/>
                      <w:bCs/>
                      <w:color w:val="auto"/>
                      <w:szCs w:val="21"/>
                    </w:rPr>
                    <w:t>内容</w:t>
                  </w:r>
                </w:p>
              </w:tc>
              <w:tc>
                <w:tcPr>
                  <w:tcW w:w="2104" w:type="pct"/>
                  <w:tcBorders>
                    <w:tl2br w:val="nil"/>
                    <w:tr2bl w:val="nil"/>
                  </w:tcBorders>
                  <w:tcMar>
                    <w:top w:w="0" w:type="dxa"/>
                    <w:left w:w="0" w:type="dxa"/>
                    <w:bottom w:w="0" w:type="dxa"/>
                    <w:right w:w="0" w:type="dxa"/>
                  </w:tcMar>
                  <w:vAlign w:val="center"/>
                </w:tcPr>
                <w:p>
                  <w:pPr>
                    <w:jc w:val="center"/>
                    <w:rPr>
                      <w:b/>
                      <w:bCs/>
                      <w:color w:val="auto"/>
                      <w:szCs w:val="21"/>
                    </w:rPr>
                  </w:pPr>
                  <w:r>
                    <w:rPr>
                      <w:b/>
                      <w:bCs/>
                      <w:color w:val="auto"/>
                      <w:szCs w:val="21"/>
                    </w:rPr>
                    <w:t>本项目情况</w:t>
                  </w:r>
                </w:p>
              </w:tc>
              <w:tc>
                <w:tcPr>
                  <w:tcW w:w="451" w:type="pct"/>
                  <w:tcBorders>
                    <w:tl2br w:val="nil"/>
                    <w:tr2bl w:val="nil"/>
                  </w:tcBorders>
                  <w:tcMar>
                    <w:top w:w="0" w:type="dxa"/>
                    <w:left w:w="0" w:type="dxa"/>
                    <w:bottom w:w="0" w:type="dxa"/>
                    <w:right w:w="0" w:type="dxa"/>
                  </w:tcMar>
                  <w:vAlign w:val="center"/>
                </w:tcPr>
                <w:p>
                  <w:pPr>
                    <w:jc w:val="center"/>
                    <w:rPr>
                      <w:b/>
                      <w:bCs/>
                      <w:color w:val="auto"/>
                      <w:szCs w:val="21"/>
                    </w:rPr>
                  </w:pPr>
                  <w:r>
                    <w:rPr>
                      <w:b/>
                      <w:bCs/>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1</w:t>
                  </w:r>
                </w:p>
              </w:tc>
              <w:tc>
                <w:tcPr>
                  <w:tcW w:w="2200" w:type="pct"/>
                  <w:tcBorders>
                    <w:tl2br w:val="nil"/>
                    <w:tr2bl w:val="nil"/>
                  </w:tcBorders>
                  <w:tcMar>
                    <w:top w:w="0" w:type="dxa"/>
                    <w:left w:w="0" w:type="dxa"/>
                    <w:bottom w:w="0" w:type="dxa"/>
                    <w:right w:w="0" w:type="dxa"/>
                  </w:tcMar>
                  <w:vAlign w:val="center"/>
                </w:tcPr>
                <w:p>
                  <w:pPr>
                    <w:autoSpaceDE w:val="0"/>
                    <w:autoSpaceDN w:val="0"/>
                    <w:jc w:val="center"/>
                    <w:rPr>
                      <w:color w:val="auto"/>
                      <w:szCs w:val="21"/>
                    </w:rPr>
                  </w:pPr>
                  <w:r>
                    <w:rPr>
                      <w:color w:val="auto"/>
                      <w:szCs w:val="21"/>
                    </w:rPr>
                    <w:t>禁止建设不符合全国和省级港口布局规划以及港口总体规划的码头项目，禁止建设不符合《长江干线过江通道布局规划》的过长江通道项目。</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本项目行业类别为[C2029]其他人造板制造，不属于码头项目。</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2</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禁止在自然保护区核心区、缓冲区的岸线和河段范围内投资建设旅游和生产经营项目。禁止在风景名胜区核心景区的岸线和河段范围内投资建设与风景名胜资源保护无关的项目。</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本项目距离最近的国家级生态保护红线为惠山国家级森林公园，距离约13.3km；距离最近的生态空间管控区域为</w:t>
                  </w:r>
                  <w:r>
                    <w:rPr>
                      <w:rFonts w:hint="eastAsia"/>
                      <w:color w:val="auto"/>
                      <w:szCs w:val="21"/>
                    </w:rPr>
                    <w:t>马镇河流重要湿地</w:t>
                  </w:r>
                  <w:r>
                    <w:rPr>
                      <w:color w:val="auto"/>
                      <w:szCs w:val="21"/>
                    </w:rPr>
                    <w:t>，距离约</w:t>
                  </w:r>
                  <w:r>
                    <w:rPr>
                      <w:rFonts w:hint="eastAsia"/>
                      <w:color w:val="auto"/>
                      <w:szCs w:val="21"/>
                      <w:lang w:val="en-US" w:eastAsia="zh-CN"/>
                    </w:rPr>
                    <w:t>4.5</w:t>
                  </w:r>
                  <w:r>
                    <w:rPr>
                      <w:color w:val="auto"/>
                      <w:szCs w:val="21"/>
                    </w:rPr>
                    <w:t>km。项目不位于自然保护区核心区、缓冲区的岸线和河段范围内，以及不位于风景名胜区核心景区的岸线和河段范围内。</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3</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rFonts w:hint="eastAsia"/>
                      <w:color w:val="auto"/>
                      <w:szCs w:val="21"/>
                    </w:rPr>
                    <w:t>根据规划环评审查意见及苏政办发[2012]221号文件，项目所在地位于太湖流域三级保护区范围内</w:t>
                  </w:r>
                  <w:r>
                    <w:rPr>
                      <w:color w:val="auto"/>
                      <w:szCs w:val="21"/>
                    </w:rPr>
                    <w:t>，项目行业类别为[C2029]其他人造板制造，不属于上述禁止建设项目。</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4</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本项目位于</w:t>
                  </w:r>
                  <w:r>
                    <w:rPr>
                      <w:color w:val="auto"/>
                      <w:spacing w:val="-4"/>
                      <w:szCs w:val="21"/>
                    </w:rPr>
                    <w:t>无锡惠山工业转型集聚区北洲路与邓北路交叉口西北侧</w:t>
                  </w:r>
                  <w:r>
                    <w:rPr>
                      <w:color w:val="auto"/>
                      <w:szCs w:val="21"/>
                    </w:rPr>
                    <w:t>，不位于水产种质资源保护区的岸线和河段范围内，以及不位于国家湿地公园的岸线和河段范围内。项目行业类别为[C2029]其他人造板制造，不属于上述禁止建设项目。</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5</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项目行业类别为[C2029]</w:t>
                  </w:r>
                  <w:r>
                    <w:rPr>
                      <w:color w:val="auto"/>
                      <w:spacing w:val="-4"/>
                      <w:szCs w:val="21"/>
                    </w:rPr>
                    <w:t>其他人造板制造</w:t>
                  </w:r>
                  <w:r>
                    <w:rPr>
                      <w:color w:val="auto"/>
                      <w:szCs w:val="21"/>
                    </w:rPr>
                    <w:t>，不属于上述禁止项目。</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b/>
                      <w:bCs/>
                      <w:color w:val="auto"/>
                      <w:szCs w:val="21"/>
                    </w:rPr>
                  </w:pPr>
                  <w:r>
                    <w:rPr>
                      <w:color w:val="auto"/>
                      <w:szCs w:val="21"/>
                    </w:rPr>
                    <w:t>6</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禁止未经许可在长江干支流及湖泊新设、改设或扩大排污口。</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本项目</w:t>
                  </w:r>
                  <w:r>
                    <w:rPr>
                      <w:rFonts w:hint="eastAsia"/>
                      <w:color w:val="auto"/>
                      <w:szCs w:val="21"/>
                    </w:rPr>
                    <w:t>冷却排水</w:t>
                  </w:r>
                  <w:r>
                    <w:rPr>
                      <w:color w:val="auto"/>
                      <w:szCs w:val="21"/>
                    </w:rPr>
                    <w:t>与经化粪池预处理</w:t>
                  </w:r>
                  <w:r>
                    <w:rPr>
                      <w:rFonts w:hint="eastAsia"/>
                      <w:color w:val="auto"/>
                      <w:szCs w:val="21"/>
                    </w:rPr>
                    <w:t>后的</w:t>
                  </w:r>
                  <w:r>
                    <w:rPr>
                      <w:color w:val="auto"/>
                      <w:szCs w:val="21"/>
                    </w:rPr>
                    <w:t>生活污水</w:t>
                  </w:r>
                  <w:r>
                    <w:rPr>
                      <w:rFonts w:hint="eastAsia"/>
                      <w:color w:val="auto"/>
                      <w:szCs w:val="21"/>
                    </w:rPr>
                    <w:t>一同</w:t>
                  </w:r>
                  <w:r>
                    <w:rPr>
                      <w:color w:val="auto"/>
                      <w:szCs w:val="21"/>
                    </w:rPr>
                    <w:t>接管至无锡玉祁永新污水处理有限公司集中处理，</w:t>
                  </w:r>
                  <w:r>
                    <w:rPr>
                      <w:rFonts w:hint="eastAsia"/>
                      <w:color w:val="auto"/>
                      <w:szCs w:val="21"/>
                    </w:rPr>
                    <w:t>厂区设置1个污水</w:t>
                  </w:r>
                  <w:r>
                    <w:rPr>
                      <w:color w:val="auto"/>
                      <w:szCs w:val="21"/>
                    </w:rPr>
                    <w:t>排放口。</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b/>
                      <w:bCs/>
                      <w:color w:val="auto"/>
                      <w:szCs w:val="21"/>
                    </w:rPr>
                  </w:pPr>
                  <w:r>
                    <w:rPr>
                      <w:color w:val="auto"/>
                      <w:szCs w:val="21"/>
                    </w:rPr>
                    <w:t>7</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禁止在“一江一口两湖七河”和332个水生生物保护区开展生产性捕捞。</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项目行业类别为[C2029]</w:t>
                  </w:r>
                  <w:r>
                    <w:rPr>
                      <w:color w:val="auto"/>
                      <w:spacing w:val="-4"/>
                      <w:szCs w:val="21"/>
                    </w:rPr>
                    <w:t>其他人造板制造</w:t>
                  </w:r>
                  <w:r>
                    <w:rPr>
                      <w:color w:val="auto"/>
                      <w:szCs w:val="21"/>
                    </w:rPr>
                    <w:t>，不属于生产性捕捞。</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b/>
                      <w:bCs/>
                      <w:color w:val="auto"/>
                      <w:szCs w:val="21"/>
                    </w:rPr>
                  </w:pPr>
                  <w:r>
                    <w:rPr>
                      <w:color w:val="auto"/>
                      <w:szCs w:val="21"/>
                    </w:rPr>
                    <w:t>8</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本项目行业类别为[C2029]</w:t>
                  </w:r>
                  <w:r>
                    <w:rPr>
                      <w:color w:val="auto"/>
                      <w:spacing w:val="-4"/>
                      <w:szCs w:val="21"/>
                    </w:rPr>
                    <w:t>其他人造板制造</w:t>
                  </w:r>
                  <w:r>
                    <w:rPr>
                      <w:color w:val="auto"/>
                      <w:szCs w:val="21"/>
                    </w:rPr>
                    <w:t>，不属于上述禁止项目</w:t>
                  </w:r>
                  <w:r>
                    <w:rPr>
                      <w:rFonts w:hint="eastAsia"/>
                      <w:color w:val="auto"/>
                      <w:szCs w:val="21"/>
                    </w:rPr>
                    <w:t>。</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b/>
                      <w:bCs/>
                      <w:color w:val="auto"/>
                      <w:szCs w:val="21"/>
                    </w:rPr>
                  </w:pPr>
                  <w:r>
                    <w:rPr>
                      <w:color w:val="auto"/>
                      <w:szCs w:val="21"/>
                    </w:rPr>
                    <w:t>9</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禁止在合规园区外新建、扩建钢铁、石化、化工、焦化、建材、有色、制浆造纸等高污染项目。</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本项目位于</w:t>
                  </w:r>
                  <w:r>
                    <w:rPr>
                      <w:color w:val="auto"/>
                      <w:spacing w:val="-4"/>
                      <w:szCs w:val="21"/>
                    </w:rPr>
                    <w:t>无锡惠山工业转型集聚区北洲路与邓北路交叉口西北侧</w:t>
                  </w:r>
                  <w:r>
                    <w:rPr>
                      <w:color w:val="auto"/>
                      <w:szCs w:val="21"/>
                    </w:rPr>
                    <w:t>，行业类别为[C2029]</w:t>
                  </w:r>
                  <w:r>
                    <w:rPr>
                      <w:color w:val="auto"/>
                      <w:spacing w:val="-4"/>
                      <w:szCs w:val="21"/>
                    </w:rPr>
                    <w:t>其他人造板制造</w:t>
                  </w:r>
                  <w:r>
                    <w:rPr>
                      <w:color w:val="auto"/>
                      <w:szCs w:val="21"/>
                    </w:rPr>
                    <w:t>，不属于上述禁止建设项目。</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b/>
                      <w:bCs/>
                      <w:color w:val="auto"/>
                      <w:szCs w:val="21"/>
                    </w:rPr>
                  </w:pPr>
                  <w:r>
                    <w:rPr>
                      <w:color w:val="auto"/>
                      <w:szCs w:val="21"/>
                    </w:rPr>
                    <w:t>10</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禁止新建、扩建不符合国家石化、现代煤化工等产业布局规划的项目。</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本项目行业类别为[C2029]</w:t>
                  </w:r>
                  <w:r>
                    <w:rPr>
                      <w:color w:val="auto"/>
                      <w:spacing w:val="-4"/>
                      <w:szCs w:val="21"/>
                    </w:rPr>
                    <w:t>其他人造板制造</w:t>
                  </w:r>
                  <w:r>
                    <w:rPr>
                      <w:color w:val="auto"/>
                      <w:szCs w:val="21"/>
                    </w:rPr>
                    <w:t>，不属于上述禁止建设项目。</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b/>
                      <w:bCs/>
                      <w:color w:val="auto"/>
                      <w:szCs w:val="21"/>
                    </w:rPr>
                  </w:pPr>
                  <w:r>
                    <w:rPr>
                      <w:color w:val="auto"/>
                      <w:szCs w:val="21"/>
                    </w:rPr>
                    <w:t>11</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禁止新建、扩建法律法规和相关政策明令禁止的落后产能项目。禁止新建、扩建不符合国家产能置换要求的严重过剩产能行业的项目。禁止新建、扩建不符合要求的高耗能高排放项目。</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本项目行业类别为[C2029]</w:t>
                  </w:r>
                  <w:r>
                    <w:rPr>
                      <w:color w:val="auto"/>
                      <w:spacing w:val="-4"/>
                      <w:szCs w:val="21"/>
                    </w:rPr>
                    <w:t>其他人造板制造</w:t>
                  </w:r>
                  <w:r>
                    <w:rPr>
                      <w:color w:val="auto"/>
                      <w:szCs w:val="21"/>
                    </w:rPr>
                    <w:t>，不属于上述禁止项目。</w:t>
                  </w:r>
                </w:p>
              </w:tc>
              <w:tc>
                <w:tcPr>
                  <w:tcW w:w="451" w:type="pct"/>
                  <w:tcBorders>
                    <w:tl2br w:val="nil"/>
                    <w:tr2bl w:val="nil"/>
                  </w:tcBorders>
                  <w:tcMar>
                    <w:top w:w="0" w:type="dxa"/>
                    <w:left w:w="0" w:type="dxa"/>
                    <w:bottom w:w="0" w:type="dxa"/>
                    <w:right w:w="0" w:type="dxa"/>
                  </w:tcMar>
                  <w:vAlign w:val="center"/>
                </w:tcPr>
                <w:p>
                  <w:pPr>
                    <w:autoSpaceDE w:val="0"/>
                    <w:autoSpaceDN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5" w:type="pct"/>
                  <w:tcBorders>
                    <w:tl2br w:val="nil"/>
                    <w:tr2bl w:val="nil"/>
                  </w:tcBorders>
                  <w:tcMar>
                    <w:top w:w="0" w:type="dxa"/>
                    <w:left w:w="0" w:type="dxa"/>
                    <w:bottom w:w="0" w:type="dxa"/>
                    <w:right w:w="0" w:type="dxa"/>
                  </w:tcMar>
                  <w:vAlign w:val="center"/>
                </w:tcPr>
                <w:p>
                  <w:pPr>
                    <w:jc w:val="center"/>
                    <w:rPr>
                      <w:b/>
                      <w:bCs/>
                      <w:color w:val="auto"/>
                      <w:szCs w:val="21"/>
                    </w:rPr>
                  </w:pPr>
                  <w:r>
                    <w:rPr>
                      <w:color w:val="auto"/>
                      <w:szCs w:val="21"/>
                    </w:rPr>
                    <w:t>12</w:t>
                  </w:r>
                </w:p>
              </w:tc>
              <w:tc>
                <w:tcPr>
                  <w:tcW w:w="2200"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法律法规及相关政策文件有更加严格规定的从其规定。</w:t>
                  </w:r>
                </w:p>
              </w:tc>
              <w:tc>
                <w:tcPr>
                  <w:tcW w:w="2104" w:type="pct"/>
                  <w:tcBorders>
                    <w:tl2br w:val="nil"/>
                    <w:tr2bl w:val="nil"/>
                  </w:tcBorders>
                  <w:tcMar>
                    <w:top w:w="0" w:type="dxa"/>
                    <w:left w:w="0" w:type="dxa"/>
                    <w:bottom w:w="0" w:type="dxa"/>
                    <w:right w:w="0" w:type="dxa"/>
                  </w:tcMar>
                  <w:vAlign w:val="center"/>
                </w:tcPr>
                <w:p>
                  <w:pPr>
                    <w:autoSpaceDE w:val="0"/>
                    <w:autoSpaceDN w:val="0"/>
                    <w:rPr>
                      <w:color w:val="auto"/>
                      <w:szCs w:val="21"/>
                    </w:rPr>
                  </w:pPr>
                  <w:r>
                    <w:rPr>
                      <w:color w:val="auto"/>
                      <w:szCs w:val="21"/>
                    </w:rPr>
                    <w:t>本项目满足法律法规及相关政策文件。</w:t>
                  </w:r>
                </w:p>
              </w:tc>
              <w:tc>
                <w:tcPr>
                  <w:tcW w:w="451" w:type="pct"/>
                  <w:tcBorders>
                    <w:tl2br w:val="nil"/>
                    <w:tr2bl w:val="nil"/>
                  </w:tcBorders>
                  <w:tcMar>
                    <w:top w:w="0" w:type="dxa"/>
                    <w:left w:w="0" w:type="dxa"/>
                    <w:bottom w:w="0" w:type="dxa"/>
                    <w:right w:w="0" w:type="dxa"/>
                  </w:tcMar>
                  <w:vAlign w:val="center"/>
                </w:tcPr>
                <w:p>
                  <w:pPr>
                    <w:jc w:val="center"/>
                    <w:rPr>
                      <w:color w:val="auto"/>
                      <w:szCs w:val="21"/>
                    </w:rPr>
                  </w:pPr>
                  <w:r>
                    <w:rPr>
                      <w:color w:val="auto"/>
                      <w:szCs w:val="21"/>
                    </w:rPr>
                    <w:t>符合</w:t>
                  </w:r>
                </w:p>
              </w:tc>
            </w:tr>
          </w:tbl>
          <w:p>
            <w:pPr>
              <w:adjustRightInd w:val="0"/>
              <w:snapToGrid w:val="0"/>
              <w:spacing w:before="120" w:beforeLines="50" w:line="360" w:lineRule="auto"/>
              <w:ind w:firstLine="480" w:firstLineChars="200"/>
              <w:rPr>
                <w:color w:val="auto"/>
                <w:sz w:val="24"/>
              </w:rPr>
            </w:pPr>
            <w:r>
              <w:rPr>
                <w:color w:val="auto"/>
                <w:sz w:val="24"/>
              </w:rPr>
              <w:t>由上表可见，本项目符合环境准入负面清单要求。</w:t>
            </w:r>
          </w:p>
          <w:p>
            <w:pPr>
              <w:autoSpaceDE w:val="0"/>
              <w:autoSpaceDN w:val="0"/>
              <w:adjustRightInd w:val="0"/>
              <w:snapToGrid w:val="0"/>
              <w:spacing w:line="360" w:lineRule="auto"/>
              <w:ind w:firstLine="480" w:firstLineChars="200"/>
              <w:jc w:val="left"/>
              <w:rPr>
                <w:color w:val="auto"/>
                <w:kern w:val="0"/>
                <w:sz w:val="24"/>
              </w:rPr>
            </w:pPr>
            <w:r>
              <w:rPr>
                <w:color w:val="auto"/>
                <w:kern w:val="0"/>
                <w:sz w:val="24"/>
              </w:rPr>
              <w:t>综上所述，本项目的建设符合“三线一单”的要求。</w:t>
            </w:r>
          </w:p>
          <w:p>
            <w:pPr>
              <w:pStyle w:val="115"/>
              <w:numPr>
                <w:ilvl w:val="0"/>
                <w:numId w:val="4"/>
              </w:numPr>
              <w:adjustRightInd w:val="0"/>
              <w:snapToGrid w:val="0"/>
              <w:spacing w:line="360" w:lineRule="auto"/>
              <w:ind w:firstLineChars="0"/>
              <w:rPr>
                <w:b/>
                <w:color w:val="auto"/>
                <w:sz w:val="24"/>
              </w:rPr>
            </w:pPr>
            <w:r>
              <w:rPr>
                <w:b/>
                <w:color w:val="auto"/>
                <w:sz w:val="24"/>
              </w:rPr>
              <w:t>与产业政策、土地利用规划相符性</w:t>
            </w:r>
          </w:p>
          <w:p>
            <w:pPr>
              <w:spacing w:line="360" w:lineRule="auto"/>
              <w:ind w:firstLine="435"/>
              <w:jc w:val="left"/>
              <w:rPr>
                <w:color w:val="auto"/>
                <w:sz w:val="24"/>
              </w:rPr>
            </w:pPr>
            <w:r>
              <w:rPr>
                <w:b/>
                <w:color w:val="auto"/>
                <w:sz w:val="24"/>
              </w:rPr>
              <w:t>（1）与产业政策相符性</w:t>
            </w:r>
          </w:p>
          <w:p>
            <w:pPr>
              <w:adjustRightInd w:val="0"/>
              <w:snapToGrid w:val="0"/>
              <w:spacing w:line="360" w:lineRule="auto"/>
              <w:ind w:firstLine="480" w:firstLineChars="200"/>
              <w:jc w:val="left"/>
              <w:rPr>
                <w:color w:val="auto"/>
                <w:sz w:val="24"/>
              </w:rPr>
            </w:pPr>
            <w:r>
              <w:rPr>
                <w:color w:val="auto"/>
                <w:sz w:val="24"/>
              </w:rPr>
              <w:t>本项目属于[C2029]其他人造板制造，</w:t>
            </w:r>
            <w:r>
              <w:rPr>
                <w:rFonts w:hint="eastAsia"/>
                <w:color w:val="auto"/>
                <w:sz w:val="24"/>
              </w:rPr>
              <w:t>产品</w:t>
            </w:r>
            <w:r>
              <w:rPr>
                <w:color w:val="auto"/>
                <w:sz w:val="24"/>
              </w:rPr>
              <w:t>为</w:t>
            </w:r>
            <w:r>
              <w:rPr>
                <w:rFonts w:hint="eastAsia"/>
                <w:color w:val="auto"/>
                <w:sz w:val="24"/>
              </w:rPr>
              <w:t>饰面板</w:t>
            </w:r>
            <w:r>
              <w:rPr>
                <w:color w:val="auto"/>
                <w:sz w:val="24"/>
              </w:rPr>
              <w:t>。经查阅，本项目</w:t>
            </w:r>
            <w:r>
              <w:rPr>
                <w:rFonts w:hint="eastAsia"/>
                <w:color w:val="auto"/>
                <w:sz w:val="24"/>
              </w:rPr>
              <w:t>不</w:t>
            </w:r>
            <w:r>
              <w:rPr>
                <w:color w:val="auto"/>
                <w:sz w:val="24"/>
              </w:rPr>
              <w:t>属于《产业结构调整指导目录（2019年本）》（中华人民共和国国家发展和改革委员会令第29号）及《国家发展改革委关于修改《产业结构调整指导目录（2019年本）》的决定》（中华人民共和国国家发展和改革委员会令第49号）中规定的限制类和淘汰类项目。本项目不属于《无锡市产业结构调整指导目录（试行）（2008年）》中的淘汰类和禁止类项目；不属于《无锡市制造业转型发展指导目录》（2012年本）中限制类和淘汰类项目；不属于《无锡市内资禁止投资项目目录》（2015年本）中禁止类项目；不属于《限制用地项目目录（2012年本）》和《禁止用地项目目录（2012年本）》中的限制和禁止用地项目；不属于《江苏省限制用地项目目录（2013年本）》和《江苏省禁止用地项目目录（2013年本）》</w:t>
            </w:r>
            <w:r>
              <w:rPr>
                <w:rFonts w:hint="eastAsia"/>
                <w:color w:val="auto"/>
                <w:sz w:val="24"/>
              </w:rPr>
              <w:t>（</w:t>
            </w:r>
            <w:r>
              <w:rPr>
                <w:color w:val="auto"/>
                <w:sz w:val="24"/>
              </w:rPr>
              <w:t>苏国土资发[2013]323号</w:t>
            </w:r>
            <w:r>
              <w:rPr>
                <w:rFonts w:hint="eastAsia"/>
                <w:color w:val="auto"/>
                <w:sz w:val="24"/>
              </w:rPr>
              <w:t>）</w:t>
            </w:r>
            <w:r>
              <w:rPr>
                <w:color w:val="auto"/>
                <w:sz w:val="24"/>
              </w:rPr>
              <w:t>中的限制和禁止用地项目；本项目产品不属于《环境保护综合名录》（2021年版）中的“高污染、高环境风险产品名录”；亦不属于其它相关法律法规要求淘汰和限制的产业，本项目符合国家和地方的产业政策。</w:t>
            </w:r>
          </w:p>
          <w:p>
            <w:pPr>
              <w:adjustRightInd w:val="0"/>
              <w:snapToGrid w:val="0"/>
              <w:spacing w:line="360" w:lineRule="auto"/>
              <w:ind w:firstLine="482" w:firstLineChars="200"/>
              <w:rPr>
                <w:color w:val="auto"/>
                <w:sz w:val="24"/>
              </w:rPr>
            </w:pPr>
            <w:r>
              <w:rPr>
                <w:b/>
                <w:color w:val="auto"/>
                <w:sz w:val="24"/>
              </w:rPr>
              <w:t>（2）与土地利用规划相符性</w:t>
            </w:r>
          </w:p>
          <w:p>
            <w:pPr>
              <w:adjustRightInd w:val="0"/>
              <w:snapToGrid w:val="0"/>
              <w:spacing w:line="360" w:lineRule="auto"/>
              <w:ind w:firstLine="480" w:firstLineChars="200"/>
              <w:rPr>
                <w:b/>
                <w:bCs/>
                <w:color w:val="auto"/>
                <w:sz w:val="24"/>
              </w:rPr>
            </w:pPr>
            <w:r>
              <w:rPr>
                <w:color w:val="auto"/>
                <w:sz w:val="24"/>
              </w:rPr>
              <w:t>本项目位于无锡惠山工业转型集聚区北洲路与邓北路交叉口西北侧，根据《</w:t>
            </w:r>
            <w:r>
              <w:rPr>
                <w:rFonts w:hint="eastAsia"/>
                <w:color w:val="auto"/>
                <w:sz w:val="24"/>
              </w:rPr>
              <w:t>无锡惠山工业转型集聚区（东区）控制性详细规划-土地利用规划图</w:t>
            </w:r>
            <w:r>
              <w:rPr>
                <w:color w:val="auto"/>
                <w:sz w:val="24"/>
              </w:rPr>
              <w:t>》（图1-1），本项目所在地为工业用地，具备污染集中控制条件</w:t>
            </w:r>
            <w:r>
              <w:rPr>
                <w:bCs/>
                <w:color w:val="auto"/>
                <w:sz w:val="24"/>
              </w:rPr>
              <w:t>。因此，本项目符合区域土地利用规划</w:t>
            </w:r>
            <w:r>
              <w:rPr>
                <w:color w:val="auto"/>
                <w:sz w:val="24"/>
              </w:rPr>
              <w:t>。</w:t>
            </w:r>
          </w:p>
          <w:p>
            <w:pPr>
              <w:pStyle w:val="7"/>
              <w:adjustRightInd w:val="0"/>
              <w:snapToGrid w:val="0"/>
              <w:spacing w:line="360" w:lineRule="auto"/>
              <w:ind w:firstLine="0" w:firstLineChars="0"/>
              <w:jc w:val="left"/>
              <w:rPr>
                <w:b/>
                <w:bCs/>
                <w:color w:val="auto"/>
                <w:sz w:val="24"/>
                <w:szCs w:val="24"/>
              </w:rPr>
            </w:pPr>
            <w:r>
              <w:rPr>
                <w:b/>
                <w:bCs/>
                <w:color w:val="auto"/>
                <w:sz w:val="24"/>
                <w:szCs w:val="24"/>
              </w:rPr>
              <w:t>3、与《江苏省太湖水污染防治条例》、《太湖流域管理条例》符合情况</w:t>
            </w:r>
          </w:p>
          <w:p>
            <w:pPr>
              <w:adjustRightInd w:val="0"/>
              <w:snapToGrid w:val="0"/>
              <w:spacing w:line="360" w:lineRule="auto"/>
              <w:ind w:firstLine="480" w:firstLineChars="200"/>
              <w:rPr>
                <w:color w:val="auto"/>
                <w:sz w:val="24"/>
              </w:rPr>
            </w:pPr>
            <w:r>
              <w:rPr>
                <w:color w:val="auto"/>
                <w:sz w:val="24"/>
              </w:rPr>
              <w:t>根据《江苏省太湖水污染防治条例》规定，太湖流域划分为三级保护区：太湖湖体、沿湖岸5公里区域、入湖河道上溯10公里以及沿岸两侧各1公里范围为一级保护区；主要入湖河道上溯50公里以及沿岸两侧各1公里范围为二级保护区；其他地区为三级保护区。</w:t>
            </w:r>
          </w:p>
          <w:p>
            <w:pPr>
              <w:adjustRightInd w:val="0"/>
              <w:snapToGrid w:val="0"/>
              <w:spacing w:line="360" w:lineRule="auto"/>
              <w:ind w:firstLine="480" w:firstLineChars="200"/>
              <w:rPr>
                <w:color w:val="auto"/>
                <w:sz w:val="24"/>
              </w:rPr>
            </w:pPr>
            <w:r>
              <w:rPr>
                <w:color w:val="auto"/>
                <w:sz w:val="24"/>
              </w:rPr>
              <w:t>根据《江苏省太湖水污染防治条例》（</w:t>
            </w:r>
            <w:r>
              <w:rPr>
                <w:rFonts w:hint="eastAsia"/>
                <w:color w:val="auto"/>
                <w:sz w:val="24"/>
              </w:rPr>
              <w:t>2021年</w:t>
            </w:r>
            <w:r>
              <w:rPr>
                <w:color w:val="auto"/>
                <w:sz w:val="24"/>
              </w:rPr>
              <w:t>修正）第四十三条，在太湖一、二、三级保护区内禁止下列行为：</w:t>
            </w:r>
          </w:p>
          <w:p>
            <w:pPr>
              <w:adjustRightInd w:val="0"/>
              <w:snapToGrid w:val="0"/>
              <w:spacing w:line="360" w:lineRule="auto"/>
              <w:ind w:firstLine="480" w:firstLineChars="200"/>
              <w:rPr>
                <w:color w:val="auto"/>
                <w:sz w:val="24"/>
              </w:rPr>
            </w:pPr>
            <w:r>
              <w:rPr>
                <w:color w:val="auto"/>
                <w:sz w:val="24"/>
              </w:rPr>
              <w:t>（一）新建、改建、扩建化学制浆造纸、制革、酿造、染料、印染、电镀以及其他排放含磷、氮等污染物的企业和项目，城镇污水集中处理等环境基础设施项目和第四十六条规定的情形除外；</w:t>
            </w:r>
          </w:p>
          <w:p>
            <w:pPr>
              <w:adjustRightInd w:val="0"/>
              <w:snapToGrid w:val="0"/>
              <w:spacing w:line="360" w:lineRule="auto"/>
              <w:ind w:firstLine="480" w:firstLineChars="200"/>
              <w:rPr>
                <w:color w:val="auto"/>
                <w:sz w:val="24"/>
              </w:rPr>
            </w:pPr>
            <w:r>
              <w:rPr>
                <w:color w:val="auto"/>
                <w:sz w:val="24"/>
              </w:rPr>
              <w:t>（二）销售、使用含磷洗涤用品；</w:t>
            </w:r>
          </w:p>
          <w:p>
            <w:pPr>
              <w:adjustRightInd w:val="0"/>
              <w:snapToGrid w:val="0"/>
              <w:spacing w:line="360" w:lineRule="auto"/>
              <w:ind w:firstLine="480" w:firstLineChars="200"/>
              <w:rPr>
                <w:color w:val="auto"/>
                <w:sz w:val="24"/>
              </w:rPr>
            </w:pPr>
            <w:r>
              <w:rPr>
                <w:color w:val="auto"/>
                <w:sz w:val="24"/>
              </w:rPr>
              <w:t>（三）向水体排放或者倾倒油类、酸液、碱液、剧毒废渣废液、含放射性废渣废液、含病原体污水、工业废渣以及其他废弃物；</w:t>
            </w:r>
          </w:p>
          <w:p>
            <w:pPr>
              <w:adjustRightInd w:val="0"/>
              <w:snapToGrid w:val="0"/>
              <w:spacing w:line="360" w:lineRule="auto"/>
              <w:ind w:firstLine="480" w:firstLineChars="200"/>
              <w:rPr>
                <w:color w:val="auto"/>
                <w:sz w:val="24"/>
              </w:rPr>
            </w:pPr>
            <w:r>
              <w:rPr>
                <w:color w:val="auto"/>
                <w:sz w:val="24"/>
              </w:rPr>
              <w:t>（四）在水体清洗装贮过油类或者有毒有害污染物的车辆、船舶和容器等；</w:t>
            </w:r>
          </w:p>
          <w:p>
            <w:pPr>
              <w:adjustRightInd w:val="0"/>
              <w:snapToGrid w:val="0"/>
              <w:spacing w:line="360" w:lineRule="auto"/>
              <w:ind w:firstLine="480" w:firstLineChars="200"/>
              <w:rPr>
                <w:color w:val="auto"/>
                <w:sz w:val="24"/>
              </w:rPr>
            </w:pPr>
            <w:r>
              <w:rPr>
                <w:color w:val="auto"/>
                <w:sz w:val="24"/>
              </w:rPr>
              <w:t>（五）使用农药等有毒物毒杀水生生物；</w:t>
            </w:r>
          </w:p>
          <w:p>
            <w:pPr>
              <w:adjustRightInd w:val="0"/>
              <w:snapToGrid w:val="0"/>
              <w:spacing w:line="360" w:lineRule="auto"/>
              <w:ind w:firstLine="480" w:firstLineChars="200"/>
              <w:rPr>
                <w:color w:val="auto"/>
                <w:sz w:val="24"/>
              </w:rPr>
            </w:pPr>
            <w:r>
              <w:rPr>
                <w:color w:val="auto"/>
                <w:sz w:val="24"/>
              </w:rPr>
              <w:t>（六）向水体直接排放人畜粪便、倾倒垃圾；</w:t>
            </w:r>
          </w:p>
          <w:p>
            <w:pPr>
              <w:adjustRightInd w:val="0"/>
              <w:snapToGrid w:val="0"/>
              <w:spacing w:line="360" w:lineRule="auto"/>
              <w:ind w:firstLine="480" w:firstLineChars="200"/>
              <w:rPr>
                <w:color w:val="auto"/>
                <w:sz w:val="24"/>
              </w:rPr>
            </w:pPr>
            <w:r>
              <w:rPr>
                <w:color w:val="auto"/>
                <w:sz w:val="24"/>
              </w:rPr>
              <w:t>（七）围湖造地；</w:t>
            </w:r>
          </w:p>
          <w:p>
            <w:pPr>
              <w:adjustRightInd w:val="0"/>
              <w:snapToGrid w:val="0"/>
              <w:spacing w:line="360" w:lineRule="auto"/>
              <w:ind w:firstLine="480" w:firstLineChars="200"/>
              <w:rPr>
                <w:color w:val="auto"/>
                <w:sz w:val="24"/>
              </w:rPr>
            </w:pPr>
            <w:r>
              <w:rPr>
                <w:color w:val="auto"/>
                <w:sz w:val="24"/>
              </w:rPr>
              <w:t>（八）违法开山采石，或者进行破坏林木、植被、水生生物的活动；</w:t>
            </w:r>
          </w:p>
          <w:p>
            <w:pPr>
              <w:adjustRightInd w:val="0"/>
              <w:snapToGrid w:val="0"/>
              <w:spacing w:line="360" w:lineRule="auto"/>
              <w:ind w:firstLine="480" w:firstLineChars="200"/>
              <w:rPr>
                <w:color w:val="auto"/>
                <w:sz w:val="24"/>
              </w:rPr>
            </w:pPr>
            <w:r>
              <w:rPr>
                <w:color w:val="auto"/>
                <w:sz w:val="24"/>
              </w:rPr>
              <w:t>（九）法律、法规禁止的其他行为。</w:t>
            </w:r>
          </w:p>
          <w:p>
            <w:pPr>
              <w:adjustRightInd w:val="0"/>
              <w:snapToGrid w:val="0"/>
              <w:spacing w:line="360" w:lineRule="auto"/>
              <w:ind w:firstLine="480" w:firstLineChars="200"/>
              <w:rPr>
                <w:color w:val="auto"/>
                <w:kern w:val="0"/>
                <w:sz w:val="24"/>
              </w:rPr>
            </w:pPr>
            <w:r>
              <w:rPr>
                <w:color w:val="auto"/>
                <w:kern w:val="0"/>
                <w:sz w:val="24"/>
              </w:rPr>
              <w:t>第四十四条，除二级保护区规定的禁止行为以外，太湖流域一级保护区还禁止下列行为：</w:t>
            </w:r>
          </w:p>
          <w:p>
            <w:pPr>
              <w:numPr>
                <w:ilvl w:val="0"/>
                <w:numId w:val="5"/>
              </w:numPr>
              <w:adjustRightInd w:val="0"/>
              <w:snapToGrid w:val="0"/>
              <w:spacing w:line="360" w:lineRule="auto"/>
              <w:ind w:firstLine="480" w:firstLineChars="200"/>
              <w:rPr>
                <w:color w:val="auto"/>
                <w:kern w:val="0"/>
                <w:sz w:val="24"/>
              </w:rPr>
            </w:pPr>
            <w:r>
              <w:rPr>
                <w:color w:val="auto"/>
                <w:kern w:val="0"/>
                <w:sz w:val="24"/>
              </w:rPr>
              <w:t>新建、扩建向水体排放污染物的建设项目；</w:t>
            </w:r>
          </w:p>
          <w:p>
            <w:pPr>
              <w:numPr>
                <w:ilvl w:val="0"/>
                <w:numId w:val="5"/>
              </w:numPr>
              <w:adjustRightInd w:val="0"/>
              <w:snapToGrid w:val="0"/>
              <w:spacing w:line="360" w:lineRule="auto"/>
              <w:ind w:firstLine="480" w:firstLineChars="200"/>
              <w:rPr>
                <w:color w:val="auto"/>
                <w:sz w:val="24"/>
              </w:rPr>
            </w:pPr>
            <w:r>
              <w:rPr>
                <w:color w:val="auto"/>
                <w:kern w:val="0"/>
                <w:sz w:val="24"/>
              </w:rPr>
              <w:t>在国家和省规定的养殖范围外从事网围、网箱养殖，利用虾窝、地笼网、机械吸螺、底拖网进行捕捞作业；</w:t>
            </w:r>
          </w:p>
          <w:p>
            <w:pPr>
              <w:numPr>
                <w:ilvl w:val="0"/>
                <w:numId w:val="5"/>
              </w:numPr>
              <w:adjustRightInd w:val="0"/>
              <w:snapToGrid w:val="0"/>
              <w:spacing w:line="360" w:lineRule="auto"/>
              <w:ind w:firstLine="480" w:firstLineChars="200"/>
              <w:rPr>
                <w:color w:val="auto"/>
                <w:sz w:val="24"/>
              </w:rPr>
            </w:pPr>
            <w:r>
              <w:rPr>
                <w:color w:val="auto"/>
                <w:kern w:val="0"/>
                <w:sz w:val="24"/>
              </w:rPr>
              <w:t>新建、扩建畜禽养殖场；</w:t>
            </w:r>
          </w:p>
          <w:p>
            <w:pPr>
              <w:numPr>
                <w:ilvl w:val="0"/>
                <w:numId w:val="5"/>
              </w:numPr>
              <w:adjustRightInd w:val="0"/>
              <w:snapToGrid w:val="0"/>
              <w:spacing w:line="360" w:lineRule="auto"/>
              <w:ind w:firstLine="480" w:firstLineChars="200"/>
              <w:rPr>
                <w:color w:val="auto"/>
                <w:sz w:val="24"/>
              </w:rPr>
            </w:pPr>
            <w:r>
              <w:rPr>
                <w:color w:val="auto"/>
                <w:kern w:val="0"/>
                <w:sz w:val="24"/>
              </w:rPr>
              <w:t>新建、扩建高尔夫球场、水上游乐等开发项目；</w:t>
            </w:r>
          </w:p>
          <w:p>
            <w:pPr>
              <w:numPr>
                <w:ilvl w:val="0"/>
                <w:numId w:val="5"/>
              </w:numPr>
              <w:adjustRightInd w:val="0"/>
              <w:snapToGrid w:val="0"/>
              <w:spacing w:line="360" w:lineRule="auto"/>
              <w:ind w:firstLine="480" w:firstLineChars="200"/>
              <w:rPr>
                <w:color w:val="auto"/>
                <w:sz w:val="24"/>
              </w:rPr>
            </w:pPr>
            <w:r>
              <w:rPr>
                <w:color w:val="auto"/>
                <w:kern w:val="0"/>
                <w:sz w:val="24"/>
              </w:rPr>
              <w:t>设置水上餐饮经营设施；</w:t>
            </w:r>
          </w:p>
          <w:p>
            <w:pPr>
              <w:numPr>
                <w:ilvl w:val="0"/>
                <w:numId w:val="5"/>
              </w:numPr>
              <w:adjustRightInd w:val="0"/>
              <w:snapToGrid w:val="0"/>
              <w:spacing w:line="360" w:lineRule="auto"/>
              <w:ind w:firstLine="480" w:firstLineChars="200"/>
              <w:rPr>
                <w:color w:val="auto"/>
                <w:kern w:val="0"/>
                <w:sz w:val="24"/>
              </w:rPr>
            </w:pPr>
            <w:r>
              <w:rPr>
                <w:color w:val="auto"/>
                <w:kern w:val="0"/>
                <w:sz w:val="24"/>
              </w:rPr>
              <w:t>法律、法规禁止的其他可能污染水质的活动。除城镇污水集中处理设施依法设置的排污口外，一级保护区内已经设置的排污口应当限期关闭。</w:t>
            </w:r>
          </w:p>
          <w:p>
            <w:pPr>
              <w:adjustRightInd w:val="0"/>
              <w:snapToGrid w:val="0"/>
              <w:spacing w:line="360" w:lineRule="auto"/>
              <w:ind w:firstLine="482" w:firstLineChars="200"/>
              <w:rPr>
                <w:b/>
                <w:bCs/>
                <w:color w:val="auto"/>
                <w:sz w:val="24"/>
              </w:rPr>
            </w:pPr>
            <w:r>
              <w:rPr>
                <w:b/>
                <w:bCs/>
                <w:color w:val="auto"/>
                <w:sz w:val="24"/>
              </w:rPr>
              <w:t>根据《太湖流域管理条例》：</w:t>
            </w:r>
          </w:p>
          <w:p>
            <w:pPr>
              <w:adjustRightInd w:val="0"/>
              <w:snapToGrid w:val="0"/>
              <w:spacing w:line="360" w:lineRule="auto"/>
              <w:ind w:firstLine="482" w:firstLineChars="200"/>
              <w:rPr>
                <w:b/>
                <w:color w:val="auto"/>
                <w:sz w:val="24"/>
              </w:rPr>
            </w:pPr>
            <w:r>
              <w:rPr>
                <w:b/>
                <w:bCs/>
                <w:snapToGrid w:val="0"/>
                <w:color w:val="auto"/>
                <w:kern w:val="0"/>
                <w:sz w:val="24"/>
              </w:rPr>
              <w:t>第二十八条</w:t>
            </w:r>
            <w:r>
              <w:rPr>
                <w:snapToGrid w:val="0"/>
                <w:color w:val="auto"/>
                <w:kern w:val="0"/>
                <w:sz w:val="24"/>
              </w:rPr>
              <w:t xml:space="preserve">  禁止在太湖流域设置不符合国家产业政策和水环境综合治理要求的造纸、制革、酒精、淀粉、冶金、酿造、印染、电镀等排放水污染物的生产项目，现有的生产项目不能实现达标排放的，应当依法关闭。</w:t>
            </w:r>
          </w:p>
          <w:p>
            <w:pPr>
              <w:adjustRightInd w:val="0"/>
              <w:snapToGrid w:val="0"/>
              <w:spacing w:line="360" w:lineRule="auto"/>
              <w:ind w:firstLine="482" w:firstLineChars="200"/>
              <w:rPr>
                <w:color w:val="auto"/>
                <w:sz w:val="24"/>
              </w:rPr>
            </w:pPr>
            <w:r>
              <w:rPr>
                <w:b/>
                <w:color w:val="auto"/>
                <w:sz w:val="24"/>
              </w:rPr>
              <w:t>第二十九条</w:t>
            </w:r>
            <w:r>
              <w:rPr>
                <w:color w:val="auto"/>
                <w:sz w:val="24"/>
              </w:rPr>
              <w:t xml:space="preserve">  新孟河、望虞河以外的其他主要入太湖河道，自河口1万米上溯至5万米河道岸线内及其岸线两侧各1000米范围内，禁止下列行为：</w:t>
            </w:r>
          </w:p>
          <w:p>
            <w:pPr>
              <w:adjustRightInd w:val="0"/>
              <w:snapToGrid w:val="0"/>
              <w:spacing w:line="360" w:lineRule="auto"/>
              <w:ind w:firstLine="480" w:firstLineChars="200"/>
              <w:rPr>
                <w:color w:val="auto"/>
                <w:sz w:val="24"/>
              </w:rPr>
            </w:pPr>
            <w:r>
              <w:rPr>
                <w:color w:val="auto"/>
                <w:sz w:val="24"/>
              </w:rPr>
              <w:t>（一）新建、扩建化工、医药生产项目；</w:t>
            </w:r>
          </w:p>
          <w:p>
            <w:pPr>
              <w:adjustRightInd w:val="0"/>
              <w:snapToGrid w:val="0"/>
              <w:spacing w:line="360" w:lineRule="auto"/>
              <w:ind w:firstLine="480" w:firstLineChars="200"/>
              <w:rPr>
                <w:color w:val="auto"/>
                <w:sz w:val="24"/>
              </w:rPr>
            </w:pPr>
            <w:r>
              <w:rPr>
                <w:color w:val="auto"/>
                <w:sz w:val="24"/>
              </w:rPr>
              <w:t>（二）新建、扩建污水集中处理设施排污口以外的排污口；</w:t>
            </w:r>
          </w:p>
          <w:p>
            <w:pPr>
              <w:adjustRightInd w:val="0"/>
              <w:snapToGrid w:val="0"/>
              <w:spacing w:line="360" w:lineRule="auto"/>
              <w:ind w:firstLine="480" w:firstLineChars="200"/>
              <w:rPr>
                <w:color w:val="auto"/>
                <w:sz w:val="24"/>
              </w:rPr>
            </w:pPr>
            <w:r>
              <w:rPr>
                <w:color w:val="auto"/>
                <w:sz w:val="24"/>
              </w:rPr>
              <w:t>（三）扩大水产养殖规模。</w:t>
            </w:r>
          </w:p>
          <w:p>
            <w:pPr>
              <w:adjustRightInd w:val="0"/>
              <w:snapToGrid w:val="0"/>
              <w:spacing w:line="360" w:lineRule="auto"/>
              <w:ind w:firstLine="482" w:firstLineChars="200"/>
              <w:rPr>
                <w:color w:val="auto"/>
                <w:sz w:val="24"/>
              </w:rPr>
            </w:pPr>
            <w:r>
              <w:rPr>
                <w:b/>
                <w:color w:val="auto"/>
                <w:sz w:val="24"/>
              </w:rPr>
              <w:t>第三十条</w:t>
            </w:r>
            <w:r>
              <w:rPr>
                <w:color w:val="auto"/>
                <w:sz w:val="24"/>
              </w:rPr>
              <w:t xml:space="preserve">  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adjustRightInd w:val="0"/>
              <w:snapToGrid w:val="0"/>
              <w:spacing w:line="360" w:lineRule="auto"/>
              <w:ind w:firstLine="480" w:firstLineChars="200"/>
              <w:rPr>
                <w:color w:val="auto"/>
                <w:sz w:val="24"/>
              </w:rPr>
            </w:pPr>
            <w:r>
              <w:rPr>
                <w:color w:val="auto"/>
                <w:sz w:val="24"/>
              </w:rPr>
              <w:t>（一）设置剧毒物质、危险化学品的贮存、输送设施和废物回收场、垃圾场；</w:t>
            </w:r>
          </w:p>
          <w:p>
            <w:pPr>
              <w:adjustRightInd w:val="0"/>
              <w:snapToGrid w:val="0"/>
              <w:spacing w:line="360" w:lineRule="auto"/>
              <w:ind w:firstLine="480" w:firstLineChars="200"/>
              <w:rPr>
                <w:color w:val="auto"/>
                <w:sz w:val="24"/>
              </w:rPr>
            </w:pPr>
            <w:r>
              <w:rPr>
                <w:color w:val="auto"/>
                <w:sz w:val="24"/>
              </w:rPr>
              <w:t>（二）设置水上餐饮经营设施；</w:t>
            </w:r>
          </w:p>
          <w:p>
            <w:pPr>
              <w:adjustRightInd w:val="0"/>
              <w:snapToGrid w:val="0"/>
              <w:spacing w:line="360" w:lineRule="auto"/>
              <w:ind w:firstLine="480" w:firstLineChars="200"/>
              <w:rPr>
                <w:color w:val="auto"/>
                <w:sz w:val="24"/>
              </w:rPr>
            </w:pPr>
            <w:r>
              <w:rPr>
                <w:color w:val="auto"/>
                <w:sz w:val="24"/>
              </w:rPr>
              <w:t>（三）新建、扩建高尔夫球场；</w:t>
            </w:r>
          </w:p>
          <w:p>
            <w:pPr>
              <w:adjustRightInd w:val="0"/>
              <w:snapToGrid w:val="0"/>
              <w:spacing w:line="360" w:lineRule="auto"/>
              <w:ind w:firstLine="480" w:firstLineChars="200"/>
              <w:rPr>
                <w:color w:val="auto"/>
                <w:sz w:val="24"/>
              </w:rPr>
            </w:pPr>
            <w:r>
              <w:rPr>
                <w:color w:val="auto"/>
                <w:sz w:val="24"/>
              </w:rPr>
              <w:t>（四）新建、扩建畜禽养殖场；</w:t>
            </w:r>
          </w:p>
          <w:p>
            <w:pPr>
              <w:adjustRightInd w:val="0"/>
              <w:snapToGrid w:val="0"/>
              <w:spacing w:line="360" w:lineRule="auto"/>
              <w:ind w:firstLine="480" w:firstLineChars="200"/>
              <w:rPr>
                <w:color w:val="auto"/>
                <w:sz w:val="24"/>
              </w:rPr>
            </w:pPr>
            <w:r>
              <w:rPr>
                <w:color w:val="auto"/>
                <w:sz w:val="24"/>
              </w:rPr>
              <w:t>（五）新建、扩建向水体排放污染物的建设项目；</w:t>
            </w:r>
          </w:p>
          <w:p>
            <w:pPr>
              <w:adjustRightInd w:val="0"/>
              <w:snapToGrid w:val="0"/>
              <w:spacing w:line="360" w:lineRule="auto"/>
              <w:ind w:firstLine="480" w:firstLineChars="200"/>
              <w:rPr>
                <w:color w:val="auto"/>
                <w:sz w:val="24"/>
              </w:rPr>
            </w:pPr>
            <w:r>
              <w:rPr>
                <w:color w:val="auto"/>
                <w:sz w:val="24"/>
              </w:rPr>
              <w:t>（六）本条例第二十九条规定的行为。</w:t>
            </w:r>
          </w:p>
          <w:p>
            <w:pPr>
              <w:adjustRightInd w:val="0"/>
              <w:snapToGrid w:val="0"/>
              <w:spacing w:line="360" w:lineRule="auto"/>
              <w:ind w:firstLine="480" w:firstLineChars="200"/>
              <w:rPr>
                <w:color w:val="auto"/>
                <w:sz w:val="24"/>
              </w:rPr>
            </w:pPr>
            <w:r>
              <w:rPr>
                <w:color w:val="auto"/>
                <w:sz w:val="24"/>
              </w:rPr>
              <w:t>已经设置前款第一项、第二项规定设施的，当地县级人民政府应当责令拆除或者关闭。</w:t>
            </w:r>
          </w:p>
          <w:p>
            <w:pPr>
              <w:spacing w:line="360" w:lineRule="auto"/>
              <w:ind w:firstLine="436" w:firstLineChars="182"/>
              <w:jc w:val="left"/>
              <w:rPr>
                <w:color w:val="auto"/>
                <w:sz w:val="24"/>
              </w:rPr>
            </w:pPr>
            <w:r>
              <w:rPr>
                <w:color w:val="auto"/>
                <w:sz w:val="24"/>
              </w:rPr>
              <w:t>本项目距离太湖约19.2km，距最近入湖河道</w:t>
            </w:r>
            <w:r>
              <w:rPr>
                <w:rFonts w:hint="eastAsia"/>
                <w:color w:val="auto"/>
                <w:sz w:val="24"/>
              </w:rPr>
              <w:t>直湖港</w:t>
            </w:r>
            <w:r>
              <w:rPr>
                <w:color w:val="auto"/>
                <w:sz w:val="24"/>
              </w:rPr>
              <w:t>岸线</w:t>
            </w:r>
            <w:r>
              <w:rPr>
                <w:rFonts w:hint="eastAsia"/>
                <w:color w:val="auto"/>
                <w:sz w:val="24"/>
              </w:rPr>
              <w:t>约</w:t>
            </w:r>
            <w:r>
              <w:rPr>
                <w:color w:val="auto"/>
                <w:sz w:val="24"/>
              </w:rPr>
              <w:t>9.1km，根据《省政府办公厅关于公布江苏省太湖流域三级保护区范围的通知》（苏政办发[2012]221号），项目所在地</w:t>
            </w:r>
            <w:r>
              <w:rPr>
                <w:rFonts w:hint="eastAsia"/>
                <w:color w:val="auto"/>
                <w:sz w:val="24"/>
              </w:rPr>
              <w:t>位于</w:t>
            </w:r>
            <w:r>
              <w:rPr>
                <w:color w:val="auto"/>
                <w:sz w:val="24"/>
              </w:rPr>
              <w:t>太湖</w:t>
            </w:r>
            <w:r>
              <w:rPr>
                <w:rFonts w:hint="eastAsia"/>
                <w:color w:val="auto"/>
                <w:sz w:val="24"/>
              </w:rPr>
              <w:t>流域三级</w:t>
            </w:r>
            <w:r>
              <w:rPr>
                <w:color w:val="auto"/>
                <w:sz w:val="24"/>
              </w:rPr>
              <w:t>保护区范围内。项目行业类别为[C2029]其他人造板制造，主要进行饰面板的制造，不属于上述禁止建设项目。本项目营运过程中</w:t>
            </w:r>
            <w:r>
              <w:rPr>
                <w:rFonts w:hint="eastAsia"/>
                <w:color w:val="auto"/>
                <w:sz w:val="24"/>
              </w:rPr>
              <w:t>冷却排水</w:t>
            </w:r>
            <w:r>
              <w:rPr>
                <w:color w:val="auto"/>
                <w:sz w:val="24"/>
              </w:rPr>
              <w:t>与经化粪池预处理</w:t>
            </w:r>
            <w:r>
              <w:rPr>
                <w:rFonts w:hint="eastAsia"/>
                <w:color w:val="auto"/>
                <w:sz w:val="24"/>
              </w:rPr>
              <w:t>后</w:t>
            </w:r>
            <w:r>
              <w:rPr>
                <w:color w:val="auto"/>
                <w:sz w:val="24"/>
              </w:rPr>
              <w:t>的生活污水</w:t>
            </w:r>
            <w:r>
              <w:rPr>
                <w:rFonts w:hint="eastAsia"/>
                <w:color w:val="auto"/>
                <w:sz w:val="24"/>
              </w:rPr>
              <w:t>一同</w:t>
            </w:r>
            <w:r>
              <w:rPr>
                <w:color w:val="auto"/>
                <w:sz w:val="24"/>
              </w:rPr>
              <w:t>接管至无锡玉祁永新污水处理有限公司集中处理，厂区实行“雨污分流、清污分流”的排水体制；固废妥善处理，实现“零”排放。因此，本项目的建设满足《江苏省太湖水污染防治条例》及《太湖流域管理条例》的要求。</w:t>
            </w:r>
          </w:p>
          <w:p>
            <w:pPr>
              <w:pStyle w:val="7"/>
              <w:adjustRightInd w:val="0"/>
              <w:snapToGrid w:val="0"/>
              <w:spacing w:line="360" w:lineRule="auto"/>
              <w:ind w:firstLine="0" w:firstLineChars="0"/>
              <w:jc w:val="left"/>
              <w:rPr>
                <w:b/>
                <w:bCs/>
                <w:color w:val="auto"/>
                <w:sz w:val="24"/>
                <w:szCs w:val="24"/>
              </w:rPr>
            </w:pPr>
            <w:r>
              <w:rPr>
                <w:b/>
                <w:bCs/>
                <w:color w:val="auto"/>
                <w:sz w:val="24"/>
                <w:szCs w:val="24"/>
              </w:rPr>
              <w:t>4、</w:t>
            </w:r>
            <w:r>
              <w:rPr>
                <w:b/>
                <w:bCs/>
                <w:color w:val="auto"/>
                <w:sz w:val="24"/>
              </w:rPr>
              <w:t>与大气相关条例相符性分析</w:t>
            </w:r>
          </w:p>
          <w:p>
            <w:pPr>
              <w:adjustRightInd w:val="0"/>
              <w:snapToGrid w:val="0"/>
              <w:spacing w:line="360" w:lineRule="auto"/>
              <w:ind w:firstLine="482" w:firstLineChars="200"/>
              <w:rPr>
                <w:color w:val="auto"/>
                <w:sz w:val="24"/>
              </w:rPr>
            </w:pPr>
            <w:r>
              <w:rPr>
                <w:b/>
                <w:bCs/>
                <w:color w:val="auto"/>
                <w:sz w:val="24"/>
              </w:rPr>
              <w:t>（1）与关于印发《无锡市2020年挥发性有机物专项治理工作方案》的通知（锡大气办〔2020〕3号）相符性分析</w:t>
            </w:r>
          </w:p>
          <w:p>
            <w:pPr>
              <w:adjustRightInd w:val="0"/>
              <w:snapToGrid w:val="0"/>
              <w:jc w:val="center"/>
              <w:rPr>
                <w:b/>
                <w:color w:val="auto"/>
                <w:sz w:val="24"/>
                <w:szCs w:val="32"/>
              </w:rPr>
            </w:pPr>
            <w:r>
              <w:rPr>
                <w:b/>
                <w:color w:val="auto"/>
                <w:sz w:val="24"/>
                <w:szCs w:val="32"/>
              </w:rPr>
              <w:t>表1-7 与锡大气办[2020]3号相符性分析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7"/>
              <w:gridCol w:w="656"/>
              <w:gridCol w:w="3581"/>
              <w:gridCol w:w="2304"/>
              <w:gridCol w:w="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38" w:type="pct"/>
                  <w:gridSpan w:val="2"/>
                  <w:vAlign w:val="center"/>
                </w:tcPr>
                <w:p>
                  <w:pPr>
                    <w:widowControl/>
                    <w:adjustRightInd w:val="0"/>
                    <w:snapToGrid w:val="0"/>
                    <w:jc w:val="center"/>
                    <w:rPr>
                      <w:b/>
                      <w:bCs/>
                      <w:color w:val="auto"/>
                      <w:szCs w:val="21"/>
                    </w:rPr>
                  </w:pPr>
                  <w:r>
                    <w:rPr>
                      <w:b/>
                      <w:bCs/>
                      <w:color w:val="auto"/>
                      <w:szCs w:val="21"/>
                    </w:rPr>
                    <w:t>条款</w:t>
                  </w:r>
                </w:p>
              </w:tc>
              <w:tc>
                <w:tcPr>
                  <w:tcW w:w="2315" w:type="pct"/>
                  <w:vAlign w:val="center"/>
                </w:tcPr>
                <w:p>
                  <w:pPr>
                    <w:widowControl/>
                    <w:adjustRightInd w:val="0"/>
                    <w:snapToGrid w:val="0"/>
                    <w:jc w:val="center"/>
                    <w:rPr>
                      <w:b/>
                      <w:bCs/>
                      <w:color w:val="auto"/>
                      <w:szCs w:val="21"/>
                    </w:rPr>
                  </w:pPr>
                  <w:r>
                    <w:rPr>
                      <w:b/>
                      <w:bCs/>
                      <w:color w:val="auto"/>
                      <w:szCs w:val="21"/>
                    </w:rPr>
                    <w:t>要求</w:t>
                  </w:r>
                </w:p>
              </w:tc>
              <w:tc>
                <w:tcPr>
                  <w:tcW w:w="1489" w:type="pct"/>
                  <w:vAlign w:val="center"/>
                </w:tcPr>
                <w:p>
                  <w:pPr>
                    <w:widowControl/>
                    <w:adjustRightInd w:val="0"/>
                    <w:snapToGrid w:val="0"/>
                    <w:jc w:val="center"/>
                    <w:rPr>
                      <w:b/>
                      <w:bCs/>
                      <w:color w:val="auto"/>
                      <w:szCs w:val="21"/>
                    </w:rPr>
                  </w:pPr>
                  <w:r>
                    <w:rPr>
                      <w:b/>
                      <w:bCs/>
                      <w:color w:val="auto"/>
                      <w:szCs w:val="21"/>
                    </w:rPr>
                    <w:t>项目实际情况</w:t>
                  </w:r>
                </w:p>
              </w:tc>
              <w:tc>
                <w:tcPr>
                  <w:tcW w:w="455" w:type="pct"/>
                  <w:vAlign w:val="center"/>
                </w:tcPr>
                <w:p>
                  <w:pPr>
                    <w:adjustRightInd w:val="0"/>
                    <w:snapToGrid w:val="0"/>
                    <w:jc w:val="center"/>
                    <w:rPr>
                      <w:b/>
                      <w:bCs/>
                      <w:color w:val="auto"/>
                      <w:szCs w:val="21"/>
                    </w:rPr>
                  </w:pPr>
                  <w:r>
                    <w:rPr>
                      <w:b/>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restart"/>
                  <w:vAlign w:val="center"/>
                </w:tcPr>
                <w:p>
                  <w:pPr>
                    <w:adjustRightInd w:val="0"/>
                    <w:snapToGrid w:val="0"/>
                    <w:jc w:val="left"/>
                    <w:rPr>
                      <w:b/>
                      <w:bCs/>
                      <w:color w:val="auto"/>
                      <w:szCs w:val="21"/>
                    </w:rPr>
                  </w:pPr>
                  <w:r>
                    <w:rPr>
                      <w:b/>
                      <w:bCs/>
                      <w:color w:val="auto"/>
                      <w:szCs w:val="21"/>
                    </w:rPr>
                    <w:t>三、主要任务</w:t>
                  </w:r>
                </w:p>
              </w:tc>
              <w:tc>
                <w:tcPr>
                  <w:tcW w:w="424" w:type="pct"/>
                  <w:vAlign w:val="center"/>
                </w:tcPr>
                <w:p>
                  <w:pPr>
                    <w:adjustRightInd w:val="0"/>
                    <w:snapToGrid w:val="0"/>
                    <w:jc w:val="center"/>
                    <w:rPr>
                      <w:b/>
                      <w:bCs/>
                      <w:color w:val="auto"/>
                      <w:szCs w:val="21"/>
                    </w:rPr>
                  </w:pPr>
                  <w:r>
                    <w:rPr>
                      <w:b/>
                      <w:bCs/>
                      <w:color w:val="auto"/>
                      <w:szCs w:val="21"/>
                    </w:rPr>
                    <w:t>（二）大力推进源头替代</w:t>
                  </w:r>
                </w:p>
              </w:tc>
              <w:tc>
                <w:tcPr>
                  <w:tcW w:w="2315" w:type="pct"/>
                  <w:vAlign w:val="center"/>
                </w:tcPr>
                <w:p>
                  <w:pPr>
                    <w:pStyle w:val="84"/>
                    <w:autoSpaceDE w:val="0"/>
                    <w:autoSpaceDN w:val="0"/>
                    <w:adjustRightInd w:val="0"/>
                    <w:snapToGrid w:val="0"/>
                    <w:ind w:firstLine="0" w:firstLineChars="0"/>
                    <w:jc w:val="left"/>
                    <w:rPr>
                      <w:rFonts w:ascii="Times New Roman" w:hAnsi="Times New Roman"/>
                      <w:color w:val="auto"/>
                      <w:szCs w:val="21"/>
                    </w:rPr>
                  </w:pPr>
                  <w:r>
                    <w:rPr>
                      <w:rFonts w:ascii="Times New Roman" w:hAnsi="Times New Roman"/>
                      <w:color w:val="auto"/>
                      <w:szCs w:val="21"/>
                    </w:rPr>
                    <w:t>1、推进工业企业源头替代。禁止建设生产和使用高VOCs含量的溶剂型涂料、油墨、胶粘剂等项目。各市(县)、区要结合实际，加快化工、工业涂装、包装印刷等重点行业低VOCs含量源头替代进度。工业涂装行业重点加快使用粉末、水性、高固体分、辐射固化等低VOCs含量的涂料替代溶剂型涂料，按照《涂料中挥发性有机物限量》中VOCs含量限值要求，尽快完成涂装行业低VOCs含量涂料替代，对有机溶剂年用量小于10吨且无法完成替代的企业实施兼并重组、关停转移。</w:t>
                  </w:r>
                </w:p>
              </w:tc>
              <w:tc>
                <w:tcPr>
                  <w:tcW w:w="1489" w:type="pct"/>
                  <w:vAlign w:val="center"/>
                </w:tcPr>
                <w:p>
                  <w:pPr>
                    <w:adjustRightInd w:val="0"/>
                    <w:snapToGrid w:val="0"/>
                    <w:jc w:val="left"/>
                    <w:rPr>
                      <w:color w:val="auto"/>
                      <w:szCs w:val="21"/>
                    </w:rPr>
                  </w:pPr>
                  <w:r>
                    <w:rPr>
                      <w:rFonts w:hint="eastAsia"/>
                      <w:color w:val="auto"/>
                      <w:szCs w:val="21"/>
                    </w:rPr>
                    <w:t>本项目不使用涂料、油墨、胶粘剂。</w:t>
                  </w:r>
                </w:p>
              </w:tc>
              <w:tc>
                <w:tcPr>
                  <w:tcW w:w="455" w:type="pct"/>
                  <w:vAlign w:val="center"/>
                </w:tcPr>
                <w:p>
                  <w:pPr>
                    <w:adjustRightInd w:val="0"/>
                    <w:snapToGrid w:val="0"/>
                    <w:jc w:val="center"/>
                    <w:rPr>
                      <w:color w:val="auto"/>
                      <w:szCs w:val="21"/>
                    </w:rPr>
                  </w:pPr>
                  <w:r>
                    <w:rPr>
                      <w:color w:val="auto"/>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17" w:hRule="atLeast"/>
                <w:jc w:val="center"/>
              </w:trPr>
              <w:tc>
                <w:tcPr>
                  <w:tcW w:w="314" w:type="pct"/>
                  <w:vMerge w:val="continue"/>
                  <w:vAlign w:val="center"/>
                </w:tcPr>
                <w:p>
                  <w:pPr>
                    <w:widowControl/>
                    <w:adjustRightInd w:val="0"/>
                    <w:snapToGrid w:val="0"/>
                    <w:jc w:val="center"/>
                    <w:rPr>
                      <w:b/>
                      <w:bCs/>
                      <w:color w:val="auto"/>
                      <w:szCs w:val="21"/>
                    </w:rPr>
                  </w:pPr>
                </w:p>
              </w:tc>
              <w:tc>
                <w:tcPr>
                  <w:tcW w:w="424" w:type="pct"/>
                  <w:vAlign w:val="center"/>
                </w:tcPr>
                <w:p>
                  <w:pPr>
                    <w:adjustRightInd w:val="0"/>
                    <w:snapToGrid w:val="0"/>
                    <w:jc w:val="center"/>
                    <w:rPr>
                      <w:b/>
                      <w:bCs/>
                      <w:color w:val="auto"/>
                      <w:szCs w:val="21"/>
                    </w:rPr>
                  </w:pPr>
                  <w:r>
                    <w:rPr>
                      <w:b/>
                      <w:bCs/>
                      <w:color w:val="auto"/>
                      <w:szCs w:val="21"/>
                    </w:rPr>
                    <w:t>（四）深化改造治污设施</w:t>
                  </w:r>
                </w:p>
              </w:tc>
              <w:tc>
                <w:tcPr>
                  <w:tcW w:w="2315" w:type="pct"/>
                  <w:vAlign w:val="center"/>
                </w:tcPr>
                <w:p>
                  <w:pPr>
                    <w:adjustRightInd w:val="0"/>
                    <w:snapToGrid w:val="0"/>
                    <w:jc w:val="left"/>
                    <w:rPr>
                      <w:color w:val="auto"/>
                      <w:szCs w:val="21"/>
                    </w:rPr>
                  </w:pPr>
                  <w:r>
                    <w:rPr>
                      <w:color w:val="auto"/>
                      <w:szCs w:val="21"/>
                    </w:rPr>
                    <w:t>各市(县)、区要加大对企业治污设施的分类指导，鼓励企业合理选择治理技术，提高VOCs治理效率。组织专家对重点企业VOCs治理设施效果开展评估，对设施工程设计不规范、设施选型不合理、治污设施简易低效(无效)导致排放浓度与去除效率不达标的企业，提出升级改造要求，6月底前完成改造并在属地生态环境部门备案，逾期未改造或改造后排放仍不达标准的，依法予以关停。VOCs排放量大于等于2千克/小时的企业，除确保排放浓度稳定达标外，去除效率不低于80%。</w:t>
                  </w:r>
                </w:p>
              </w:tc>
              <w:tc>
                <w:tcPr>
                  <w:tcW w:w="1489" w:type="pct"/>
                  <w:vAlign w:val="center"/>
                </w:tcPr>
                <w:p>
                  <w:pPr>
                    <w:widowControl/>
                    <w:adjustRightInd w:val="0"/>
                    <w:snapToGrid w:val="0"/>
                    <w:rPr>
                      <w:color w:val="auto"/>
                      <w:szCs w:val="21"/>
                    </w:rPr>
                  </w:pPr>
                  <w:r>
                    <w:rPr>
                      <w:rFonts w:hint="eastAsia"/>
                      <w:color w:val="auto"/>
                      <w:szCs w:val="21"/>
                    </w:rPr>
                    <w:t>本项目有机废气采用</w:t>
                  </w:r>
                  <w:r>
                    <w:rPr>
                      <w:rFonts w:hint="eastAsia"/>
                      <w:color w:val="auto"/>
                      <w:szCs w:val="21"/>
                      <w:lang w:eastAsia="zh-CN"/>
                    </w:rPr>
                    <w:t>管道</w:t>
                  </w:r>
                  <w:r>
                    <w:rPr>
                      <w:rFonts w:hint="eastAsia"/>
                      <w:color w:val="auto"/>
                      <w:szCs w:val="21"/>
                    </w:rPr>
                    <w:t>收集后，配套二级活性炭吸附装置处理后通过15m高排气筒排放。有机废气收集效率、处理效率不低于90%。</w:t>
                  </w:r>
                </w:p>
                <w:p>
                  <w:pPr>
                    <w:widowControl/>
                    <w:adjustRightInd w:val="0"/>
                    <w:snapToGrid w:val="0"/>
                    <w:rPr>
                      <w:color w:val="auto"/>
                      <w:szCs w:val="21"/>
                    </w:rPr>
                  </w:pPr>
                  <w:r>
                    <w:rPr>
                      <w:color w:val="auto"/>
                      <w:szCs w:val="21"/>
                    </w:rPr>
                    <w:t>定期更换产生的废活性炭作为危废委托有资质单位处置。</w:t>
                  </w:r>
                </w:p>
                <w:p>
                  <w:pPr>
                    <w:adjustRightInd w:val="0"/>
                    <w:snapToGrid w:val="0"/>
                    <w:rPr>
                      <w:color w:val="auto"/>
                      <w:szCs w:val="21"/>
                    </w:rPr>
                  </w:pPr>
                  <w:r>
                    <w:rPr>
                      <w:color w:val="auto"/>
                      <w:szCs w:val="21"/>
                    </w:rPr>
                    <w:t>项目废气处理设施按《吸附法工业有机废气治理工程技术规范》要求进行设计、建设与运行。</w:t>
                  </w:r>
                </w:p>
              </w:tc>
              <w:tc>
                <w:tcPr>
                  <w:tcW w:w="455" w:type="pct"/>
                  <w:vAlign w:val="center"/>
                </w:tcPr>
                <w:p>
                  <w:pPr>
                    <w:adjustRightInd w:val="0"/>
                    <w:snapToGrid w:val="0"/>
                    <w:jc w:val="center"/>
                    <w:rPr>
                      <w:color w:val="auto"/>
                      <w:szCs w:val="21"/>
                    </w:rPr>
                  </w:pPr>
                  <w:r>
                    <w:rPr>
                      <w:color w:val="auto"/>
                      <w:szCs w:val="21"/>
                    </w:rPr>
                    <w:t>相符</w:t>
                  </w:r>
                </w:p>
              </w:tc>
            </w:tr>
          </w:tbl>
          <w:p>
            <w:pPr>
              <w:adjustRightInd w:val="0"/>
              <w:snapToGrid w:val="0"/>
              <w:spacing w:before="120" w:beforeLines="50" w:line="360" w:lineRule="auto"/>
              <w:ind w:firstLine="480" w:firstLineChars="200"/>
              <w:jc w:val="left"/>
              <w:rPr>
                <w:color w:val="auto"/>
                <w:sz w:val="24"/>
              </w:rPr>
            </w:pPr>
            <w:r>
              <w:rPr>
                <w:color w:val="auto"/>
                <w:sz w:val="24"/>
              </w:rPr>
              <w:t>由上表可知，建设项目符合《无锡市2020年挥发性有机物专项治理工作方案》（锡大气办[2020]3号）中相关要求。</w:t>
            </w:r>
          </w:p>
          <w:p>
            <w:pPr>
              <w:adjustRightInd w:val="0"/>
              <w:snapToGrid w:val="0"/>
              <w:spacing w:line="360" w:lineRule="auto"/>
              <w:ind w:firstLine="482" w:firstLineChars="200"/>
              <w:rPr>
                <w:b/>
                <w:color w:val="auto"/>
                <w:sz w:val="24"/>
                <w:szCs w:val="32"/>
              </w:rPr>
            </w:pPr>
            <w:r>
              <w:rPr>
                <w:b/>
                <w:bCs/>
                <w:color w:val="auto"/>
                <w:sz w:val="24"/>
              </w:rPr>
              <w:t>（2）与《2020年挥发性有机物治理攻坚方案》（环大气〔2020〕33号）相符性分析</w:t>
            </w:r>
          </w:p>
          <w:p>
            <w:pPr>
              <w:adjustRightInd w:val="0"/>
              <w:snapToGrid w:val="0"/>
              <w:jc w:val="center"/>
              <w:rPr>
                <w:b/>
                <w:color w:val="auto"/>
                <w:sz w:val="24"/>
                <w:szCs w:val="32"/>
              </w:rPr>
            </w:pPr>
          </w:p>
          <w:p>
            <w:pPr>
              <w:adjustRightInd w:val="0"/>
              <w:snapToGrid w:val="0"/>
              <w:jc w:val="center"/>
              <w:rPr>
                <w:b/>
                <w:color w:val="auto"/>
                <w:sz w:val="24"/>
                <w:szCs w:val="32"/>
              </w:rPr>
            </w:pPr>
          </w:p>
          <w:p>
            <w:pPr>
              <w:adjustRightInd w:val="0"/>
              <w:snapToGrid w:val="0"/>
              <w:jc w:val="center"/>
              <w:rPr>
                <w:b/>
                <w:color w:val="auto"/>
                <w:sz w:val="24"/>
                <w:szCs w:val="32"/>
              </w:rPr>
            </w:pPr>
          </w:p>
          <w:p>
            <w:pPr>
              <w:adjustRightInd w:val="0"/>
              <w:snapToGrid w:val="0"/>
              <w:jc w:val="center"/>
              <w:rPr>
                <w:b/>
                <w:color w:val="auto"/>
                <w:sz w:val="24"/>
                <w:szCs w:val="32"/>
              </w:rPr>
            </w:pPr>
          </w:p>
          <w:p>
            <w:pPr>
              <w:adjustRightInd w:val="0"/>
              <w:snapToGrid w:val="0"/>
              <w:jc w:val="center"/>
              <w:rPr>
                <w:b/>
                <w:color w:val="auto"/>
                <w:sz w:val="24"/>
                <w:szCs w:val="32"/>
              </w:rPr>
            </w:pPr>
            <w:r>
              <w:rPr>
                <w:b/>
                <w:color w:val="auto"/>
                <w:sz w:val="24"/>
                <w:szCs w:val="32"/>
              </w:rPr>
              <w:t>表1-8  与</w:t>
            </w:r>
            <w:r>
              <w:rPr>
                <w:b/>
                <w:bCs/>
                <w:color w:val="auto"/>
                <w:sz w:val="24"/>
              </w:rPr>
              <w:t>环大气〔2020〕33号文</w:t>
            </w:r>
            <w:r>
              <w:rPr>
                <w:b/>
                <w:color w:val="auto"/>
                <w:sz w:val="24"/>
                <w:szCs w:val="32"/>
              </w:rPr>
              <w:t>相符性分析</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2"/>
              <w:gridCol w:w="709"/>
              <w:gridCol w:w="3259"/>
              <w:gridCol w:w="2414"/>
              <w:gridCol w:w="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87" w:type="pct"/>
                  <w:gridSpan w:val="2"/>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条款</w:t>
                  </w:r>
                </w:p>
              </w:tc>
              <w:tc>
                <w:tcPr>
                  <w:tcW w:w="2109" w:type="pct"/>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内容</w:t>
                  </w:r>
                </w:p>
              </w:tc>
              <w:tc>
                <w:tcPr>
                  <w:tcW w:w="1562" w:type="pct"/>
                  <w:tcMar>
                    <w:top w:w="0" w:type="dxa"/>
                    <w:left w:w="11" w:type="dxa"/>
                    <w:bottom w:w="0" w:type="dxa"/>
                    <w:right w:w="11" w:type="dxa"/>
                  </w:tcMar>
                  <w:vAlign w:val="center"/>
                </w:tcPr>
                <w:p>
                  <w:pPr>
                    <w:adjustRightInd w:val="0"/>
                    <w:snapToGrid w:val="0"/>
                    <w:jc w:val="center"/>
                    <w:rPr>
                      <w:b/>
                      <w:bCs/>
                      <w:color w:val="auto"/>
                      <w:szCs w:val="21"/>
                    </w:rPr>
                  </w:pPr>
                  <w:r>
                    <w:rPr>
                      <w:b/>
                      <w:color w:val="auto"/>
                      <w:szCs w:val="21"/>
                    </w:rPr>
                    <w:t>项目实际情况</w:t>
                  </w:r>
                </w:p>
              </w:tc>
              <w:tc>
                <w:tcPr>
                  <w:tcW w:w="442" w:type="pct"/>
                  <w:tcMar>
                    <w:top w:w="0" w:type="dxa"/>
                    <w:left w:w="11" w:type="dxa"/>
                    <w:bottom w:w="0" w:type="dxa"/>
                    <w:right w:w="11" w:type="dxa"/>
                  </w:tcMar>
                  <w:vAlign w:val="center"/>
                </w:tcPr>
                <w:p>
                  <w:pPr>
                    <w:adjustRightInd w:val="0"/>
                    <w:snapToGrid w:val="0"/>
                    <w:jc w:val="center"/>
                    <w:rPr>
                      <w:b/>
                      <w:color w:val="auto"/>
                      <w:szCs w:val="21"/>
                    </w:rPr>
                  </w:pPr>
                  <w:r>
                    <w:rPr>
                      <w:b/>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一、大力推进源头替代，有效减少VOCs产生</w:t>
                  </w:r>
                </w:p>
              </w:tc>
              <w:tc>
                <w:tcPr>
                  <w:tcW w:w="459" w:type="pct"/>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大力推进低（无）VOCs含量原辅材料替代</w:t>
                  </w:r>
                </w:p>
              </w:tc>
              <w:tc>
                <w:tcPr>
                  <w:tcW w:w="2109" w:type="pct"/>
                  <w:tcMar>
                    <w:top w:w="0" w:type="dxa"/>
                    <w:left w:w="11" w:type="dxa"/>
                    <w:bottom w:w="0" w:type="dxa"/>
                    <w:right w:w="11" w:type="dxa"/>
                  </w:tcMar>
                  <w:vAlign w:val="center"/>
                </w:tcPr>
                <w:p>
                  <w:pPr>
                    <w:adjustRightInd w:val="0"/>
                    <w:snapToGrid w:val="0"/>
                    <w:jc w:val="center"/>
                    <w:rPr>
                      <w:b/>
                      <w:bCs/>
                      <w:color w:val="auto"/>
                      <w:szCs w:val="21"/>
                    </w:rPr>
                  </w:pPr>
                  <w:r>
                    <w:rPr>
                      <w:color w:val="auto"/>
                      <w:szCs w:val="21"/>
                    </w:rPr>
                    <w:t>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w:t>
                  </w:r>
                </w:p>
              </w:tc>
              <w:tc>
                <w:tcPr>
                  <w:tcW w:w="1562" w:type="pct"/>
                  <w:tcMar>
                    <w:top w:w="0" w:type="dxa"/>
                    <w:left w:w="11" w:type="dxa"/>
                    <w:bottom w:w="0" w:type="dxa"/>
                    <w:right w:w="11" w:type="dxa"/>
                  </w:tcMar>
                  <w:vAlign w:val="center"/>
                </w:tcPr>
                <w:p>
                  <w:pPr>
                    <w:adjustRightInd w:val="0"/>
                    <w:snapToGrid w:val="0"/>
                    <w:rPr>
                      <w:color w:val="auto"/>
                      <w:szCs w:val="21"/>
                    </w:rPr>
                  </w:pPr>
                  <w:r>
                    <w:rPr>
                      <w:color w:val="auto"/>
                      <w:szCs w:val="21"/>
                    </w:rPr>
                    <w:t>企业生产过程中将建立原辅材料台账，记录VOCs原辅材料相关信息，并保存相关证明材料。</w:t>
                  </w:r>
                </w:p>
                <w:p>
                  <w:pPr>
                    <w:adjustRightInd w:val="0"/>
                    <w:snapToGrid w:val="0"/>
                    <w:jc w:val="left"/>
                    <w:rPr>
                      <w:color w:val="auto"/>
                      <w:szCs w:val="21"/>
                    </w:rPr>
                  </w:pPr>
                  <w:r>
                    <w:rPr>
                      <w:rFonts w:hint="eastAsia"/>
                      <w:color w:val="auto"/>
                      <w:szCs w:val="21"/>
                    </w:rPr>
                    <w:t>本项目不使用涂料、油墨、胶粘剂。</w:t>
                  </w:r>
                </w:p>
                <w:p>
                  <w:pPr>
                    <w:adjustRightInd w:val="0"/>
                    <w:snapToGrid w:val="0"/>
                    <w:jc w:val="left"/>
                    <w:rPr>
                      <w:b/>
                      <w:color w:val="auto"/>
                      <w:szCs w:val="21"/>
                    </w:rPr>
                  </w:pPr>
                  <w:r>
                    <w:rPr>
                      <w:rFonts w:hint="eastAsia"/>
                      <w:color w:val="auto"/>
                      <w:szCs w:val="21"/>
                    </w:rPr>
                    <w:t>本项目有机废气采用</w:t>
                  </w:r>
                  <w:r>
                    <w:rPr>
                      <w:rFonts w:hint="eastAsia"/>
                      <w:color w:val="auto"/>
                      <w:szCs w:val="21"/>
                      <w:lang w:eastAsia="zh-CN"/>
                    </w:rPr>
                    <w:t>管道</w:t>
                  </w:r>
                  <w:r>
                    <w:rPr>
                      <w:rFonts w:hint="eastAsia"/>
                      <w:color w:val="auto"/>
                      <w:szCs w:val="21"/>
                    </w:rPr>
                    <w:t>收集后，配套二级活性炭吸附装置处理后通过15m高排气筒排放。有机废气收集效率、处理效率不低于90%。</w:t>
                  </w:r>
                </w:p>
              </w:tc>
              <w:tc>
                <w:tcPr>
                  <w:tcW w:w="442" w:type="pct"/>
                  <w:tcMar>
                    <w:top w:w="0" w:type="dxa"/>
                    <w:left w:w="11" w:type="dxa"/>
                    <w:bottom w:w="0" w:type="dxa"/>
                    <w:right w:w="11" w:type="dxa"/>
                  </w:tcMar>
                  <w:vAlign w:val="center"/>
                </w:tcPr>
                <w:p>
                  <w:pPr>
                    <w:adjustRightInd w:val="0"/>
                    <w:snapToGrid w:val="0"/>
                    <w:jc w:val="center"/>
                    <w:rPr>
                      <w:b/>
                      <w:color w:val="auto"/>
                      <w:szCs w:val="21"/>
                    </w:rPr>
                  </w:pPr>
                  <w:r>
                    <w:rPr>
                      <w:color w:val="auto"/>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8" w:type="pct"/>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二、全面落实标准要求，强化无组织排放控制</w:t>
                  </w:r>
                </w:p>
              </w:tc>
              <w:tc>
                <w:tcPr>
                  <w:tcW w:w="459" w:type="pct"/>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加强含VOCs物料全方位、全链条、全环节密闭管理</w:t>
                  </w:r>
                </w:p>
              </w:tc>
              <w:tc>
                <w:tcPr>
                  <w:tcW w:w="2109" w:type="pct"/>
                  <w:tcMar>
                    <w:top w:w="0" w:type="dxa"/>
                    <w:left w:w="11" w:type="dxa"/>
                    <w:bottom w:w="0" w:type="dxa"/>
                    <w:right w:w="11" w:type="dxa"/>
                  </w:tcMar>
                  <w:vAlign w:val="center"/>
                </w:tcPr>
                <w:p>
                  <w:pPr>
                    <w:adjustRightInd w:val="0"/>
                    <w:snapToGrid w:val="0"/>
                    <w:jc w:val="center"/>
                    <w:rPr>
                      <w:color w:val="auto"/>
                      <w:szCs w:val="21"/>
                    </w:rPr>
                  </w:pPr>
                  <w:r>
                    <w:rPr>
                      <w:color w:val="auto"/>
                      <w:szCs w:val="21"/>
                    </w:rPr>
                    <w:t>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p>
              </w:tc>
              <w:tc>
                <w:tcPr>
                  <w:tcW w:w="1562" w:type="pct"/>
                  <w:tcMar>
                    <w:top w:w="0" w:type="dxa"/>
                    <w:left w:w="11" w:type="dxa"/>
                    <w:bottom w:w="0" w:type="dxa"/>
                    <w:right w:w="11" w:type="dxa"/>
                  </w:tcMar>
                  <w:vAlign w:val="center"/>
                </w:tcPr>
                <w:p>
                  <w:pPr>
                    <w:adjustRightInd w:val="0"/>
                    <w:snapToGrid w:val="0"/>
                    <w:rPr>
                      <w:color w:val="auto"/>
                      <w:szCs w:val="21"/>
                    </w:rPr>
                  </w:pPr>
                  <w:r>
                    <w:rPr>
                      <w:rFonts w:hint="eastAsia"/>
                      <w:color w:val="auto"/>
                      <w:szCs w:val="21"/>
                    </w:rPr>
                    <w:t>本项目使用的浸胶纸储存于包装袋内；包装袋存放于室内；浸胶纸包装袋在非取用状态时封口，保持密闭。</w:t>
                  </w:r>
                </w:p>
                <w:p>
                  <w:pPr>
                    <w:adjustRightInd w:val="0"/>
                    <w:snapToGrid w:val="0"/>
                    <w:jc w:val="left"/>
                    <w:rPr>
                      <w:color w:val="auto"/>
                      <w:szCs w:val="21"/>
                    </w:rPr>
                  </w:pPr>
                  <w:r>
                    <w:rPr>
                      <w:rFonts w:hint="eastAsia"/>
                      <w:color w:val="auto"/>
                      <w:szCs w:val="21"/>
                    </w:rPr>
                    <w:t>浸胶纸使用后包装袋</w:t>
                  </w:r>
                  <w:r>
                    <w:rPr>
                      <w:color w:val="auto"/>
                      <w:szCs w:val="21"/>
                    </w:rPr>
                    <w:t>密闭妥善存放，由原料供应单位回收处理。</w:t>
                  </w:r>
                </w:p>
              </w:tc>
              <w:tc>
                <w:tcPr>
                  <w:tcW w:w="442" w:type="pct"/>
                  <w:tcMar>
                    <w:top w:w="0" w:type="dxa"/>
                    <w:left w:w="11" w:type="dxa"/>
                    <w:bottom w:w="0" w:type="dxa"/>
                    <w:right w:w="11" w:type="dxa"/>
                  </w:tcMar>
                  <w:vAlign w:val="center"/>
                </w:tcPr>
                <w:p>
                  <w:pPr>
                    <w:adjustRightInd w:val="0"/>
                    <w:snapToGrid w:val="0"/>
                    <w:jc w:val="center"/>
                    <w:rPr>
                      <w:color w:val="auto"/>
                      <w:szCs w:val="21"/>
                    </w:rPr>
                  </w:pPr>
                  <w:r>
                    <w:rPr>
                      <w:color w:val="auto"/>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04" w:hRule="atLeast"/>
                <w:jc w:val="center"/>
              </w:trPr>
              <w:tc>
                <w:tcPr>
                  <w:tcW w:w="428" w:type="pct"/>
                  <w:vMerge w:val="restart"/>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三、聚焦治污设施“三率”，提升综合治理效率</w:t>
                  </w:r>
                </w:p>
              </w:tc>
              <w:tc>
                <w:tcPr>
                  <w:tcW w:w="459" w:type="pct"/>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对现有VOCs废气收集率、治理设施同步运行率和去除率开展自查</w:t>
                  </w:r>
                </w:p>
              </w:tc>
              <w:tc>
                <w:tcPr>
                  <w:tcW w:w="2109" w:type="pct"/>
                  <w:tcMar>
                    <w:top w:w="0" w:type="dxa"/>
                    <w:left w:w="11" w:type="dxa"/>
                    <w:bottom w:w="0" w:type="dxa"/>
                    <w:right w:w="11" w:type="dxa"/>
                  </w:tcMar>
                  <w:vAlign w:val="center"/>
                </w:tcPr>
                <w:p>
                  <w:pPr>
                    <w:adjustRightInd w:val="0"/>
                    <w:snapToGrid w:val="0"/>
                    <w:jc w:val="center"/>
                    <w:rPr>
                      <w:color w:val="auto"/>
                      <w:szCs w:val="21"/>
                    </w:rPr>
                  </w:pPr>
                  <w:r>
                    <w:rPr>
                      <w:color w:val="auto"/>
                      <w:szCs w:val="21"/>
                    </w:rPr>
                    <w:t>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562" w:type="pct"/>
                  <w:tcMar>
                    <w:top w:w="0" w:type="dxa"/>
                    <w:left w:w="11" w:type="dxa"/>
                    <w:bottom w:w="0" w:type="dxa"/>
                    <w:right w:w="11" w:type="dxa"/>
                  </w:tcMar>
                  <w:vAlign w:val="center"/>
                </w:tcPr>
                <w:p>
                  <w:pPr>
                    <w:adjustRightInd w:val="0"/>
                    <w:snapToGrid w:val="0"/>
                    <w:jc w:val="left"/>
                    <w:rPr>
                      <w:color w:val="auto"/>
                      <w:szCs w:val="21"/>
                    </w:rPr>
                  </w:pPr>
                  <w:r>
                    <w:rPr>
                      <w:rFonts w:hint="eastAsia"/>
                      <w:color w:val="auto"/>
                      <w:szCs w:val="21"/>
                    </w:rPr>
                    <w:t>本项目有机废气采用</w:t>
                  </w:r>
                  <w:r>
                    <w:rPr>
                      <w:rFonts w:hint="eastAsia"/>
                      <w:color w:val="auto"/>
                      <w:szCs w:val="21"/>
                      <w:lang w:eastAsia="zh-CN"/>
                    </w:rPr>
                    <w:t>管道</w:t>
                  </w:r>
                  <w:r>
                    <w:rPr>
                      <w:rFonts w:hint="eastAsia"/>
                      <w:color w:val="auto"/>
                      <w:szCs w:val="21"/>
                    </w:rPr>
                    <w:t>收集后，配套二级活性炭吸附装置处理后通过15m高排气筒排放。有机废气收集效率、处理效率不低于90%。</w:t>
                  </w:r>
                  <w:r>
                    <w:rPr>
                      <w:color w:val="auto"/>
                    </w:rPr>
                    <w:t>废气</w:t>
                  </w:r>
                  <w:r>
                    <w:rPr>
                      <w:color w:val="auto"/>
                      <w:szCs w:val="21"/>
                    </w:rPr>
                    <w:t>排放标准执行江苏省地方标准</w:t>
                  </w:r>
                  <w:r>
                    <w:rPr>
                      <w:rFonts w:hint="eastAsia"/>
                      <w:color w:val="auto"/>
                      <w:szCs w:val="21"/>
                    </w:rPr>
                    <w:t>《木材加工行业大气污染物排放标准》（DB32/4436-2022）中</w:t>
                  </w:r>
                  <w:r>
                    <w:rPr>
                      <w:color w:val="auto"/>
                      <w:szCs w:val="21"/>
                    </w:rPr>
                    <w:t>相关标准。</w:t>
                  </w:r>
                </w:p>
              </w:tc>
              <w:tc>
                <w:tcPr>
                  <w:tcW w:w="442" w:type="pct"/>
                  <w:tcMar>
                    <w:top w:w="0" w:type="dxa"/>
                    <w:left w:w="11" w:type="dxa"/>
                    <w:bottom w:w="0" w:type="dxa"/>
                    <w:right w:w="11" w:type="dxa"/>
                  </w:tcMar>
                  <w:vAlign w:val="center"/>
                </w:tcPr>
                <w:p>
                  <w:pPr>
                    <w:adjustRightInd w:val="0"/>
                    <w:snapToGrid w:val="0"/>
                    <w:jc w:val="center"/>
                    <w:rPr>
                      <w:color w:val="auto"/>
                      <w:szCs w:val="21"/>
                    </w:rPr>
                  </w:pPr>
                  <w:r>
                    <w:rPr>
                      <w:color w:val="auto"/>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28" w:type="pct"/>
                  <w:vMerge w:val="continue"/>
                  <w:tcMar>
                    <w:top w:w="0" w:type="dxa"/>
                    <w:left w:w="11" w:type="dxa"/>
                    <w:bottom w:w="0" w:type="dxa"/>
                    <w:right w:w="11" w:type="dxa"/>
                  </w:tcMar>
                  <w:vAlign w:val="center"/>
                </w:tcPr>
                <w:p>
                  <w:pPr>
                    <w:adjustRightInd w:val="0"/>
                    <w:snapToGrid w:val="0"/>
                    <w:jc w:val="center"/>
                    <w:rPr>
                      <w:b/>
                      <w:bCs/>
                      <w:color w:val="auto"/>
                      <w:szCs w:val="21"/>
                    </w:rPr>
                  </w:pPr>
                </w:p>
              </w:tc>
              <w:tc>
                <w:tcPr>
                  <w:tcW w:w="459" w:type="pct"/>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按照“应收尽收”的原则提升废气收集率。</w:t>
                  </w:r>
                </w:p>
              </w:tc>
              <w:tc>
                <w:tcPr>
                  <w:tcW w:w="2109" w:type="pct"/>
                  <w:tcMar>
                    <w:top w:w="0" w:type="dxa"/>
                    <w:left w:w="11" w:type="dxa"/>
                    <w:bottom w:w="0" w:type="dxa"/>
                    <w:right w:w="11" w:type="dxa"/>
                  </w:tcMar>
                  <w:vAlign w:val="center"/>
                </w:tcPr>
                <w:p>
                  <w:pPr>
                    <w:adjustRightInd w:val="0"/>
                    <w:snapToGrid w:val="0"/>
                    <w:jc w:val="center"/>
                    <w:rPr>
                      <w:color w:val="auto"/>
                      <w:szCs w:val="21"/>
                    </w:rPr>
                  </w:pPr>
                  <w:r>
                    <w:rPr>
                      <w:color w:val="auto"/>
                      <w:szCs w:val="21"/>
                    </w:rPr>
                    <w:t>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w:t>
                  </w:r>
                </w:p>
                <w:p>
                  <w:pPr>
                    <w:adjustRightInd w:val="0"/>
                    <w:snapToGrid w:val="0"/>
                    <w:jc w:val="center"/>
                    <w:rPr>
                      <w:color w:val="auto"/>
                      <w:szCs w:val="21"/>
                    </w:rPr>
                  </w:pPr>
                  <w:r>
                    <w:rPr>
                      <w:color w:val="auto"/>
                      <w:szCs w:val="21"/>
                    </w:rPr>
                    <w:t>企业新建治污设施或对现有治污设施实施改造，应依据排放废气特征、VOCs组分及浓度、生产工况等，合理选择治理技术，对治理难度大、单一治理工艺难以稳定达标的，要采用多种技术的组合工艺。</w:t>
                  </w:r>
                </w:p>
              </w:tc>
              <w:tc>
                <w:tcPr>
                  <w:tcW w:w="1562" w:type="pct"/>
                  <w:tcMar>
                    <w:top w:w="0" w:type="dxa"/>
                    <w:left w:w="11" w:type="dxa"/>
                    <w:bottom w:w="0" w:type="dxa"/>
                    <w:right w:w="11" w:type="dxa"/>
                  </w:tcMar>
                  <w:vAlign w:val="center"/>
                </w:tcPr>
                <w:p>
                  <w:pPr>
                    <w:adjustRightInd w:val="0"/>
                    <w:snapToGrid w:val="0"/>
                    <w:rPr>
                      <w:color w:val="auto"/>
                      <w:szCs w:val="21"/>
                    </w:rPr>
                  </w:pPr>
                  <w:r>
                    <w:rPr>
                      <w:rFonts w:hint="eastAsia"/>
                      <w:color w:val="auto"/>
                      <w:szCs w:val="21"/>
                    </w:rPr>
                    <w:t>本项目使用的浸胶纸储存于包装袋内；包装袋存放于室内；浸胶纸包装袋在非取用状态时封口，保持密闭。</w:t>
                  </w:r>
                </w:p>
                <w:p>
                  <w:pPr>
                    <w:adjustRightInd w:val="0"/>
                    <w:snapToGrid w:val="0"/>
                    <w:jc w:val="left"/>
                    <w:rPr>
                      <w:color w:val="auto"/>
                      <w:szCs w:val="21"/>
                    </w:rPr>
                  </w:pPr>
                  <w:r>
                    <w:rPr>
                      <w:color w:val="auto"/>
                      <w:szCs w:val="21"/>
                    </w:rPr>
                    <w:t>本项目</w:t>
                  </w:r>
                  <w:r>
                    <w:rPr>
                      <w:rFonts w:hint="eastAsia"/>
                      <w:color w:val="auto"/>
                    </w:rPr>
                    <w:t>有机废气</w:t>
                  </w:r>
                  <w:r>
                    <w:rPr>
                      <w:rFonts w:hint="eastAsia"/>
                      <w:color w:val="auto"/>
                      <w:szCs w:val="21"/>
                    </w:rPr>
                    <w:t>采用二级活性炭吸附的多级处理措施</w:t>
                  </w:r>
                  <w:r>
                    <w:rPr>
                      <w:color w:val="auto"/>
                    </w:rPr>
                    <w:t>。</w:t>
                  </w:r>
                </w:p>
              </w:tc>
              <w:tc>
                <w:tcPr>
                  <w:tcW w:w="442" w:type="pct"/>
                  <w:tcMar>
                    <w:top w:w="0" w:type="dxa"/>
                    <w:left w:w="11" w:type="dxa"/>
                    <w:bottom w:w="0" w:type="dxa"/>
                    <w:right w:w="11" w:type="dxa"/>
                  </w:tcMar>
                  <w:vAlign w:val="center"/>
                </w:tcPr>
                <w:p>
                  <w:pPr>
                    <w:adjustRightInd w:val="0"/>
                    <w:snapToGrid w:val="0"/>
                    <w:jc w:val="center"/>
                    <w:rPr>
                      <w:color w:val="auto"/>
                      <w:szCs w:val="21"/>
                    </w:rPr>
                  </w:pPr>
                  <w:r>
                    <w:rPr>
                      <w:color w:val="auto"/>
                      <w:szCs w:val="21"/>
                    </w:rPr>
                    <w:t>相符</w:t>
                  </w:r>
                </w:p>
              </w:tc>
            </w:tr>
          </w:tbl>
          <w:p>
            <w:pPr>
              <w:adjustRightInd w:val="0"/>
              <w:snapToGrid w:val="0"/>
              <w:spacing w:before="120" w:beforeLines="50" w:line="360" w:lineRule="auto"/>
              <w:ind w:firstLine="480" w:firstLineChars="200"/>
              <w:jc w:val="left"/>
              <w:rPr>
                <w:b/>
                <w:bCs/>
                <w:color w:val="auto"/>
                <w:sz w:val="24"/>
              </w:rPr>
            </w:pPr>
            <w:r>
              <w:rPr>
                <w:color w:val="auto"/>
                <w:sz w:val="24"/>
              </w:rPr>
              <w:t>由上表可知，建设项目符合符合《2020年挥发性有机物治理攻坚方案》（环大气〔2020〕33号）相关要求。</w:t>
            </w:r>
          </w:p>
          <w:p>
            <w:pPr>
              <w:adjustRightInd w:val="0"/>
              <w:snapToGrid w:val="0"/>
              <w:spacing w:line="360" w:lineRule="auto"/>
              <w:ind w:firstLine="482" w:firstLineChars="200"/>
              <w:rPr>
                <w:b/>
                <w:bCs/>
                <w:color w:val="auto"/>
              </w:rPr>
            </w:pPr>
            <w:r>
              <w:rPr>
                <w:b/>
                <w:bCs/>
                <w:color w:val="auto"/>
                <w:sz w:val="24"/>
              </w:rPr>
              <w:t>（3）与《关于在环评审批阶段开展源头管控行动的工作意见》相符性</w:t>
            </w:r>
          </w:p>
          <w:p>
            <w:pPr>
              <w:adjustRightInd w:val="0"/>
              <w:snapToGrid w:val="0"/>
              <w:spacing w:line="360" w:lineRule="auto"/>
              <w:ind w:firstLine="480" w:firstLineChars="200"/>
              <w:jc w:val="left"/>
              <w:rPr>
                <w:b/>
                <w:bCs/>
                <w:color w:val="auto"/>
                <w:sz w:val="24"/>
              </w:rPr>
            </w:pPr>
            <w:r>
              <w:rPr>
                <w:color w:val="auto"/>
                <w:sz w:val="24"/>
              </w:rPr>
              <w:t>本项目与《关于在环评审批阶段开展“源头管控行动”的工作意见 》（锡环办[2021]142号）相符性分析如下：</w:t>
            </w:r>
          </w:p>
          <w:p>
            <w:pPr>
              <w:adjustRightInd w:val="0"/>
              <w:snapToGrid w:val="0"/>
              <w:jc w:val="center"/>
              <w:rPr>
                <w:b/>
                <w:bCs/>
                <w:color w:val="auto"/>
                <w:sz w:val="24"/>
              </w:rPr>
            </w:pPr>
            <w:r>
              <w:rPr>
                <w:b/>
                <w:bCs/>
                <w:color w:val="auto"/>
                <w:sz w:val="24"/>
              </w:rPr>
              <w:t>表1-9  与锡环办[2021]142号的相符性分析</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4"/>
              <w:gridCol w:w="3976"/>
              <w:gridCol w:w="2268"/>
              <w:gridCol w:w="8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3"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要求</w:t>
                  </w:r>
                </w:p>
              </w:tc>
              <w:tc>
                <w:tcPr>
                  <w:tcW w:w="2574"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内容</w:t>
                  </w:r>
                </w:p>
              </w:tc>
              <w:tc>
                <w:tcPr>
                  <w:tcW w:w="1468"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本项目情况</w:t>
                  </w:r>
                </w:p>
              </w:tc>
              <w:tc>
                <w:tcPr>
                  <w:tcW w:w="535"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3"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（一）生产工艺、装备、原料、环境四替代</w:t>
                  </w:r>
                </w:p>
              </w:tc>
              <w:tc>
                <w:tcPr>
                  <w:tcW w:w="2574" w:type="pct"/>
                  <w:tcBorders>
                    <w:tl2br w:val="nil"/>
                    <w:tr2bl w:val="nil"/>
                  </w:tcBorders>
                  <w:tcMar>
                    <w:top w:w="0" w:type="dxa"/>
                    <w:left w:w="0" w:type="dxa"/>
                    <w:bottom w:w="0" w:type="dxa"/>
                    <w:right w:w="0" w:type="dxa"/>
                  </w:tcMar>
                  <w:vAlign w:val="center"/>
                </w:tcPr>
                <w:p>
                  <w:pPr>
                    <w:autoSpaceDE w:val="0"/>
                    <w:autoSpaceDN w:val="0"/>
                    <w:adjustRightInd w:val="0"/>
                    <w:snapToGrid w:val="0"/>
                    <w:ind w:firstLine="420" w:firstLineChars="200"/>
                    <w:rPr>
                      <w:color w:val="auto"/>
                      <w:szCs w:val="21"/>
                    </w:rPr>
                  </w:pPr>
                  <w:r>
                    <w:rPr>
                      <w:color w:val="auto"/>
                      <w:szCs w:val="21"/>
                    </w:rPr>
                    <w:t xml:space="preserve">用国际国内先进工艺、装备、低挥发水性溶剂等环境友好型原材料、先进高效的污染治理设施替代传统工艺、普通装备、高挥发性原料、落后的污染治理设施，从场址选取、厂区布局、厂房设计、设备选型等方面充分考虑环境保护的需求，从源头控制无组织排放、初期雨水收集、环境风险防范等问题。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 </w:t>
                  </w:r>
                </w:p>
              </w:tc>
              <w:tc>
                <w:tcPr>
                  <w:tcW w:w="1468" w:type="pct"/>
                  <w:tcBorders>
                    <w:tl2br w:val="nil"/>
                    <w:tr2bl w:val="nil"/>
                  </w:tcBorders>
                  <w:tcMar>
                    <w:top w:w="0" w:type="dxa"/>
                    <w:left w:w="0" w:type="dxa"/>
                    <w:bottom w:w="0" w:type="dxa"/>
                    <w:right w:w="0" w:type="dxa"/>
                  </w:tcMar>
                  <w:vAlign w:val="center"/>
                </w:tcPr>
                <w:p>
                  <w:pPr>
                    <w:adjustRightInd w:val="0"/>
                    <w:snapToGrid w:val="0"/>
                    <w:rPr>
                      <w:color w:val="auto"/>
                      <w:szCs w:val="21"/>
                    </w:rPr>
                  </w:pPr>
                  <w:r>
                    <w:rPr>
                      <w:rFonts w:hint="eastAsia"/>
                      <w:color w:val="auto"/>
                      <w:szCs w:val="21"/>
                    </w:rPr>
                    <w:t>本项目不使用涂料、油墨、胶粘剂。本项目采用连续化技术，以及高效工艺与设备等，可减少工艺过程无组织排放。</w:t>
                  </w:r>
                </w:p>
                <w:p>
                  <w:pPr>
                    <w:adjustRightInd w:val="0"/>
                    <w:snapToGrid w:val="0"/>
                    <w:rPr>
                      <w:color w:val="auto"/>
                      <w:szCs w:val="21"/>
                      <w:highlight w:val="yellow"/>
                    </w:rPr>
                  </w:pPr>
                  <w:r>
                    <w:rPr>
                      <w:color w:val="auto"/>
                      <w:szCs w:val="21"/>
                    </w:rPr>
                    <w:t>本项目行业类别为[C2029]其他人造板制造，不属于“两高”项目。</w:t>
                  </w:r>
                </w:p>
              </w:tc>
              <w:tc>
                <w:tcPr>
                  <w:tcW w:w="535"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3"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（二）生产过程中回用、物料回收</w:t>
                  </w:r>
                </w:p>
              </w:tc>
              <w:tc>
                <w:tcPr>
                  <w:tcW w:w="2574" w:type="pct"/>
                  <w:tcBorders>
                    <w:tl2br w:val="nil"/>
                    <w:tr2bl w:val="nil"/>
                  </w:tcBorders>
                  <w:tcMar>
                    <w:top w:w="0" w:type="dxa"/>
                    <w:left w:w="0" w:type="dxa"/>
                    <w:bottom w:w="0" w:type="dxa"/>
                    <w:right w:w="0" w:type="dxa"/>
                  </w:tcMar>
                  <w:vAlign w:val="center"/>
                </w:tcPr>
                <w:p>
                  <w:pPr>
                    <w:autoSpaceDE w:val="0"/>
                    <w:autoSpaceDN w:val="0"/>
                    <w:adjustRightInd w:val="0"/>
                    <w:snapToGrid w:val="0"/>
                    <w:ind w:firstLine="420" w:firstLineChars="200"/>
                    <w:rPr>
                      <w:color w:val="auto"/>
                      <w:szCs w:val="21"/>
                    </w:rPr>
                  </w:pPr>
                  <w:r>
                    <w:rPr>
                      <w:color w:val="auto"/>
                      <w:szCs w:val="21"/>
                    </w:rPr>
                    <w:t xml:space="preserve">强化项目的节水设计，提高项目中水回用率，新建、改建项目的中水回用水平必须高于行业平均水平，达到国内先进水平以上。根据《江苏省太湖水污染防治条例》规定，非战略性新兴产业，不得新增含磷、氮的生产废水。用水量较大的印染、电子等行业必须大幅提高中水回用率。冷却排水、反渗透（RO）尾水等“清净下水”必须按照生产废水接管，不得接入雨水口排放。强化生产过程中的物料回收利用，鼓励有条件的挥发性有机物排放企业（如印刷、包装类企业）通过冷凝、吸附、吸收等技术实现物料回用，强化固体废物源头减量和综合利用，配套的回收利用设施必须达到主生产装置同样的设计水平和环保要求，提升回收效率，需外送利用处置固体废物和危险废物的，在本市应具有稳定可靠的承接单位。 </w:t>
                  </w:r>
                </w:p>
              </w:tc>
              <w:tc>
                <w:tcPr>
                  <w:tcW w:w="1468" w:type="pct"/>
                  <w:tcBorders>
                    <w:tl2br w:val="nil"/>
                    <w:tr2bl w:val="nil"/>
                  </w:tcBorders>
                  <w:tcMar>
                    <w:top w:w="0" w:type="dxa"/>
                    <w:left w:w="0" w:type="dxa"/>
                    <w:bottom w:w="0" w:type="dxa"/>
                    <w:right w:w="0" w:type="dxa"/>
                  </w:tcMar>
                  <w:vAlign w:val="center"/>
                </w:tcPr>
                <w:p>
                  <w:pPr>
                    <w:autoSpaceDE w:val="0"/>
                    <w:autoSpaceDN w:val="0"/>
                    <w:adjustRightInd w:val="0"/>
                    <w:snapToGrid w:val="0"/>
                    <w:rPr>
                      <w:color w:val="auto"/>
                      <w:szCs w:val="21"/>
                      <w:highlight w:val="yellow"/>
                    </w:rPr>
                  </w:pPr>
                  <w:r>
                    <w:rPr>
                      <w:color w:val="auto"/>
                      <w:szCs w:val="21"/>
                    </w:rPr>
                    <w:t>本项目</w:t>
                  </w:r>
                  <w:r>
                    <w:rPr>
                      <w:rFonts w:hint="eastAsia"/>
                      <w:color w:val="auto"/>
                      <w:szCs w:val="21"/>
                    </w:rPr>
                    <w:t>冷却排水</w:t>
                  </w:r>
                  <w:r>
                    <w:rPr>
                      <w:color w:val="auto"/>
                      <w:szCs w:val="21"/>
                    </w:rPr>
                    <w:t>与经化粪池预处理</w:t>
                  </w:r>
                  <w:r>
                    <w:rPr>
                      <w:rFonts w:hint="eastAsia"/>
                      <w:color w:val="auto"/>
                      <w:szCs w:val="21"/>
                    </w:rPr>
                    <w:t>后</w:t>
                  </w:r>
                  <w:r>
                    <w:rPr>
                      <w:color w:val="auto"/>
                      <w:szCs w:val="21"/>
                    </w:rPr>
                    <w:t>的生活污水</w:t>
                  </w:r>
                  <w:r>
                    <w:rPr>
                      <w:rFonts w:hint="eastAsia"/>
                      <w:color w:val="auto"/>
                      <w:szCs w:val="21"/>
                    </w:rPr>
                    <w:t>一同</w:t>
                  </w:r>
                  <w:r>
                    <w:rPr>
                      <w:color w:val="auto"/>
                      <w:szCs w:val="21"/>
                    </w:rPr>
                    <w:t>接管至无锡玉祁永新污水处理有限公司集中处理。固体废物由相关单位回收利用，危险废物由有资质单位处置。</w:t>
                  </w:r>
                </w:p>
              </w:tc>
              <w:tc>
                <w:tcPr>
                  <w:tcW w:w="535"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3"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（三）污染设施提高标准、提高效率</w:t>
                  </w:r>
                </w:p>
              </w:tc>
              <w:tc>
                <w:tcPr>
                  <w:tcW w:w="2574" w:type="pct"/>
                  <w:tcBorders>
                    <w:tl2br w:val="nil"/>
                    <w:tr2bl w:val="nil"/>
                  </w:tcBorders>
                  <w:tcMar>
                    <w:top w:w="0" w:type="dxa"/>
                    <w:left w:w="0" w:type="dxa"/>
                    <w:bottom w:w="0" w:type="dxa"/>
                    <w:right w:w="0" w:type="dxa"/>
                  </w:tcMar>
                  <w:vAlign w:val="center"/>
                </w:tcPr>
                <w:p>
                  <w:pPr>
                    <w:autoSpaceDE w:val="0"/>
                    <w:autoSpaceDN w:val="0"/>
                    <w:adjustRightInd w:val="0"/>
                    <w:snapToGrid w:val="0"/>
                    <w:ind w:firstLine="420" w:firstLineChars="200"/>
                    <w:rPr>
                      <w:color w:val="auto"/>
                      <w:szCs w:val="21"/>
                    </w:rPr>
                  </w:pPr>
                  <w:r>
                    <w:rPr>
                      <w:color w:val="auto"/>
                      <w:szCs w:val="21"/>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w:t>
                  </w:r>
                </w:p>
                <w:p>
                  <w:pPr>
                    <w:autoSpaceDE w:val="0"/>
                    <w:autoSpaceDN w:val="0"/>
                    <w:adjustRightInd w:val="0"/>
                    <w:snapToGrid w:val="0"/>
                    <w:ind w:firstLine="420" w:firstLineChars="200"/>
                    <w:rPr>
                      <w:color w:val="auto"/>
                      <w:szCs w:val="21"/>
                    </w:rPr>
                  </w:pPr>
                  <w:r>
                    <w:rPr>
                      <w:color w:val="auto"/>
                      <w:szCs w:val="21"/>
                    </w:rPr>
                    <w:t xml:space="preserve">涉挥发性有机物排放的项目，必须严格落实国家《重点行业挥发性有机物综合治理方案》的要求，对挥发性有机物要有效收集、提高效率，鼓励采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采用低氮燃烧技术，工业炉窑达到深度治理要求。 </w:t>
                  </w:r>
                </w:p>
              </w:tc>
              <w:tc>
                <w:tcPr>
                  <w:tcW w:w="1468" w:type="pct"/>
                  <w:tcBorders>
                    <w:tl2br w:val="nil"/>
                    <w:tr2bl w:val="nil"/>
                  </w:tcBorders>
                  <w:tcMar>
                    <w:top w:w="0" w:type="dxa"/>
                    <w:left w:w="0" w:type="dxa"/>
                    <w:bottom w:w="0" w:type="dxa"/>
                    <w:right w:w="0" w:type="dxa"/>
                  </w:tcMar>
                  <w:vAlign w:val="center"/>
                </w:tcPr>
                <w:p>
                  <w:pPr>
                    <w:autoSpaceDE w:val="0"/>
                    <w:autoSpaceDN w:val="0"/>
                    <w:adjustRightInd w:val="0"/>
                    <w:snapToGrid w:val="0"/>
                    <w:rPr>
                      <w:color w:val="auto"/>
                      <w:szCs w:val="21"/>
                    </w:rPr>
                  </w:pPr>
                  <w:r>
                    <w:rPr>
                      <w:color w:val="auto"/>
                      <w:szCs w:val="21"/>
                    </w:rPr>
                    <w:t>本项目已选取采用可行性技术。本项目对挥发性有机物进行收集处理达标后排放。本项目</w:t>
                  </w:r>
                  <w:r>
                    <w:rPr>
                      <w:rFonts w:hint="eastAsia"/>
                      <w:color w:val="auto"/>
                      <w:szCs w:val="21"/>
                    </w:rPr>
                    <w:t>若列入涉水、涉气重点项目，则按要求安装用电工况和自动在线监控设备设施并联网</w:t>
                  </w:r>
                  <w:r>
                    <w:rPr>
                      <w:color w:val="auto"/>
                      <w:szCs w:val="21"/>
                    </w:rPr>
                    <w:t>。本项目天然气燃烧采用低氮燃烧技术。</w:t>
                  </w:r>
                </w:p>
              </w:tc>
              <w:tc>
                <w:tcPr>
                  <w:tcW w:w="535"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bl>
          <w:p>
            <w:pPr>
              <w:pStyle w:val="18"/>
              <w:wordWrap w:val="0"/>
              <w:adjustRightInd w:val="0"/>
              <w:snapToGrid w:val="0"/>
              <w:spacing w:before="120" w:beforeLines="50" w:after="0" w:line="360" w:lineRule="auto"/>
              <w:ind w:left="0" w:leftChars="0" w:firstLine="480"/>
              <w:jc w:val="left"/>
              <w:rPr>
                <w:bCs/>
                <w:color w:val="auto"/>
                <w:sz w:val="24"/>
                <w:szCs w:val="24"/>
              </w:rPr>
            </w:pPr>
            <w:r>
              <w:rPr>
                <w:bCs/>
                <w:color w:val="auto"/>
                <w:sz w:val="24"/>
                <w:szCs w:val="24"/>
              </w:rPr>
              <w:t>由上表可知，本项目符合《关于在环评审批阶段开展源头管控行动的工作意见》（锡环办[2021]142号）中相关要求。</w:t>
            </w:r>
          </w:p>
          <w:p>
            <w:pPr>
              <w:adjustRightInd w:val="0"/>
              <w:snapToGrid w:val="0"/>
              <w:spacing w:line="360" w:lineRule="auto"/>
              <w:ind w:firstLine="482" w:firstLineChars="200"/>
              <w:rPr>
                <w:b/>
                <w:color w:val="auto"/>
                <w:sz w:val="24"/>
              </w:rPr>
            </w:pPr>
            <w:r>
              <w:rPr>
                <w:rFonts w:hint="eastAsia"/>
                <w:b/>
                <w:bCs/>
                <w:color w:val="auto"/>
                <w:sz w:val="24"/>
              </w:rPr>
              <w:t>（</w:t>
            </w:r>
            <w:r>
              <w:rPr>
                <w:b/>
                <w:bCs/>
                <w:color w:val="auto"/>
                <w:sz w:val="24"/>
              </w:rPr>
              <w:t>4</w:t>
            </w:r>
            <w:r>
              <w:rPr>
                <w:rFonts w:hint="eastAsia"/>
                <w:b/>
                <w:bCs/>
                <w:color w:val="auto"/>
                <w:sz w:val="24"/>
              </w:rPr>
              <w:t>）</w:t>
            </w:r>
            <w:r>
              <w:rPr>
                <w:rFonts w:hint="eastAsia"/>
                <w:b/>
                <w:color w:val="auto"/>
                <w:sz w:val="24"/>
              </w:rPr>
              <w:t>与《关于印发&lt;深入打好重污染天气消除、臭氧污染防治和柴油货车污染治理攻坚战行动方案&gt;的通知》（环大气〔2022〕68号）的相符性分析</w:t>
            </w:r>
          </w:p>
          <w:p>
            <w:pPr>
              <w:adjustRightInd w:val="0"/>
              <w:snapToGrid w:val="0"/>
              <w:spacing w:line="360" w:lineRule="auto"/>
              <w:ind w:firstLine="480" w:firstLineChars="200"/>
              <w:jc w:val="left"/>
              <w:rPr>
                <w:color w:val="auto"/>
                <w:sz w:val="24"/>
              </w:rPr>
            </w:pPr>
            <w:r>
              <w:rPr>
                <w:rFonts w:hint="eastAsia"/>
                <w:color w:val="auto"/>
                <w:sz w:val="24"/>
              </w:rPr>
              <w:t>与《关于印发&lt;深入打好重污染天气消除、臭氧污染防治和柴油货车污染治理攻坚战行动方案&gt;的通知》（环大气〔2022〕68号）的相符性分析见下表：</w:t>
            </w:r>
          </w:p>
          <w:p>
            <w:pPr>
              <w:adjustRightInd w:val="0"/>
              <w:snapToGrid w:val="0"/>
              <w:jc w:val="center"/>
              <w:rPr>
                <w:b/>
                <w:bCs/>
                <w:color w:val="auto"/>
                <w:sz w:val="24"/>
              </w:rPr>
            </w:pPr>
            <w:r>
              <w:rPr>
                <w:b/>
                <w:bCs/>
                <w:color w:val="auto"/>
                <w:sz w:val="24"/>
              </w:rPr>
              <w:t>表1-10  与</w:t>
            </w:r>
            <w:r>
              <w:rPr>
                <w:rFonts w:hint="eastAsia"/>
                <w:b/>
                <w:bCs/>
                <w:color w:val="auto"/>
                <w:sz w:val="24"/>
              </w:rPr>
              <w:t>环大气〔2022〕68号</w:t>
            </w:r>
            <w:r>
              <w:rPr>
                <w:b/>
                <w:bCs/>
                <w:color w:val="auto"/>
                <w:sz w:val="24"/>
              </w:rPr>
              <w:t>的相符性分析</w:t>
            </w:r>
          </w:p>
          <w:tbl>
            <w:tblPr>
              <w:tblStyle w:val="2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2"/>
              <w:gridCol w:w="3809"/>
              <w:gridCol w:w="2148"/>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要求</w:t>
                  </w:r>
                </w:p>
              </w:tc>
              <w:tc>
                <w:tcPr>
                  <w:tcW w:w="2465"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内容</w:t>
                  </w:r>
                </w:p>
              </w:tc>
              <w:tc>
                <w:tcPr>
                  <w:tcW w:w="1390"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本项目情况</w:t>
                  </w:r>
                </w:p>
              </w:tc>
              <w:tc>
                <w:tcPr>
                  <w:tcW w:w="721"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2"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rFonts w:hint="eastAsia"/>
                      <w:b/>
                      <w:bCs/>
                      <w:color w:val="auto"/>
                      <w:szCs w:val="21"/>
                    </w:rPr>
                    <w:t>附件2臭氧污染防治攻坚行动方案</w:t>
                  </w:r>
                </w:p>
              </w:tc>
              <w:tc>
                <w:tcPr>
                  <w:tcW w:w="2465" w:type="pct"/>
                  <w:tcBorders>
                    <w:tl2br w:val="nil"/>
                    <w:tr2bl w:val="nil"/>
                  </w:tcBorders>
                  <w:tcMar>
                    <w:top w:w="0" w:type="dxa"/>
                    <w:left w:w="0" w:type="dxa"/>
                    <w:bottom w:w="0" w:type="dxa"/>
                    <w:right w:w="0" w:type="dxa"/>
                  </w:tcMar>
                  <w:vAlign w:val="center"/>
                </w:tcPr>
                <w:p>
                  <w:pPr>
                    <w:autoSpaceDE w:val="0"/>
                    <w:autoSpaceDN w:val="0"/>
                    <w:adjustRightInd w:val="0"/>
                    <w:snapToGrid w:val="0"/>
                    <w:rPr>
                      <w:color w:val="auto"/>
                      <w:szCs w:val="21"/>
                    </w:rPr>
                  </w:pPr>
                  <w:r>
                    <w:rPr>
                      <w:rFonts w:hint="eastAsia"/>
                      <w:color w:val="auto"/>
                      <w:szCs w:val="21"/>
                    </w:rPr>
                    <w:t>二、含VOCs原辅材料源头替代行动</w:t>
                  </w:r>
                </w:p>
                <w:p>
                  <w:pPr>
                    <w:autoSpaceDE w:val="0"/>
                    <w:autoSpaceDN w:val="0"/>
                    <w:adjustRightInd w:val="0"/>
                    <w:snapToGrid w:val="0"/>
                    <w:rPr>
                      <w:color w:val="auto"/>
                      <w:szCs w:val="21"/>
                    </w:rPr>
                  </w:pPr>
                  <w:r>
                    <w:rPr>
                      <w:rFonts w:hint="eastAsia"/>
                      <w:color w:val="auto"/>
                      <w:szCs w:val="21"/>
                    </w:rPr>
                    <w:t>加快实施低VOCs含量原辅材料替代。各地对溶剂型涂料、油墨、胶粘剂、清洗剂使用企业制定低VOCs含量原辅材料替代计划。全面推进汽车整车制造底漆、中涂、色漆使用低VOCs含量涂料；在木质家具、汽车零部件、工程机械、钢结构、船舶制造技术成熟的工艺环节，大力推广使用低 VOCs含量涂料，重点区域、中央企业加大使用比例。在房屋建筑和市政工程中，全面推广使用低VOCs含量涂料和胶粘剂；重点区域、珠三角地区除特殊功能要求外的室内地坪施工、室外构筑物防护和城市道路交通标志基本使用低VOCs含量涂料。完善VOCs产品标准体系，建立低VOCs 含量产品标识制度。</w:t>
                  </w:r>
                </w:p>
              </w:tc>
              <w:tc>
                <w:tcPr>
                  <w:tcW w:w="1390" w:type="pct"/>
                  <w:tcBorders>
                    <w:tl2br w:val="nil"/>
                    <w:tr2bl w:val="nil"/>
                  </w:tcBorders>
                  <w:tcMar>
                    <w:top w:w="0" w:type="dxa"/>
                    <w:left w:w="0" w:type="dxa"/>
                    <w:bottom w:w="0" w:type="dxa"/>
                    <w:right w:w="0" w:type="dxa"/>
                  </w:tcMar>
                  <w:vAlign w:val="center"/>
                </w:tcPr>
                <w:p>
                  <w:pPr>
                    <w:adjustRightInd w:val="0"/>
                    <w:snapToGrid w:val="0"/>
                    <w:rPr>
                      <w:color w:val="auto"/>
                      <w:szCs w:val="21"/>
                    </w:rPr>
                  </w:pPr>
                  <w:r>
                    <w:rPr>
                      <w:color w:val="auto"/>
                      <w:szCs w:val="21"/>
                    </w:rPr>
                    <w:t>本项目行业类别为[C2029]其他人造板制造</w:t>
                  </w:r>
                  <w:r>
                    <w:rPr>
                      <w:rFonts w:hint="eastAsia"/>
                      <w:color w:val="auto"/>
                      <w:szCs w:val="21"/>
                    </w:rPr>
                    <w:t>，</w:t>
                  </w:r>
                  <w:r>
                    <w:rPr>
                      <w:color w:val="auto"/>
                      <w:szCs w:val="21"/>
                    </w:rPr>
                    <w:t>主要产品为饰面板。</w:t>
                  </w:r>
                </w:p>
                <w:p>
                  <w:pPr>
                    <w:adjustRightInd w:val="0"/>
                    <w:snapToGrid w:val="0"/>
                    <w:rPr>
                      <w:color w:val="auto"/>
                      <w:szCs w:val="21"/>
                    </w:rPr>
                  </w:pPr>
                  <w:r>
                    <w:rPr>
                      <w:rFonts w:hint="eastAsia"/>
                      <w:color w:val="auto"/>
                      <w:szCs w:val="21"/>
                    </w:rPr>
                    <w:t>本项目不使用涂料、油墨、胶粘剂、清洗剂。</w:t>
                  </w:r>
                </w:p>
              </w:tc>
              <w:tc>
                <w:tcPr>
                  <w:tcW w:w="721"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bl>
          <w:p>
            <w:pPr>
              <w:adjustRightInd w:val="0"/>
              <w:snapToGrid w:val="0"/>
              <w:spacing w:line="360" w:lineRule="auto"/>
              <w:ind w:firstLine="480" w:firstLineChars="200"/>
              <w:jc w:val="left"/>
              <w:rPr>
                <w:color w:val="auto"/>
                <w:sz w:val="24"/>
              </w:rPr>
            </w:pPr>
            <w:r>
              <w:rPr>
                <w:rFonts w:hint="eastAsia"/>
                <w:color w:val="auto"/>
                <w:sz w:val="24"/>
              </w:rPr>
              <w:t>由上表可知，建设项目符合《关于印发&lt;深入打好重污染天气消除、臭氧污染防治和柴油货车污染治理攻坚战行动方案&gt;的通知》（环大气〔2022〕68号）中相关要求。</w:t>
            </w:r>
          </w:p>
        </w:tc>
      </w:tr>
    </w:tbl>
    <w:p>
      <w:pPr>
        <w:spacing w:line="360" w:lineRule="auto"/>
        <w:outlineLvl w:val="0"/>
        <w:rPr>
          <w:color w:val="auto"/>
          <w:sz w:val="30"/>
        </w:rPr>
        <w:sectPr>
          <w:footerReference r:id="rId5" w:type="default"/>
          <w:pgSz w:w="11906" w:h="16838"/>
          <w:pgMar w:top="1701" w:right="1531" w:bottom="1701" w:left="1531" w:header="851" w:footer="1077" w:gutter="0"/>
          <w:pgNumType w:start="1"/>
          <w:cols w:space="720" w:num="1"/>
          <w:docGrid w:linePitch="312" w:charSpace="0"/>
        </w:sectPr>
      </w:pPr>
    </w:p>
    <w:p>
      <w:pPr>
        <w:pStyle w:val="26"/>
        <w:adjustRightInd w:val="0"/>
        <w:snapToGrid w:val="0"/>
        <w:spacing w:before="0" w:beforeAutospacing="0" w:after="0" w:afterAutospacing="0"/>
        <w:jc w:val="center"/>
        <w:outlineLvl w:val="0"/>
        <w:rPr>
          <w:rFonts w:ascii="Times New Roman" w:hAnsi="Times New Roman"/>
          <w:b/>
          <w:bCs/>
          <w:snapToGrid w:val="0"/>
          <w:color w:val="auto"/>
          <w:sz w:val="30"/>
          <w:szCs w:val="30"/>
        </w:rPr>
      </w:pPr>
      <w:bookmarkStart w:id="5" w:name="_Toc31544"/>
      <w:r>
        <w:rPr>
          <w:rFonts w:ascii="Times New Roman" w:hAnsi="Times New Roman"/>
          <w:b/>
          <w:bCs/>
          <w:snapToGrid w:val="0"/>
          <w:color w:val="auto"/>
          <w:sz w:val="30"/>
          <w:szCs w:val="30"/>
        </w:rPr>
        <w:t>二、建设项目工程分析</w:t>
      </w:r>
      <w:bookmarkEnd w:id="5"/>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4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1" w:hRule="atLeast"/>
          <w:jc w:val="center"/>
        </w:trPr>
        <w:tc>
          <w:tcPr>
            <w:tcW w:w="502" w:type="dxa"/>
            <w:vAlign w:val="center"/>
          </w:tcPr>
          <w:p>
            <w:pPr>
              <w:pStyle w:val="26"/>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建设内容</w:t>
            </w:r>
          </w:p>
        </w:tc>
        <w:tc>
          <w:tcPr>
            <w:tcW w:w="8482" w:type="dxa"/>
          </w:tcPr>
          <w:p>
            <w:pPr>
              <w:tabs>
                <w:tab w:val="left" w:pos="3254"/>
              </w:tabs>
              <w:spacing w:line="348" w:lineRule="auto"/>
              <w:rPr>
                <w:b/>
                <w:bCs/>
                <w:color w:val="auto"/>
                <w:sz w:val="24"/>
              </w:rPr>
            </w:pPr>
            <w:r>
              <w:rPr>
                <w:b/>
                <w:bCs/>
                <w:color w:val="auto"/>
                <w:sz w:val="24"/>
              </w:rPr>
              <w:t>1、项目由来</w:t>
            </w:r>
          </w:p>
          <w:p>
            <w:pPr>
              <w:spacing w:line="348" w:lineRule="auto"/>
              <w:ind w:firstLine="480" w:firstLineChars="200"/>
              <w:rPr>
                <w:color w:val="auto"/>
              </w:rPr>
            </w:pPr>
            <w:r>
              <w:rPr>
                <w:color w:val="auto"/>
                <w:sz w:val="24"/>
              </w:rPr>
              <w:t>江苏旭森新材料科技有限公司</w:t>
            </w:r>
            <w:r>
              <w:rPr>
                <w:color w:val="auto"/>
                <w:kern w:val="0"/>
                <w:sz w:val="24"/>
                <w:shd w:val="clear" w:color="auto" w:fill="FFFFFF"/>
              </w:rPr>
              <w:t>成立于</w:t>
            </w:r>
            <w:r>
              <w:rPr>
                <w:color w:val="auto"/>
                <w:sz w:val="24"/>
              </w:rPr>
              <w:t>2020年5月，</w:t>
            </w:r>
            <w:r>
              <w:rPr>
                <w:rFonts w:hint="eastAsia"/>
                <w:color w:val="auto"/>
                <w:sz w:val="24"/>
              </w:rPr>
              <w:t>注册地址位于无锡惠山工业转型集聚区北惠路99号</w:t>
            </w:r>
            <w:r>
              <w:rPr>
                <w:color w:val="auto"/>
                <w:sz w:val="24"/>
              </w:rPr>
              <w:t>，</w:t>
            </w:r>
            <w:r>
              <w:rPr>
                <w:rFonts w:hint="eastAsia"/>
                <w:color w:val="auto"/>
                <w:sz w:val="24"/>
              </w:rPr>
              <w:t>从事人造板的生产制造和</w:t>
            </w:r>
            <w:r>
              <w:rPr>
                <w:color w:val="auto"/>
                <w:sz w:val="24"/>
              </w:rPr>
              <w:t>销售。</w:t>
            </w:r>
          </w:p>
          <w:p>
            <w:pPr>
              <w:spacing w:line="348" w:lineRule="auto"/>
              <w:ind w:firstLine="480" w:firstLineChars="200"/>
              <w:rPr>
                <w:color w:val="auto"/>
                <w:sz w:val="24"/>
              </w:rPr>
            </w:pPr>
            <w:r>
              <w:rPr>
                <w:color w:val="auto"/>
                <w:sz w:val="24"/>
              </w:rPr>
              <w:t>因发展需求，江苏旭森新材料科技有限公司拟投资50000万元</w:t>
            </w:r>
            <w:r>
              <w:rPr>
                <w:rFonts w:hint="eastAsia"/>
                <w:color w:val="auto"/>
                <w:sz w:val="24"/>
              </w:rPr>
              <w:t>（其中包括厂房建设以及配套基础设施投资）</w:t>
            </w:r>
            <w:r>
              <w:rPr>
                <w:color w:val="auto"/>
                <w:sz w:val="24"/>
              </w:rPr>
              <w:t>，</w:t>
            </w:r>
            <w:r>
              <w:rPr>
                <w:rFonts w:hint="eastAsia"/>
                <w:color w:val="auto"/>
                <w:sz w:val="24"/>
              </w:rPr>
              <w:t>在无锡惠山工业转型集聚区北洲路与邓北路交叉口西北侧建设旭森新材料年产360万片饰面板项目</w:t>
            </w:r>
            <w:r>
              <w:rPr>
                <w:color w:val="auto"/>
                <w:sz w:val="24"/>
              </w:rPr>
              <w:t>。</w:t>
            </w:r>
          </w:p>
          <w:p>
            <w:pPr>
              <w:spacing w:line="348" w:lineRule="auto"/>
              <w:ind w:firstLine="480" w:firstLineChars="200"/>
              <w:rPr>
                <w:color w:val="auto"/>
                <w:sz w:val="24"/>
              </w:rPr>
            </w:pPr>
            <w:r>
              <w:rPr>
                <w:rFonts w:hint="eastAsia"/>
                <w:color w:val="auto"/>
                <w:sz w:val="24"/>
              </w:rPr>
              <w:t>项目厂区占地面积</w:t>
            </w:r>
            <w:r>
              <w:rPr>
                <w:color w:val="auto"/>
                <w:sz w:val="24"/>
              </w:rPr>
              <w:t>23707.4</w:t>
            </w:r>
            <w:r>
              <w:rPr>
                <w:rFonts w:hint="eastAsia"/>
                <w:color w:val="auto"/>
                <w:sz w:val="24"/>
              </w:rPr>
              <w:t>平方米，2栋生产车间和相关</w:t>
            </w:r>
            <w:r>
              <w:rPr>
                <w:color w:val="auto"/>
                <w:sz w:val="24"/>
              </w:rPr>
              <w:t>仓储设施及</w:t>
            </w:r>
            <w:r>
              <w:rPr>
                <w:rFonts w:hint="eastAsia"/>
                <w:color w:val="auto"/>
                <w:sz w:val="24"/>
              </w:rPr>
              <w:t>1栋</w:t>
            </w:r>
            <w:r>
              <w:rPr>
                <w:rFonts w:hint="eastAsia"/>
                <w:color w:val="auto"/>
                <w:sz w:val="24"/>
                <w:lang w:eastAsia="zh-CN"/>
              </w:rPr>
              <w:t>办公</w:t>
            </w:r>
            <w:r>
              <w:rPr>
                <w:rFonts w:hint="eastAsia"/>
                <w:color w:val="auto"/>
                <w:sz w:val="24"/>
              </w:rPr>
              <w:t>楼等建筑物已建成，总建筑面积</w:t>
            </w:r>
            <w:r>
              <w:rPr>
                <w:color w:val="auto"/>
                <w:sz w:val="24"/>
              </w:rPr>
              <w:t>17052.06</w:t>
            </w:r>
            <w:r>
              <w:rPr>
                <w:rFonts w:hint="eastAsia"/>
                <w:color w:val="auto"/>
                <w:sz w:val="24"/>
              </w:rPr>
              <w:t>平方米。本项目评价范围主要针对年产360万片饰面板项目进行评价，已建成构筑物等建设期环境影响不在本项目评价范围内。</w:t>
            </w:r>
          </w:p>
          <w:p>
            <w:pPr>
              <w:spacing w:line="348" w:lineRule="auto"/>
              <w:ind w:firstLine="480" w:firstLineChars="200"/>
              <w:rPr>
                <w:color w:val="auto"/>
                <w:sz w:val="24"/>
              </w:rPr>
            </w:pPr>
            <w:r>
              <w:rPr>
                <w:rFonts w:hint="eastAsia"/>
                <w:color w:val="auto"/>
                <w:sz w:val="24"/>
              </w:rPr>
              <w:t>本项目购置双面压机、</w:t>
            </w:r>
            <w:r>
              <w:rPr>
                <w:color w:val="auto"/>
                <w:sz w:val="24"/>
              </w:rPr>
              <w:t>模温机、空压机</w:t>
            </w:r>
            <w:r>
              <w:rPr>
                <w:rFonts w:hint="eastAsia"/>
                <w:color w:val="auto"/>
                <w:sz w:val="24"/>
              </w:rPr>
              <w:t>等主辅设备共</w:t>
            </w:r>
            <w:r>
              <w:rPr>
                <w:color w:val="auto"/>
                <w:sz w:val="24"/>
              </w:rPr>
              <w:t>29</w:t>
            </w:r>
            <w:r>
              <w:rPr>
                <w:rFonts w:hint="eastAsia"/>
                <w:color w:val="auto"/>
                <w:sz w:val="24"/>
              </w:rPr>
              <w:t>台（套）</w:t>
            </w:r>
            <w:r>
              <w:rPr>
                <w:rFonts w:hint="eastAsia"/>
                <w:color w:val="auto"/>
                <w:sz w:val="24"/>
                <w:lang w:eastAsia="zh-CN"/>
              </w:rPr>
              <w:t>建设旭森新材料年产</w:t>
            </w:r>
            <w:r>
              <w:rPr>
                <w:rFonts w:hint="eastAsia"/>
                <w:color w:val="auto"/>
                <w:sz w:val="24"/>
                <w:lang w:val="en-US" w:eastAsia="zh-CN"/>
              </w:rPr>
              <w:t>360万片饰面板项目</w:t>
            </w:r>
            <w:r>
              <w:rPr>
                <w:rFonts w:hint="eastAsia"/>
                <w:color w:val="auto"/>
                <w:sz w:val="24"/>
              </w:rPr>
              <w:t>。</w:t>
            </w:r>
            <w:r>
              <w:rPr>
                <w:color w:val="auto"/>
                <w:sz w:val="24"/>
              </w:rPr>
              <w:t>项目建成后具有年产饰面板360</w:t>
            </w:r>
            <w:r>
              <w:rPr>
                <w:rFonts w:hint="eastAsia"/>
                <w:color w:val="auto"/>
                <w:sz w:val="24"/>
              </w:rPr>
              <w:t>万片</w:t>
            </w:r>
            <w:r>
              <w:rPr>
                <w:color w:val="auto"/>
                <w:sz w:val="24"/>
              </w:rPr>
              <w:t>的生产能力。</w:t>
            </w:r>
          </w:p>
          <w:p>
            <w:pPr>
              <w:spacing w:line="348" w:lineRule="auto"/>
              <w:ind w:firstLine="480" w:firstLineChars="200"/>
              <w:rPr>
                <w:color w:val="auto"/>
                <w:sz w:val="24"/>
              </w:rPr>
            </w:pPr>
            <w:r>
              <w:rPr>
                <w:color w:val="auto"/>
                <w:sz w:val="24"/>
              </w:rPr>
              <w:t>本项目于2021年4月</w:t>
            </w:r>
            <w:r>
              <w:rPr>
                <w:rFonts w:hint="eastAsia"/>
                <w:color w:val="auto"/>
                <w:sz w:val="24"/>
              </w:rPr>
              <w:t>1</w:t>
            </w:r>
            <w:r>
              <w:rPr>
                <w:color w:val="auto"/>
                <w:sz w:val="24"/>
              </w:rPr>
              <w:t>6日完成项目备案（备案证号：惠行审备〔2021〕174号，项目代码2104-320206-89-01-906574），同意开展项目前期及报批准备工作。</w:t>
            </w:r>
          </w:p>
          <w:p>
            <w:pPr>
              <w:spacing w:line="348" w:lineRule="auto"/>
              <w:ind w:firstLine="480" w:firstLineChars="200"/>
              <w:rPr>
                <w:b/>
                <w:bCs/>
                <w:color w:val="auto"/>
                <w:sz w:val="24"/>
              </w:rPr>
            </w:pPr>
            <w:r>
              <w:rPr>
                <w:color w:val="auto"/>
                <w:sz w:val="24"/>
              </w:rPr>
              <w:t>根据《中华人民共和国环境影响评价法》和《建设项目环境保护管理条例》</w:t>
            </w:r>
            <w:r>
              <w:rPr>
                <w:rFonts w:hint="eastAsia"/>
                <w:color w:val="auto"/>
                <w:sz w:val="24"/>
                <w:lang w:eastAsia="zh-CN"/>
              </w:rPr>
              <w:t>（</w:t>
            </w:r>
            <w:r>
              <w:rPr>
                <w:rFonts w:hint="eastAsia"/>
                <w:color w:val="auto"/>
                <w:sz w:val="24"/>
              </w:rPr>
              <w:t>中华人民共和国</w:t>
            </w:r>
            <w:r>
              <w:rPr>
                <w:color w:val="auto"/>
                <w:sz w:val="24"/>
              </w:rPr>
              <w:t>国务院令第</w:t>
            </w:r>
            <w:r>
              <w:rPr>
                <w:rFonts w:hint="eastAsia"/>
                <w:color w:val="auto"/>
                <w:sz w:val="24"/>
                <w:lang w:val="en-US" w:eastAsia="zh-CN"/>
              </w:rPr>
              <w:t>682</w:t>
            </w:r>
            <w:r>
              <w:rPr>
                <w:color w:val="auto"/>
                <w:sz w:val="24"/>
              </w:rPr>
              <w:t>号</w:t>
            </w:r>
            <w:r>
              <w:rPr>
                <w:rFonts w:hint="eastAsia"/>
                <w:color w:val="auto"/>
                <w:sz w:val="24"/>
                <w:lang w:eastAsia="zh-CN"/>
              </w:rPr>
              <w:t>）</w:t>
            </w:r>
            <w:r>
              <w:rPr>
                <w:color w:val="auto"/>
                <w:sz w:val="24"/>
              </w:rPr>
              <w:t>的规定，本项目属于《建设项目环境影响评价分类管理名录（2021年）》中</w:t>
            </w:r>
            <w:r>
              <w:rPr>
                <w:rFonts w:hint="eastAsia"/>
                <w:color w:val="auto"/>
                <w:sz w:val="24"/>
              </w:rPr>
              <w:t>“十七、木材加工和木、竹、藤、棕、草制品业”</w:t>
            </w:r>
            <w:r>
              <w:rPr>
                <w:color w:val="auto"/>
                <w:sz w:val="24"/>
              </w:rPr>
              <w:t>中</w:t>
            </w:r>
            <w:r>
              <w:rPr>
                <w:rFonts w:hint="eastAsia"/>
                <w:color w:val="auto"/>
                <w:sz w:val="24"/>
              </w:rPr>
              <w:t>“34人造板制造202”</w:t>
            </w:r>
            <w:r>
              <w:rPr>
                <w:color w:val="auto"/>
                <w:sz w:val="24"/>
              </w:rPr>
              <w:t>中</w:t>
            </w:r>
            <w:r>
              <w:rPr>
                <w:rFonts w:hint="eastAsia"/>
                <w:color w:val="auto"/>
                <w:sz w:val="24"/>
              </w:rPr>
              <w:t>“</w:t>
            </w:r>
            <w:r>
              <w:rPr>
                <w:color w:val="auto"/>
                <w:sz w:val="24"/>
              </w:rPr>
              <w:t>其他</w:t>
            </w:r>
            <w:r>
              <w:rPr>
                <w:rFonts w:hint="eastAsia"/>
                <w:color w:val="auto"/>
                <w:sz w:val="24"/>
              </w:rPr>
              <w:t>”</w:t>
            </w:r>
            <w:r>
              <w:rPr>
                <w:color w:val="auto"/>
                <w:sz w:val="24"/>
              </w:rPr>
              <w:t>类，</w:t>
            </w:r>
            <w:r>
              <w:rPr>
                <w:rFonts w:hint="eastAsia"/>
                <w:color w:val="auto"/>
                <w:sz w:val="24"/>
                <w:szCs w:val="32"/>
                <w:lang w:eastAsia="zh-CN"/>
              </w:rPr>
              <w:t>项目建成后</w:t>
            </w:r>
            <w:r>
              <w:rPr>
                <w:rFonts w:hint="eastAsia"/>
                <w:color w:val="auto"/>
                <w:sz w:val="24"/>
                <w:szCs w:val="32"/>
              </w:rPr>
              <w:t>全年生产产品总体积约为96480m</w:t>
            </w:r>
            <w:r>
              <w:rPr>
                <w:rFonts w:hint="eastAsia"/>
                <w:color w:val="auto"/>
                <w:sz w:val="24"/>
                <w:szCs w:val="32"/>
                <w:vertAlign w:val="superscript"/>
              </w:rPr>
              <w:t>3</w:t>
            </w:r>
            <w:r>
              <w:rPr>
                <w:rFonts w:hint="eastAsia"/>
                <w:color w:val="auto"/>
                <w:sz w:val="24"/>
                <w:szCs w:val="32"/>
                <w:vertAlign w:val="baseline"/>
                <w:lang w:eastAsia="zh-CN"/>
              </w:rPr>
              <w:t>，</w:t>
            </w:r>
            <w:r>
              <w:rPr>
                <w:color w:val="auto"/>
                <w:sz w:val="24"/>
              </w:rPr>
              <w:t>应编制环境影响报告表。江苏旭森新材料科技有限公司委托</w:t>
            </w:r>
            <w:r>
              <w:rPr>
                <w:rFonts w:hint="eastAsia"/>
                <w:color w:val="auto"/>
                <w:sz w:val="24"/>
              </w:rPr>
              <w:t>无锡田橙环境科技有限公司</w:t>
            </w:r>
            <w:r>
              <w:rPr>
                <w:color w:val="auto"/>
                <w:sz w:val="24"/>
              </w:rPr>
              <w:t>对本项目进行环境影响评价，评价单位接受委托后，相关人员收集了相关资料并进行了现场踏勘，在此基础上编制了本项目环境影响报告表。</w:t>
            </w:r>
          </w:p>
          <w:p>
            <w:pPr>
              <w:adjustRightInd w:val="0"/>
              <w:snapToGrid w:val="0"/>
              <w:spacing w:line="348" w:lineRule="auto"/>
              <w:ind w:firstLine="480" w:firstLineChars="200"/>
              <w:rPr>
                <w:b/>
                <w:bCs/>
                <w:color w:val="auto"/>
                <w:sz w:val="24"/>
              </w:rPr>
            </w:pPr>
            <w:r>
              <w:rPr>
                <w:color w:val="auto"/>
                <w:sz w:val="24"/>
                <w:szCs w:val="22"/>
              </w:rPr>
              <w:t>本项目所涉及的安全、消防、卫生等问题不属于本评价的范围，请公司按照国家相关法律、法规和有关标准执行。</w:t>
            </w:r>
          </w:p>
          <w:p>
            <w:pPr>
              <w:spacing w:line="348" w:lineRule="auto"/>
              <w:rPr>
                <w:b/>
                <w:bCs/>
                <w:color w:val="auto"/>
                <w:sz w:val="24"/>
              </w:rPr>
            </w:pPr>
            <w:r>
              <w:rPr>
                <w:b/>
                <w:bCs/>
                <w:color w:val="auto"/>
                <w:sz w:val="24"/>
              </w:rPr>
              <w:t>2、项目概况</w:t>
            </w:r>
          </w:p>
          <w:p>
            <w:pPr>
              <w:adjustRightInd w:val="0"/>
              <w:snapToGrid w:val="0"/>
              <w:spacing w:line="348" w:lineRule="auto"/>
              <w:ind w:firstLine="480" w:firstLineChars="200"/>
              <w:rPr>
                <w:color w:val="auto"/>
                <w:sz w:val="24"/>
              </w:rPr>
            </w:pPr>
            <w:r>
              <w:rPr>
                <w:color w:val="auto"/>
                <w:sz w:val="24"/>
              </w:rPr>
              <w:t>项目名称：</w:t>
            </w:r>
            <w:r>
              <w:rPr>
                <w:rFonts w:hint="eastAsia"/>
                <w:color w:val="auto"/>
                <w:sz w:val="24"/>
              </w:rPr>
              <w:t>旭森新材料年产360万片饰面板项目</w:t>
            </w:r>
            <w:r>
              <w:rPr>
                <w:color w:val="auto"/>
                <w:sz w:val="24"/>
              </w:rPr>
              <w:t>；</w:t>
            </w:r>
          </w:p>
          <w:p>
            <w:pPr>
              <w:adjustRightInd w:val="0"/>
              <w:snapToGrid w:val="0"/>
              <w:spacing w:line="348" w:lineRule="auto"/>
              <w:ind w:firstLine="480" w:firstLineChars="200"/>
              <w:jc w:val="left"/>
              <w:rPr>
                <w:color w:val="auto"/>
                <w:sz w:val="24"/>
                <w:highlight w:val="yellow"/>
              </w:rPr>
            </w:pPr>
            <w:r>
              <w:rPr>
                <w:color w:val="auto"/>
                <w:sz w:val="24"/>
              </w:rPr>
              <w:t>行业类别：C2029其他人造板制造</w:t>
            </w:r>
            <w:r>
              <w:rPr>
                <w:color w:val="auto"/>
                <w:kern w:val="0"/>
                <w:sz w:val="24"/>
              </w:rPr>
              <w:t>；</w:t>
            </w:r>
          </w:p>
          <w:p>
            <w:pPr>
              <w:adjustRightInd w:val="0"/>
              <w:snapToGrid w:val="0"/>
              <w:spacing w:line="348" w:lineRule="auto"/>
              <w:ind w:firstLine="480" w:firstLineChars="200"/>
              <w:rPr>
                <w:color w:val="auto"/>
                <w:sz w:val="24"/>
              </w:rPr>
            </w:pPr>
            <w:r>
              <w:rPr>
                <w:color w:val="auto"/>
                <w:sz w:val="24"/>
              </w:rPr>
              <w:t>项目性质：</w:t>
            </w:r>
            <w:r>
              <w:rPr>
                <w:rFonts w:hint="eastAsia"/>
                <w:color w:val="auto"/>
                <w:sz w:val="24"/>
              </w:rPr>
              <w:t>新建</w:t>
            </w:r>
            <w:r>
              <w:rPr>
                <w:color w:val="auto"/>
                <w:sz w:val="24"/>
              </w:rPr>
              <w:t>；</w:t>
            </w:r>
          </w:p>
          <w:p>
            <w:pPr>
              <w:adjustRightInd w:val="0"/>
              <w:snapToGrid w:val="0"/>
              <w:spacing w:line="348" w:lineRule="auto"/>
              <w:ind w:firstLine="480" w:firstLineChars="200"/>
              <w:rPr>
                <w:color w:val="auto"/>
                <w:sz w:val="24"/>
              </w:rPr>
            </w:pPr>
            <w:r>
              <w:rPr>
                <w:color w:val="auto"/>
                <w:sz w:val="24"/>
              </w:rPr>
              <w:t>建设地点：无锡</w:t>
            </w:r>
            <w:r>
              <w:rPr>
                <w:rFonts w:hint="eastAsia"/>
                <w:color w:val="auto"/>
                <w:sz w:val="24"/>
              </w:rPr>
              <w:t>市</w:t>
            </w:r>
            <w:r>
              <w:rPr>
                <w:color w:val="auto"/>
                <w:sz w:val="24"/>
              </w:rPr>
              <w:t>惠山工业转型集聚区北洲路与邓北路交叉口西北侧；</w:t>
            </w:r>
          </w:p>
          <w:p>
            <w:pPr>
              <w:adjustRightInd w:val="0"/>
              <w:snapToGrid w:val="0"/>
              <w:spacing w:line="348" w:lineRule="auto"/>
              <w:ind w:firstLine="480" w:firstLineChars="200"/>
              <w:rPr>
                <w:color w:val="auto"/>
                <w:kern w:val="0"/>
                <w:sz w:val="24"/>
              </w:rPr>
            </w:pPr>
            <w:r>
              <w:rPr>
                <w:color w:val="auto"/>
                <w:kern w:val="0"/>
                <w:sz w:val="24"/>
              </w:rPr>
              <w:t>占地面积：</w:t>
            </w:r>
            <w:r>
              <w:rPr>
                <w:rFonts w:hint="eastAsia"/>
                <w:color w:val="auto"/>
                <w:sz w:val="24"/>
              </w:rPr>
              <w:t>23707.4平方米</w:t>
            </w:r>
            <w:r>
              <w:rPr>
                <w:color w:val="auto"/>
                <w:kern w:val="0"/>
                <w:sz w:val="24"/>
              </w:rPr>
              <w:t>；</w:t>
            </w:r>
          </w:p>
          <w:p>
            <w:pPr>
              <w:adjustRightInd w:val="0"/>
              <w:snapToGrid w:val="0"/>
              <w:spacing w:line="348" w:lineRule="auto"/>
              <w:ind w:firstLine="480" w:firstLineChars="200"/>
              <w:rPr>
                <w:b/>
                <w:bCs/>
                <w:color w:val="auto"/>
                <w:sz w:val="24"/>
              </w:rPr>
            </w:pPr>
            <w:r>
              <w:rPr>
                <w:color w:val="auto"/>
                <w:sz w:val="24"/>
              </w:rPr>
              <w:t>投资总额：50000万元</w:t>
            </w:r>
            <w:r>
              <w:rPr>
                <w:rFonts w:hint="eastAsia"/>
                <w:color w:val="auto"/>
                <w:sz w:val="24"/>
              </w:rPr>
              <w:t>（包括厂房建设以及配套基础设施投资）</w:t>
            </w:r>
            <w:r>
              <w:rPr>
                <w:color w:val="auto"/>
                <w:sz w:val="24"/>
              </w:rPr>
              <w:t>，其中环保投资100万元，占总投资的0.2%。</w:t>
            </w:r>
          </w:p>
          <w:p>
            <w:pPr>
              <w:spacing w:line="360" w:lineRule="auto"/>
              <w:rPr>
                <w:color w:val="auto"/>
              </w:rPr>
            </w:pPr>
            <w:r>
              <w:rPr>
                <w:b/>
                <w:bCs/>
                <w:color w:val="auto"/>
                <w:sz w:val="24"/>
              </w:rPr>
              <w:t>3、主要产品及产能情况</w:t>
            </w:r>
          </w:p>
          <w:p>
            <w:pPr>
              <w:ind w:firstLine="482" w:firstLineChars="200"/>
              <w:jc w:val="center"/>
              <w:rPr>
                <w:b/>
                <w:bCs/>
                <w:color w:val="auto"/>
                <w:sz w:val="24"/>
              </w:rPr>
            </w:pPr>
            <w:r>
              <w:rPr>
                <w:b/>
                <w:bCs/>
                <w:color w:val="auto"/>
                <w:sz w:val="24"/>
              </w:rPr>
              <w:t>表2-1  建设项目主要产品及产能情况</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1131"/>
              <w:gridCol w:w="1845"/>
              <w:gridCol w:w="1638"/>
              <w:gridCol w:w="1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pct"/>
                  <w:vAlign w:val="center"/>
                </w:tcPr>
                <w:p>
                  <w:pPr>
                    <w:spacing w:line="240" w:lineRule="atLeast"/>
                    <w:jc w:val="center"/>
                    <w:rPr>
                      <w:b/>
                      <w:bCs/>
                      <w:color w:val="auto"/>
                      <w:szCs w:val="21"/>
                    </w:rPr>
                  </w:pPr>
                  <w:r>
                    <w:rPr>
                      <w:b/>
                      <w:bCs/>
                      <w:color w:val="auto"/>
                      <w:szCs w:val="21"/>
                    </w:rPr>
                    <w:t>工程名称（车间、生产装置或生产线）</w:t>
                  </w:r>
                </w:p>
              </w:tc>
              <w:tc>
                <w:tcPr>
                  <w:tcW w:w="684" w:type="pct"/>
                  <w:vAlign w:val="center"/>
                </w:tcPr>
                <w:p>
                  <w:pPr>
                    <w:spacing w:line="240" w:lineRule="atLeast"/>
                    <w:jc w:val="center"/>
                    <w:rPr>
                      <w:b/>
                      <w:bCs/>
                      <w:color w:val="auto"/>
                      <w:szCs w:val="21"/>
                    </w:rPr>
                  </w:pPr>
                  <w:r>
                    <w:rPr>
                      <w:b/>
                      <w:bCs/>
                      <w:color w:val="auto"/>
                      <w:szCs w:val="21"/>
                    </w:rPr>
                    <w:t>产品名称</w:t>
                  </w:r>
                </w:p>
              </w:tc>
              <w:tc>
                <w:tcPr>
                  <w:tcW w:w="1116" w:type="pct"/>
                  <w:vAlign w:val="center"/>
                </w:tcPr>
                <w:p>
                  <w:pPr>
                    <w:spacing w:line="240" w:lineRule="atLeast"/>
                    <w:jc w:val="center"/>
                    <w:rPr>
                      <w:b/>
                      <w:bCs/>
                      <w:color w:val="auto"/>
                      <w:szCs w:val="21"/>
                    </w:rPr>
                  </w:pPr>
                  <w:r>
                    <w:rPr>
                      <w:rFonts w:hint="eastAsia"/>
                      <w:b/>
                      <w:bCs/>
                      <w:color w:val="auto"/>
                      <w:szCs w:val="21"/>
                    </w:rPr>
                    <w:t>规格尺寸</w:t>
                  </w:r>
                </w:p>
              </w:tc>
              <w:tc>
                <w:tcPr>
                  <w:tcW w:w="990" w:type="pct"/>
                  <w:vAlign w:val="center"/>
                </w:tcPr>
                <w:p>
                  <w:pPr>
                    <w:spacing w:line="240" w:lineRule="atLeast"/>
                    <w:jc w:val="center"/>
                    <w:rPr>
                      <w:b/>
                      <w:bCs/>
                      <w:color w:val="auto"/>
                      <w:szCs w:val="21"/>
                    </w:rPr>
                  </w:pPr>
                  <w:r>
                    <w:rPr>
                      <w:b/>
                      <w:bCs/>
                      <w:color w:val="auto"/>
                      <w:szCs w:val="21"/>
                    </w:rPr>
                    <w:t>设计</w:t>
                  </w:r>
                  <w:r>
                    <w:rPr>
                      <w:rFonts w:hint="eastAsia"/>
                      <w:b/>
                      <w:bCs/>
                      <w:color w:val="auto"/>
                      <w:szCs w:val="21"/>
                    </w:rPr>
                    <w:t>生产</w:t>
                  </w:r>
                  <w:r>
                    <w:rPr>
                      <w:b/>
                      <w:bCs/>
                      <w:color w:val="auto"/>
                      <w:szCs w:val="21"/>
                    </w:rPr>
                    <w:t>能力</w:t>
                  </w:r>
                </w:p>
              </w:tc>
              <w:tc>
                <w:tcPr>
                  <w:tcW w:w="781" w:type="pct"/>
                  <w:vAlign w:val="center"/>
                </w:tcPr>
                <w:p>
                  <w:pPr>
                    <w:spacing w:line="240" w:lineRule="atLeast"/>
                    <w:jc w:val="center"/>
                    <w:rPr>
                      <w:b/>
                      <w:bCs/>
                      <w:color w:val="auto"/>
                      <w:szCs w:val="21"/>
                    </w:rPr>
                  </w:pPr>
                  <w:r>
                    <w:rPr>
                      <w:b/>
                      <w:bCs/>
                      <w:color w:val="auto"/>
                      <w:szCs w:val="21"/>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pct"/>
                  <w:vAlign w:val="center"/>
                </w:tcPr>
                <w:p>
                  <w:pPr>
                    <w:spacing w:line="240" w:lineRule="atLeast"/>
                    <w:jc w:val="center"/>
                    <w:rPr>
                      <w:bCs/>
                      <w:color w:val="auto"/>
                      <w:szCs w:val="21"/>
                    </w:rPr>
                  </w:pPr>
                  <w:r>
                    <w:rPr>
                      <w:rFonts w:hint="eastAsia"/>
                      <w:bCs/>
                      <w:color w:val="auto"/>
                      <w:szCs w:val="21"/>
                    </w:rPr>
                    <w:t>车间</w:t>
                  </w:r>
                  <w:r>
                    <w:rPr>
                      <w:rFonts w:hint="eastAsia"/>
                      <w:color w:val="auto"/>
                      <w:szCs w:val="21"/>
                    </w:rPr>
                    <w:t>二</w:t>
                  </w:r>
                  <w:r>
                    <w:rPr>
                      <w:rFonts w:hint="eastAsia"/>
                      <w:bCs/>
                      <w:color w:val="auto"/>
                      <w:szCs w:val="21"/>
                    </w:rPr>
                    <w:t>、饰面板生产线</w:t>
                  </w:r>
                </w:p>
              </w:tc>
              <w:tc>
                <w:tcPr>
                  <w:tcW w:w="684" w:type="pct"/>
                  <w:vAlign w:val="center"/>
                </w:tcPr>
                <w:p>
                  <w:pPr>
                    <w:spacing w:line="240" w:lineRule="atLeast"/>
                    <w:jc w:val="center"/>
                    <w:rPr>
                      <w:bCs/>
                      <w:color w:val="auto"/>
                      <w:szCs w:val="21"/>
                    </w:rPr>
                  </w:pPr>
                  <w:r>
                    <w:rPr>
                      <w:rFonts w:hint="eastAsia"/>
                      <w:bCs/>
                      <w:color w:val="auto"/>
                      <w:szCs w:val="21"/>
                    </w:rPr>
                    <w:t>饰面板</w:t>
                  </w:r>
                </w:p>
              </w:tc>
              <w:tc>
                <w:tcPr>
                  <w:tcW w:w="1116" w:type="pct"/>
                  <w:vAlign w:val="center"/>
                </w:tcPr>
                <w:p>
                  <w:pPr>
                    <w:spacing w:line="240" w:lineRule="atLeast"/>
                    <w:jc w:val="center"/>
                    <w:rPr>
                      <w:bCs/>
                      <w:color w:val="auto"/>
                      <w:szCs w:val="21"/>
                    </w:rPr>
                  </w:pPr>
                  <w:r>
                    <w:rPr>
                      <w:rFonts w:hint="eastAsia"/>
                      <w:bCs/>
                      <w:color w:val="auto"/>
                      <w:szCs w:val="21"/>
                    </w:rPr>
                    <w:t>2.44</w:t>
                  </w:r>
                  <w:r>
                    <w:rPr>
                      <w:bCs/>
                      <w:color w:val="auto"/>
                      <w:szCs w:val="21"/>
                    </w:rPr>
                    <w:t>m</w:t>
                  </w:r>
                  <w:r>
                    <w:rPr>
                      <w:color w:val="auto"/>
                    </w:rPr>
                    <w:t>×</w:t>
                  </w:r>
                  <w:r>
                    <w:rPr>
                      <w:rFonts w:hint="eastAsia"/>
                      <w:bCs/>
                      <w:color w:val="auto"/>
                      <w:szCs w:val="21"/>
                    </w:rPr>
                    <w:t>1.22</w:t>
                  </w:r>
                  <w:r>
                    <w:rPr>
                      <w:bCs/>
                      <w:color w:val="auto"/>
                      <w:szCs w:val="21"/>
                    </w:rPr>
                    <w:t>m</w:t>
                  </w:r>
                  <w:r>
                    <w:rPr>
                      <w:color w:val="auto"/>
                    </w:rPr>
                    <w:t>×</w:t>
                  </w:r>
                  <w:r>
                    <w:rPr>
                      <w:rFonts w:hint="eastAsia"/>
                      <w:color w:val="auto"/>
                    </w:rPr>
                    <w:t>（3</w:t>
                  </w:r>
                  <w:r>
                    <w:rPr>
                      <w:color w:val="auto"/>
                    </w:rPr>
                    <w:t>~25mm</w:t>
                  </w:r>
                  <w:r>
                    <w:rPr>
                      <w:rFonts w:hint="eastAsia"/>
                      <w:color w:val="auto"/>
                    </w:rPr>
                    <w:t>），</w:t>
                  </w:r>
                  <w:r>
                    <w:rPr>
                      <w:color w:val="auto"/>
                    </w:rPr>
                    <w:t>平均厚度约</w:t>
                  </w:r>
                  <w:r>
                    <w:rPr>
                      <w:rFonts w:hint="eastAsia"/>
                      <w:color w:val="auto"/>
                    </w:rPr>
                    <w:t>9</w:t>
                  </w:r>
                  <w:r>
                    <w:rPr>
                      <w:color w:val="auto"/>
                    </w:rPr>
                    <w:t>mm</w:t>
                  </w:r>
                </w:p>
              </w:tc>
              <w:tc>
                <w:tcPr>
                  <w:tcW w:w="990" w:type="pct"/>
                  <w:vAlign w:val="center"/>
                </w:tcPr>
                <w:p>
                  <w:pPr>
                    <w:spacing w:line="240" w:lineRule="atLeast"/>
                    <w:jc w:val="center"/>
                    <w:rPr>
                      <w:bCs/>
                      <w:color w:val="auto"/>
                      <w:szCs w:val="21"/>
                    </w:rPr>
                  </w:pPr>
                  <w:r>
                    <w:rPr>
                      <w:bCs/>
                      <w:color w:val="auto"/>
                      <w:szCs w:val="21"/>
                    </w:rPr>
                    <w:t>360</w:t>
                  </w:r>
                  <w:r>
                    <w:rPr>
                      <w:rFonts w:hint="eastAsia"/>
                      <w:bCs/>
                      <w:color w:val="auto"/>
                      <w:szCs w:val="21"/>
                    </w:rPr>
                    <w:t>万片</w:t>
                  </w:r>
                  <w:r>
                    <w:rPr>
                      <w:bCs/>
                      <w:color w:val="auto"/>
                      <w:szCs w:val="21"/>
                    </w:rPr>
                    <w:t>/年</w:t>
                  </w:r>
                  <w:r>
                    <w:rPr>
                      <w:rFonts w:hint="eastAsia"/>
                      <w:bCs/>
                      <w:color w:val="auto"/>
                      <w:szCs w:val="21"/>
                    </w:rPr>
                    <w:t>（折合96480</w:t>
                  </w:r>
                  <w:r>
                    <w:rPr>
                      <w:color w:val="auto"/>
                      <w:sz w:val="24"/>
                      <w:szCs w:val="22"/>
                    </w:rPr>
                    <w:t>m</w:t>
                  </w:r>
                  <w:r>
                    <w:rPr>
                      <w:color w:val="auto"/>
                      <w:sz w:val="24"/>
                      <w:szCs w:val="22"/>
                      <w:vertAlign w:val="superscript"/>
                    </w:rPr>
                    <w:t>3</w:t>
                  </w:r>
                  <w:r>
                    <w:rPr>
                      <w:rFonts w:hint="eastAsia"/>
                      <w:bCs/>
                      <w:color w:val="auto"/>
                      <w:szCs w:val="21"/>
                    </w:rPr>
                    <w:t>/a）</w:t>
                  </w:r>
                </w:p>
              </w:tc>
              <w:tc>
                <w:tcPr>
                  <w:tcW w:w="781" w:type="pct"/>
                  <w:vAlign w:val="center"/>
                </w:tcPr>
                <w:p>
                  <w:pPr>
                    <w:spacing w:line="240" w:lineRule="atLeast"/>
                    <w:jc w:val="center"/>
                    <w:rPr>
                      <w:bCs/>
                      <w:color w:val="auto"/>
                      <w:szCs w:val="21"/>
                    </w:rPr>
                  </w:pPr>
                  <w:r>
                    <w:rPr>
                      <w:bCs/>
                      <w:color w:val="auto"/>
                      <w:szCs w:val="21"/>
                    </w:rPr>
                    <w:t>20</w:t>
                  </w:r>
                  <w:r>
                    <w:rPr>
                      <w:rFonts w:hint="eastAsia"/>
                      <w:bCs/>
                      <w:color w:val="auto"/>
                      <w:szCs w:val="21"/>
                      <w:lang w:val="en-US" w:eastAsia="zh-CN"/>
                    </w:rPr>
                    <w:t>4</w:t>
                  </w:r>
                  <w:r>
                    <w:rPr>
                      <w:bCs/>
                      <w:color w:val="auto"/>
                      <w:szCs w:val="21"/>
                    </w:rPr>
                    <w:t>0h</w:t>
                  </w:r>
                </w:p>
              </w:tc>
            </w:tr>
          </w:tbl>
          <w:p>
            <w:pPr>
              <w:adjustRightInd w:val="0"/>
              <w:snapToGrid w:val="0"/>
              <w:spacing w:line="348" w:lineRule="auto"/>
              <w:ind w:firstLine="480" w:firstLineChars="200"/>
              <w:rPr>
                <w:b/>
                <w:bCs/>
                <w:color w:val="auto"/>
                <w:sz w:val="24"/>
              </w:rPr>
            </w:pPr>
            <w:r>
              <w:rPr>
                <w:color w:val="auto"/>
                <w:sz w:val="24"/>
                <w:szCs w:val="22"/>
              </w:rPr>
              <w:t>本项目所</w:t>
            </w:r>
            <w:r>
              <w:rPr>
                <w:rFonts w:hint="eastAsia"/>
                <w:color w:val="auto"/>
                <w:sz w:val="24"/>
                <w:szCs w:val="22"/>
              </w:rPr>
              <w:t>生产的</w:t>
            </w:r>
            <w:r>
              <w:rPr>
                <w:rFonts w:hint="eastAsia"/>
                <w:color w:val="auto"/>
                <w:sz w:val="24"/>
                <w:szCs w:val="22"/>
                <w:lang w:val="en-US" w:eastAsia="zh-CN"/>
              </w:rPr>
              <w:t>主流规格的</w:t>
            </w:r>
            <w:r>
              <w:rPr>
                <w:rFonts w:hint="eastAsia"/>
                <w:color w:val="auto"/>
                <w:sz w:val="24"/>
                <w:szCs w:val="22"/>
              </w:rPr>
              <w:t>饰面板长、宽</w:t>
            </w:r>
            <w:r>
              <w:rPr>
                <w:color w:val="auto"/>
                <w:sz w:val="24"/>
                <w:szCs w:val="22"/>
              </w:rPr>
              <w:t>分别为</w:t>
            </w:r>
            <w:r>
              <w:rPr>
                <w:rFonts w:hint="eastAsia"/>
                <w:color w:val="auto"/>
                <w:sz w:val="24"/>
                <w:szCs w:val="22"/>
              </w:rPr>
              <w:t>2</w:t>
            </w:r>
            <w:r>
              <w:rPr>
                <w:color w:val="auto"/>
                <w:sz w:val="24"/>
                <w:szCs w:val="22"/>
              </w:rPr>
              <w:t>.44m、1.22m，厚度</w:t>
            </w:r>
            <w:r>
              <w:rPr>
                <w:rFonts w:hint="eastAsia"/>
                <w:color w:val="auto"/>
                <w:sz w:val="24"/>
                <w:szCs w:val="22"/>
              </w:rPr>
              <w:t>3-25</w:t>
            </w:r>
            <w:r>
              <w:rPr>
                <w:color w:val="auto"/>
                <w:sz w:val="24"/>
                <w:szCs w:val="22"/>
              </w:rPr>
              <w:t>mm不等，平均</w:t>
            </w:r>
            <w:r>
              <w:rPr>
                <w:rFonts w:hint="eastAsia"/>
                <w:color w:val="auto"/>
                <w:sz w:val="24"/>
                <w:szCs w:val="22"/>
              </w:rPr>
              <w:t>厚度约9mm，</w:t>
            </w:r>
            <w:r>
              <w:rPr>
                <w:color w:val="auto"/>
                <w:sz w:val="24"/>
                <w:szCs w:val="22"/>
              </w:rPr>
              <w:t>则</w:t>
            </w:r>
            <w:r>
              <w:rPr>
                <w:rFonts w:hint="eastAsia"/>
                <w:color w:val="auto"/>
                <w:sz w:val="24"/>
                <w:szCs w:val="22"/>
              </w:rPr>
              <w:t>平均</w:t>
            </w:r>
            <w:r>
              <w:rPr>
                <w:color w:val="auto"/>
                <w:sz w:val="24"/>
                <w:szCs w:val="22"/>
              </w:rPr>
              <w:t>单片</w:t>
            </w:r>
            <w:r>
              <w:rPr>
                <w:rFonts w:hint="eastAsia"/>
                <w:color w:val="auto"/>
                <w:sz w:val="24"/>
                <w:szCs w:val="22"/>
              </w:rPr>
              <w:t>饰面板体积</w:t>
            </w:r>
            <w:r>
              <w:rPr>
                <w:color w:val="auto"/>
                <w:sz w:val="24"/>
                <w:szCs w:val="22"/>
              </w:rPr>
              <w:t>约为</w:t>
            </w:r>
            <w:r>
              <w:rPr>
                <w:rFonts w:hint="eastAsia"/>
                <w:color w:val="auto"/>
                <w:sz w:val="24"/>
                <w:szCs w:val="22"/>
              </w:rPr>
              <w:t>0.0268</w:t>
            </w:r>
            <w:r>
              <w:rPr>
                <w:color w:val="auto"/>
                <w:sz w:val="24"/>
                <w:szCs w:val="22"/>
              </w:rPr>
              <w:t>m</w:t>
            </w:r>
            <w:r>
              <w:rPr>
                <w:color w:val="auto"/>
                <w:sz w:val="24"/>
                <w:szCs w:val="22"/>
                <w:vertAlign w:val="superscript"/>
              </w:rPr>
              <w:t>3</w:t>
            </w:r>
            <w:r>
              <w:rPr>
                <w:rFonts w:hint="eastAsia"/>
                <w:color w:val="auto"/>
                <w:sz w:val="24"/>
                <w:szCs w:val="22"/>
              </w:rPr>
              <w:t>，全年</w:t>
            </w:r>
            <w:r>
              <w:rPr>
                <w:color w:val="auto"/>
                <w:sz w:val="24"/>
                <w:szCs w:val="22"/>
              </w:rPr>
              <w:t>生产产品总体积约为</w:t>
            </w:r>
            <w:r>
              <w:rPr>
                <w:rFonts w:hint="eastAsia"/>
                <w:color w:val="auto"/>
                <w:sz w:val="24"/>
                <w:szCs w:val="22"/>
              </w:rPr>
              <w:t>96480</w:t>
            </w:r>
            <w:r>
              <w:rPr>
                <w:color w:val="auto"/>
                <w:sz w:val="24"/>
                <w:szCs w:val="22"/>
              </w:rPr>
              <w:t>m</w:t>
            </w:r>
            <w:r>
              <w:rPr>
                <w:color w:val="auto"/>
                <w:sz w:val="24"/>
                <w:szCs w:val="22"/>
                <w:vertAlign w:val="superscript"/>
              </w:rPr>
              <w:t>3</w:t>
            </w:r>
            <w:r>
              <w:rPr>
                <w:color w:val="auto"/>
                <w:sz w:val="24"/>
                <w:szCs w:val="22"/>
              </w:rPr>
              <w:t>。</w:t>
            </w:r>
          </w:p>
          <w:p>
            <w:pPr>
              <w:adjustRightInd w:val="0"/>
              <w:snapToGrid w:val="0"/>
              <w:spacing w:line="348" w:lineRule="auto"/>
              <w:ind w:firstLine="480" w:firstLineChars="200"/>
              <w:rPr>
                <w:color w:val="auto"/>
                <w:sz w:val="24"/>
                <w:szCs w:val="22"/>
              </w:rPr>
            </w:pPr>
            <w:r>
              <w:rPr>
                <w:rFonts w:hint="eastAsia"/>
                <w:color w:val="auto"/>
                <w:sz w:val="24"/>
                <w:szCs w:val="22"/>
              </w:rPr>
              <w:t>本项目建成后，外售产品</w:t>
            </w:r>
            <w:r>
              <w:rPr>
                <w:rFonts w:hint="eastAsia"/>
                <w:color w:val="auto"/>
                <w:sz w:val="24"/>
                <w:szCs w:val="22"/>
                <w:lang w:eastAsia="zh-CN"/>
              </w:rPr>
              <w:t>需执行</w:t>
            </w:r>
            <w:r>
              <w:rPr>
                <w:rFonts w:hint="eastAsia"/>
                <w:color w:val="auto"/>
                <w:sz w:val="24"/>
                <w:szCs w:val="22"/>
              </w:rPr>
              <w:t>《室内装饰装修材料-人造板及其制品中甲醛释放限量》（GB 18580-2017）</w:t>
            </w:r>
            <w:r>
              <w:rPr>
                <w:rFonts w:hint="eastAsia"/>
                <w:color w:val="auto"/>
                <w:sz w:val="24"/>
                <w:szCs w:val="22"/>
                <w:lang w:val="en-US" w:eastAsia="zh-CN"/>
              </w:rPr>
              <w:t>E</w:t>
            </w:r>
            <w:r>
              <w:rPr>
                <w:rFonts w:hint="eastAsia"/>
                <w:color w:val="auto"/>
                <w:sz w:val="24"/>
                <w:szCs w:val="22"/>
                <w:vertAlign w:val="subscript"/>
                <w:lang w:val="en-US" w:eastAsia="zh-CN"/>
              </w:rPr>
              <w:t>1</w:t>
            </w:r>
            <w:r>
              <w:rPr>
                <w:rFonts w:hint="eastAsia"/>
                <w:color w:val="auto"/>
                <w:sz w:val="24"/>
                <w:szCs w:val="22"/>
                <w:lang w:eastAsia="zh-CN"/>
              </w:rPr>
              <w:t>限量值</w:t>
            </w:r>
            <w:r>
              <w:rPr>
                <w:rFonts w:hint="eastAsia"/>
                <w:color w:val="auto"/>
                <w:sz w:val="24"/>
                <w:szCs w:val="22"/>
              </w:rPr>
              <w:t>要求。</w:t>
            </w:r>
          </w:p>
          <w:p>
            <w:pPr>
              <w:spacing w:line="360" w:lineRule="auto"/>
              <w:rPr>
                <w:b/>
                <w:bCs/>
                <w:color w:val="auto"/>
                <w:sz w:val="24"/>
              </w:rPr>
            </w:pPr>
            <w:r>
              <w:rPr>
                <w:b/>
                <w:bCs/>
                <w:color w:val="auto"/>
                <w:sz w:val="24"/>
              </w:rPr>
              <w:t>4、项目工程组成表</w:t>
            </w: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p>
          <w:p>
            <w:pPr>
              <w:jc w:val="center"/>
              <w:rPr>
                <w:b/>
                <w:bCs/>
                <w:color w:val="auto"/>
                <w:sz w:val="24"/>
              </w:rPr>
            </w:pPr>
            <w:r>
              <w:rPr>
                <w:b/>
                <w:bCs/>
                <w:color w:val="auto"/>
                <w:sz w:val="24"/>
              </w:rPr>
              <w:t>表2-2  建设项目工程组成情况表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512"/>
              <w:gridCol w:w="994"/>
              <w:gridCol w:w="850"/>
              <w:gridCol w:w="899"/>
              <w:gridCol w:w="1653"/>
              <w:gridCol w:w="3358"/>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Align w:val="center"/>
                </w:tcPr>
                <w:p>
                  <w:pPr>
                    <w:adjustRightInd w:val="0"/>
                    <w:snapToGrid w:val="0"/>
                    <w:jc w:val="center"/>
                    <w:rPr>
                      <w:b/>
                      <w:bCs/>
                      <w:color w:val="auto"/>
                      <w:szCs w:val="21"/>
                    </w:rPr>
                  </w:pPr>
                  <w:r>
                    <w:rPr>
                      <w:b/>
                      <w:bCs/>
                      <w:color w:val="auto"/>
                      <w:szCs w:val="21"/>
                    </w:rPr>
                    <w:t>工程名称</w:t>
                  </w:r>
                </w:p>
              </w:tc>
              <w:tc>
                <w:tcPr>
                  <w:tcW w:w="1659" w:type="pct"/>
                  <w:gridSpan w:val="3"/>
                  <w:vAlign w:val="center"/>
                </w:tcPr>
                <w:p>
                  <w:pPr>
                    <w:adjustRightInd w:val="0"/>
                    <w:snapToGrid w:val="0"/>
                    <w:jc w:val="center"/>
                    <w:rPr>
                      <w:b/>
                      <w:bCs/>
                      <w:color w:val="auto"/>
                      <w:szCs w:val="21"/>
                    </w:rPr>
                  </w:pPr>
                  <w:r>
                    <w:rPr>
                      <w:b/>
                      <w:bCs/>
                      <w:color w:val="auto"/>
                      <w:szCs w:val="21"/>
                    </w:rPr>
                    <w:t>建设名称</w:t>
                  </w:r>
                </w:p>
              </w:tc>
              <w:tc>
                <w:tcPr>
                  <w:tcW w:w="999" w:type="pct"/>
                  <w:vAlign w:val="center"/>
                </w:tcPr>
                <w:p>
                  <w:pPr>
                    <w:adjustRightInd w:val="0"/>
                    <w:snapToGrid w:val="0"/>
                    <w:jc w:val="center"/>
                    <w:rPr>
                      <w:b/>
                      <w:bCs/>
                      <w:color w:val="auto"/>
                      <w:szCs w:val="21"/>
                    </w:rPr>
                  </w:pPr>
                  <w:r>
                    <w:rPr>
                      <w:b/>
                      <w:bCs/>
                      <w:color w:val="auto"/>
                      <w:szCs w:val="21"/>
                    </w:rPr>
                    <w:t>设计能力</w:t>
                  </w:r>
                </w:p>
              </w:tc>
              <w:tc>
                <w:tcPr>
                  <w:tcW w:w="2031" w:type="pct"/>
                  <w:vAlign w:val="center"/>
                </w:tcPr>
                <w:p>
                  <w:pPr>
                    <w:adjustRightInd w:val="0"/>
                    <w:snapToGrid w:val="0"/>
                    <w:jc w:val="center"/>
                    <w:rPr>
                      <w:b/>
                      <w:bCs/>
                      <w:color w:val="auto"/>
                      <w:szCs w:val="21"/>
                    </w:rPr>
                  </w:pPr>
                  <w:r>
                    <w:rPr>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Align w:val="center"/>
                </w:tcPr>
                <w:p>
                  <w:pPr>
                    <w:adjustRightInd w:val="0"/>
                    <w:snapToGrid w:val="0"/>
                    <w:jc w:val="center"/>
                    <w:rPr>
                      <w:bCs/>
                      <w:color w:val="auto"/>
                      <w:szCs w:val="21"/>
                    </w:rPr>
                  </w:pPr>
                  <w:r>
                    <w:rPr>
                      <w:color w:val="auto"/>
                      <w:szCs w:val="21"/>
                    </w:rPr>
                    <w:t>主体工程</w:t>
                  </w:r>
                </w:p>
              </w:tc>
              <w:tc>
                <w:tcPr>
                  <w:tcW w:w="1659" w:type="pct"/>
                  <w:gridSpan w:val="3"/>
                  <w:vAlign w:val="center"/>
                </w:tcPr>
                <w:p>
                  <w:pPr>
                    <w:adjustRightInd w:val="0"/>
                    <w:snapToGrid w:val="0"/>
                    <w:jc w:val="center"/>
                    <w:rPr>
                      <w:bCs/>
                      <w:color w:val="auto"/>
                      <w:szCs w:val="21"/>
                    </w:rPr>
                  </w:pPr>
                  <w:r>
                    <w:rPr>
                      <w:rFonts w:hint="eastAsia"/>
                      <w:bCs/>
                      <w:color w:val="auto"/>
                      <w:szCs w:val="21"/>
                    </w:rPr>
                    <w:t>车间</w:t>
                  </w:r>
                  <w:r>
                    <w:rPr>
                      <w:rFonts w:hint="eastAsia"/>
                      <w:color w:val="auto"/>
                      <w:szCs w:val="21"/>
                    </w:rPr>
                    <w:t>二</w:t>
                  </w:r>
                  <w:r>
                    <w:rPr>
                      <w:rFonts w:hint="eastAsia"/>
                      <w:bCs/>
                      <w:color w:val="auto"/>
                      <w:szCs w:val="21"/>
                    </w:rPr>
                    <w:t>、饰面板生产线</w:t>
                  </w:r>
                </w:p>
              </w:tc>
              <w:tc>
                <w:tcPr>
                  <w:tcW w:w="999" w:type="pct"/>
                  <w:vAlign w:val="center"/>
                </w:tcPr>
                <w:p>
                  <w:pPr>
                    <w:adjustRightInd w:val="0"/>
                    <w:snapToGrid w:val="0"/>
                    <w:jc w:val="center"/>
                    <w:rPr>
                      <w:bCs/>
                      <w:color w:val="auto"/>
                      <w:szCs w:val="21"/>
                    </w:rPr>
                  </w:pPr>
                  <w:r>
                    <w:rPr>
                      <w:rFonts w:hint="eastAsia"/>
                      <w:bCs/>
                      <w:color w:val="auto"/>
                      <w:szCs w:val="21"/>
                    </w:rPr>
                    <w:t>年产饰面板360万片/年</w:t>
                  </w:r>
                </w:p>
              </w:tc>
              <w:tc>
                <w:tcPr>
                  <w:tcW w:w="2031" w:type="pct"/>
                  <w:vAlign w:val="center"/>
                </w:tcPr>
                <w:p>
                  <w:pPr>
                    <w:adjustRightInd w:val="0"/>
                    <w:snapToGrid w:val="0"/>
                    <w:jc w:val="center"/>
                    <w:rPr>
                      <w:bCs/>
                      <w:color w:val="auto"/>
                      <w:szCs w:val="21"/>
                    </w:rPr>
                  </w:pPr>
                  <w:r>
                    <w:rPr>
                      <w:rFonts w:hint="eastAsia"/>
                      <w:bCs/>
                      <w:color w:val="auto"/>
                      <w:szCs w:val="21"/>
                    </w:rPr>
                    <w:t>位于车间</w:t>
                  </w:r>
                  <w:r>
                    <w:rPr>
                      <w:rFonts w:hint="eastAsia"/>
                      <w:color w:val="auto"/>
                      <w:szCs w:val="21"/>
                    </w:rPr>
                    <w:t>二</w:t>
                  </w:r>
                  <w:r>
                    <w:rPr>
                      <w:rFonts w:hint="eastAsia"/>
                      <w:bCs/>
                      <w:color w:val="auto"/>
                      <w:szCs w:val="21"/>
                    </w:rPr>
                    <w:t>内。车间</w:t>
                  </w:r>
                  <w:r>
                    <w:rPr>
                      <w:rFonts w:hint="eastAsia"/>
                      <w:color w:val="auto"/>
                      <w:szCs w:val="21"/>
                    </w:rPr>
                    <w:t>二</w:t>
                  </w:r>
                  <w:r>
                    <w:rPr>
                      <w:rFonts w:hint="eastAsia"/>
                      <w:bCs/>
                      <w:color w:val="auto"/>
                      <w:szCs w:val="21"/>
                    </w:rPr>
                    <w:t>占地面积</w:t>
                  </w:r>
                  <w:r>
                    <w:rPr>
                      <w:bCs/>
                      <w:color w:val="auto"/>
                      <w:szCs w:val="21"/>
                    </w:rPr>
                    <w:t>5256.23</w:t>
                  </w:r>
                  <w:r>
                    <w:rPr>
                      <w:rFonts w:hint="eastAsia"/>
                      <w:bCs/>
                      <w:color w:val="auto"/>
                      <w:szCs w:val="21"/>
                    </w:rPr>
                    <w:t>m</w:t>
                  </w:r>
                  <w:r>
                    <w:rPr>
                      <w:rFonts w:hint="eastAsia"/>
                      <w:bCs/>
                      <w:color w:val="auto"/>
                      <w:szCs w:val="21"/>
                      <w:vertAlign w:val="superscript"/>
                    </w:rPr>
                    <w:t>2</w:t>
                  </w:r>
                  <w:r>
                    <w:rPr>
                      <w:rFonts w:hint="eastAsia"/>
                      <w:bCs/>
                      <w:color w:val="auto"/>
                      <w:szCs w:val="21"/>
                    </w:rPr>
                    <w:t>，建筑面积</w:t>
                  </w:r>
                  <w:r>
                    <w:rPr>
                      <w:bCs/>
                      <w:color w:val="auto"/>
                      <w:szCs w:val="21"/>
                    </w:rPr>
                    <w:t>5256.23</w:t>
                  </w:r>
                  <w:r>
                    <w:rPr>
                      <w:rFonts w:hint="eastAsia"/>
                      <w:bCs/>
                      <w:color w:val="auto"/>
                      <w:szCs w:val="21"/>
                    </w:rPr>
                    <w:t>m</w:t>
                  </w:r>
                  <w:r>
                    <w:rPr>
                      <w:rFonts w:hint="eastAsia"/>
                      <w:bCs/>
                      <w:color w:val="auto"/>
                      <w:szCs w:val="21"/>
                      <w:vertAlign w:val="superscript"/>
                    </w:rPr>
                    <w:t>2</w:t>
                  </w:r>
                  <w:r>
                    <w:rPr>
                      <w:rFonts w:hint="eastAsia"/>
                      <w:bCs/>
                      <w:color w:val="auto"/>
                      <w:szCs w:val="21"/>
                    </w:rPr>
                    <w:t>，1F，位于厂区西北侧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restart"/>
                  <w:vAlign w:val="center"/>
                </w:tcPr>
                <w:p>
                  <w:pPr>
                    <w:adjustRightInd w:val="0"/>
                    <w:snapToGrid w:val="0"/>
                    <w:jc w:val="center"/>
                    <w:rPr>
                      <w:color w:val="auto"/>
                      <w:szCs w:val="21"/>
                    </w:rPr>
                  </w:pPr>
                  <w:r>
                    <w:rPr>
                      <w:color w:val="auto"/>
                      <w:szCs w:val="21"/>
                    </w:rPr>
                    <w:t>贮运工程</w:t>
                  </w:r>
                </w:p>
              </w:tc>
              <w:tc>
                <w:tcPr>
                  <w:tcW w:w="1659" w:type="pct"/>
                  <w:gridSpan w:val="3"/>
                  <w:vAlign w:val="center"/>
                </w:tcPr>
                <w:p>
                  <w:pPr>
                    <w:adjustRightInd w:val="0"/>
                    <w:snapToGrid w:val="0"/>
                    <w:jc w:val="center"/>
                    <w:rPr>
                      <w:color w:val="auto"/>
                      <w:szCs w:val="21"/>
                    </w:rPr>
                  </w:pPr>
                  <w:r>
                    <w:rPr>
                      <w:rFonts w:hint="eastAsia"/>
                      <w:color w:val="auto"/>
                      <w:szCs w:val="21"/>
                    </w:rPr>
                    <w:t>车间</w:t>
                  </w:r>
                  <w:r>
                    <w:rPr>
                      <w:rFonts w:hint="eastAsia"/>
                      <w:bCs/>
                      <w:color w:val="auto"/>
                      <w:szCs w:val="21"/>
                    </w:rPr>
                    <w:t>一</w:t>
                  </w:r>
                </w:p>
              </w:tc>
              <w:tc>
                <w:tcPr>
                  <w:tcW w:w="999" w:type="pct"/>
                  <w:vAlign w:val="center"/>
                </w:tcPr>
                <w:p>
                  <w:pPr>
                    <w:pStyle w:val="107"/>
                    <w:widowControl w:val="0"/>
                    <w:adjustRightInd w:val="0"/>
                    <w:snapToGrid w:val="0"/>
                    <w:spacing w:before="0" w:beforeAutospacing="0" w:after="0" w:afterAutospacing="0"/>
                    <w:rPr>
                      <w:rFonts w:ascii="Times New Roman" w:hAnsi="Times New Roman"/>
                      <w:color w:val="auto"/>
                      <w:sz w:val="21"/>
                      <w:szCs w:val="21"/>
                    </w:rPr>
                  </w:pPr>
                  <w:r>
                    <w:rPr>
                      <w:rFonts w:hint="eastAsia" w:ascii="Times New Roman" w:hAnsi="Times New Roman"/>
                      <w:color w:val="auto"/>
                      <w:sz w:val="21"/>
                      <w:szCs w:val="21"/>
                    </w:rPr>
                    <w:t>原料仓库面积</w:t>
                  </w:r>
                  <w:r>
                    <w:rPr>
                      <w:rFonts w:ascii="Times New Roman" w:hAnsi="Times New Roman"/>
                      <w:color w:val="auto"/>
                      <w:sz w:val="21"/>
                      <w:szCs w:val="21"/>
                    </w:rPr>
                    <w:t>约3900</w:t>
                  </w:r>
                  <w:r>
                    <w:rPr>
                      <w:rFonts w:ascii="Times New Roman" w:hAnsi="Times New Roman"/>
                      <w:color w:val="auto"/>
                      <w:kern w:val="2"/>
                      <w:sz w:val="21"/>
                      <w:szCs w:val="21"/>
                    </w:rPr>
                    <w:t>m</w:t>
                  </w:r>
                  <w:r>
                    <w:rPr>
                      <w:rFonts w:ascii="Times New Roman" w:hAnsi="Times New Roman"/>
                      <w:color w:val="auto"/>
                      <w:kern w:val="2"/>
                      <w:sz w:val="21"/>
                      <w:szCs w:val="21"/>
                      <w:vertAlign w:val="superscript"/>
                    </w:rPr>
                    <w:t>2</w:t>
                  </w:r>
                  <w:r>
                    <w:rPr>
                      <w:rFonts w:hint="eastAsia" w:ascii="Times New Roman" w:hAnsi="Times New Roman"/>
                      <w:color w:val="auto"/>
                      <w:sz w:val="21"/>
                      <w:szCs w:val="21"/>
                    </w:rPr>
                    <w:t>、成品仓库面积</w:t>
                  </w:r>
                  <w:r>
                    <w:rPr>
                      <w:rFonts w:ascii="Times New Roman" w:hAnsi="Times New Roman"/>
                      <w:color w:val="auto"/>
                      <w:sz w:val="21"/>
                      <w:szCs w:val="21"/>
                    </w:rPr>
                    <w:t>约3900</w:t>
                  </w:r>
                  <w:r>
                    <w:rPr>
                      <w:rFonts w:ascii="Times New Roman" w:hAnsi="Times New Roman"/>
                      <w:color w:val="auto"/>
                      <w:kern w:val="2"/>
                      <w:sz w:val="21"/>
                      <w:szCs w:val="21"/>
                    </w:rPr>
                    <w:t>m</w:t>
                  </w:r>
                  <w:r>
                    <w:rPr>
                      <w:rFonts w:ascii="Times New Roman" w:hAnsi="Times New Roman"/>
                      <w:color w:val="auto"/>
                      <w:kern w:val="2"/>
                      <w:sz w:val="21"/>
                      <w:szCs w:val="21"/>
                      <w:vertAlign w:val="superscript"/>
                    </w:rPr>
                    <w:t>2</w:t>
                  </w:r>
                </w:p>
              </w:tc>
              <w:tc>
                <w:tcPr>
                  <w:tcW w:w="2031" w:type="pct"/>
                  <w:vAlign w:val="center"/>
                </w:tcPr>
                <w:p>
                  <w:pPr>
                    <w:pStyle w:val="107"/>
                    <w:widowControl w:val="0"/>
                    <w:adjustRightInd w:val="0"/>
                    <w:snapToGrid w:val="0"/>
                    <w:spacing w:before="0" w:beforeAutospacing="0" w:after="0" w:afterAutospacing="0"/>
                    <w:rPr>
                      <w:rFonts w:ascii="Times New Roman" w:hAnsi="Times New Roman"/>
                      <w:color w:val="auto"/>
                      <w:sz w:val="21"/>
                      <w:szCs w:val="21"/>
                    </w:rPr>
                  </w:pPr>
                  <w:r>
                    <w:rPr>
                      <w:rFonts w:hint="eastAsia" w:ascii="Times New Roman" w:hAnsi="Times New Roman"/>
                      <w:color w:val="auto"/>
                      <w:sz w:val="21"/>
                      <w:szCs w:val="21"/>
                    </w:rPr>
                    <w:t>原料仓库、成品仓库位于车间一。车间一占地面积</w:t>
                  </w:r>
                  <w:r>
                    <w:rPr>
                      <w:rFonts w:ascii="Times New Roman" w:hAnsi="Times New Roman"/>
                      <w:color w:val="auto"/>
                      <w:sz w:val="21"/>
                      <w:szCs w:val="21"/>
                    </w:rPr>
                    <w:t>7871.27</w:t>
                  </w:r>
                  <w:r>
                    <w:rPr>
                      <w:rFonts w:hint="eastAsia" w:ascii="Times New Roman" w:hAnsi="Times New Roman"/>
                      <w:color w:val="auto"/>
                      <w:sz w:val="21"/>
                      <w:szCs w:val="21"/>
                    </w:rPr>
                    <w:t>m</w:t>
                  </w:r>
                  <w:r>
                    <w:rPr>
                      <w:rFonts w:hint="eastAsia" w:ascii="Times New Roman" w:hAnsi="Times New Roman"/>
                      <w:color w:val="auto"/>
                      <w:sz w:val="21"/>
                      <w:szCs w:val="21"/>
                      <w:vertAlign w:val="superscript"/>
                    </w:rPr>
                    <w:t>2</w:t>
                  </w:r>
                  <w:r>
                    <w:rPr>
                      <w:rFonts w:hint="eastAsia" w:ascii="Times New Roman" w:hAnsi="Times New Roman"/>
                      <w:color w:val="auto"/>
                      <w:sz w:val="21"/>
                      <w:szCs w:val="21"/>
                    </w:rPr>
                    <w:t>，建筑面积</w:t>
                  </w:r>
                  <w:r>
                    <w:rPr>
                      <w:rFonts w:ascii="Times New Roman" w:hAnsi="Times New Roman"/>
                      <w:color w:val="auto"/>
                      <w:sz w:val="21"/>
                      <w:szCs w:val="21"/>
                    </w:rPr>
                    <w:t>7871.27</w:t>
                  </w:r>
                  <w:r>
                    <w:rPr>
                      <w:rFonts w:hint="eastAsia" w:ascii="Times New Roman" w:hAnsi="Times New Roman"/>
                      <w:color w:val="auto"/>
                      <w:sz w:val="21"/>
                      <w:szCs w:val="21"/>
                    </w:rPr>
                    <w:t>m</w:t>
                  </w:r>
                  <w:r>
                    <w:rPr>
                      <w:rFonts w:hint="eastAsia" w:ascii="Times New Roman" w:hAnsi="Times New Roman"/>
                      <w:color w:val="auto"/>
                      <w:sz w:val="21"/>
                      <w:szCs w:val="21"/>
                      <w:vertAlign w:val="superscript"/>
                    </w:rPr>
                    <w:t>2</w:t>
                  </w:r>
                  <w:r>
                    <w:rPr>
                      <w:rFonts w:hint="eastAsia" w:ascii="Times New Roman" w:hAnsi="Times New Roman"/>
                      <w:color w:val="auto"/>
                      <w:sz w:val="21"/>
                      <w:szCs w:val="21"/>
                    </w:rPr>
                    <w:t>，1F，位于厂区南侧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continue"/>
                  <w:vAlign w:val="center"/>
                </w:tcPr>
                <w:p>
                  <w:pPr>
                    <w:adjustRightInd w:val="0"/>
                    <w:snapToGrid w:val="0"/>
                    <w:jc w:val="center"/>
                    <w:rPr>
                      <w:color w:val="auto"/>
                      <w:szCs w:val="21"/>
                    </w:rPr>
                  </w:pPr>
                </w:p>
              </w:tc>
              <w:tc>
                <w:tcPr>
                  <w:tcW w:w="1659" w:type="pct"/>
                  <w:gridSpan w:val="3"/>
                  <w:vAlign w:val="center"/>
                </w:tcPr>
                <w:p>
                  <w:pPr>
                    <w:adjustRightInd w:val="0"/>
                    <w:snapToGrid w:val="0"/>
                    <w:jc w:val="center"/>
                    <w:rPr>
                      <w:color w:val="auto"/>
                    </w:rPr>
                  </w:pPr>
                  <w:r>
                    <w:rPr>
                      <w:color w:val="auto"/>
                    </w:rPr>
                    <w:t>运输</w:t>
                  </w:r>
                </w:p>
              </w:tc>
              <w:tc>
                <w:tcPr>
                  <w:tcW w:w="999" w:type="pct"/>
                  <w:vAlign w:val="center"/>
                </w:tcPr>
                <w:p>
                  <w:pPr>
                    <w:pStyle w:val="107"/>
                    <w:widowControl w:val="0"/>
                    <w:adjustRightInd w:val="0"/>
                    <w:snapToGrid w:val="0"/>
                    <w:spacing w:before="0" w:beforeAutospacing="0" w:after="0" w:afterAutospacing="0"/>
                    <w:rPr>
                      <w:rFonts w:ascii="Times New Roman" w:hAnsi="Times New Roman"/>
                      <w:color w:val="auto"/>
                      <w:kern w:val="2"/>
                      <w:sz w:val="21"/>
                      <w:szCs w:val="21"/>
                    </w:rPr>
                  </w:pPr>
                  <w:r>
                    <w:rPr>
                      <w:rFonts w:ascii="Times New Roman" w:hAnsi="Times New Roman"/>
                      <w:color w:val="auto"/>
                      <w:sz w:val="21"/>
                    </w:rPr>
                    <w:t>/</w:t>
                  </w:r>
                </w:p>
              </w:tc>
              <w:tc>
                <w:tcPr>
                  <w:tcW w:w="2031" w:type="pct"/>
                  <w:vAlign w:val="center"/>
                </w:tcPr>
                <w:p>
                  <w:pPr>
                    <w:pStyle w:val="107"/>
                    <w:widowControl w:val="0"/>
                    <w:adjustRightInd w:val="0"/>
                    <w:snapToGrid w:val="0"/>
                    <w:spacing w:before="0" w:beforeAutospacing="0" w:after="0" w:afterAutospacing="0"/>
                    <w:rPr>
                      <w:rFonts w:ascii="Times New Roman" w:hAnsi="Times New Roman"/>
                      <w:color w:val="auto"/>
                      <w:sz w:val="21"/>
                    </w:rPr>
                  </w:pPr>
                  <w:r>
                    <w:rPr>
                      <w:rFonts w:ascii="Times New Roman" w:hAnsi="Times New Roman"/>
                      <w:color w:val="auto"/>
                      <w:sz w:val="21"/>
                    </w:rPr>
                    <w:t>汽运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restart"/>
                  <w:vAlign w:val="center"/>
                </w:tcPr>
                <w:p>
                  <w:pPr>
                    <w:adjustRightInd w:val="0"/>
                    <w:snapToGrid w:val="0"/>
                    <w:jc w:val="center"/>
                    <w:rPr>
                      <w:color w:val="auto"/>
                      <w:szCs w:val="21"/>
                    </w:rPr>
                  </w:pPr>
                  <w:r>
                    <w:rPr>
                      <w:color w:val="auto"/>
                      <w:szCs w:val="21"/>
                    </w:rPr>
                    <w:t>公用工程</w:t>
                  </w:r>
                </w:p>
              </w:tc>
              <w:tc>
                <w:tcPr>
                  <w:tcW w:w="1659" w:type="pct"/>
                  <w:gridSpan w:val="3"/>
                  <w:vAlign w:val="center"/>
                </w:tcPr>
                <w:p>
                  <w:pPr>
                    <w:adjustRightInd w:val="0"/>
                    <w:snapToGrid w:val="0"/>
                    <w:jc w:val="center"/>
                    <w:rPr>
                      <w:color w:val="auto"/>
                      <w:szCs w:val="21"/>
                    </w:rPr>
                  </w:pPr>
                  <w:r>
                    <w:rPr>
                      <w:color w:val="auto"/>
                      <w:szCs w:val="21"/>
                    </w:rPr>
                    <w:t>给水</w:t>
                  </w:r>
                </w:p>
              </w:tc>
              <w:tc>
                <w:tcPr>
                  <w:tcW w:w="999" w:type="pct"/>
                  <w:vAlign w:val="center"/>
                </w:tcPr>
                <w:p>
                  <w:pPr>
                    <w:adjustRightInd w:val="0"/>
                    <w:snapToGrid w:val="0"/>
                    <w:jc w:val="center"/>
                    <w:rPr>
                      <w:color w:val="auto"/>
                      <w:szCs w:val="21"/>
                    </w:rPr>
                  </w:pPr>
                  <w:r>
                    <w:rPr>
                      <w:rFonts w:hint="eastAsia"/>
                      <w:color w:val="auto"/>
                      <w:szCs w:val="21"/>
                      <w:lang w:val="en-US" w:eastAsia="zh-CN"/>
                    </w:rPr>
                    <w:t>1765</w:t>
                  </w:r>
                  <w:r>
                    <w:rPr>
                      <w:color w:val="auto"/>
                      <w:szCs w:val="21"/>
                    </w:rPr>
                    <w:t>t/a</w:t>
                  </w:r>
                </w:p>
              </w:tc>
              <w:tc>
                <w:tcPr>
                  <w:tcW w:w="2031" w:type="pct"/>
                  <w:vAlign w:val="center"/>
                </w:tcPr>
                <w:p>
                  <w:pPr>
                    <w:adjustRightInd w:val="0"/>
                    <w:snapToGrid w:val="0"/>
                    <w:jc w:val="center"/>
                    <w:rPr>
                      <w:color w:val="auto"/>
                      <w:szCs w:val="21"/>
                    </w:rPr>
                  </w:pPr>
                  <w:r>
                    <w:rPr>
                      <w:color w:val="auto"/>
                    </w:rPr>
                    <w:t>由</w:t>
                  </w:r>
                  <w:r>
                    <w:rPr>
                      <w:rFonts w:hint="eastAsia"/>
                      <w:color w:val="auto"/>
                      <w:szCs w:val="21"/>
                    </w:rPr>
                    <w:t>市政自来水</w:t>
                  </w:r>
                  <w:r>
                    <w:rPr>
                      <w:color w:val="auto"/>
                      <w:szCs w:val="21"/>
                    </w:rPr>
                    <w:t>管网供给</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continue"/>
                  <w:vAlign w:val="center"/>
                </w:tcPr>
                <w:p>
                  <w:pPr>
                    <w:adjustRightInd w:val="0"/>
                    <w:snapToGrid w:val="0"/>
                    <w:jc w:val="center"/>
                    <w:rPr>
                      <w:color w:val="auto"/>
                      <w:szCs w:val="21"/>
                    </w:rPr>
                  </w:pPr>
                </w:p>
              </w:tc>
              <w:tc>
                <w:tcPr>
                  <w:tcW w:w="1659" w:type="pct"/>
                  <w:gridSpan w:val="3"/>
                  <w:vAlign w:val="center"/>
                </w:tcPr>
                <w:p>
                  <w:pPr>
                    <w:adjustRightInd w:val="0"/>
                    <w:snapToGrid w:val="0"/>
                    <w:jc w:val="center"/>
                    <w:rPr>
                      <w:color w:val="auto"/>
                      <w:szCs w:val="21"/>
                    </w:rPr>
                  </w:pPr>
                  <w:r>
                    <w:rPr>
                      <w:color w:val="auto"/>
                      <w:szCs w:val="21"/>
                    </w:rPr>
                    <w:t>排水</w:t>
                  </w:r>
                </w:p>
              </w:tc>
              <w:tc>
                <w:tcPr>
                  <w:tcW w:w="999" w:type="pct"/>
                  <w:vAlign w:val="center"/>
                </w:tcPr>
                <w:p>
                  <w:pPr>
                    <w:adjustRightInd w:val="0"/>
                    <w:snapToGrid w:val="0"/>
                    <w:jc w:val="center"/>
                    <w:rPr>
                      <w:color w:val="auto"/>
                    </w:rPr>
                  </w:pPr>
                  <w:r>
                    <w:rPr>
                      <w:color w:val="auto"/>
                    </w:rPr>
                    <w:t>生活污水900t/a</w:t>
                  </w:r>
                  <w:r>
                    <w:rPr>
                      <w:rFonts w:hint="eastAsia"/>
                      <w:color w:val="auto"/>
                    </w:rPr>
                    <w:t>、</w:t>
                  </w:r>
                  <w:r>
                    <w:rPr>
                      <w:color w:val="auto"/>
                    </w:rPr>
                    <w:t>冷却排水</w:t>
                  </w:r>
                  <w:r>
                    <w:rPr>
                      <w:rFonts w:hint="eastAsia"/>
                      <w:color w:val="auto"/>
                      <w:lang w:val="en-US" w:eastAsia="zh-CN"/>
                    </w:rPr>
                    <w:t>77</w:t>
                  </w:r>
                  <w:r>
                    <w:rPr>
                      <w:color w:val="auto"/>
                    </w:rPr>
                    <w:t>t/a</w:t>
                  </w:r>
                </w:p>
              </w:tc>
              <w:tc>
                <w:tcPr>
                  <w:tcW w:w="2031" w:type="pct"/>
                  <w:vAlign w:val="center"/>
                </w:tcPr>
                <w:p>
                  <w:pPr>
                    <w:adjustRightInd w:val="0"/>
                    <w:snapToGrid w:val="0"/>
                    <w:jc w:val="center"/>
                    <w:rPr>
                      <w:color w:val="auto"/>
                      <w:szCs w:val="21"/>
                    </w:rPr>
                  </w:pPr>
                  <w:r>
                    <w:rPr>
                      <w:rFonts w:hint="eastAsia"/>
                      <w:snapToGrid w:val="0"/>
                      <w:color w:val="auto"/>
                      <w:kern w:val="0"/>
                    </w:rPr>
                    <w:t>厂区</w:t>
                  </w:r>
                  <w:r>
                    <w:rPr>
                      <w:snapToGrid w:val="0"/>
                      <w:color w:val="auto"/>
                      <w:kern w:val="0"/>
                    </w:rPr>
                    <w:t>实行雨污分流，</w:t>
                  </w:r>
                  <w:r>
                    <w:rPr>
                      <w:rFonts w:hint="eastAsia"/>
                      <w:snapToGrid w:val="0"/>
                      <w:color w:val="auto"/>
                      <w:kern w:val="0"/>
                    </w:rPr>
                    <w:t>冷却排水与经</w:t>
                  </w:r>
                  <w:r>
                    <w:rPr>
                      <w:snapToGrid w:val="0"/>
                      <w:color w:val="auto"/>
                      <w:kern w:val="0"/>
                    </w:rPr>
                    <w:t>化粪池预处理后</w:t>
                  </w:r>
                  <w:r>
                    <w:rPr>
                      <w:rFonts w:hint="eastAsia"/>
                      <w:snapToGrid w:val="0"/>
                      <w:color w:val="auto"/>
                      <w:kern w:val="0"/>
                    </w:rPr>
                    <w:t>的生活污水一起</w:t>
                  </w:r>
                  <w:r>
                    <w:rPr>
                      <w:snapToGrid w:val="0"/>
                      <w:color w:val="auto"/>
                      <w:kern w:val="0"/>
                    </w:rPr>
                    <w:t>接管至</w:t>
                  </w:r>
                  <w:r>
                    <w:rPr>
                      <w:color w:val="auto"/>
                      <w:szCs w:val="21"/>
                    </w:rPr>
                    <w:t>无锡玉祁永新污水处理有限公司</w:t>
                  </w:r>
                  <w:r>
                    <w:rPr>
                      <w:color w:val="auto"/>
                      <w:szCs w:val="22"/>
                    </w:rPr>
                    <w:t>集中处</w:t>
                  </w:r>
                  <w:r>
                    <w:rPr>
                      <w:snapToGrid w:val="0"/>
                      <w:color w:val="auto"/>
                      <w:kern w:val="0"/>
                    </w:rPr>
                    <w:t>理</w:t>
                  </w:r>
                  <w:r>
                    <w:rPr>
                      <w:rFonts w:hint="eastAsia"/>
                      <w:snapToGrid w:val="0"/>
                      <w:color w:val="auto"/>
                      <w:kern w:val="0"/>
                    </w:rPr>
                    <w:t>。</w:t>
                  </w:r>
                  <w:r>
                    <w:rPr>
                      <w:snapToGrid w:val="0"/>
                      <w:color w:val="auto"/>
                      <w:kern w:val="0"/>
                    </w:rPr>
                    <w:t>厂区共</w:t>
                  </w:r>
                  <w:r>
                    <w:rPr>
                      <w:rFonts w:hint="eastAsia"/>
                      <w:snapToGrid w:val="0"/>
                      <w:color w:val="auto"/>
                      <w:kern w:val="0"/>
                    </w:rPr>
                    <w:t>设置1个</w:t>
                  </w:r>
                  <w:r>
                    <w:rPr>
                      <w:snapToGrid w:val="0"/>
                      <w:color w:val="auto"/>
                      <w:kern w:val="0"/>
                    </w:rPr>
                    <w:t>污水排放口、1</w:t>
                  </w:r>
                  <w:r>
                    <w:rPr>
                      <w:rFonts w:hint="eastAsia"/>
                      <w:snapToGrid w:val="0"/>
                      <w:color w:val="auto"/>
                      <w:kern w:val="0"/>
                    </w:rPr>
                    <w:t>个</w:t>
                  </w:r>
                  <w:r>
                    <w:rPr>
                      <w:snapToGrid w:val="0"/>
                      <w:color w:val="auto"/>
                      <w:kern w:val="0"/>
                    </w:rPr>
                    <w:t>雨水排放口</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continue"/>
                  <w:vAlign w:val="center"/>
                </w:tcPr>
                <w:p>
                  <w:pPr>
                    <w:adjustRightInd w:val="0"/>
                    <w:snapToGrid w:val="0"/>
                    <w:jc w:val="center"/>
                    <w:rPr>
                      <w:color w:val="auto"/>
                      <w:szCs w:val="21"/>
                    </w:rPr>
                  </w:pPr>
                </w:p>
              </w:tc>
              <w:tc>
                <w:tcPr>
                  <w:tcW w:w="1659" w:type="pct"/>
                  <w:gridSpan w:val="3"/>
                  <w:vAlign w:val="center"/>
                </w:tcPr>
                <w:p>
                  <w:pPr>
                    <w:adjustRightInd w:val="0"/>
                    <w:snapToGrid w:val="0"/>
                    <w:jc w:val="center"/>
                    <w:rPr>
                      <w:color w:val="auto"/>
                      <w:szCs w:val="21"/>
                    </w:rPr>
                  </w:pPr>
                  <w:r>
                    <w:rPr>
                      <w:color w:val="auto"/>
                      <w:szCs w:val="21"/>
                    </w:rPr>
                    <w:t>供电</w:t>
                  </w:r>
                </w:p>
              </w:tc>
              <w:tc>
                <w:tcPr>
                  <w:tcW w:w="999" w:type="pct"/>
                  <w:vAlign w:val="center"/>
                </w:tcPr>
                <w:p>
                  <w:pPr>
                    <w:adjustRightInd w:val="0"/>
                    <w:snapToGrid w:val="0"/>
                    <w:jc w:val="center"/>
                    <w:rPr>
                      <w:color w:val="auto"/>
                      <w:szCs w:val="21"/>
                    </w:rPr>
                  </w:pPr>
                  <w:r>
                    <w:rPr>
                      <w:color w:val="auto"/>
                      <w:szCs w:val="21"/>
                    </w:rPr>
                    <w:t>60</w:t>
                  </w:r>
                  <w:r>
                    <w:rPr>
                      <w:rFonts w:hint="eastAsia"/>
                      <w:color w:val="auto"/>
                      <w:szCs w:val="21"/>
                    </w:rPr>
                    <w:t>万</w:t>
                  </w:r>
                  <w:r>
                    <w:rPr>
                      <w:color w:val="auto"/>
                      <w:szCs w:val="21"/>
                    </w:rPr>
                    <w:t>kWh/a</w:t>
                  </w:r>
                </w:p>
              </w:tc>
              <w:tc>
                <w:tcPr>
                  <w:tcW w:w="2031" w:type="pct"/>
                  <w:vAlign w:val="center"/>
                </w:tcPr>
                <w:p>
                  <w:pPr>
                    <w:adjustRightInd w:val="0"/>
                    <w:snapToGrid w:val="0"/>
                    <w:jc w:val="center"/>
                    <w:rPr>
                      <w:color w:val="auto"/>
                      <w:szCs w:val="21"/>
                    </w:rPr>
                  </w:pPr>
                  <w:r>
                    <w:rPr>
                      <w:color w:val="auto"/>
                    </w:rPr>
                    <w:t>由市政电网统一供电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continue"/>
                  <w:vAlign w:val="center"/>
                </w:tcPr>
                <w:p>
                  <w:pPr>
                    <w:adjustRightInd w:val="0"/>
                    <w:snapToGrid w:val="0"/>
                    <w:jc w:val="center"/>
                    <w:rPr>
                      <w:color w:val="auto"/>
                      <w:szCs w:val="21"/>
                    </w:rPr>
                  </w:pPr>
                </w:p>
              </w:tc>
              <w:tc>
                <w:tcPr>
                  <w:tcW w:w="1659" w:type="pct"/>
                  <w:gridSpan w:val="3"/>
                  <w:vAlign w:val="center"/>
                </w:tcPr>
                <w:p>
                  <w:pPr>
                    <w:adjustRightInd w:val="0"/>
                    <w:snapToGrid w:val="0"/>
                    <w:jc w:val="center"/>
                    <w:rPr>
                      <w:color w:val="auto"/>
                      <w:szCs w:val="21"/>
                    </w:rPr>
                  </w:pPr>
                  <w:r>
                    <w:rPr>
                      <w:color w:val="auto"/>
                      <w:szCs w:val="21"/>
                    </w:rPr>
                    <w:t>供气</w:t>
                  </w:r>
                </w:p>
              </w:tc>
              <w:tc>
                <w:tcPr>
                  <w:tcW w:w="999" w:type="pct"/>
                  <w:vAlign w:val="center"/>
                </w:tcPr>
                <w:p>
                  <w:pPr>
                    <w:adjustRightInd w:val="0"/>
                    <w:snapToGrid w:val="0"/>
                    <w:jc w:val="center"/>
                    <w:rPr>
                      <w:color w:val="auto"/>
                    </w:rPr>
                  </w:pPr>
                  <w:r>
                    <w:rPr>
                      <w:rFonts w:hint="eastAsia"/>
                      <w:color w:val="auto"/>
                      <w:szCs w:val="18"/>
                    </w:rPr>
                    <w:t>24</w:t>
                  </w:r>
                  <w:r>
                    <w:rPr>
                      <w:color w:val="auto"/>
                      <w:szCs w:val="18"/>
                    </w:rPr>
                    <w:t>万m</w:t>
                  </w:r>
                  <w:r>
                    <w:rPr>
                      <w:color w:val="auto"/>
                      <w:szCs w:val="18"/>
                      <w:vertAlign w:val="superscript"/>
                    </w:rPr>
                    <w:t>3</w:t>
                  </w:r>
                  <w:r>
                    <w:rPr>
                      <w:color w:val="auto"/>
                      <w:szCs w:val="18"/>
                    </w:rPr>
                    <w:t>/a</w:t>
                  </w:r>
                </w:p>
              </w:tc>
              <w:tc>
                <w:tcPr>
                  <w:tcW w:w="2031" w:type="pct"/>
                  <w:vAlign w:val="center"/>
                </w:tcPr>
                <w:p>
                  <w:pPr>
                    <w:adjustRightInd w:val="0"/>
                    <w:snapToGrid w:val="0"/>
                    <w:jc w:val="center"/>
                    <w:rPr>
                      <w:color w:val="auto"/>
                    </w:rPr>
                  </w:pPr>
                  <w:r>
                    <w:rPr>
                      <w:color w:val="auto"/>
                    </w:rPr>
                    <w:t>由市政天然气管网统一供气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restart"/>
                  <w:vAlign w:val="center"/>
                </w:tcPr>
                <w:p>
                  <w:pPr>
                    <w:adjustRightInd w:val="0"/>
                    <w:snapToGrid w:val="0"/>
                    <w:jc w:val="center"/>
                    <w:rPr>
                      <w:color w:val="auto"/>
                      <w:szCs w:val="21"/>
                    </w:rPr>
                  </w:pPr>
                  <w:r>
                    <w:rPr>
                      <w:color w:val="auto"/>
                    </w:rPr>
                    <w:t>环保工程</w:t>
                  </w:r>
                </w:p>
              </w:tc>
              <w:tc>
                <w:tcPr>
                  <w:tcW w:w="601" w:type="pct"/>
                  <w:vMerge w:val="restart"/>
                  <w:vAlign w:val="center"/>
                </w:tcPr>
                <w:p>
                  <w:pPr>
                    <w:adjustRightInd w:val="0"/>
                    <w:snapToGrid w:val="0"/>
                    <w:jc w:val="center"/>
                    <w:rPr>
                      <w:color w:val="auto"/>
                      <w:szCs w:val="21"/>
                    </w:rPr>
                  </w:pPr>
                  <w:r>
                    <w:rPr>
                      <w:color w:val="auto"/>
                      <w:szCs w:val="21"/>
                    </w:rPr>
                    <w:t>废气处理</w:t>
                  </w:r>
                </w:p>
              </w:tc>
              <w:tc>
                <w:tcPr>
                  <w:tcW w:w="1057" w:type="pct"/>
                  <w:gridSpan w:val="2"/>
                  <w:vAlign w:val="center"/>
                </w:tcPr>
                <w:p>
                  <w:pPr>
                    <w:adjustRightInd w:val="0"/>
                    <w:snapToGrid w:val="0"/>
                    <w:jc w:val="center"/>
                    <w:rPr>
                      <w:color w:val="auto"/>
                      <w:szCs w:val="21"/>
                    </w:rPr>
                  </w:pPr>
                  <w:r>
                    <w:rPr>
                      <w:rFonts w:hint="eastAsia"/>
                      <w:color w:val="auto"/>
                      <w:szCs w:val="21"/>
                    </w:rPr>
                    <w:t>热压废气</w:t>
                  </w:r>
                </w:p>
              </w:tc>
              <w:tc>
                <w:tcPr>
                  <w:tcW w:w="999" w:type="pct"/>
                  <w:vAlign w:val="center"/>
                </w:tcPr>
                <w:p>
                  <w:pPr>
                    <w:adjustRightInd w:val="0"/>
                    <w:snapToGrid w:val="0"/>
                    <w:jc w:val="center"/>
                    <w:rPr>
                      <w:color w:val="auto"/>
                    </w:rPr>
                  </w:pPr>
                  <w:r>
                    <w:rPr>
                      <w:rFonts w:hint="eastAsia"/>
                      <w:color w:val="auto"/>
                      <w:szCs w:val="21"/>
                    </w:rPr>
                    <w:t>二级活性炭吸附</w:t>
                  </w:r>
                  <w:r>
                    <w:rPr>
                      <w:color w:val="auto"/>
                      <w:szCs w:val="21"/>
                    </w:rPr>
                    <w:t>装置</w:t>
                  </w:r>
                  <w:r>
                    <w:rPr>
                      <w:rFonts w:hint="eastAsia"/>
                      <w:color w:val="auto"/>
                      <w:szCs w:val="21"/>
                      <w:lang w:val="en-US" w:eastAsia="zh-CN"/>
                    </w:rPr>
                    <w:t>25</w:t>
                  </w:r>
                  <w:r>
                    <w:rPr>
                      <w:color w:val="auto"/>
                      <w:szCs w:val="21"/>
                    </w:rPr>
                    <w:t>000m</w:t>
                  </w:r>
                  <w:r>
                    <w:rPr>
                      <w:color w:val="auto"/>
                      <w:szCs w:val="21"/>
                      <w:vertAlign w:val="superscript"/>
                    </w:rPr>
                    <w:t>3</w:t>
                  </w:r>
                  <w:r>
                    <w:rPr>
                      <w:color w:val="auto"/>
                      <w:szCs w:val="21"/>
                    </w:rPr>
                    <w:t>/h</w:t>
                  </w:r>
                </w:p>
              </w:tc>
              <w:tc>
                <w:tcPr>
                  <w:tcW w:w="2031" w:type="pct"/>
                  <w:vAlign w:val="center"/>
                </w:tcPr>
                <w:p>
                  <w:pPr>
                    <w:adjustRightInd w:val="0"/>
                    <w:snapToGrid w:val="0"/>
                    <w:jc w:val="center"/>
                    <w:rPr>
                      <w:color w:val="auto"/>
                    </w:rPr>
                  </w:pPr>
                  <w:r>
                    <w:rPr>
                      <w:color w:val="auto"/>
                    </w:rPr>
                    <w:t>经</w:t>
                  </w:r>
                  <w:r>
                    <w:rPr>
                      <w:rFonts w:hint="eastAsia"/>
                      <w:color w:val="auto"/>
                      <w:szCs w:val="21"/>
                    </w:rPr>
                    <w:t>二级活性炭吸附装置</w:t>
                  </w:r>
                  <w:r>
                    <w:rPr>
                      <w:color w:val="auto"/>
                      <w:szCs w:val="21"/>
                    </w:rPr>
                    <w:t>处理后</w:t>
                  </w:r>
                  <w:r>
                    <w:rPr>
                      <w:color w:val="auto"/>
                    </w:rPr>
                    <w:t>通过</w:t>
                  </w:r>
                  <w:r>
                    <w:rPr>
                      <w:color w:val="auto"/>
                      <w:szCs w:val="21"/>
                    </w:rPr>
                    <w:t>15m高排气筒DA001排放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continue"/>
                  <w:vAlign w:val="center"/>
                </w:tcPr>
                <w:p>
                  <w:pPr>
                    <w:adjustRightInd w:val="0"/>
                    <w:snapToGrid w:val="0"/>
                    <w:jc w:val="center"/>
                    <w:rPr>
                      <w:color w:val="auto"/>
                      <w:szCs w:val="21"/>
                    </w:rPr>
                  </w:pPr>
                </w:p>
              </w:tc>
              <w:tc>
                <w:tcPr>
                  <w:tcW w:w="601" w:type="pct"/>
                  <w:vMerge w:val="continue"/>
                  <w:vAlign w:val="center"/>
                </w:tcPr>
                <w:p>
                  <w:pPr>
                    <w:adjustRightInd w:val="0"/>
                    <w:snapToGrid w:val="0"/>
                    <w:jc w:val="center"/>
                    <w:rPr>
                      <w:color w:val="auto"/>
                      <w:szCs w:val="21"/>
                    </w:rPr>
                  </w:pPr>
                </w:p>
              </w:tc>
              <w:tc>
                <w:tcPr>
                  <w:tcW w:w="1057" w:type="pct"/>
                  <w:gridSpan w:val="2"/>
                  <w:vAlign w:val="center"/>
                </w:tcPr>
                <w:p>
                  <w:pPr>
                    <w:adjustRightInd w:val="0"/>
                    <w:snapToGrid w:val="0"/>
                    <w:jc w:val="center"/>
                    <w:rPr>
                      <w:color w:val="auto"/>
                      <w:szCs w:val="21"/>
                    </w:rPr>
                  </w:pPr>
                  <w:r>
                    <w:rPr>
                      <w:rFonts w:hint="eastAsia"/>
                      <w:color w:val="auto"/>
                      <w:szCs w:val="21"/>
                    </w:rPr>
                    <w:t>天然气燃烧废气</w:t>
                  </w:r>
                </w:p>
              </w:tc>
              <w:tc>
                <w:tcPr>
                  <w:tcW w:w="999" w:type="pct"/>
                  <w:vAlign w:val="center"/>
                </w:tcPr>
                <w:p>
                  <w:pPr>
                    <w:adjustRightInd w:val="0"/>
                    <w:snapToGrid w:val="0"/>
                    <w:jc w:val="center"/>
                    <w:rPr>
                      <w:color w:val="auto"/>
                    </w:rPr>
                  </w:pPr>
                  <w:r>
                    <w:rPr>
                      <w:rFonts w:hint="eastAsia"/>
                      <w:color w:val="auto"/>
                    </w:rPr>
                    <w:t>/</w:t>
                  </w:r>
                </w:p>
              </w:tc>
              <w:tc>
                <w:tcPr>
                  <w:tcW w:w="2031" w:type="pct"/>
                  <w:vAlign w:val="center"/>
                </w:tcPr>
                <w:p>
                  <w:pPr>
                    <w:adjustRightInd w:val="0"/>
                    <w:snapToGrid w:val="0"/>
                    <w:jc w:val="center"/>
                    <w:rPr>
                      <w:color w:val="auto"/>
                    </w:rPr>
                  </w:pPr>
                  <w:r>
                    <w:rPr>
                      <w:rFonts w:hint="eastAsia"/>
                      <w:color w:val="auto"/>
                      <w:szCs w:val="21"/>
                    </w:rPr>
                    <w:t>直接</w:t>
                  </w:r>
                  <w:r>
                    <w:rPr>
                      <w:color w:val="auto"/>
                    </w:rPr>
                    <w:t>通过</w:t>
                  </w:r>
                  <w:r>
                    <w:rPr>
                      <w:color w:val="auto"/>
                      <w:szCs w:val="21"/>
                    </w:rPr>
                    <w:t>15m高排气筒DA002排放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continue"/>
                  <w:vAlign w:val="center"/>
                </w:tcPr>
                <w:p>
                  <w:pPr>
                    <w:adjustRightInd w:val="0"/>
                    <w:snapToGrid w:val="0"/>
                    <w:jc w:val="center"/>
                    <w:rPr>
                      <w:color w:val="auto"/>
                      <w:szCs w:val="21"/>
                    </w:rPr>
                  </w:pPr>
                </w:p>
              </w:tc>
              <w:tc>
                <w:tcPr>
                  <w:tcW w:w="601" w:type="pct"/>
                  <w:vAlign w:val="center"/>
                </w:tcPr>
                <w:p>
                  <w:pPr>
                    <w:adjustRightInd w:val="0"/>
                    <w:snapToGrid w:val="0"/>
                    <w:jc w:val="center"/>
                    <w:rPr>
                      <w:color w:val="auto"/>
                      <w:szCs w:val="21"/>
                    </w:rPr>
                  </w:pPr>
                  <w:r>
                    <w:rPr>
                      <w:color w:val="auto"/>
                      <w:szCs w:val="21"/>
                    </w:rPr>
                    <w:t>废水处理</w:t>
                  </w:r>
                </w:p>
              </w:tc>
              <w:tc>
                <w:tcPr>
                  <w:tcW w:w="514" w:type="pct"/>
                  <w:vAlign w:val="center"/>
                </w:tcPr>
                <w:p>
                  <w:pPr>
                    <w:pStyle w:val="56"/>
                    <w:adjustRightInd w:val="0"/>
                    <w:snapToGrid w:val="0"/>
                    <w:spacing w:line="240" w:lineRule="auto"/>
                    <w:rPr>
                      <w:color w:val="auto"/>
                    </w:rPr>
                  </w:pPr>
                  <w:r>
                    <w:rPr>
                      <w:color w:val="auto"/>
                    </w:rPr>
                    <w:t>生活污水</w:t>
                  </w:r>
                </w:p>
              </w:tc>
              <w:tc>
                <w:tcPr>
                  <w:tcW w:w="543" w:type="pct"/>
                  <w:vAlign w:val="center"/>
                </w:tcPr>
                <w:p>
                  <w:pPr>
                    <w:pStyle w:val="56"/>
                    <w:adjustRightInd w:val="0"/>
                    <w:snapToGrid w:val="0"/>
                    <w:spacing w:line="240" w:lineRule="auto"/>
                    <w:rPr>
                      <w:color w:val="auto"/>
                    </w:rPr>
                  </w:pPr>
                  <w:r>
                    <w:rPr>
                      <w:rFonts w:hint="eastAsia"/>
                      <w:color w:val="auto"/>
                    </w:rPr>
                    <w:t>化粪池</w:t>
                  </w:r>
                </w:p>
              </w:tc>
              <w:tc>
                <w:tcPr>
                  <w:tcW w:w="999" w:type="pct"/>
                  <w:vAlign w:val="center"/>
                </w:tcPr>
                <w:p>
                  <w:pPr>
                    <w:pStyle w:val="9"/>
                    <w:jc w:val="center"/>
                    <w:rPr>
                      <w:color w:val="auto"/>
                      <w:sz w:val="21"/>
                      <w:szCs w:val="21"/>
                    </w:rPr>
                  </w:pPr>
                  <w:r>
                    <w:rPr>
                      <w:color w:val="auto"/>
                      <w:sz w:val="21"/>
                      <w:szCs w:val="21"/>
                    </w:rPr>
                    <w:t>54m</w:t>
                  </w:r>
                  <w:r>
                    <w:rPr>
                      <w:color w:val="auto"/>
                      <w:sz w:val="21"/>
                      <w:szCs w:val="21"/>
                      <w:vertAlign w:val="superscript"/>
                    </w:rPr>
                    <w:t>3</w:t>
                  </w:r>
                  <w:r>
                    <w:rPr>
                      <w:rFonts w:hint="eastAsia"/>
                      <w:color w:val="auto"/>
                      <w:sz w:val="21"/>
                      <w:szCs w:val="21"/>
                    </w:rPr>
                    <w:t>，</w:t>
                  </w:r>
                  <w:r>
                    <w:rPr>
                      <w:color w:val="auto"/>
                      <w:sz w:val="21"/>
                      <w:szCs w:val="21"/>
                    </w:rPr>
                    <w:t>处理能力</w:t>
                  </w:r>
                  <w:r>
                    <w:rPr>
                      <w:rFonts w:hint="eastAsia"/>
                      <w:color w:val="auto"/>
                      <w:sz w:val="21"/>
                      <w:szCs w:val="21"/>
                    </w:rPr>
                    <w:t>10</w:t>
                  </w:r>
                  <w:r>
                    <w:rPr>
                      <w:color w:val="auto"/>
                      <w:sz w:val="21"/>
                      <w:szCs w:val="21"/>
                    </w:rPr>
                    <w:t>t/a</w:t>
                  </w:r>
                </w:p>
              </w:tc>
              <w:tc>
                <w:tcPr>
                  <w:tcW w:w="2031" w:type="pct"/>
                  <w:vAlign w:val="center"/>
                </w:tcPr>
                <w:p>
                  <w:pPr>
                    <w:pStyle w:val="56"/>
                    <w:adjustRightInd w:val="0"/>
                    <w:snapToGrid w:val="0"/>
                    <w:spacing w:line="240" w:lineRule="auto"/>
                    <w:rPr>
                      <w:color w:val="auto"/>
                    </w:rPr>
                  </w:pPr>
                  <w:r>
                    <w:rPr>
                      <w:rFonts w:hint="eastAsia"/>
                      <w:snapToGrid w:val="0"/>
                      <w:color w:val="auto"/>
                      <w:kern w:val="0"/>
                    </w:rPr>
                    <w:t>生活污水预处理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continue"/>
                  <w:vAlign w:val="center"/>
                </w:tcPr>
                <w:p>
                  <w:pPr>
                    <w:adjustRightInd w:val="0"/>
                    <w:snapToGrid w:val="0"/>
                    <w:jc w:val="center"/>
                    <w:rPr>
                      <w:color w:val="auto"/>
                      <w:szCs w:val="21"/>
                    </w:rPr>
                  </w:pPr>
                </w:p>
              </w:tc>
              <w:tc>
                <w:tcPr>
                  <w:tcW w:w="1659" w:type="pct"/>
                  <w:gridSpan w:val="3"/>
                  <w:vAlign w:val="center"/>
                </w:tcPr>
                <w:p>
                  <w:pPr>
                    <w:snapToGrid w:val="0"/>
                    <w:jc w:val="center"/>
                    <w:rPr>
                      <w:snapToGrid w:val="0"/>
                      <w:color w:val="auto"/>
                      <w:kern w:val="0"/>
                      <w:szCs w:val="21"/>
                    </w:rPr>
                  </w:pPr>
                  <w:r>
                    <w:rPr>
                      <w:color w:val="auto"/>
                      <w:szCs w:val="21"/>
                    </w:rPr>
                    <w:t>噪声治理</w:t>
                  </w:r>
                </w:p>
              </w:tc>
              <w:tc>
                <w:tcPr>
                  <w:tcW w:w="999" w:type="pct"/>
                  <w:vAlign w:val="center"/>
                </w:tcPr>
                <w:p>
                  <w:pPr>
                    <w:adjustRightInd w:val="0"/>
                    <w:snapToGrid w:val="0"/>
                    <w:jc w:val="center"/>
                    <w:rPr>
                      <w:snapToGrid w:val="0"/>
                      <w:color w:val="auto"/>
                      <w:kern w:val="0"/>
                      <w:szCs w:val="21"/>
                    </w:rPr>
                  </w:pPr>
                  <w:r>
                    <w:rPr>
                      <w:rFonts w:hint="eastAsia"/>
                      <w:snapToGrid w:val="0"/>
                      <w:color w:val="auto"/>
                      <w:kern w:val="0"/>
                      <w:szCs w:val="21"/>
                    </w:rPr>
                    <w:t>/</w:t>
                  </w:r>
                </w:p>
              </w:tc>
              <w:tc>
                <w:tcPr>
                  <w:tcW w:w="2031" w:type="pct"/>
                  <w:vAlign w:val="center"/>
                </w:tcPr>
                <w:p>
                  <w:pPr>
                    <w:jc w:val="center"/>
                    <w:rPr>
                      <w:snapToGrid w:val="0"/>
                      <w:color w:val="auto"/>
                      <w:kern w:val="0"/>
                      <w:szCs w:val="21"/>
                    </w:rPr>
                  </w:pPr>
                  <w:r>
                    <w:rPr>
                      <w:rFonts w:hint="eastAsia"/>
                      <w:snapToGrid w:val="0"/>
                      <w:color w:val="auto"/>
                      <w:kern w:val="0"/>
                      <w:szCs w:val="21"/>
                    </w:rPr>
                    <w:t>通过</w:t>
                  </w:r>
                  <w:r>
                    <w:rPr>
                      <w:snapToGrid w:val="0"/>
                      <w:color w:val="auto"/>
                      <w:kern w:val="0"/>
                      <w:szCs w:val="21"/>
                    </w:rPr>
                    <w:t>厂房隔声、距离衰减</w:t>
                  </w:r>
                  <w:r>
                    <w:rPr>
                      <w:rFonts w:hint="eastAsia"/>
                      <w:snapToGrid w:val="0"/>
                      <w:color w:val="auto"/>
                      <w:kern w:val="0"/>
                      <w:szCs w:val="21"/>
                    </w:rPr>
                    <w:t>，</w:t>
                  </w:r>
                  <w:r>
                    <w:rPr>
                      <w:color w:val="auto"/>
                      <w:szCs w:val="21"/>
                    </w:rPr>
                    <w:t>厂界噪声达标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66" w:hRule="atLeast"/>
                <w:jc w:val="center"/>
              </w:trPr>
              <w:tc>
                <w:tcPr>
                  <w:tcW w:w="309" w:type="pct"/>
                  <w:vMerge w:val="continue"/>
                  <w:vAlign w:val="center"/>
                </w:tcPr>
                <w:p>
                  <w:pPr>
                    <w:adjustRightInd w:val="0"/>
                    <w:snapToGrid w:val="0"/>
                    <w:jc w:val="center"/>
                    <w:rPr>
                      <w:color w:val="auto"/>
                      <w:szCs w:val="21"/>
                    </w:rPr>
                  </w:pPr>
                </w:p>
              </w:tc>
              <w:tc>
                <w:tcPr>
                  <w:tcW w:w="601" w:type="pct"/>
                  <w:vMerge w:val="restart"/>
                  <w:vAlign w:val="center"/>
                </w:tcPr>
                <w:p>
                  <w:pPr>
                    <w:adjustRightInd w:val="0"/>
                    <w:snapToGrid w:val="0"/>
                    <w:jc w:val="center"/>
                    <w:rPr>
                      <w:color w:val="auto"/>
                    </w:rPr>
                  </w:pPr>
                  <w:r>
                    <w:rPr>
                      <w:color w:val="auto"/>
                    </w:rPr>
                    <w:t>固废贮存</w:t>
                  </w:r>
                </w:p>
              </w:tc>
              <w:tc>
                <w:tcPr>
                  <w:tcW w:w="1057" w:type="pct"/>
                  <w:gridSpan w:val="2"/>
                  <w:vAlign w:val="center"/>
                </w:tcPr>
                <w:p>
                  <w:pPr>
                    <w:snapToGrid w:val="0"/>
                    <w:jc w:val="center"/>
                    <w:rPr>
                      <w:color w:val="auto"/>
                      <w:szCs w:val="21"/>
                    </w:rPr>
                  </w:pPr>
                  <w:r>
                    <w:rPr>
                      <w:color w:val="auto"/>
                      <w:szCs w:val="21"/>
                    </w:rPr>
                    <w:t>一般固废仓库</w:t>
                  </w:r>
                </w:p>
              </w:tc>
              <w:tc>
                <w:tcPr>
                  <w:tcW w:w="999" w:type="pct"/>
                  <w:vAlign w:val="center"/>
                </w:tcPr>
                <w:p>
                  <w:pPr>
                    <w:adjustRightInd w:val="0"/>
                    <w:snapToGrid w:val="0"/>
                    <w:jc w:val="center"/>
                    <w:rPr>
                      <w:color w:val="auto"/>
                      <w:szCs w:val="21"/>
                    </w:rPr>
                  </w:pPr>
                  <w:r>
                    <w:rPr>
                      <w:color w:val="auto"/>
                      <w:szCs w:val="21"/>
                    </w:rPr>
                    <w:t>20m</w:t>
                  </w:r>
                  <w:r>
                    <w:rPr>
                      <w:color w:val="auto"/>
                      <w:szCs w:val="21"/>
                      <w:vertAlign w:val="superscript"/>
                    </w:rPr>
                    <w:t>2</w:t>
                  </w:r>
                </w:p>
              </w:tc>
              <w:tc>
                <w:tcPr>
                  <w:tcW w:w="2031" w:type="pct"/>
                  <w:vAlign w:val="center"/>
                </w:tcPr>
                <w:p>
                  <w:pPr>
                    <w:adjustRightInd w:val="0"/>
                    <w:snapToGrid w:val="0"/>
                    <w:jc w:val="center"/>
                    <w:rPr>
                      <w:color w:val="auto"/>
                      <w:szCs w:val="21"/>
                    </w:rPr>
                  </w:pPr>
                  <w:r>
                    <w:rPr>
                      <w:color w:val="auto"/>
                    </w:rPr>
                    <w:t>位于</w:t>
                  </w:r>
                  <w:r>
                    <w:rPr>
                      <w:rFonts w:hint="eastAsia"/>
                      <w:color w:val="auto"/>
                    </w:rPr>
                    <w:t>车间二东南</w:t>
                  </w:r>
                  <w:r>
                    <w:rPr>
                      <w:color w:val="auto"/>
                    </w:rPr>
                    <w:t>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continue"/>
                  <w:vAlign w:val="center"/>
                </w:tcPr>
                <w:p>
                  <w:pPr>
                    <w:adjustRightInd w:val="0"/>
                    <w:snapToGrid w:val="0"/>
                    <w:jc w:val="center"/>
                    <w:rPr>
                      <w:color w:val="auto"/>
                      <w:szCs w:val="21"/>
                    </w:rPr>
                  </w:pPr>
                </w:p>
              </w:tc>
              <w:tc>
                <w:tcPr>
                  <w:tcW w:w="601" w:type="pct"/>
                  <w:vMerge w:val="continue"/>
                  <w:vAlign w:val="center"/>
                </w:tcPr>
                <w:p>
                  <w:pPr>
                    <w:snapToGrid w:val="0"/>
                    <w:jc w:val="center"/>
                    <w:rPr>
                      <w:color w:val="auto"/>
                      <w:szCs w:val="21"/>
                    </w:rPr>
                  </w:pPr>
                </w:p>
              </w:tc>
              <w:tc>
                <w:tcPr>
                  <w:tcW w:w="1057" w:type="pct"/>
                  <w:gridSpan w:val="2"/>
                  <w:vAlign w:val="center"/>
                </w:tcPr>
                <w:p>
                  <w:pPr>
                    <w:snapToGrid w:val="0"/>
                    <w:jc w:val="center"/>
                    <w:rPr>
                      <w:color w:val="auto"/>
                      <w:szCs w:val="21"/>
                    </w:rPr>
                  </w:pPr>
                  <w:r>
                    <w:rPr>
                      <w:color w:val="auto"/>
                      <w:szCs w:val="21"/>
                    </w:rPr>
                    <w:t>危废仓库</w:t>
                  </w:r>
                </w:p>
              </w:tc>
              <w:tc>
                <w:tcPr>
                  <w:tcW w:w="999" w:type="pct"/>
                  <w:vAlign w:val="center"/>
                </w:tcPr>
                <w:p>
                  <w:pPr>
                    <w:adjustRightInd w:val="0"/>
                    <w:snapToGrid w:val="0"/>
                    <w:jc w:val="center"/>
                    <w:rPr>
                      <w:color w:val="auto"/>
                      <w:szCs w:val="21"/>
                    </w:rPr>
                  </w:pPr>
                  <w:r>
                    <w:rPr>
                      <w:color w:val="auto"/>
                      <w:szCs w:val="21"/>
                    </w:rPr>
                    <w:t>6m</w:t>
                  </w:r>
                  <w:r>
                    <w:rPr>
                      <w:color w:val="auto"/>
                      <w:szCs w:val="21"/>
                      <w:vertAlign w:val="superscript"/>
                    </w:rPr>
                    <w:t>2</w:t>
                  </w:r>
                </w:p>
              </w:tc>
              <w:tc>
                <w:tcPr>
                  <w:tcW w:w="2031" w:type="pct"/>
                  <w:vAlign w:val="center"/>
                </w:tcPr>
                <w:p>
                  <w:pPr>
                    <w:adjustRightInd w:val="0"/>
                    <w:snapToGrid w:val="0"/>
                    <w:jc w:val="center"/>
                    <w:rPr>
                      <w:color w:val="auto"/>
                      <w:szCs w:val="21"/>
                    </w:rPr>
                  </w:pPr>
                  <w:r>
                    <w:rPr>
                      <w:color w:val="auto"/>
                    </w:rPr>
                    <w:t>位于</w:t>
                  </w:r>
                  <w:r>
                    <w:rPr>
                      <w:rFonts w:hint="eastAsia"/>
                      <w:color w:val="auto"/>
                    </w:rPr>
                    <w:t>车间二东南</w:t>
                  </w:r>
                  <w:r>
                    <w:rPr>
                      <w:color w:val="auto"/>
                    </w:rPr>
                    <w:t>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309" w:type="pct"/>
                  <w:vMerge w:val="continue"/>
                  <w:vAlign w:val="center"/>
                </w:tcPr>
                <w:p>
                  <w:pPr>
                    <w:adjustRightInd w:val="0"/>
                    <w:snapToGrid w:val="0"/>
                    <w:jc w:val="center"/>
                    <w:rPr>
                      <w:color w:val="auto"/>
                      <w:szCs w:val="21"/>
                    </w:rPr>
                  </w:pPr>
                </w:p>
              </w:tc>
              <w:tc>
                <w:tcPr>
                  <w:tcW w:w="1659" w:type="pct"/>
                  <w:gridSpan w:val="3"/>
                  <w:vAlign w:val="center"/>
                </w:tcPr>
                <w:p>
                  <w:pPr>
                    <w:snapToGrid w:val="0"/>
                    <w:jc w:val="center"/>
                    <w:rPr>
                      <w:color w:val="auto"/>
                      <w:szCs w:val="21"/>
                    </w:rPr>
                  </w:pPr>
                  <w:r>
                    <w:rPr>
                      <w:color w:val="auto"/>
                      <w:szCs w:val="21"/>
                    </w:rPr>
                    <w:t>环境风险</w:t>
                  </w:r>
                </w:p>
              </w:tc>
              <w:tc>
                <w:tcPr>
                  <w:tcW w:w="999" w:type="pct"/>
                  <w:vAlign w:val="center"/>
                </w:tcPr>
                <w:p>
                  <w:pPr>
                    <w:adjustRightInd w:val="0"/>
                    <w:snapToGrid w:val="0"/>
                    <w:jc w:val="center"/>
                    <w:rPr>
                      <w:color w:val="auto"/>
                      <w:szCs w:val="21"/>
                    </w:rPr>
                  </w:pPr>
                  <w:r>
                    <w:rPr>
                      <w:color w:val="auto"/>
                      <w:szCs w:val="21"/>
                    </w:rPr>
                    <w:t>/</w:t>
                  </w:r>
                </w:p>
              </w:tc>
              <w:tc>
                <w:tcPr>
                  <w:tcW w:w="2031" w:type="pct"/>
                  <w:vAlign w:val="center"/>
                </w:tcPr>
                <w:p>
                  <w:pPr>
                    <w:jc w:val="center"/>
                    <w:rPr>
                      <w:color w:val="auto"/>
                      <w:szCs w:val="21"/>
                    </w:rPr>
                  </w:pPr>
                  <w:r>
                    <w:rPr>
                      <w:rFonts w:hint="eastAsia"/>
                      <w:color w:val="auto"/>
                      <w:szCs w:val="21"/>
                    </w:rPr>
                    <w:t>项目将按照要求建立相应环境风险防范设施</w:t>
                  </w:r>
                </w:p>
              </w:tc>
            </w:tr>
          </w:tbl>
          <w:p>
            <w:pPr>
              <w:adjustRightInd w:val="0"/>
              <w:snapToGrid w:val="0"/>
              <w:spacing w:before="120" w:beforeLines="50" w:line="360" w:lineRule="auto"/>
              <w:jc w:val="left"/>
              <w:rPr>
                <w:b/>
                <w:bCs/>
                <w:color w:val="auto"/>
                <w:szCs w:val="22"/>
              </w:rPr>
            </w:pPr>
            <w:r>
              <w:rPr>
                <w:b/>
                <w:color w:val="auto"/>
                <w:sz w:val="24"/>
              </w:rPr>
              <w:t>5、主要生产单元、主要工艺及生产设施名称一览表</w:t>
            </w: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r>
              <w:rPr>
                <w:b/>
                <w:bCs/>
                <w:color w:val="auto"/>
                <w:sz w:val="24"/>
              </w:rPr>
              <w:t>表2-3  建设项目主要生产单元、主要工艺及生产设施名称一览表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2152"/>
              <w:gridCol w:w="2335"/>
              <w:gridCol w:w="1435"/>
              <w:gridCol w:w="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2" w:type="pct"/>
                  <w:vAlign w:val="center"/>
                </w:tcPr>
                <w:p>
                  <w:pPr>
                    <w:jc w:val="center"/>
                    <w:rPr>
                      <w:b/>
                      <w:bCs/>
                      <w:color w:val="auto"/>
                      <w:szCs w:val="21"/>
                    </w:rPr>
                  </w:pPr>
                  <w:r>
                    <w:rPr>
                      <w:b/>
                      <w:bCs/>
                      <w:color w:val="auto"/>
                      <w:szCs w:val="21"/>
                    </w:rPr>
                    <w:t>主要生产单元</w:t>
                  </w:r>
                </w:p>
              </w:tc>
              <w:tc>
                <w:tcPr>
                  <w:tcW w:w="1301" w:type="pct"/>
                  <w:vAlign w:val="center"/>
                </w:tcPr>
                <w:p>
                  <w:pPr>
                    <w:jc w:val="center"/>
                    <w:rPr>
                      <w:b/>
                      <w:bCs/>
                      <w:color w:val="auto"/>
                      <w:szCs w:val="21"/>
                    </w:rPr>
                  </w:pPr>
                  <w:r>
                    <w:rPr>
                      <w:b/>
                      <w:bCs/>
                      <w:color w:val="auto"/>
                      <w:szCs w:val="21"/>
                    </w:rPr>
                    <w:t>生产设施</w:t>
                  </w:r>
                </w:p>
              </w:tc>
              <w:tc>
                <w:tcPr>
                  <w:tcW w:w="1412" w:type="pct"/>
                  <w:vAlign w:val="center"/>
                </w:tcPr>
                <w:p>
                  <w:pPr>
                    <w:jc w:val="center"/>
                    <w:rPr>
                      <w:b/>
                      <w:bCs/>
                      <w:color w:val="auto"/>
                      <w:szCs w:val="21"/>
                    </w:rPr>
                  </w:pPr>
                  <w:r>
                    <w:rPr>
                      <w:b/>
                      <w:bCs/>
                      <w:color w:val="auto"/>
                      <w:szCs w:val="21"/>
                    </w:rPr>
                    <w:t>设施参数</w:t>
                  </w:r>
                </w:p>
              </w:tc>
              <w:tc>
                <w:tcPr>
                  <w:tcW w:w="868" w:type="pct"/>
                  <w:vAlign w:val="center"/>
                </w:tcPr>
                <w:p>
                  <w:pPr>
                    <w:jc w:val="center"/>
                    <w:rPr>
                      <w:b/>
                      <w:bCs/>
                      <w:color w:val="auto"/>
                      <w:szCs w:val="21"/>
                    </w:rPr>
                  </w:pPr>
                  <w:r>
                    <w:rPr>
                      <w:b/>
                      <w:bCs/>
                      <w:color w:val="auto"/>
                      <w:szCs w:val="21"/>
                    </w:rPr>
                    <w:t>数量</w:t>
                  </w:r>
                  <w:r>
                    <w:rPr>
                      <w:b/>
                      <w:bCs/>
                      <w:color w:val="auto"/>
                    </w:rPr>
                    <w:t>（</w:t>
                  </w:r>
                  <w:r>
                    <w:rPr>
                      <w:rFonts w:hint="eastAsia"/>
                      <w:b/>
                      <w:bCs/>
                      <w:color w:val="auto"/>
                    </w:rPr>
                    <w:t>台</w:t>
                  </w:r>
                  <w:r>
                    <w:rPr>
                      <w:b/>
                      <w:bCs/>
                      <w:color w:val="auto"/>
                    </w:rPr>
                    <w:t>/套）</w:t>
                  </w:r>
                </w:p>
              </w:tc>
              <w:tc>
                <w:tcPr>
                  <w:tcW w:w="395" w:type="pct"/>
                  <w:vAlign w:val="center"/>
                </w:tcPr>
                <w:p>
                  <w:pPr>
                    <w:jc w:val="center"/>
                    <w:rPr>
                      <w:b/>
                      <w:bCs/>
                      <w:color w:val="auto"/>
                      <w:szCs w:val="21"/>
                    </w:rPr>
                  </w:pPr>
                  <w:r>
                    <w:rPr>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restart"/>
                  <w:vAlign w:val="center"/>
                </w:tcPr>
                <w:p>
                  <w:pPr>
                    <w:jc w:val="center"/>
                    <w:rPr>
                      <w:bCs/>
                      <w:color w:val="auto"/>
                      <w:szCs w:val="21"/>
                    </w:rPr>
                  </w:pPr>
                  <w:r>
                    <w:rPr>
                      <w:rFonts w:hint="eastAsia"/>
                      <w:bCs/>
                      <w:color w:val="auto"/>
                      <w:szCs w:val="21"/>
                    </w:rPr>
                    <w:t>饰面板</w:t>
                  </w:r>
                  <w:r>
                    <w:rPr>
                      <w:color w:val="auto"/>
                      <w:szCs w:val="21"/>
                    </w:rPr>
                    <w:t>生产</w:t>
                  </w:r>
                  <w:r>
                    <w:rPr>
                      <w:rFonts w:hint="eastAsia"/>
                      <w:color w:val="auto"/>
                      <w:szCs w:val="21"/>
                    </w:rPr>
                    <w:t>单元</w:t>
                  </w:r>
                </w:p>
              </w:tc>
              <w:tc>
                <w:tcPr>
                  <w:tcW w:w="1301" w:type="pct"/>
                  <w:vMerge w:val="restart"/>
                  <w:vAlign w:val="center"/>
                </w:tcPr>
                <w:p>
                  <w:pPr>
                    <w:jc w:val="center"/>
                    <w:rPr>
                      <w:color w:val="auto"/>
                      <w:kern w:val="0"/>
                      <w:szCs w:val="21"/>
                    </w:rPr>
                  </w:pPr>
                  <w:r>
                    <w:rPr>
                      <w:color w:val="auto"/>
                      <w:kern w:val="0"/>
                      <w:szCs w:val="21"/>
                    </w:rPr>
                    <w:t>双面压机</w:t>
                  </w:r>
                </w:p>
              </w:tc>
              <w:tc>
                <w:tcPr>
                  <w:tcW w:w="1412" w:type="pct"/>
                  <w:vAlign w:val="center"/>
                </w:tcPr>
                <w:p>
                  <w:pPr>
                    <w:jc w:val="center"/>
                    <w:rPr>
                      <w:bCs/>
                      <w:color w:val="auto"/>
                      <w:szCs w:val="21"/>
                    </w:rPr>
                  </w:pPr>
                  <w:r>
                    <w:rPr>
                      <w:bCs/>
                      <w:color w:val="auto"/>
                      <w:szCs w:val="21"/>
                    </w:rPr>
                    <w:t>KTJ48</w:t>
                  </w:r>
                </w:p>
              </w:tc>
              <w:tc>
                <w:tcPr>
                  <w:tcW w:w="868" w:type="pct"/>
                  <w:vAlign w:val="center"/>
                </w:tcPr>
                <w:p>
                  <w:pPr>
                    <w:jc w:val="center"/>
                    <w:rPr>
                      <w:bCs/>
                      <w:color w:val="auto"/>
                      <w:szCs w:val="21"/>
                    </w:rPr>
                  </w:pPr>
                  <w:r>
                    <w:rPr>
                      <w:bCs/>
                      <w:color w:val="auto"/>
                      <w:szCs w:val="21"/>
                    </w:rPr>
                    <w:t>6</w:t>
                  </w:r>
                </w:p>
              </w:tc>
              <w:tc>
                <w:tcPr>
                  <w:tcW w:w="395" w:type="pct"/>
                  <w:vAlign w:val="center"/>
                </w:tcPr>
                <w:p>
                  <w:pPr>
                    <w:jc w:val="center"/>
                    <w:rPr>
                      <w:bCs/>
                      <w:color w:val="auto"/>
                      <w:szCs w:val="21"/>
                    </w:rPr>
                  </w:pP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vAlign w:val="center"/>
                </w:tcPr>
                <w:p>
                  <w:pPr>
                    <w:jc w:val="center"/>
                    <w:rPr>
                      <w:bCs/>
                      <w:color w:val="auto"/>
                      <w:szCs w:val="21"/>
                    </w:rPr>
                  </w:pPr>
                </w:p>
              </w:tc>
              <w:tc>
                <w:tcPr>
                  <w:tcW w:w="1301" w:type="pct"/>
                  <w:vMerge w:val="continue"/>
                  <w:vAlign w:val="center"/>
                </w:tcPr>
                <w:p>
                  <w:pPr>
                    <w:jc w:val="center"/>
                    <w:rPr>
                      <w:color w:val="auto"/>
                      <w:kern w:val="0"/>
                      <w:szCs w:val="21"/>
                    </w:rPr>
                  </w:pPr>
                </w:p>
              </w:tc>
              <w:tc>
                <w:tcPr>
                  <w:tcW w:w="1412" w:type="pct"/>
                  <w:vAlign w:val="center"/>
                </w:tcPr>
                <w:p>
                  <w:pPr>
                    <w:jc w:val="center"/>
                    <w:rPr>
                      <w:bCs/>
                      <w:color w:val="auto"/>
                      <w:szCs w:val="21"/>
                    </w:rPr>
                  </w:pPr>
                  <w:r>
                    <w:rPr>
                      <w:rFonts w:hint="eastAsia"/>
                      <w:bCs/>
                      <w:color w:val="auto"/>
                      <w:szCs w:val="21"/>
                    </w:rPr>
                    <w:t>YKTH2400T49</w:t>
                  </w:r>
                </w:p>
              </w:tc>
              <w:tc>
                <w:tcPr>
                  <w:tcW w:w="868" w:type="pct"/>
                  <w:vAlign w:val="center"/>
                </w:tcPr>
                <w:p>
                  <w:pPr>
                    <w:jc w:val="center"/>
                    <w:rPr>
                      <w:rFonts w:hint="eastAsia" w:eastAsia="宋体"/>
                      <w:bCs/>
                      <w:color w:val="auto"/>
                      <w:szCs w:val="21"/>
                      <w:lang w:eastAsia="zh-CN"/>
                    </w:rPr>
                  </w:pPr>
                  <w:r>
                    <w:rPr>
                      <w:rFonts w:hint="eastAsia"/>
                      <w:bCs/>
                      <w:color w:val="auto"/>
                      <w:szCs w:val="21"/>
                      <w:lang w:val="en-US" w:eastAsia="zh-CN"/>
                    </w:rPr>
                    <w:t>4</w:t>
                  </w:r>
                </w:p>
              </w:tc>
              <w:tc>
                <w:tcPr>
                  <w:tcW w:w="395" w:type="pct"/>
                  <w:vAlign w:val="center"/>
                </w:tcPr>
                <w:p>
                  <w:pPr>
                    <w:jc w:val="center"/>
                    <w:rPr>
                      <w:bCs/>
                      <w:color w:val="auto"/>
                      <w:szCs w:val="21"/>
                    </w:rPr>
                  </w:pP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vAlign w:val="center"/>
                </w:tcPr>
                <w:p>
                  <w:pPr>
                    <w:jc w:val="center"/>
                    <w:rPr>
                      <w:bCs/>
                      <w:color w:val="auto"/>
                      <w:szCs w:val="21"/>
                    </w:rPr>
                  </w:pPr>
                </w:p>
              </w:tc>
              <w:tc>
                <w:tcPr>
                  <w:tcW w:w="1301" w:type="pct"/>
                  <w:vMerge w:val="continue"/>
                  <w:vAlign w:val="center"/>
                </w:tcPr>
                <w:p>
                  <w:pPr>
                    <w:jc w:val="center"/>
                    <w:rPr>
                      <w:color w:val="auto"/>
                      <w:kern w:val="0"/>
                      <w:szCs w:val="21"/>
                    </w:rPr>
                  </w:pPr>
                </w:p>
              </w:tc>
              <w:tc>
                <w:tcPr>
                  <w:tcW w:w="1412" w:type="pct"/>
                  <w:vAlign w:val="center"/>
                </w:tcPr>
                <w:p>
                  <w:pPr>
                    <w:jc w:val="center"/>
                    <w:rPr>
                      <w:bCs/>
                      <w:color w:val="auto"/>
                      <w:szCs w:val="21"/>
                    </w:rPr>
                  </w:pPr>
                  <w:r>
                    <w:rPr>
                      <w:rFonts w:hint="eastAsia"/>
                      <w:bCs/>
                      <w:color w:val="auto"/>
                      <w:szCs w:val="21"/>
                    </w:rPr>
                    <w:t>YKTH2000T48</w:t>
                  </w:r>
                </w:p>
              </w:tc>
              <w:tc>
                <w:tcPr>
                  <w:tcW w:w="868" w:type="pct"/>
                  <w:vAlign w:val="center"/>
                </w:tcPr>
                <w:p>
                  <w:pPr>
                    <w:jc w:val="center"/>
                    <w:rPr>
                      <w:rFonts w:hint="eastAsia" w:eastAsia="宋体"/>
                      <w:bCs/>
                      <w:color w:val="auto"/>
                      <w:szCs w:val="21"/>
                      <w:lang w:eastAsia="zh-CN"/>
                    </w:rPr>
                  </w:pPr>
                  <w:r>
                    <w:rPr>
                      <w:rFonts w:hint="eastAsia"/>
                      <w:bCs/>
                      <w:color w:val="auto"/>
                      <w:szCs w:val="21"/>
                      <w:lang w:val="en-US" w:eastAsia="zh-CN"/>
                    </w:rPr>
                    <w:t>4</w:t>
                  </w:r>
                </w:p>
              </w:tc>
              <w:tc>
                <w:tcPr>
                  <w:tcW w:w="395" w:type="pct"/>
                  <w:vAlign w:val="center"/>
                </w:tcPr>
                <w:p>
                  <w:pPr>
                    <w:jc w:val="center"/>
                    <w:rPr>
                      <w:bCs/>
                      <w:color w:val="auto"/>
                      <w:szCs w:val="21"/>
                    </w:rPr>
                  </w:pP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vAlign w:val="center"/>
                </w:tcPr>
                <w:p>
                  <w:pPr>
                    <w:jc w:val="center"/>
                    <w:rPr>
                      <w:bCs/>
                      <w:color w:val="auto"/>
                      <w:szCs w:val="21"/>
                    </w:rPr>
                  </w:pPr>
                </w:p>
              </w:tc>
              <w:tc>
                <w:tcPr>
                  <w:tcW w:w="1301" w:type="pct"/>
                  <w:vMerge w:val="continue"/>
                  <w:vAlign w:val="center"/>
                </w:tcPr>
                <w:p>
                  <w:pPr>
                    <w:jc w:val="center"/>
                    <w:rPr>
                      <w:color w:val="auto"/>
                      <w:kern w:val="0"/>
                      <w:szCs w:val="21"/>
                    </w:rPr>
                  </w:pPr>
                </w:p>
              </w:tc>
              <w:tc>
                <w:tcPr>
                  <w:tcW w:w="1412" w:type="pct"/>
                  <w:vAlign w:val="center"/>
                </w:tcPr>
                <w:p>
                  <w:pPr>
                    <w:jc w:val="center"/>
                    <w:rPr>
                      <w:rFonts w:hint="eastAsia" w:eastAsia="宋体"/>
                      <w:bCs/>
                      <w:color w:val="auto"/>
                      <w:szCs w:val="21"/>
                      <w:lang w:val="en-US" w:eastAsia="zh-CN"/>
                    </w:rPr>
                  </w:pPr>
                  <w:r>
                    <w:rPr>
                      <w:rFonts w:hint="eastAsia"/>
                      <w:bCs/>
                      <w:color w:val="auto"/>
                      <w:szCs w:val="21"/>
                      <w:lang w:val="en-US" w:eastAsia="zh-CN"/>
                    </w:rPr>
                    <w:t>/</w:t>
                  </w:r>
                </w:p>
              </w:tc>
              <w:tc>
                <w:tcPr>
                  <w:tcW w:w="868" w:type="pct"/>
                  <w:vAlign w:val="center"/>
                </w:tcPr>
                <w:p>
                  <w:pPr>
                    <w:jc w:val="center"/>
                    <w:rPr>
                      <w:rFonts w:hint="default"/>
                      <w:bCs/>
                      <w:color w:val="auto"/>
                      <w:szCs w:val="21"/>
                      <w:lang w:val="en-US" w:eastAsia="zh-CN"/>
                    </w:rPr>
                  </w:pPr>
                  <w:r>
                    <w:rPr>
                      <w:rFonts w:hint="eastAsia"/>
                      <w:bCs/>
                      <w:color w:val="auto"/>
                      <w:szCs w:val="21"/>
                      <w:lang w:val="en-US" w:eastAsia="zh-CN"/>
                    </w:rPr>
                    <w:t>2</w:t>
                  </w:r>
                </w:p>
              </w:tc>
              <w:tc>
                <w:tcPr>
                  <w:tcW w:w="395" w:type="pct"/>
                  <w:vAlign w:val="center"/>
                </w:tcPr>
                <w:p>
                  <w:pPr>
                    <w:jc w:val="center"/>
                    <w:rPr>
                      <w:rFonts w:hint="eastAsia" w:eastAsia="宋体"/>
                      <w:bCs/>
                      <w:color w:val="auto"/>
                      <w:szCs w:val="21"/>
                      <w:lang w:val="en-US" w:eastAsia="zh-CN"/>
                    </w:rPr>
                  </w:pPr>
                  <w:r>
                    <w:rPr>
                      <w:rFonts w:hint="eastAsia"/>
                      <w:bCs/>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vAlign w:val="center"/>
                </w:tcPr>
                <w:p>
                  <w:pPr>
                    <w:jc w:val="center"/>
                    <w:rPr>
                      <w:bCs/>
                      <w:color w:val="auto"/>
                      <w:szCs w:val="21"/>
                    </w:rPr>
                  </w:pPr>
                </w:p>
              </w:tc>
              <w:tc>
                <w:tcPr>
                  <w:tcW w:w="1301" w:type="pct"/>
                  <w:vAlign w:val="center"/>
                </w:tcPr>
                <w:p>
                  <w:pPr>
                    <w:jc w:val="center"/>
                    <w:rPr>
                      <w:color w:val="auto"/>
                      <w:kern w:val="0"/>
                      <w:szCs w:val="21"/>
                    </w:rPr>
                  </w:pPr>
                  <w:r>
                    <w:rPr>
                      <w:color w:val="auto"/>
                      <w:kern w:val="0"/>
                      <w:szCs w:val="21"/>
                    </w:rPr>
                    <w:t>模温机</w:t>
                  </w:r>
                </w:p>
              </w:tc>
              <w:tc>
                <w:tcPr>
                  <w:tcW w:w="1412" w:type="pct"/>
                  <w:vAlign w:val="center"/>
                </w:tcPr>
                <w:p>
                  <w:pPr>
                    <w:jc w:val="center"/>
                    <w:rPr>
                      <w:bCs/>
                      <w:color w:val="auto"/>
                      <w:szCs w:val="21"/>
                    </w:rPr>
                  </w:pPr>
                  <w:r>
                    <w:rPr>
                      <w:rFonts w:hint="eastAsia"/>
                      <w:bCs/>
                      <w:color w:val="auto"/>
                      <w:szCs w:val="21"/>
                    </w:rPr>
                    <w:t>/</w:t>
                  </w:r>
                </w:p>
              </w:tc>
              <w:tc>
                <w:tcPr>
                  <w:tcW w:w="868" w:type="pct"/>
                  <w:vAlign w:val="center"/>
                </w:tcPr>
                <w:p>
                  <w:pPr>
                    <w:jc w:val="center"/>
                    <w:rPr>
                      <w:bCs/>
                      <w:color w:val="auto"/>
                      <w:szCs w:val="21"/>
                    </w:rPr>
                  </w:pPr>
                  <w:r>
                    <w:rPr>
                      <w:bCs/>
                      <w:color w:val="auto"/>
                      <w:szCs w:val="21"/>
                    </w:rPr>
                    <w:t>11</w:t>
                  </w:r>
                </w:p>
              </w:tc>
              <w:tc>
                <w:tcPr>
                  <w:tcW w:w="395" w:type="pct"/>
                  <w:vAlign w:val="center"/>
                </w:tcPr>
                <w:p>
                  <w:pPr>
                    <w:jc w:val="center"/>
                    <w:rPr>
                      <w:bCs/>
                      <w:color w:val="auto"/>
                      <w:szCs w:val="21"/>
                    </w:rPr>
                  </w:pP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restart"/>
                  <w:vAlign w:val="center"/>
                </w:tcPr>
                <w:p>
                  <w:pPr>
                    <w:jc w:val="center"/>
                    <w:rPr>
                      <w:color w:val="auto"/>
                      <w:szCs w:val="21"/>
                    </w:rPr>
                  </w:pPr>
                  <w:r>
                    <w:rPr>
                      <w:color w:val="auto"/>
                      <w:szCs w:val="21"/>
                    </w:rPr>
                    <w:t>公用设施</w:t>
                  </w:r>
                </w:p>
              </w:tc>
              <w:tc>
                <w:tcPr>
                  <w:tcW w:w="1301" w:type="pct"/>
                  <w:vAlign w:val="center"/>
                </w:tcPr>
                <w:p>
                  <w:pPr>
                    <w:jc w:val="center"/>
                    <w:rPr>
                      <w:rFonts w:hint="eastAsia" w:eastAsia="宋体"/>
                      <w:color w:val="auto"/>
                      <w:kern w:val="0"/>
                      <w:szCs w:val="21"/>
                      <w:lang w:eastAsia="zh-CN"/>
                    </w:rPr>
                  </w:pPr>
                  <w:r>
                    <w:rPr>
                      <w:rFonts w:hint="eastAsia"/>
                      <w:color w:val="auto"/>
                      <w:kern w:val="0"/>
                      <w:szCs w:val="21"/>
                      <w:lang w:eastAsia="zh-CN"/>
                    </w:rPr>
                    <w:t>导热油炉</w:t>
                  </w:r>
                </w:p>
              </w:tc>
              <w:tc>
                <w:tcPr>
                  <w:tcW w:w="1412" w:type="pct"/>
                  <w:vAlign w:val="center"/>
                </w:tcPr>
                <w:p>
                  <w:pPr>
                    <w:jc w:val="center"/>
                    <w:rPr>
                      <w:rFonts w:hint="default" w:eastAsia="宋体"/>
                      <w:bCs/>
                      <w:color w:val="auto"/>
                      <w:szCs w:val="21"/>
                      <w:lang w:val="en-US" w:eastAsia="zh-CN"/>
                    </w:rPr>
                  </w:pPr>
                  <w:r>
                    <w:rPr>
                      <w:rFonts w:hint="eastAsia"/>
                      <w:bCs/>
                      <w:color w:val="auto"/>
                      <w:szCs w:val="21"/>
                      <w:lang w:val="en-US" w:eastAsia="zh-CN"/>
                    </w:rPr>
                    <w:t>YYW-99Y.Q</w:t>
                  </w:r>
                </w:p>
              </w:tc>
              <w:tc>
                <w:tcPr>
                  <w:tcW w:w="868" w:type="pct"/>
                  <w:vAlign w:val="center"/>
                </w:tcPr>
                <w:p>
                  <w:pPr>
                    <w:jc w:val="center"/>
                    <w:rPr>
                      <w:rFonts w:hint="default" w:eastAsia="宋体"/>
                      <w:bCs/>
                      <w:color w:val="auto"/>
                      <w:szCs w:val="21"/>
                      <w:lang w:val="en-US" w:eastAsia="zh-CN"/>
                    </w:rPr>
                  </w:pPr>
                  <w:r>
                    <w:rPr>
                      <w:rFonts w:hint="eastAsia"/>
                      <w:bCs/>
                      <w:color w:val="auto"/>
                      <w:szCs w:val="21"/>
                      <w:lang w:val="en-US" w:eastAsia="zh-CN"/>
                    </w:rPr>
                    <w:t>11</w:t>
                  </w:r>
                </w:p>
              </w:tc>
              <w:tc>
                <w:tcPr>
                  <w:tcW w:w="395" w:type="pct"/>
                  <w:vAlign w:val="center"/>
                </w:tcPr>
                <w:p>
                  <w:pPr>
                    <w:jc w:val="center"/>
                    <w:rPr>
                      <w:rFonts w:hint="eastAsia" w:eastAsia="宋体"/>
                      <w:bCs/>
                      <w:color w:val="auto"/>
                      <w:szCs w:val="21"/>
                      <w:lang w:val="en-US" w:eastAsia="zh-CN"/>
                    </w:rPr>
                  </w:pPr>
                  <w:r>
                    <w:rPr>
                      <w:rFonts w:hint="eastAsia"/>
                      <w:bCs/>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vAlign w:val="center"/>
                </w:tcPr>
                <w:p>
                  <w:pPr>
                    <w:jc w:val="center"/>
                    <w:rPr>
                      <w:color w:val="auto"/>
                      <w:szCs w:val="21"/>
                    </w:rPr>
                  </w:pPr>
                </w:p>
              </w:tc>
              <w:tc>
                <w:tcPr>
                  <w:tcW w:w="1301" w:type="pct"/>
                  <w:shd w:val="clear" w:color="auto" w:fill="auto"/>
                  <w:vAlign w:val="center"/>
                </w:tcPr>
                <w:p>
                  <w:pPr>
                    <w:jc w:val="center"/>
                    <w:rPr>
                      <w:color w:val="auto"/>
                      <w:kern w:val="0"/>
                      <w:szCs w:val="21"/>
                    </w:rPr>
                  </w:pPr>
                  <w:r>
                    <w:rPr>
                      <w:color w:val="auto"/>
                      <w:kern w:val="0"/>
                      <w:szCs w:val="21"/>
                    </w:rPr>
                    <w:t>空压机</w:t>
                  </w:r>
                </w:p>
              </w:tc>
              <w:tc>
                <w:tcPr>
                  <w:tcW w:w="1412" w:type="pct"/>
                  <w:shd w:val="clear" w:color="auto" w:fill="auto"/>
                  <w:vAlign w:val="center"/>
                </w:tcPr>
                <w:p>
                  <w:pPr>
                    <w:jc w:val="center"/>
                    <w:rPr>
                      <w:color w:val="auto"/>
                      <w:szCs w:val="21"/>
                    </w:rPr>
                  </w:pPr>
                  <w:r>
                    <w:rPr>
                      <w:color w:val="auto"/>
                      <w:szCs w:val="21"/>
                    </w:rPr>
                    <w:t>/</w:t>
                  </w:r>
                </w:p>
              </w:tc>
              <w:tc>
                <w:tcPr>
                  <w:tcW w:w="868" w:type="pct"/>
                  <w:shd w:val="clear" w:color="auto" w:fill="auto"/>
                  <w:vAlign w:val="center"/>
                </w:tcPr>
                <w:p>
                  <w:pPr>
                    <w:jc w:val="center"/>
                    <w:rPr>
                      <w:color w:val="auto"/>
                      <w:szCs w:val="21"/>
                    </w:rPr>
                  </w:pPr>
                  <w:r>
                    <w:rPr>
                      <w:color w:val="auto"/>
                      <w:szCs w:val="21"/>
                    </w:rPr>
                    <w:t>2</w:t>
                  </w:r>
                </w:p>
              </w:tc>
              <w:tc>
                <w:tcPr>
                  <w:tcW w:w="395" w:type="pct"/>
                  <w:vAlign w:val="center"/>
                </w:tcPr>
                <w:p>
                  <w:pPr>
                    <w:jc w:val="center"/>
                    <w:rPr>
                      <w:bCs/>
                      <w:color w:val="auto"/>
                      <w:szCs w:val="21"/>
                    </w:rPr>
                  </w:pP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2" w:type="pct"/>
                  <w:vMerge w:val="continue"/>
                  <w:vAlign w:val="center"/>
                </w:tcPr>
                <w:p>
                  <w:pPr>
                    <w:jc w:val="center"/>
                    <w:rPr>
                      <w:color w:val="auto"/>
                      <w:szCs w:val="21"/>
                    </w:rPr>
                  </w:pPr>
                </w:p>
              </w:tc>
              <w:tc>
                <w:tcPr>
                  <w:tcW w:w="1301" w:type="pct"/>
                  <w:shd w:val="clear" w:color="auto" w:fill="auto"/>
                  <w:vAlign w:val="center"/>
                </w:tcPr>
                <w:p>
                  <w:pPr>
                    <w:jc w:val="center"/>
                    <w:rPr>
                      <w:color w:val="auto"/>
                      <w:kern w:val="0"/>
                      <w:szCs w:val="21"/>
                    </w:rPr>
                  </w:pPr>
                  <w:r>
                    <w:rPr>
                      <w:rFonts w:hint="eastAsia"/>
                      <w:color w:val="auto"/>
                      <w:kern w:val="0"/>
                      <w:szCs w:val="21"/>
                    </w:rPr>
                    <w:t>二级活性炭吸附装置</w:t>
                  </w:r>
                </w:p>
              </w:tc>
              <w:tc>
                <w:tcPr>
                  <w:tcW w:w="1412" w:type="pct"/>
                  <w:shd w:val="clear" w:color="auto" w:fill="auto"/>
                  <w:vAlign w:val="center"/>
                </w:tcPr>
                <w:p>
                  <w:pPr>
                    <w:jc w:val="center"/>
                    <w:rPr>
                      <w:color w:val="auto"/>
                      <w:szCs w:val="21"/>
                    </w:rPr>
                  </w:pPr>
                  <w:r>
                    <w:rPr>
                      <w:color w:val="auto"/>
                      <w:szCs w:val="21"/>
                    </w:rPr>
                    <w:t>/</w:t>
                  </w:r>
                </w:p>
              </w:tc>
              <w:tc>
                <w:tcPr>
                  <w:tcW w:w="868" w:type="pct"/>
                  <w:shd w:val="clear" w:color="auto" w:fill="auto"/>
                  <w:vAlign w:val="center"/>
                </w:tcPr>
                <w:p>
                  <w:pPr>
                    <w:jc w:val="center"/>
                    <w:rPr>
                      <w:color w:val="auto"/>
                      <w:szCs w:val="21"/>
                    </w:rPr>
                  </w:pPr>
                  <w:r>
                    <w:rPr>
                      <w:color w:val="auto"/>
                      <w:szCs w:val="21"/>
                    </w:rPr>
                    <w:t>1</w:t>
                  </w:r>
                </w:p>
              </w:tc>
              <w:tc>
                <w:tcPr>
                  <w:tcW w:w="395" w:type="pct"/>
                  <w:vAlign w:val="center"/>
                </w:tcPr>
                <w:p>
                  <w:pPr>
                    <w:jc w:val="center"/>
                    <w:rPr>
                      <w:bCs/>
                      <w:color w:val="auto"/>
                      <w:szCs w:val="21"/>
                    </w:rPr>
                  </w:pP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22" w:type="pct"/>
                  <w:vMerge w:val="continue"/>
                  <w:vAlign w:val="center"/>
                </w:tcPr>
                <w:p>
                  <w:pPr>
                    <w:jc w:val="center"/>
                    <w:rPr>
                      <w:color w:val="auto"/>
                      <w:szCs w:val="21"/>
                    </w:rPr>
                  </w:pPr>
                </w:p>
              </w:tc>
              <w:tc>
                <w:tcPr>
                  <w:tcW w:w="1301" w:type="pct"/>
                  <w:shd w:val="clear" w:color="auto" w:fill="auto"/>
                  <w:vAlign w:val="center"/>
                </w:tcPr>
                <w:p>
                  <w:pPr>
                    <w:jc w:val="center"/>
                    <w:rPr>
                      <w:color w:val="auto"/>
                      <w:kern w:val="0"/>
                      <w:szCs w:val="21"/>
                    </w:rPr>
                  </w:pPr>
                  <w:r>
                    <w:rPr>
                      <w:rFonts w:hint="eastAsia"/>
                      <w:color w:val="auto"/>
                      <w:kern w:val="0"/>
                      <w:szCs w:val="21"/>
                    </w:rPr>
                    <w:t>冷却塔</w:t>
                  </w:r>
                </w:p>
              </w:tc>
              <w:tc>
                <w:tcPr>
                  <w:tcW w:w="1412" w:type="pct"/>
                  <w:shd w:val="clear" w:color="auto" w:fill="auto"/>
                  <w:vAlign w:val="center"/>
                </w:tcPr>
                <w:p>
                  <w:pPr>
                    <w:jc w:val="center"/>
                    <w:rPr>
                      <w:color w:val="auto"/>
                      <w:szCs w:val="21"/>
                    </w:rPr>
                  </w:pPr>
                  <w:r>
                    <w:rPr>
                      <w:rFonts w:hint="eastAsia"/>
                      <w:color w:val="auto"/>
                      <w:szCs w:val="21"/>
                    </w:rPr>
                    <w:t>冷却能力</w:t>
                  </w:r>
                  <w:r>
                    <w:rPr>
                      <w:color w:val="auto"/>
                      <w:szCs w:val="21"/>
                    </w:rPr>
                    <w:t>25m</w:t>
                  </w:r>
                  <w:r>
                    <w:rPr>
                      <w:color w:val="auto"/>
                      <w:szCs w:val="21"/>
                      <w:vertAlign w:val="superscript"/>
                    </w:rPr>
                    <w:t>3</w:t>
                  </w:r>
                  <w:r>
                    <w:rPr>
                      <w:color w:val="auto"/>
                      <w:szCs w:val="21"/>
                    </w:rPr>
                    <w:t>/h</w:t>
                  </w:r>
                </w:p>
              </w:tc>
              <w:tc>
                <w:tcPr>
                  <w:tcW w:w="868" w:type="pct"/>
                  <w:shd w:val="clear" w:color="auto" w:fill="auto"/>
                  <w:vAlign w:val="center"/>
                </w:tcPr>
                <w:p>
                  <w:pPr>
                    <w:jc w:val="center"/>
                    <w:rPr>
                      <w:color w:val="auto"/>
                      <w:szCs w:val="21"/>
                    </w:rPr>
                  </w:pPr>
                  <w:r>
                    <w:rPr>
                      <w:color w:val="auto"/>
                      <w:szCs w:val="21"/>
                    </w:rPr>
                    <w:t>1</w:t>
                  </w:r>
                </w:p>
              </w:tc>
              <w:tc>
                <w:tcPr>
                  <w:tcW w:w="395" w:type="pct"/>
                  <w:vAlign w:val="center"/>
                </w:tcPr>
                <w:p>
                  <w:pPr>
                    <w:jc w:val="center"/>
                    <w:rPr>
                      <w:bCs/>
                      <w:color w:val="auto"/>
                      <w:szCs w:val="21"/>
                    </w:rPr>
                  </w:pPr>
                  <w:r>
                    <w:rPr>
                      <w:rFonts w:hint="eastAsia"/>
                      <w:bCs/>
                      <w:color w:val="auto"/>
                      <w:szCs w:val="21"/>
                    </w:rPr>
                    <w:t>/</w:t>
                  </w:r>
                </w:p>
              </w:tc>
            </w:tr>
          </w:tbl>
          <w:p>
            <w:pPr>
              <w:adjustRightInd w:val="0"/>
              <w:spacing w:line="240" w:lineRule="auto"/>
              <w:jc w:val="left"/>
              <w:rPr>
                <w:rFonts w:hint="default" w:eastAsia="宋体"/>
                <w:b w:val="0"/>
                <w:color w:val="auto"/>
                <w:sz w:val="18"/>
                <w:lang w:val="en-US" w:eastAsia="zh-CN"/>
              </w:rPr>
            </w:pPr>
            <w:r>
              <w:rPr>
                <w:rFonts w:hint="eastAsia"/>
                <w:b/>
                <w:color w:val="auto"/>
                <w:sz w:val="21"/>
                <w:szCs w:val="21"/>
                <w:lang w:val="en-US" w:eastAsia="zh-CN"/>
              </w:rPr>
              <w:t>注：本项目使用的导热油炉单台加热功率232kW，换算为蒸汽锅炉额定蒸发量约为0.33t/h</w:t>
            </w:r>
            <w:r>
              <w:rPr>
                <w:rFonts w:hint="eastAsia"/>
                <w:b/>
                <w:color w:val="auto"/>
                <w:szCs w:val="21"/>
                <w:lang w:val="en-US" w:eastAsia="zh-CN"/>
              </w:rPr>
              <w:t>。</w:t>
            </w:r>
          </w:p>
          <w:p>
            <w:pPr>
              <w:adjustRightInd w:val="0"/>
              <w:snapToGrid w:val="0"/>
              <w:spacing w:before="120" w:beforeLines="50" w:line="360" w:lineRule="auto"/>
              <w:jc w:val="left"/>
              <w:rPr>
                <w:b/>
                <w:color w:val="auto"/>
                <w:sz w:val="24"/>
              </w:rPr>
            </w:pPr>
            <w:r>
              <w:rPr>
                <w:b/>
                <w:color w:val="auto"/>
                <w:sz w:val="24"/>
              </w:rPr>
              <w:t>6、项目主要原辅材料及燃料消耗表</w:t>
            </w:r>
          </w:p>
          <w:p>
            <w:pPr>
              <w:adjustRightInd w:val="0"/>
              <w:snapToGrid w:val="0"/>
              <w:jc w:val="center"/>
              <w:rPr>
                <w:b/>
                <w:bCs/>
                <w:color w:val="auto"/>
                <w:sz w:val="24"/>
              </w:rPr>
            </w:pPr>
            <w:r>
              <w:rPr>
                <w:b/>
                <w:bCs/>
                <w:color w:val="auto"/>
                <w:sz w:val="24"/>
              </w:rPr>
              <w:t>表2-4 项目原辅材料</w:t>
            </w:r>
            <w:r>
              <w:rPr>
                <w:b/>
                <w:color w:val="auto"/>
                <w:sz w:val="24"/>
              </w:rPr>
              <w:t>及燃料</w:t>
            </w:r>
            <w:r>
              <w:rPr>
                <w:b/>
                <w:bCs/>
                <w:color w:val="auto"/>
                <w:sz w:val="24"/>
              </w:rPr>
              <w:t>消耗表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652"/>
              <w:gridCol w:w="856"/>
              <w:gridCol w:w="1134"/>
              <w:gridCol w:w="1842"/>
              <w:gridCol w:w="1575"/>
              <w:gridCol w:w="1396"/>
              <w:gridCol w:w="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PrEx>
              <w:trPr>
                <w:trHeight w:val="340" w:hRule="atLeast"/>
                <w:jc w:val="center"/>
              </w:trPr>
              <w:tc>
                <w:tcPr>
                  <w:tcW w:w="394" w:type="pct"/>
                  <w:vAlign w:val="center"/>
                </w:tcPr>
                <w:p>
                  <w:pPr>
                    <w:adjustRightInd w:val="0"/>
                    <w:snapToGrid w:val="0"/>
                    <w:jc w:val="center"/>
                    <w:rPr>
                      <w:b/>
                      <w:bCs/>
                      <w:color w:val="auto"/>
                      <w:szCs w:val="21"/>
                    </w:rPr>
                  </w:pPr>
                  <w:r>
                    <w:rPr>
                      <w:b/>
                      <w:bCs/>
                      <w:color w:val="auto"/>
                      <w:szCs w:val="21"/>
                    </w:rPr>
                    <w:t>序号</w:t>
                  </w:r>
                </w:p>
              </w:tc>
              <w:tc>
                <w:tcPr>
                  <w:tcW w:w="517" w:type="pct"/>
                  <w:vAlign w:val="center"/>
                </w:tcPr>
                <w:p>
                  <w:pPr>
                    <w:adjustRightInd w:val="0"/>
                    <w:snapToGrid w:val="0"/>
                    <w:jc w:val="center"/>
                    <w:rPr>
                      <w:b/>
                      <w:bCs/>
                      <w:color w:val="auto"/>
                      <w:szCs w:val="21"/>
                    </w:rPr>
                  </w:pPr>
                  <w:r>
                    <w:rPr>
                      <w:b/>
                      <w:bCs/>
                      <w:color w:val="auto"/>
                      <w:szCs w:val="21"/>
                    </w:rPr>
                    <w:t>主要</w:t>
                  </w:r>
                  <w:r>
                    <w:rPr>
                      <w:rFonts w:hint="eastAsia"/>
                      <w:b/>
                      <w:bCs/>
                      <w:color w:val="auto"/>
                      <w:szCs w:val="21"/>
                    </w:rPr>
                    <w:t>生产单元</w:t>
                  </w:r>
                </w:p>
              </w:tc>
              <w:tc>
                <w:tcPr>
                  <w:tcW w:w="685" w:type="pct"/>
                  <w:vAlign w:val="center"/>
                </w:tcPr>
                <w:p>
                  <w:pPr>
                    <w:adjustRightInd w:val="0"/>
                    <w:snapToGrid w:val="0"/>
                    <w:jc w:val="center"/>
                    <w:rPr>
                      <w:b/>
                      <w:bCs/>
                      <w:color w:val="auto"/>
                      <w:szCs w:val="21"/>
                    </w:rPr>
                  </w:pPr>
                  <w:r>
                    <w:rPr>
                      <w:b/>
                      <w:bCs/>
                      <w:color w:val="auto"/>
                      <w:szCs w:val="21"/>
                    </w:rPr>
                    <w:t>物料名称</w:t>
                  </w:r>
                </w:p>
              </w:tc>
              <w:tc>
                <w:tcPr>
                  <w:tcW w:w="1114" w:type="pct"/>
                  <w:vAlign w:val="center"/>
                </w:tcPr>
                <w:p>
                  <w:pPr>
                    <w:adjustRightInd w:val="0"/>
                    <w:snapToGrid w:val="0"/>
                    <w:jc w:val="center"/>
                    <w:rPr>
                      <w:b/>
                      <w:bCs/>
                      <w:color w:val="auto"/>
                      <w:szCs w:val="21"/>
                    </w:rPr>
                  </w:pPr>
                  <w:r>
                    <w:rPr>
                      <w:b/>
                      <w:bCs/>
                      <w:color w:val="auto"/>
                      <w:szCs w:val="21"/>
                    </w:rPr>
                    <w:t>规格/成分</w:t>
                  </w:r>
                </w:p>
              </w:tc>
              <w:tc>
                <w:tcPr>
                  <w:tcW w:w="952" w:type="pct"/>
                  <w:vAlign w:val="center"/>
                </w:tcPr>
                <w:p>
                  <w:pPr>
                    <w:adjustRightInd w:val="0"/>
                    <w:snapToGrid w:val="0"/>
                    <w:jc w:val="center"/>
                    <w:rPr>
                      <w:b/>
                      <w:bCs/>
                      <w:color w:val="auto"/>
                      <w:szCs w:val="21"/>
                    </w:rPr>
                  </w:pPr>
                  <w:r>
                    <w:rPr>
                      <w:b/>
                      <w:bCs/>
                      <w:color w:val="auto"/>
                      <w:szCs w:val="21"/>
                    </w:rPr>
                    <w:t>年用量</w:t>
                  </w:r>
                </w:p>
              </w:tc>
              <w:tc>
                <w:tcPr>
                  <w:tcW w:w="844" w:type="pct"/>
                  <w:vAlign w:val="center"/>
                </w:tcPr>
                <w:p>
                  <w:pPr>
                    <w:adjustRightInd w:val="0"/>
                    <w:snapToGrid w:val="0"/>
                    <w:jc w:val="center"/>
                    <w:rPr>
                      <w:b/>
                      <w:bCs/>
                      <w:color w:val="auto"/>
                      <w:szCs w:val="21"/>
                    </w:rPr>
                  </w:pPr>
                  <w:r>
                    <w:rPr>
                      <w:b/>
                      <w:bCs/>
                      <w:color w:val="auto"/>
                      <w:szCs w:val="21"/>
                    </w:rPr>
                    <w:t>最大存储量</w:t>
                  </w:r>
                </w:p>
              </w:tc>
              <w:tc>
                <w:tcPr>
                  <w:tcW w:w="490" w:type="pct"/>
                  <w:vAlign w:val="center"/>
                </w:tcPr>
                <w:p>
                  <w:pPr>
                    <w:adjustRightInd w:val="0"/>
                    <w:snapToGrid w:val="0"/>
                    <w:jc w:val="center"/>
                    <w:rPr>
                      <w:b/>
                      <w:bCs/>
                      <w:color w:val="auto"/>
                      <w:szCs w:val="21"/>
                    </w:rPr>
                  </w:pPr>
                  <w:r>
                    <w:rPr>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94" w:type="pct"/>
                  <w:vAlign w:val="center"/>
                </w:tcPr>
                <w:p>
                  <w:pPr>
                    <w:adjustRightInd w:val="0"/>
                    <w:snapToGrid w:val="0"/>
                    <w:jc w:val="center"/>
                    <w:rPr>
                      <w:bCs/>
                      <w:color w:val="auto"/>
                      <w:szCs w:val="21"/>
                    </w:rPr>
                  </w:pPr>
                  <w:r>
                    <w:rPr>
                      <w:bCs/>
                      <w:color w:val="auto"/>
                      <w:szCs w:val="21"/>
                    </w:rPr>
                    <w:t>1</w:t>
                  </w:r>
                </w:p>
              </w:tc>
              <w:tc>
                <w:tcPr>
                  <w:tcW w:w="517" w:type="pct"/>
                  <w:vMerge w:val="restart"/>
                  <w:vAlign w:val="center"/>
                </w:tcPr>
                <w:p>
                  <w:pPr>
                    <w:adjustRightInd w:val="0"/>
                    <w:snapToGrid w:val="0"/>
                    <w:jc w:val="center"/>
                    <w:rPr>
                      <w:bCs/>
                      <w:color w:val="auto"/>
                      <w:szCs w:val="21"/>
                    </w:rPr>
                  </w:pPr>
                  <w:r>
                    <w:rPr>
                      <w:rFonts w:hint="eastAsia"/>
                      <w:bCs/>
                      <w:color w:val="auto"/>
                      <w:szCs w:val="21"/>
                    </w:rPr>
                    <w:t>饰面板</w:t>
                  </w:r>
                  <w:r>
                    <w:rPr>
                      <w:color w:val="auto"/>
                      <w:szCs w:val="21"/>
                    </w:rPr>
                    <w:t>生产</w:t>
                  </w:r>
                  <w:r>
                    <w:rPr>
                      <w:rFonts w:hint="eastAsia"/>
                      <w:color w:val="auto"/>
                      <w:szCs w:val="21"/>
                    </w:rPr>
                    <w:t>单元</w:t>
                  </w:r>
                </w:p>
              </w:tc>
              <w:tc>
                <w:tcPr>
                  <w:tcW w:w="685" w:type="pct"/>
                  <w:vAlign w:val="center"/>
                </w:tcPr>
                <w:p>
                  <w:pPr>
                    <w:jc w:val="center"/>
                    <w:rPr>
                      <w:color w:val="auto"/>
                      <w:szCs w:val="21"/>
                    </w:rPr>
                  </w:pPr>
                  <w:r>
                    <w:rPr>
                      <w:color w:val="auto"/>
                      <w:szCs w:val="21"/>
                    </w:rPr>
                    <w:t>刨花板</w:t>
                  </w:r>
                </w:p>
              </w:tc>
              <w:tc>
                <w:tcPr>
                  <w:tcW w:w="1114" w:type="pct"/>
                  <w:vMerge w:val="restart"/>
                  <w:vAlign w:val="center"/>
                </w:tcPr>
                <w:p>
                  <w:pPr>
                    <w:jc w:val="center"/>
                    <w:rPr>
                      <w:color w:val="auto"/>
                      <w:szCs w:val="21"/>
                    </w:rPr>
                  </w:pPr>
                  <w:r>
                    <w:rPr>
                      <w:color w:val="auto"/>
                      <w:szCs w:val="21"/>
                    </w:rPr>
                    <w:t>2.44m×1.22m×（3~25mm），平均厚度约9mm</w:t>
                  </w:r>
                </w:p>
              </w:tc>
              <w:tc>
                <w:tcPr>
                  <w:tcW w:w="952" w:type="pct"/>
                  <w:vAlign w:val="center"/>
                </w:tcPr>
                <w:p>
                  <w:pPr>
                    <w:adjustRightInd w:val="0"/>
                    <w:snapToGrid w:val="0"/>
                    <w:jc w:val="center"/>
                    <w:rPr>
                      <w:bCs/>
                      <w:color w:val="auto"/>
                      <w:szCs w:val="21"/>
                    </w:rPr>
                  </w:pPr>
                  <w:r>
                    <w:rPr>
                      <w:bCs/>
                      <w:color w:val="auto"/>
                      <w:szCs w:val="21"/>
                    </w:rPr>
                    <w:t>340</w:t>
                  </w:r>
                  <w:r>
                    <w:rPr>
                      <w:rFonts w:hint="eastAsia"/>
                      <w:bCs/>
                      <w:color w:val="auto"/>
                      <w:szCs w:val="21"/>
                      <w:lang w:val="en-US" w:eastAsia="zh-CN"/>
                    </w:rPr>
                    <w:t>.034</w:t>
                  </w:r>
                  <w:r>
                    <w:rPr>
                      <w:rFonts w:hint="eastAsia"/>
                      <w:bCs/>
                      <w:color w:val="auto"/>
                      <w:szCs w:val="21"/>
                    </w:rPr>
                    <w:t>万张</w:t>
                  </w:r>
                  <w:r>
                    <w:rPr>
                      <w:bCs/>
                      <w:color w:val="auto"/>
                      <w:szCs w:val="21"/>
                    </w:rPr>
                    <w:t>/a</w:t>
                  </w:r>
                </w:p>
              </w:tc>
              <w:tc>
                <w:tcPr>
                  <w:tcW w:w="844" w:type="pct"/>
                  <w:vAlign w:val="center"/>
                </w:tcPr>
                <w:p>
                  <w:pPr>
                    <w:adjustRightInd w:val="0"/>
                    <w:snapToGrid w:val="0"/>
                    <w:jc w:val="center"/>
                    <w:rPr>
                      <w:bCs/>
                      <w:color w:val="auto"/>
                      <w:szCs w:val="21"/>
                    </w:rPr>
                  </w:pPr>
                  <w:r>
                    <w:rPr>
                      <w:bCs/>
                      <w:color w:val="auto"/>
                      <w:szCs w:val="21"/>
                    </w:rPr>
                    <w:t>57</w:t>
                  </w:r>
                  <w:r>
                    <w:rPr>
                      <w:rFonts w:hint="eastAsia"/>
                      <w:bCs/>
                      <w:color w:val="auto"/>
                      <w:szCs w:val="21"/>
                    </w:rPr>
                    <w:t>万张</w:t>
                  </w:r>
                </w:p>
              </w:tc>
              <w:tc>
                <w:tcPr>
                  <w:tcW w:w="490" w:type="pct"/>
                  <w:vAlign w:val="center"/>
                </w:tcPr>
                <w:p>
                  <w:pPr>
                    <w:adjustRightInd w:val="0"/>
                    <w:snapToGrid w:val="0"/>
                    <w:jc w:val="center"/>
                    <w:rPr>
                      <w:bCs/>
                      <w:color w:val="auto"/>
                      <w:szCs w:val="21"/>
                    </w:rPr>
                  </w:pPr>
                  <w:r>
                    <w:rPr>
                      <w:color w:val="auto"/>
                      <w:szCs w:val="21"/>
                    </w:rPr>
                    <w:t>汽运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94" w:type="pct"/>
                  <w:vAlign w:val="center"/>
                </w:tcPr>
                <w:p>
                  <w:pPr>
                    <w:adjustRightInd w:val="0"/>
                    <w:snapToGrid w:val="0"/>
                    <w:jc w:val="center"/>
                    <w:rPr>
                      <w:bCs/>
                      <w:color w:val="auto"/>
                      <w:szCs w:val="21"/>
                    </w:rPr>
                  </w:pPr>
                  <w:r>
                    <w:rPr>
                      <w:bCs/>
                      <w:color w:val="auto"/>
                      <w:szCs w:val="21"/>
                    </w:rPr>
                    <w:t>2</w:t>
                  </w:r>
                </w:p>
              </w:tc>
              <w:tc>
                <w:tcPr>
                  <w:tcW w:w="517" w:type="pct"/>
                  <w:vMerge w:val="continue"/>
                  <w:vAlign w:val="center"/>
                </w:tcPr>
                <w:p>
                  <w:pPr>
                    <w:adjustRightInd w:val="0"/>
                    <w:snapToGrid w:val="0"/>
                    <w:jc w:val="center"/>
                    <w:rPr>
                      <w:bCs/>
                      <w:color w:val="auto"/>
                      <w:szCs w:val="21"/>
                    </w:rPr>
                  </w:pPr>
                </w:p>
              </w:tc>
              <w:tc>
                <w:tcPr>
                  <w:tcW w:w="685" w:type="pct"/>
                  <w:vAlign w:val="center"/>
                </w:tcPr>
                <w:p>
                  <w:pPr>
                    <w:jc w:val="center"/>
                    <w:rPr>
                      <w:color w:val="auto"/>
                      <w:szCs w:val="21"/>
                    </w:rPr>
                  </w:pPr>
                  <w:r>
                    <w:rPr>
                      <w:color w:val="auto"/>
                      <w:szCs w:val="21"/>
                    </w:rPr>
                    <w:t>密度板</w:t>
                  </w:r>
                </w:p>
              </w:tc>
              <w:tc>
                <w:tcPr>
                  <w:tcW w:w="1114" w:type="pct"/>
                  <w:vMerge w:val="continue"/>
                  <w:vAlign w:val="center"/>
                </w:tcPr>
                <w:p>
                  <w:pPr>
                    <w:jc w:val="center"/>
                    <w:rPr>
                      <w:color w:val="auto"/>
                      <w:szCs w:val="21"/>
                    </w:rPr>
                  </w:pPr>
                </w:p>
              </w:tc>
              <w:tc>
                <w:tcPr>
                  <w:tcW w:w="952" w:type="pct"/>
                  <w:vAlign w:val="center"/>
                </w:tcPr>
                <w:p>
                  <w:pPr>
                    <w:adjustRightInd w:val="0"/>
                    <w:snapToGrid w:val="0"/>
                    <w:jc w:val="center"/>
                    <w:rPr>
                      <w:bCs/>
                      <w:color w:val="auto"/>
                      <w:szCs w:val="21"/>
                    </w:rPr>
                  </w:pPr>
                  <w:r>
                    <w:rPr>
                      <w:rFonts w:hint="eastAsia"/>
                      <w:bCs/>
                      <w:color w:val="auto"/>
                      <w:szCs w:val="21"/>
                    </w:rPr>
                    <w:t>10</w:t>
                  </w:r>
                  <w:r>
                    <w:rPr>
                      <w:rFonts w:hint="eastAsia"/>
                      <w:bCs/>
                      <w:color w:val="auto"/>
                      <w:szCs w:val="21"/>
                      <w:lang w:val="en-US" w:eastAsia="zh-CN"/>
                    </w:rPr>
                    <w:t>.001</w:t>
                  </w:r>
                  <w:r>
                    <w:rPr>
                      <w:rFonts w:hint="eastAsia"/>
                      <w:bCs/>
                      <w:color w:val="auto"/>
                      <w:szCs w:val="21"/>
                    </w:rPr>
                    <w:t>万张</w:t>
                  </w:r>
                  <w:r>
                    <w:rPr>
                      <w:bCs/>
                      <w:color w:val="auto"/>
                      <w:szCs w:val="21"/>
                    </w:rPr>
                    <w:t>/a</w:t>
                  </w:r>
                </w:p>
              </w:tc>
              <w:tc>
                <w:tcPr>
                  <w:tcW w:w="844" w:type="pct"/>
                  <w:vAlign w:val="center"/>
                </w:tcPr>
                <w:p>
                  <w:pPr>
                    <w:adjustRightInd w:val="0"/>
                    <w:snapToGrid w:val="0"/>
                    <w:jc w:val="center"/>
                    <w:rPr>
                      <w:bCs/>
                      <w:color w:val="auto"/>
                      <w:szCs w:val="21"/>
                    </w:rPr>
                  </w:pPr>
                  <w:r>
                    <w:rPr>
                      <w:bCs/>
                      <w:color w:val="auto"/>
                      <w:szCs w:val="21"/>
                    </w:rPr>
                    <w:t>1.6</w:t>
                  </w:r>
                  <w:r>
                    <w:rPr>
                      <w:rFonts w:hint="eastAsia"/>
                      <w:bCs/>
                      <w:color w:val="auto"/>
                      <w:szCs w:val="21"/>
                    </w:rPr>
                    <w:t>万张</w:t>
                  </w:r>
                </w:p>
              </w:tc>
              <w:tc>
                <w:tcPr>
                  <w:tcW w:w="490" w:type="pct"/>
                  <w:vAlign w:val="center"/>
                </w:tcPr>
                <w:p>
                  <w:pPr>
                    <w:adjustRightInd w:val="0"/>
                    <w:snapToGrid w:val="0"/>
                    <w:jc w:val="center"/>
                    <w:rPr>
                      <w:bCs/>
                      <w:color w:val="auto"/>
                      <w:szCs w:val="21"/>
                    </w:rPr>
                  </w:pPr>
                  <w:r>
                    <w:rPr>
                      <w:color w:val="auto"/>
                      <w:szCs w:val="21"/>
                    </w:rPr>
                    <w:t>汽运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PrEx>
              <w:trPr>
                <w:trHeight w:val="340" w:hRule="atLeast"/>
                <w:jc w:val="center"/>
              </w:trPr>
              <w:tc>
                <w:tcPr>
                  <w:tcW w:w="394" w:type="pct"/>
                  <w:vAlign w:val="center"/>
                </w:tcPr>
                <w:p>
                  <w:pPr>
                    <w:adjustRightInd w:val="0"/>
                    <w:snapToGrid w:val="0"/>
                    <w:jc w:val="center"/>
                    <w:rPr>
                      <w:bCs/>
                      <w:color w:val="auto"/>
                      <w:szCs w:val="21"/>
                    </w:rPr>
                  </w:pPr>
                  <w:r>
                    <w:rPr>
                      <w:bCs/>
                      <w:color w:val="auto"/>
                      <w:szCs w:val="21"/>
                    </w:rPr>
                    <w:t>3</w:t>
                  </w:r>
                </w:p>
              </w:tc>
              <w:tc>
                <w:tcPr>
                  <w:tcW w:w="517" w:type="pct"/>
                  <w:vMerge w:val="continue"/>
                  <w:vAlign w:val="center"/>
                </w:tcPr>
                <w:p>
                  <w:pPr>
                    <w:adjustRightInd w:val="0"/>
                    <w:snapToGrid w:val="0"/>
                    <w:jc w:val="center"/>
                    <w:rPr>
                      <w:bCs/>
                      <w:color w:val="auto"/>
                      <w:szCs w:val="21"/>
                    </w:rPr>
                  </w:pPr>
                </w:p>
              </w:tc>
              <w:tc>
                <w:tcPr>
                  <w:tcW w:w="685" w:type="pct"/>
                  <w:vAlign w:val="center"/>
                </w:tcPr>
                <w:p>
                  <w:pPr>
                    <w:jc w:val="center"/>
                    <w:rPr>
                      <w:color w:val="auto"/>
                      <w:szCs w:val="21"/>
                    </w:rPr>
                  </w:pPr>
                  <w:r>
                    <w:rPr>
                      <w:color w:val="auto"/>
                      <w:szCs w:val="21"/>
                    </w:rPr>
                    <w:t>多层板</w:t>
                  </w:r>
                </w:p>
              </w:tc>
              <w:tc>
                <w:tcPr>
                  <w:tcW w:w="1114" w:type="pct"/>
                  <w:vMerge w:val="continue"/>
                  <w:vAlign w:val="center"/>
                </w:tcPr>
                <w:p>
                  <w:pPr>
                    <w:jc w:val="center"/>
                    <w:rPr>
                      <w:color w:val="auto"/>
                      <w:szCs w:val="21"/>
                    </w:rPr>
                  </w:pPr>
                </w:p>
              </w:tc>
              <w:tc>
                <w:tcPr>
                  <w:tcW w:w="952" w:type="pct"/>
                  <w:vAlign w:val="center"/>
                </w:tcPr>
                <w:p>
                  <w:pPr>
                    <w:adjustRightInd w:val="0"/>
                    <w:snapToGrid w:val="0"/>
                    <w:jc w:val="center"/>
                    <w:rPr>
                      <w:bCs/>
                      <w:color w:val="auto"/>
                      <w:szCs w:val="21"/>
                    </w:rPr>
                  </w:pPr>
                  <w:r>
                    <w:rPr>
                      <w:rFonts w:hint="eastAsia"/>
                      <w:bCs/>
                      <w:color w:val="auto"/>
                      <w:szCs w:val="21"/>
                    </w:rPr>
                    <w:t>10</w:t>
                  </w:r>
                  <w:r>
                    <w:rPr>
                      <w:rFonts w:hint="eastAsia"/>
                      <w:bCs/>
                      <w:color w:val="auto"/>
                      <w:szCs w:val="21"/>
                      <w:lang w:val="en-US" w:eastAsia="zh-CN"/>
                    </w:rPr>
                    <w:t>.001</w:t>
                  </w:r>
                  <w:r>
                    <w:rPr>
                      <w:rFonts w:hint="eastAsia"/>
                      <w:bCs/>
                      <w:color w:val="auto"/>
                      <w:szCs w:val="21"/>
                    </w:rPr>
                    <w:t>万张</w:t>
                  </w:r>
                  <w:r>
                    <w:rPr>
                      <w:bCs/>
                      <w:color w:val="auto"/>
                      <w:szCs w:val="21"/>
                    </w:rPr>
                    <w:t>/a</w:t>
                  </w:r>
                </w:p>
              </w:tc>
              <w:tc>
                <w:tcPr>
                  <w:tcW w:w="844" w:type="pct"/>
                  <w:vAlign w:val="center"/>
                </w:tcPr>
                <w:p>
                  <w:pPr>
                    <w:adjustRightInd w:val="0"/>
                    <w:snapToGrid w:val="0"/>
                    <w:jc w:val="center"/>
                    <w:rPr>
                      <w:bCs/>
                      <w:color w:val="auto"/>
                      <w:szCs w:val="21"/>
                    </w:rPr>
                  </w:pPr>
                  <w:r>
                    <w:rPr>
                      <w:bCs/>
                      <w:color w:val="auto"/>
                      <w:szCs w:val="21"/>
                    </w:rPr>
                    <w:t>1.6</w:t>
                  </w:r>
                  <w:r>
                    <w:rPr>
                      <w:rFonts w:hint="eastAsia"/>
                      <w:bCs/>
                      <w:color w:val="auto"/>
                      <w:szCs w:val="21"/>
                    </w:rPr>
                    <w:t>万张</w:t>
                  </w:r>
                </w:p>
              </w:tc>
              <w:tc>
                <w:tcPr>
                  <w:tcW w:w="490" w:type="pct"/>
                  <w:vAlign w:val="center"/>
                </w:tcPr>
                <w:p>
                  <w:pPr>
                    <w:adjustRightInd w:val="0"/>
                    <w:snapToGrid w:val="0"/>
                    <w:jc w:val="center"/>
                    <w:rPr>
                      <w:bCs/>
                      <w:color w:val="auto"/>
                      <w:szCs w:val="21"/>
                    </w:rPr>
                  </w:pPr>
                  <w:r>
                    <w:rPr>
                      <w:color w:val="auto"/>
                      <w:szCs w:val="21"/>
                    </w:rPr>
                    <w:t>汽运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94" w:type="pct"/>
                  <w:vAlign w:val="center"/>
                </w:tcPr>
                <w:p>
                  <w:pPr>
                    <w:adjustRightInd w:val="0"/>
                    <w:snapToGrid w:val="0"/>
                    <w:jc w:val="center"/>
                    <w:rPr>
                      <w:bCs/>
                      <w:color w:val="auto"/>
                      <w:szCs w:val="21"/>
                    </w:rPr>
                  </w:pPr>
                  <w:r>
                    <w:rPr>
                      <w:bCs/>
                      <w:color w:val="auto"/>
                      <w:szCs w:val="21"/>
                    </w:rPr>
                    <w:t>4</w:t>
                  </w:r>
                </w:p>
              </w:tc>
              <w:tc>
                <w:tcPr>
                  <w:tcW w:w="517" w:type="pct"/>
                  <w:vMerge w:val="continue"/>
                  <w:vAlign w:val="center"/>
                </w:tcPr>
                <w:p>
                  <w:pPr>
                    <w:adjustRightInd w:val="0"/>
                    <w:snapToGrid w:val="0"/>
                    <w:jc w:val="center"/>
                    <w:rPr>
                      <w:bCs/>
                      <w:color w:val="auto"/>
                      <w:szCs w:val="21"/>
                    </w:rPr>
                  </w:pPr>
                </w:p>
              </w:tc>
              <w:tc>
                <w:tcPr>
                  <w:tcW w:w="685" w:type="pct"/>
                  <w:vAlign w:val="center"/>
                </w:tcPr>
                <w:p>
                  <w:pPr>
                    <w:jc w:val="center"/>
                    <w:rPr>
                      <w:color w:val="auto"/>
                      <w:szCs w:val="21"/>
                    </w:rPr>
                  </w:pPr>
                  <w:r>
                    <w:rPr>
                      <w:color w:val="auto"/>
                      <w:szCs w:val="21"/>
                    </w:rPr>
                    <w:t>浸胶纸</w:t>
                  </w:r>
                </w:p>
              </w:tc>
              <w:tc>
                <w:tcPr>
                  <w:tcW w:w="1114" w:type="pct"/>
                  <w:vAlign w:val="center"/>
                </w:tcPr>
                <w:p>
                  <w:pPr>
                    <w:jc w:val="center"/>
                    <w:rPr>
                      <w:color w:val="auto"/>
                      <w:szCs w:val="21"/>
                    </w:rPr>
                  </w:pPr>
                  <w:r>
                    <w:rPr>
                      <w:color w:val="auto"/>
                      <w:szCs w:val="21"/>
                    </w:rPr>
                    <w:t>2.4</w:t>
                  </w:r>
                  <w:r>
                    <w:rPr>
                      <w:rFonts w:hint="eastAsia"/>
                      <w:color w:val="auto"/>
                      <w:szCs w:val="21"/>
                      <w:lang w:val="en-US" w:eastAsia="zh-CN"/>
                    </w:rPr>
                    <w:t>6</w:t>
                  </w:r>
                  <w:r>
                    <w:rPr>
                      <w:color w:val="auto"/>
                    </w:rPr>
                    <w:t>×</w:t>
                  </w:r>
                  <w:r>
                    <w:rPr>
                      <w:color w:val="auto"/>
                      <w:szCs w:val="21"/>
                    </w:rPr>
                    <w:t>1.2</w:t>
                  </w:r>
                  <w:r>
                    <w:rPr>
                      <w:rFonts w:hint="eastAsia"/>
                      <w:color w:val="auto"/>
                      <w:szCs w:val="21"/>
                      <w:lang w:val="en-US" w:eastAsia="zh-CN"/>
                    </w:rPr>
                    <w:t>4</w:t>
                  </w:r>
                  <w:r>
                    <w:rPr>
                      <w:color w:val="auto"/>
                      <w:szCs w:val="21"/>
                    </w:rPr>
                    <w:t>m</w:t>
                  </w:r>
                </w:p>
              </w:tc>
              <w:tc>
                <w:tcPr>
                  <w:tcW w:w="952" w:type="pct"/>
                  <w:vAlign w:val="center"/>
                </w:tcPr>
                <w:p>
                  <w:pPr>
                    <w:adjustRightInd w:val="0"/>
                    <w:snapToGrid w:val="0"/>
                    <w:jc w:val="center"/>
                    <w:rPr>
                      <w:bCs/>
                      <w:color w:val="auto"/>
                      <w:szCs w:val="21"/>
                    </w:rPr>
                  </w:pPr>
                  <w:r>
                    <w:rPr>
                      <w:rFonts w:hint="eastAsia"/>
                      <w:bCs/>
                      <w:color w:val="auto"/>
                      <w:szCs w:val="21"/>
                    </w:rPr>
                    <w:t>720</w:t>
                  </w:r>
                  <w:r>
                    <w:rPr>
                      <w:rFonts w:hint="eastAsia"/>
                      <w:color w:val="auto"/>
                      <w:lang w:val="en-US" w:eastAsia="zh-CN"/>
                    </w:rPr>
                    <w:t>.072</w:t>
                  </w:r>
                  <w:r>
                    <w:rPr>
                      <w:rFonts w:hint="eastAsia"/>
                      <w:bCs/>
                      <w:color w:val="auto"/>
                      <w:szCs w:val="21"/>
                    </w:rPr>
                    <w:t>万张</w:t>
                  </w:r>
                  <w:r>
                    <w:rPr>
                      <w:bCs/>
                      <w:color w:val="auto"/>
                      <w:szCs w:val="21"/>
                    </w:rPr>
                    <w:t>/a</w:t>
                  </w:r>
                </w:p>
              </w:tc>
              <w:tc>
                <w:tcPr>
                  <w:tcW w:w="844" w:type="pct"/>
                  <w:vAlign w:val="center"/>
                </w:tcPr>
                <w:p>
                  <w:pPr>
                    <w:adjustRightInd w:val="0"/>
                    <w:snapToGrid w:val="0"/>
                    <w:jc w:val="center"/>
                    <w:rPr>
                      <w:bCs/>
                      <w:color w:val="auto"/>
                      <w:szCs w:val="21"/>
                    </w:rPr>
                  </w:pPr>
                  <w:r>
                    <w:rPr>
                      <w:rFonts w:hint="eastAsia"/>
                      <w:bCs/>
                      <w:color w:val="auto"/>
                      <w:szCs w:val="21"/>
                    </w:rPr>
                    <w:t>120万张</w:t>
                  </w:r>
                </w:p>
              </w:tc>
              <w:tc>
                <w:tcPr>
                  <w:tcW w:w="490" w:type="pct"/>
                  <w:vAlign w:val="center"/>
                </w:tcPr>
                <w:p>
                  <w:pPr>
                    <w:adjustRightInd w:val="0"/>
                    <w:snapToGrid w:val="0"/>
                    <w:jc w:val="center"/>
                    <w:rPr>
                      <w:bCs/>
                      <w:color w:val="auto"/>
                      <w:szCs w:val="21"/>
                    </w:rPr>
                  </w:pPr>
                  <w:r>
                    <w:rPr>
                      <w:color w:val="auto"/>
                      <w:szCs w:val="21"/>
                    </w:rPr>
                    <w:t>汽运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94" w:type="pct"/>
                  <w:vAlign w:val="center"/>
                </w:tcPr>
                <w:p>
                  <w:pPr>
                    <w:adjustRightInd w:val="0"/>
                    <w:snapToGrid w:val="0"/>
                    <w:jc w:val="center"/>
                    <w:rPr>
                      <w:bCs/>
                      <w:color w:val="auto"/>
                      <w:szCs w:val="21"/>
                    </w:rPr>
                  </w:pPr>
                  <w:r>
                    <w:rPr>
                      <w:bCs/>
                      <w:color w:val="auto"/>
                      <w:szCs w:val="21"/>
                    </w:rPr>
                    <w:t>5</w:t>
                  </w:r>
                </w:p>
              </w:tc>
              <w:tc>
                <w:tcPr>
                  <w:tcW w:w="517" w:type="pct"/>
                  <w:vMerge w:val="continue"/>
                  <w:vAlign w:val="center"/>
                </w:tcPr>
                <w:p>
                  <w:pPr>
                    <w:adjustRightInd w:val="0"/>
                    <w:snapToGrid w:val="0"/>
                    <w:jc w:val="center"/>
                    <w:rPr>
                      <w:bCs/>
                      <w:color w:val="auto"/>
                      <w:szCs w:val="21"/>
                    </w:rPr>
                  </w:pPr>
                </w:p>
              </w:tc>
              <w:tc>
                <w:tcPr>
                  <w:tcW w:w="685" w:type="pct"/>
                  <w:vAlign w:val="center"/>
                </w:tcPr>
                <w:p>
                  <w:pPr>
                    <w:jc w:val="center"/>
                    <w:rPr>
                      <w:color w:val="auto"/>
                      <w:szCs w:val="21"/>
                    </w:rPr>
                  </w:pPr>
                  <w:r>
                    <w:rPr>
                      <w:color w:val="auto"/>
                      <w:szCs w:val="21"/>
                    </w:rPr>
                    <w:t>液压油</w:t>
                  </w:r>
                </w:p>
              </w:tc>
              <w:tc>
                <w:tcPr>
                  <w:tcW w:w="1114" w:type="pct"/>
                  <w:vAlign w:val="center"/>
                </w:tcPr>
                <w:p>
                  <w:pPr>
                    <w:jc w:val="center"/>
                    <w:rPr>
                      <w:color w:val="auto"/>
                      <w:szCs w:val="21"/>
                    </w:rPr>
                  </w:pPr>
                  <w:r>
                    <w:rPr>
                      <w:rFonts w:hint="eastAsia"/>
                      <w:color w:val="auto"/>
                      <w:szCs w:val="21"/>
                    </w:rPr>
                    <w:t>200L/桶</w:t>
                  </w:r>
                </w:p>
              </w:tc>
              <w:tc>
                <w:tcPr>
                  <w:tcW w:w="952" w:type="pct"/>
                  <w:vAlign w:val="center"/>
                </w:tcPr>
                <w:p>
                  <w:pPr>
                    <w:adjustRightInd w:val="0"/>
                    <w:snapToGrid w:val="0"/>
                    <w:jc w:val="center"/>
                    <w:rPr>
                      <w:bCs/>
                      <w:color w:val="auto"/>
                      <w:szCs w:val="21"/>
                    </w:rPr>
                  </w:pPr>
                  <w:r>
                    <w:rPr>
                      <w:rFonts w:hint="eastAsia"/>
                      <w:bCs/>
                      <w:color w:val="auto"/>
                      <w:szCs w:val="21"/>
                    </w:rPr>
                    <w:t>9.5</w:t>
                  </w:r>
                  <w:r>
                    <w:rPr>
                      <w:bCs/>
                      <w:color w:val="auto"/>
                      <w:szCs w:val="21"/>
                    </w:rPr>
                    <w:t xml:space="preserve"> t/a</w:t>
                  </w:r>
                </w:p>
              </w:tc>
              <w:tc>
                <w:tcPr>
                  <w:tcW w:w="844" w:type="pct"/>
                  <w:vAlign w:val="center"/>
                </w:tcPr>
                <w:p>
                  <w:pPr>
                    <w:adjustRightInd w:val="0"/>
                    <w:snapToGrid w:val="0"/>
                    <w:jc w:val="center"/>
                    <w:rPr>
                      <w:bCs/>
                      <w:color w:val="auto"/>
                      <w:szCs w:val="21"/>
                    </w:rPr>
                  </w:pPr>
                  <w:r>
                    <w:rPr>
                      <w:rFonts w:hint="eastAsia"/>
                      <w:bCs/>
                      <w:color w:val="auto"/>
                      <w:szCs w:val="21"/>
                    </w:rPr>
                    <w:t>0.8</w:t>
                  </w:r>
                  <w:r>
                    <w:rPr>
                      <w:bCs/>
                      <w:color w:val="auto"/>
                      <w:szCs w:val="21"/>
                    </w:rPr>
                    <w:t xml:space="preserve"> t</w:t>
                  </w:r>
                </w:p>
              </w:tc>
              <w:tc>
                <w:tcPr>
                  <w:tcW w:w="490" w:type="pct"/>
                  <w:vAlign w:val="center"/>
                </w:tcPr>
                <w:p>
                  <w:pPr>
                    <w:adjustRightInd w:val="0"/>
                    <w:snapToGrid w:val="0"/>
                    <w:jc w:val="center"/>
                    <w:rPr>
                      <w:bCs/>
                      <w:color w:val="auto"/>
                      <w:szCs w:val="21"/>
                    </w:rPr>
                  </w:pPr>
                  <w:r>
                    <w:rPr>
                      <w:color w:val="auto"/>
                      <w:szCs w:val="21"/>
                    </w:rPr>
                    <w:t>汽运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jc w:val="center"/>
              </w:trPr>
              <w:tc>
                <w:tcPr>
                  <w:tcW w:w="394" w:type="pct"/>
                  <w:vAlign w:val="center"/>
                </w:tcPr>
                <w:p>
                  <w:pPr>
                    <w:adjustRightInd w:val="0"/>
                    <w:snapToGrid w:val="0"/>
                    <w:jc w:val="center"/>
                    <w:rPr>
                      <w:bCs/>
                      <w:color w:val="auto"/>
                      <w:szCs w:val="21"/>
                    </w:rPr>
                  </w:pPr>
                  <w:r>
                    <w:rPr>
                      <w:bCs/>
                      <w:color w:val="auto"/>
                      <w:szCs w:val="21"/>
                    </w:rPr>
                    <w:t>6</w:t>
                  </w:r>
                </w:p>
              </w:tc>
              <w:tc>
                <w:tcPr>
                  <w:tcW w:w="517" w:type="pct"/>
                  <w:vMerge w:val="continue"/>
                  <w:vAlign w:val="center"/>
                </w:tcPr>
                <w:p>
                  <w:pPr>
                    <w:adjustRightInd w:val="0"/>
                    <w:snapToGrid w:val="0"/>
                    <w:jc w:val="center"/>
                    <w:rPr>
                      <w:bCs/>
                      <w:color w:val="auto"/>
                      <w:szCs w:val="21"/>
                    </w:rPr>
                  </w:pPr>
                </w:p>
              </w:tc>
              <w:tc>
                <w:tcPr>
                  <w:tcW w:w="685" w:type="pct"/>
                  <w:vAlign w:val="center"/>
                </w:tcPr>
                <w:p>
                  <w:pPr>
                    <w:jc w:val="center"/>
                    <w:rPr>
                      <w:color w:val="auto"/>
                      <w:szCs w:val="21"/>
                    </w:rPr>
                  </w:pPr>
                  <w:r>
                    <w:rPr>
                      <w:color w:val="auto"/>
                      <w:szCs w:val="21"/>
                    </w:rPr>
                    <w:t>导热油</w:t>
                  </w:r>
                </w:p>
              </w:tc>
              <w:tc>
                <w:tcPr>
                  <w:tcW w:w="1114" w:type="pct"/>
                  <w:vAlign w:val="center"/>
                </w:tcPr>
                <w:p>
                  <w:pPr>
                    <w:jc w:val="center"/>
                    <w:rPr>
                      <w:color w:val="auto"/>
                      <w:szCs w:val="21"/>
                    </w:rPr>
                  </w:pPr>
                  <w:r>
                    <w:rPr>
                      <w:rFonts w:hint="eastAsia"/>
                      <w:color w:val="auto"/>
                      <w:szCs w:val="21"/>
                    </w:rPr>
                    <w:t>200L/桶</w:t>
                  </w:r>
                </w:p>
              </w:tc>
              <w:tc>
                <w:tcPr>
                  <w:tcW w:w="952" w:type="pct"/>
                  <w:vAlign w:val="center"/>
                </w:tcPr>
                <w:p>
                  <w:pPr>
                    <w:adjustRightInd w:val="0"/>
                    <w:snapToGrid w:val="0"/>
                    <w:jc w:val="center"/>
                    <w:rPr>
                      <w:bCs/>
                      <w:color w:val="auto"/>
                      <w:szCs w:val="21"/>
                    </w:rPr>
                  </w:pPr>
                  <w:r>
                    <w:rPr>
                      <w:rFonts w:hint="eastAsia"/>
                      <w:bCs/>
                      <w:color w:val="auto"/>
                      <w:szCs w:val="21"/>
                    </w:rPr>
                    <w:t>2.5</w:t>
                  </w:r>
                  <w:r>
                    <w:rPr>
                      <w:bCs/>
                      <w:color w:val="auto"/>
                      <w:szCs w:val="21"/>
                    </w:rPr>
                    <w:t xml:space="preserve"> t/</w:t>
                  </w:r>
                  <w:r>
                    <w:rPr>
                      <w:rFonts w:hint="eastAsia"/>
                      <w:bCs/>
                      <w:color w:val="auto"/>
                      <w:szCs w:val="21"/>
                      <w:lang w:val="en-US" w:eastAsia="zh-CN"/>
                    </w:rPr>
                    <w:t>5</w:t>
                  </w:r>
                  <w:r>
                    <w:rPr>
                      <w:bCs/>
                      <w:color w:val="auto"/>
                      <w:szCs w:val="21"/>
                    </w:rPr>
                    <w:t>a</w:t>
                  </w:r>
                </w:p>
              </w:tc>
              <w:tc>
                <w:tcPr>
                  <w:tcW w:w="844" w:type="pct"/>
                  <w:vAlign w:val="center"/>
                </w:tcPr>
                <w:p>
                  <w:pPr>
                    <w:adjustRightInd w:val="0"/>
                    <w:snapToGrid w:val="0"/>
                    <w:jc w:val="center"/>
                    <w:rPr>
                      <w:bCs/>
                      <w:color w:val="auto"/>
                      <w:szCs w:val="21"/>
                    </w:rPr>
                  </w:pPr>
                  <w:r>
                    <w:rPr>
                      <w:rFonts w:hint="eastAsia"/>
                      <w:bCs/>
                      <w:color w:val="auto"/>
                      <w:szCs w:val="21"/>
                    </w:rPr>
                    <w:t>0.21</w:t>
                  </w:r>
                  <w:r>
                    <w:rPr>
                      <w:bCs/>
                      <w:color w:val="auto"/>
                      <w:szCs w:val="21"/>
                    </w:rPr>
                    <w:t xml:space="preserve"> t</w:t>
                  </w:r>
                </w:p>
              </w:tc>
              <w:tc>
                <w:tcPr>
                  <w:tcW w:w="490" w:type="pct"/>
                  <w:vAlign w:val="center"/>
                </w:tcPr>
                <w:p>
                  <w:pPr>
                    <w:adjustRightInd w:val="0"/>
                    <w:snapToGrid w:val="0"/>
                    <w:jc w:val="center"/>
                    <w:rPr>
                      <w:bCs/>
                      <w:color w:val="auto"/>
                      <w:szCs w:val="21"/>
                    </w:rPr>
                  </w:pPr>
                  <w:r>
                    <w:rPr>
                      <w:color w:val="auto"/>
                      <w:szCs w:val="21"/>
                    </w:rPr>
                    <w:t>汽运</w:t>
                  </w:r>
                </w:p>
              </w:tc>
            </w:tr>
          </w:tbl>
          <w:p>
            <w:pPr>
              <w:pStyle w:val="84"/>
              <w:adjustRightInd w:val="0"/>
              <w:snapToGrid w:val="0"/>
              <w:ind w:firstLine="0" w:firstLineChars="0"/>
              <w:jc w:val="left"/>
              <w:rPr>
                <w:rFonts w:ascii="Times New Roman" w:hAnsi="Times New Roman"/>
                <w:b/>
                <w:bCs/>
                <w:color w:val="auto"/>
                <w:sz w:val="21"/>
                <w:szCs w:val="21"/>
              </w:rPr>
            </w:pPr>
            <w:r>
              <w:rPr>
                <w:rFonts w:hint="eastAsia" w:ascii="Times New Roman" w:hAnsi="Times New Roman"/>
                <w:b/>
                <w:bCs/>
                <w:color w:val="auto"/>
                <w:sz w:val="21"/>
                <w:szCs w:val="21"/>
              </w:rPr>
              <w:t>注：</w:t>
            </w:r>
            <w:r>
              <w:rPr>
                <w:rFonts w:hint="eastAsia" w:ascii="Times New Roman" w:hAnsi="Times New Roman"/>
                <w:b/>
                <w:bCs/>
                <w:color w:val="auto"/>
                <w:sz w:val="21"/>
                <w:szCs w:val="21"/>
                <w:lang w:eastAsia="zh-CN"/>
              </w:rPr>
              <w:t>本项目外购的</w:t>
            </w:r>
            <w:r>
              <w:rPr>
                <w:rFonts w:hint="eastAsia" w:ascii="Times New Roman" w:hAnsi="Times New Roman"/>
                <w:b/>
                <w:bCs/>
                <w:color w:val="auto"/>
                <w:sz w:val="21"/>
                <w:szCs w:val="21"/>
              </w:rPr>
              <w:t>浸胶纸</w:t>
            </w:r>
            <w:r>
              <w:rPr>
                <w:rFonts w:hint="eastAsia" w:ascii="Times New Roman" w:hAnsi="Times New Roman"/>
                <w:b/>
                <w:bCs/>
                <w:color w:val="auto"/>
                <w:szCs w:val="21"/>
              </w:rPr>
              <w:t>按</w:t>
            </w:r>
            <w:r>
              <w:rPr>
                <w:rFonts w:hint="eastAsia" w:ascii="Times New Roman" w:hAnsi="Times New Roman"/>
                <w:b/>
                <w:bCs/>
                <w:color w:val="auto"/>
                <w:szCs w:val="21"/>
                <w:lang w:eastAsia="zh-CN"/>
              </w:rPr>
              <w:t>《饰面用浸渍胶膜纸》（</w:t>
            </w:r>
            <w:r>
              <w:rPr>
                <w:rFonts w:hint="eastAsia" w:ascii="Times New Roman" w:hAnsi="Times New Roman"/>
                <w:b/>
                <w:bCs/>
                <w:color w:val="auto"/>
                <w:szCs w:val="21"/>
              </w:rPr>
              <w:t>LY/T1143- 2006</w:t>
            </w:r>
            <w:r>
              <w:rPr>
                <w:rFonts w:hint="eastAsia" w:ascii="Times New Roman" w:hAnsi="Times New Roman"/>
                <w:b/>
                <w:bCs/>
                <w:color w:val="auto"/>
                <w:szCs w:val="21"/>
                <w:lang w:eastAsia="zh-CN"/>
              </w:rPr>
              <w:t>）中</w:t>
            </w:r>
            <w:r>
              <w:rPr>
                <w:rFonts w:hint="eastAsia" w:ascii="Times New Roman" w:hAnsi="Times New Roman"/>
                <w:b/>
                <w:bCs/>
                <w:color w:val="auto"/>
                <w:szCs w:val="21"/>
              </w:rPr>
              <w:t>宽</w:t>
            </w:r>
            <w:r>
              <w:rPr>
                <w:rFonts w:hint="eastAsia" w:ascii="Times New Roman" w:hAnsi="Times New Roman"/>
                <w:b/>
                <w:bCs/>
                <w:color w:val="auto"/>
                <w:szCs w:val="21"/>
                <w:lang w:eastAsia="zh-CN"/>
              </w:rPr>
              <w:t>于饰面板</w:t>
            </w:r>
            <w:r>
              <w:rPr>
                <w:rFonts w:hint="eastAsia" w:ascii="Times New Roman" w:hAnsi="Times New Roman"/>
                <w:b/>
                <w:bCs/>
                <w:color w:val="auto"/>
                <w:szCs w:val="21"/>
              </w:rPr>
              <w:t>幅</w:t>
            </w:r>
            <w:r>
              <w:rPr>
                <w:rFonts w:hint="eastAsia" w:ascii="Times New Roman" w:hAnsi="Times New Roman"/>
                <w:b/>
                <w:bCs/>
                <w:color w:val="auto"/>
                <w:szCs w:val="21"/>
                <w:lang w:eastAsia="zh-CN"/>
              </w:rPr>
              <w:t>面尺寸</w:t>
            </w:r>
            <w:r>
              <w:rPr>
                <w:rFonts w:hint="eastAsia" w:ascii="Times New Roman" w:hAnsi="Times New Roman"/>
                <w:b/>
                <w:bCs/>
                <w:color w:val="auto"/>
                <w:szCs w:val="21"/>
              </w:rPr>
              <w:t>执行</w:t>
            </w:r>
            <w:r>
              <w:rPr>
                <w:rFonts w:hint="eastAsia" w:ascii="Times New Roman" w:hAnsi="Times New Roman"/>
                <w:b/>
                <w:bCs/>
                <w:color w:val="auto"/>
                <w:szCs w:val="21"/>
                <w:lang w:eastAsia="zh-CN"/>
              </w:rPr>
              <w:t>。</w:t>
            </w:r>
            <w:r>
              <w:rPr>
                <w:rFonts w:hint="eastAsia" w:ascii="Times New Roman" w:hAnsi="Times New Roman"/>
                <w:b/>
                <w:bCs/>
                <w:color w:val="auto"/>
                <w:szCs w:val="21"/>
                <w:lang w:val="en-US" w:eastAsia="zh-CN"/>
              </w:rPr>
              <w:t>本项目使用的浸胶纸应符合《人造板饰面专用纸》（GB/T28995-2012）标准，</w:t>
            </w:r>
            <w:r>
              <w:rPr>
                <w:rFonts w:hint="eastAsia" w:ascii="Times New Roman" w:hAnsi="Times New Roman"/>
                <w:b/>
                <w:bCs/>
                <w:color w:val="auto"/>
                <w:szCs w:val="21"/>
                <w:lang w:eastAsia="zh-CN"/>
              </w:rPr>
              <w:t>自</w:t>
            </w:r>
            <w:r>
              <w:rPr>
                <w:rFonts w:hint="eastAsia" w:ascii="Times New Roman" w:hAnsi="Times New Roman"/>
                <w:b/>
                <w:bCs/>
                <w:color w:val="auto"/>
                <w:szCs w:val="21"/>
                <w:lang w:val="en-US" w:eastAsia="zh-CN"/>
              </w:rPr>
              <w:t>2023年7月1日起，</w:t>
            </w:r>
            <w:r>
              <w:rPr>
                <w:rFonts w:hint="eastAsia" w:ascii="Times New Roman" w:hAnsi="Times New Roman"/>
                <w:b/>
                <w:bCs/>
                <w:color w:val="auto"/>
                <w:sz w:val="21"/>
                <w:szCs w:val="21"/>
              </w:rPr>
              <w:t>浸胶纸</w:t>
            </w:r>
            <w:r>
              <w:rPr>
                <w:rFonts w:hint="eastAsia" w:ascii="Times New Roman" w:hAnsi="Times New Roman"/>
                <w:b/>
                <w:bCs/>
                <w:color w:val="auto"/>
                <w:sz w:val="21"/>
                <w:szCs w:val="21"/>
                <w:lang w:val="en-US" w:eastAsia="zh-CN"/>
              </w:rPr>
              <w:t>应</w:t>
            </w:r>
            <w:r>
              <w:rPr>
                <w:rFonts w:hint="eastAsia" w:ascii="Times New Roman" w:hAnsi="Times New Roman"/>
                <w:b/>
                <w:bCs/>
                <w:color w:val="auto"/>
                <w:sz w:val="21"/>
                <w:szCs w:val="21"/>
              </w:rPr>
              <w:t>符合</w:t>
            </w:r>
            <w:r>
              <w:rPr>
                <w:rFonts w:hint="eastAsia" w:ascii="Times New Roman" w:hAnsi="Times New Roman"/>
                <w:b/>
                <w:bCs/>
                <w:color w:val="auto"/>
                <w:szCs w:val="21"/>
              </w:rPr>
              <w:t>《人造板饰面专用纸》（GB/T28995-2022）</w:t>
            </w:r>
            <w:r>
              <w:rPr>
                <w:rFonts w:hint="eastAsia" w:ascii="Times New Roman" w:hAnsi="Times New Roman"/>
                <w:b/>
                <w:bCs/>
                <w:color w:val="auto"/>
                <w:sz w:val="21"/>
                <w:szCs w:val="21"/>
                <w:lang w:eastAsia="zh-CN"/>
              </w:rPr>
              <w:t>中</w:t>
            </w:r>
            <w:r>
              <w:rPr>
                <w:rFonts w:hint="eastAsia" w:ascii="Times New Roman" w:hAnsi="Times New Roman"/>
                <w:b/>
                <w:bCs/>
                <w:color w:val="auto"/>
                <w:sz w:val="21"/>
                <w:szCs w:val="21"/>
              </w:rPr>
              <w:t>标准要求。</w:t>
            </w: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p>
          <w:p>
            <w:pPr>
              <w:pStyle w:val="84"/>
              <w:adjustRightInd w:val="0"/>
              <w:snapToGrid w:val="0"/>
              <w:ind w:firstLine="0" w:firstLineChars="0"/>
              <w:jc w:val="center"/>
              <w:rPr>
                <w:rFonts w:ascii="Times New Roman" w:hAnsi="Times New Roman"/>
                <w:b/>
                <w:bCs/>
                <w:color w:val="auto"/>
                <w:sz w:val="24"/>
                <w:szCs w:val="24"/>
              </w:rPr>
            </w:pPr>
            <w:r>
              <w:rPr>
                <w:rFonts w:ascii="Times New Roman" w:hAnsi="Times New Roman"/>
                <w:b/>
                <w:bCs/>
                <w:color w:val="auto"/>
                <w:sz w:val="24"/>
                <w:szCs w:val="24"/>
              </w:rPr>
              <w:t>表2-5  主要原辅材料理化性质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98"/>
              <w:gridCol w:w="4803"/>
              <w:gridCol w:w="1276"/>
              <w:gridCol w:w="1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98" w:type="dxa"/>
                  <w:vAlign w:val="center"/>
                </w:tcPr>
                <w:p>
                  <w:pPr>
                    <w:jc w:val="center"/>
                    <w:rPr>
                      <w:b/>
                      <w:color w:val="auto"/>
                      <w:szCs w:val="21"/>
                    </w:rPr>
                  </w:pPr>
                  <w:r>
                    <w:rPr>
                      <w:b/>
                      <w:color w:val="auto"/>
                      <w:szCs w:val="21"/>
                    </w:rPr>
                    <w:t>名称</w:t>
                  </w:r>
                </w:p>
              </w:tc>
              <w:tc>
                <w:tcPr>
                  <w:tcW w:w="4803" w:type="dxa"/>
                  <w:vAlign w:val="center"/>
                </w:tcPr>
                <w:p>
                  <w:pPr>
                    <w:jc w:val="center"/>
                    <w:rPr>
                      <w:b/>
                      <w:color w:val="auto"/>
                      <w:szCs w:val="21"/>
                    </w:rPr>
                  </w:pPr>
                  <w:r>
                    <w:rPr>
                      <w:b/>
                      <w:color w:val="auto"/>
                      <w:szCs w:val="21"/>
                    </w:rPr>
                    <w:t>理化性质</w:t>
                  </w:r>
                </w:p>
              </w:tc>
              <w:tc>
                <w:tcPr>
                  <w:tcW w:w="1276" w:type="dxa"/>
                  <w:vAlign w:val="center"/>
                </w:tcPr>
                <w:p>
                  <w:pPr>
                    <w:jc w:val="center"/>
                    <w:rPr>
                      <w:b/>
                      <w:color w:val="auto"/>
                      <w:szCs w:val="21"/>
                    </w:rPr>
                  </w:pPr>
                  <w:r>
                    <w:rPr>
                      <w:b/>
                      <w:color w:val="auto"/>
                      <w:szCs w:val="21"/>
                    </w:rPr>
                    <w:t>燃烧爆炸性</w:t>
                  </w:r>
                </w:p>
              </w:tc>
              <w:tc>
                <w:tcPr>
                  <w:tcW w:w="1089" w:type="dxa"/>
                  <w:vAlign w:val="center"/>
                </w:tcPr>
                <w:p>
                  <w:pPr>
                    <w:jc w:val="center"/>
                    <w:rPr>
                      <w:b/>
                      <w:color w:val="auto"/>
                      <w:szCs w:val="21"/>
                    </w:rPr>
                  </w:pPr>
                  <w:r>
                    <w:rPr>
                      <w:b/>
                      <w:color w:val="auto"/>
                      <w:szCs w:val="21"/>
                    </w:rPr>
                    <w:t>毒性毒理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98" w:type="dxa"/>
                  <w:vAlign w:val="center"/>
                </w:tcPr>
                <w:p>
                  <w:pPr>
                    <w:jc w:val="center"/>
                    <w:rPr>
                      <w:color w:val="auto"/>
                      <w:szCs w:val="21"/>
                    </w:rPr>
                  </w:pPr>
                  <w:r>
                    <w:rPr>
                      <w:rFonts w:hint="eastAsia"/>
                      <w:color w:val="auto"/>
                      <w:szCs w:val="21"/>
                    </w:rPr>
                    <w:t>浸胶纸</w:t>
                  </w:r>
                </w:p>
              </w:tc>
              <w:tc>
                <w:tcPr>
                  <w:tcW w:w="4803" w:type="dxa"/>
                  <w:vAlign w:val="center"/>
                </w:tcPr>
                <w:p>
                  <w:pPr>
                    <w:rPr>
                      <w:color w:val="auto"/>
                      <w:szCs w:val="21"/>
                    </w:rPr>
                  </w:pPr>
                  <w:r>
                    <w:rPr>
                      <w:rFonts w:hint="eastAsia"/>
                      <w:color w:val="auto"/>
                      <w:szCs w:val="21"/>
                    </w:rPr>
                    <w:t>全称是三聚氰胺浸渍胶膜纸(Melamine-Urea-Formaldehyde Impregnated Bond Paper)，也称"蜜胺"纸，是一种素色原纸或印刷装饰纸经浸渍氨基树脂(三聚氰胺甲醛树脂和脲醛树脂)并干燥到一定程度、具有一定树脂含量和挥发物含量的胶纸，经热压可相互胶合或与人造板基材胶合。</w:t>
                  </w:r>
                </w:p>
              </w:tc>
              <w:tc>
                <w:tcPr>
                  <w:tcW w:w="1276" w:type="dxa"/>
                  <w:vAlign w:val="center"/>
                </w:tcPr>
                <w:p>
                  <w:pPr>
                    <w:jc w:val="center"/>
                    <w:rPr>
                      <w:color w:val="auto"/>
                      <w:szCs w:val="21"/>
                    </w:rPr>
                  </w:pPr>
                  <w:r>
                    <w:rPr>
                      <w:color w:val="auto"/>
                      <w:kern w:val="0"/>
                      <w:szCs w:val="21"/>
                    </w:rPr>
                    <w:t>可燃</w:t>
                  </w:r>
                  <w:r>
                    <w:rPr>
                      <w:rFonts w:hint="eastAsia"/>
                      <w:color w:val="auto"/>
                      <w:kern w:val="0"/>
                      <w:szCs w:val="21"/>
                    </w:rPr>
                    <w:t>；</w:t>
                  </w:r>
                  <w:r>
                    <w:rPr>
                      <w:color w:val="auto"/>
                      <w:szCs w:val="21"/>
                    </w:rPr>
                    <w:t>不爆</w:t>
                  </w:r>
                </w:p>
              </w:tc>
              <w:tc>
                <w:tcPr>
                  <w:tcW w:w="1089" w:type="dxa"/>
                  <w:vAlign w:val="center"/>
                </w:tcPr>
                <w:p>
                  <w:pPr>
                    <w:jc w:val="center"/>
                    <w:rPr>
                      <w:color w:val="auto"/>
                      <w:szCs w:val="21"/>
                    </w:rPr>
                  </w:pPr>
                  <w:r>
                    <w:rPr>
                      <w:rFonts w:hint="eastAsia"/>
                      <w:color w:val="auto"/>
                      <w:szCs w:val="21"/>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98" w:type="dxa"/>
                  <w:vAlign w:val="center"/>
                </w:tcPr>
                <w:p>
                  <w:pPr>
                    <w:jc w:val="center"/>
                    <w:rPr>
                      <w:color w:val="auto"/>
                      <w:szCs w:val="21"/>
                    </w:rPr>
                  </w:pPr>
                  <w:r>
                    <w:rPr>
                      <w:rFonts w:hint="eastAsia"/>
                      <w:color w:val="auto"/>
                      <w:szCs w:val="21"/>
                    </w:rPr>
                    <w:t>液压油</w:t>
                  </w:r>
                </w:p>
              </w:tc>
              <w:tc>
                <w:tcPr>
                  <w:tcW w:w="4803" w:type="dxa"/>
                  <w:vAlign w:val="center"/>
                </w:tcPr>
                <w:p>
                  <w:pPr>
                    <w:rPr>
                      <w:color w:val="auto"/>
                      <w:szCs w:val="21"/>
                    </w:rPr>
                  </w:pPr>
                  <w:r>
                    <w:rPr>
                      <w:rFonts w:hint="eastAsia"/>
                      <w:color w:val="auto"/>
                      <w:szCs w:val="21"/>
                    </w:rPr>
                    <w:t>室温下为液体，呈琥珀色，具有矿物油特性</w:t>
                  </w:r>
                </w:p>
              </w:tc>
              <w:tc>
                <w:tcPr>
                  <w:tcW w:w="1276" w:type="dxa"/>
                  <w:vAlign w:val="center"/>
                </w:tcPr>
                <w:p>
                  <w:pPr>
                    <w:jc w:val="center"/>
                    <w:rPr>
                      <w:color w:val="auto"/>
                      <w:kern w:val="0"/>
                      <w:szCs w:val="21"/>
                    </w:rPr>
                  </w:pPr>
                  <w:r>
                    <w:rPr>
                      <w:color w:val="auto"/>
                      <w:kern w:val="0"/>
                      <w:szCs w:val="21"/>
                    </w:rPr>
                    <w:t>可燃</w:t>
                  </w:r>
                  <w:r>
                    <w:rPr>
                      <w:rFonts w:hint="eastAsia"/>
                      <w:color w:val="auto"/>
                      <w:kern w:val="0"/>
                      <w:szCs w:val="21"/>
                    </w:rPr>
                    <w:t>；</w:t>
                  </w:r>
                </w:p>
                <w:p>
                  <w:pPr>
                    <w:jc w:val="center"/>
                    <w:rPr>
                      <w:color w:val="auto"/>
                      <w:kern w:val="0"/>
                      <w:szCs w:val="21"/>
                    </w:rPr>
                  </w:pPr>
                  <w:r>
                    <w:rPr>
                      <w:rFonts w:hint="eastAsia"/>
                      <w:color w:val="auto"/>
                      <w:kern w:val="0"/>
                      <w:szCs w:val="21"/>
                    </w:rPr>
                    <w:t>无</w:t>
                  </w:r>
                  <w:r>
                    <w:rPr>
                      <w:color w:val="auto"/>
                      <w:kern w:val="0"/>
                      <w:szCs w:val="21"/>
                    </w:rPr>
                    <w:t>爆炸极限</w:t>
                  </w:r>
                </w:p>
              </w:tc>
              <w:tc>
                <w:tcPr>
                  <w:tcW w:w="1089" w:type="dxa"/>
                  <w:vAlign w:val="center"/>
                </w:tcPr>
                <w:p>
                  <w:pPr>
                    <w:jc w:val="center"/>
                    <w:rPr>
                      <w:color w:val="auto"/>
                      <w:szCs w:val="21"/>
                    </w:rPr>
                  </w:pPr>
                  <w:r>
                    <w:rPr>
                      <w:rFonts w:hint="eastAsia"/>
                      <w:color w:val="auto"/>
                      <w:szCs w:val="21"/>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98" w:type="dxa"/>
                  <w:vAlign w:val="center"/>
                </w:tcPr>
                <w:p>
                  <w:pPr>
                    <w:jc w:val="center"/>
                    <w:rPr>
                      <w:rFonts w:hint="eastAsia"/>
                      <w:color w:val="auto"/>
                      <w:szCs w:val="21"/>
                    </w:rPr>
                  </w:pPr>
                  <w:r>
                    <w:rPr>
                      <w:color w:val="auto"/>
                      <w:szCs w:val="21"/>
                    </w:rPr>
                    <w:t>导热油</w:t>
                  </w:r>
                </w:p>
              </w:tc>
              <w:tc>
                <w:tcPr>
                  <w:tcW w:w="4803" w:type="dxa"/>
                  <w:vAlign w:val="center"/>
                </w:tcPr>
                <w:p>
                  <w:pPr>
                    <w:rPr>
                      <w:rFonts w:hint="eastAsia"/>
                      <w:color w:val="auto"/>
                      <w:szCs w:val="21"/>
                    </w:rPr>
                  </w:pPr>
                  <w:r>
                    <w:rPr>
                      <w:rFonts w:hint="eastAsia"/>
                      <w:color w:val="auto"/>
                      <w:szCs w:val="21"/>
                    </w:rPr>
                    <w:t>室温下为液体，呈琥珀色，具有矿物油特性</w:t>
                  </w:r>
                </w:p>
              </w:tc>
              <w:tc>
                <w:tcPr>
                  <w:tcW w:w="1276" w:type="dxa"/>
                  <w:vAlign w:val="center"/>
                </w:tcPr>
                <w:p>
                  <w:pPr>
                    <w:jc w:val="center"/>
                    <w:rPr>
                      <w:color w:val="auto"/>
                      <w:kern w:val="0"/>
                      <w:szCs w:val="21"/>
                    </w:rPr>
                  </w:pPr>
                  <w:r>
                    <w:rPr>
                      <w:color w:val="auto"/>
                      <w:kern w:val="0"/>
                      <w:szCs w:val="21"/>
                    </w:rPr>
                    <w:t>可燃</w:t>
                  </w:r>
                  <w:r>
                    <w:rPr>
                      <w:rFonts w:hint="eastAsia"/>
                      <w:color w:val="auto"/>
                      <w:kern w:val="0"/>
                      <w:szCs w:val="21"/>
                    </w:rPr>
                    <w:t>；</w:t>
                  </w:r>
                </w:p>
                <w:p>
                  <w:pPr>
                    <w:jc w:val="center"/>
                    <w:rPr>
                      <w:rFonts w:hint="eastAsia"/>
                      <w:color w:val="auto"/>
                      <w:kern w:val="0"/>
                      <w:szCs w:val="21"/>
                    </w:rPr>
                  </w:pPr>
                  <w:r>
                    <w:rPr>
                      <w:rFonts w:hint="eastAsia"/>
                      <w:color w:val="auto"/>
                      <w:kern w:val="0"/>
                      <w:szCs w:val="21"/>
                    </w:rPr>
                    <w:t>无</w:t>
                  </w:r>
                  <w:r>
                    <w:rPr>
                      <w:color w:val="auto"/>
                      <w:kern w:val="0"/>
                      <w:szCs w:val="21"/>
                    </w:rPr>
                    <w:t>爆炸极限</w:t>
                  </w:r>
                </w:p>
              </w:tc>
              <w:tc>
                <w:tcPr>
                  <w:tcW w:w="1089" w:type="dxa"/>
                  <w:vAlign w:val="center"/>
                </w:tcPr>
                <w:p>
                  <w:pPr>
                    <w:jc w:val="center"/>
                    <w:rPr>
                      <w:rFonts w:hint="eastAsia"/>
                      <w:color w:val="auto"/>
                      <w:szCs w:val="21"/>
                    </w:rPr>
                  </w:pPr>
                  <w:r>
                    <w:rPr>
                      <w:rFonts w:hint="eastAsia"/>
                      <w:color w:val="auto"/>
                      <w:szCs w:val="21"/>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98" w:type="dxa"/>
                  <w:vAlign w:val="center"/>
                </w:tcPr>
                <w:p>
                  <w:pPr>
                    <w:jc w:val="center"/>
                    <w:rPr>
                      <w:color w:val="auto"/>
                      <w:szCs w:val="21"/>
                    </w:rPr>
                  </w:pPr>
                  <w:r>
                    <w:rPr>
                      <w:color w:val="auto"/>
                      <w:szCs w:val="21"/>
                    </w:rPr>
                    <w:t>天然气</w:t>
                  </w:r>
                </w:p>
              </w:tc>
              <w:tc>
                <w:tcPr>
                  <w:tcW w:w="4803" w:type="dxa"/>
                  <w:vAlign w:val="center"/>
                </w:tcPr>
                <w:p>
                  <w:pPr>
                    <w:rPr>
                      <w:color w:val="auto"/>
                      <w:szCs w:val="21"/>
                      <w:vertAlign w:val="subscript"/>
                    </w:rPr>
                  </w:pPr>
                  <w:r>
                    <w:rPr>
                      <w:color w:val="auto"/>
                      <w:szCs w:val="21"/>
                    </w:rPr>
                    <w:t>不溶于水，密度为0.7174kg/m</w:t>
                  </w:r>
                  <w:r>
                    <w:rPr>
                      <w:color w:val="auto"/>
                      <w:szCs w:val="21"/>
                      <w:vertAlign w:val="superscript"/>
                    </w:rPr>
                    <w:t>3</w:t>
                  </w:r>
                  <w:r>
                    <w:rPr>
                      <w:color w:val="auto"/>
                      <w:szCs w:val="21"/>
                    </w:rPr>
                    <w:t>，相对密度（水）为0.45（液化），燃点（℃）为650，爆炸极限（V%）为5-15。主要成分烷烃，其中甲烷占绝大多数，另有少量的乙烷、丙烷和丁烷。在标准状况下，甲烷至丁烷以气体状态存在，戊烷以上为液体。甲烷是最短和最轻的烃分子。</w:t>
                  </w:r>
                </w:p>
              </w:tc>
              <w:tc>
                <w:tcPr>
                  <w:tcW w:w="1276" w:type="dxa"/>
                  <w:vAlign w:val="center"/>
                </w:tcPr>
                <w:p>
                  <w:pPr>
                    <w:adjustRightInd w:val="0"/>
                    <w:snapToGrid w:val="0"/>
                    <w:jc w:val="center"/>
                    <w:rPr>
                      <w:color w:val="auto"/>
                      <w:kern w:val="0"/>
                      <w:szCs w:val="21"/>
                    </w:rPr>
                  </w:pPr>
                  <w:r>
                    <w:rPr>
                      <w:color w:val="auto"/>
                      <w:kern w:val="0"/>
                      <w:szCs w:val="21"/>
                    </w:rPr>
                    <w:t>易燃</w:t>
                  </w:r>
                  <w:r>
                    <w:rPr>
                      <w:rFonts w:hint="eastAsia"/>
                      <w:color w:val="auto"/>
                      <w:kern w:val="0"/>
                      <w:szCs w:val="21"/>
                    </w:rPr>
                    <w:t>；</w:t>
                  </w:r>
                  <w:r>
                    <w:rPr>
                      <w:color w:val="auto"/>
                      <w:kern w:val="0"/>
                      <w:szCs w:val="21"/>
                    </w:rPr>
                    <w:t>易爆</w:t>
                  </w:r>
                </w:p>
              </w:tc>
              <w:tc>
                <w:tcPr>
                  <w:tcW w:w="1089" w:type="dxa"/>
                  <w:vAlign w:val="center"/>
                </w:tcPr>
                <w:p>
                  <w:pPr>
                    <w:jc w:val="center"/>
                    <w:rPr>
                      <w:color w:val="auto"/>
                      <w:szCs w:val="21"/>
                    </w:rPr>
                  </w:pPr>
                  <w:r>
                    <w:rPr>
                      <w:color w:val="auto"/>
                      <w:szCs w:val="21"/>
                    </w:rPr>
                    <w:t>无毒。含量达到一定程度后会使人窒息。</w:t>
                  </w:r>
                </w:p>
              </w:tc>
            </w:tr>
          </w:tbl>
          <w:p>
            <w:pPr>
              <w:adjustRightInd w:val="0"/>
              <w:snapToGrid w:val="0"/>
              <w:spacing w:before="120" w:beforeLines="50" w:line="360" w:lineRule="auto"/>
              <w:rPr>
                <w:b/>
                <w:color w:val="auto"/>
                <w:sz w:val="24"/>
              </w:rPr>
            </w:pPr>
            <w:r>
              <w:rPr>
                <w:b/>
                <w:color w:val="auto"/>
                <w:sz w:val="24"/>
              </w:rPr>
              <w:t>7、项目用排水平衡</w:t>
            </w:r>
          </w:p>
          <w:p>
            <w:pPr>
              <w:autoSpaceDE w:val="0"/>
              <w:autoSpaceDN w:val="0"/>
              <w:adjustRightInd w:val="0"/>
              <w:spacing w:line="360" w:lineRule="auto"/>
              <w:ind w:firstLine="480" w:firstLineChars="200"/>
              <w:jc w:val="left"/>
              <w:rPr>
                <w:color w:val="auto"/>
                <w:kern w:val="0"/>
                <w:sz w:val="24"/>
              </w:rPr>
            </w:pPr>
            <w:r>
              <w:rPr>
                <w:color w:val="auto"/>
                <w:sz w:val="24"/>
              </w:rPr>
              <w:t>本项目用水主要为职工生活用水</w:t>
            </w:r>
            <w:r>
              <w:rPr>
                <w:rFonts w:hint="eastAsia"/>
                <w:color w:val="auto"/>
                <w:sz w:val="24"/>
              </w:rPr>
              <w:t>、</w:t>
            </w:r>
            <w:r>
              <w:rPr>
                <w:color w:val="auto"/>
                <w:sz w:val="24"/>
              </w:rPr>
              <w:t>循环冷却用水等，采用自来水</w:t>
            </w:r>
            <w:r>
              <w:rPr>
                <w:color w:val="auto"/>
                <w:kern w:val="0"/>
                <w:sz w:val="24"/>
              </w:rPr>
              <w:t>。</w:t>
            </w:r>
          </w:p>
          <w:p>
            <w:pPr>
              <w:spacing w:line="360" w:lineRule="auto"/>
              <w:ind w:firstLine="482" w:firstLineChars="200"/>
              <w:rPr>
                <w:color w:val="auto"/>
              </w:rPr>
            </w:pPr>
            <w:r>
              <w:rPr>
                <w:b/>
                <w:bCs/>
                <w:color w:val="auto"/>
                <w:kern w:val="0"/>
                <w:sz w:val="24"/>
              </w:rPr>
              <w:t>生活用水：</w:t>
            </w:r>
            <w:r>
              <w:rPr>
                <w:color w:val="auto"/>
                <w:kern w:val="0"/>
                <w:sz w:val="24"/>
              </w:rPr>
              <w:t>根据《建筑给水排水设计标准》（GB50015-2019），工业企业建筑管理人员、车间工人生活用水定额为30L/（人·班）～50L/（人·班），本报告采用50L/（人·班）计。</w:t>
            </w:r>
            <w:r>
              <w:rPr>
                <w:color w:val="auto"/>
                <w:sz w:val="24"/>
              </w:rPr>
              <w:t>本项目职工80人，全年工作250天，则生活用水量为1000t/a，污水产生量按用水量的90%计，因此排放生活废水900t/a</w:t>
            </w:r>
            <w:r>
              <w:rPr>
                <w:color w:val="auto"/>
                <w:kern w:val="0"/>
                <w:sz w:val="24"/>
              </w:rPr>
              <w:t>。</w:t>
            </w:r>
          </w:p>
          <w:p>
            <w:pPr>
              <w:adjustRightInd w:val="0"/>
              <w:snapToGrid w:val="0"/>
              <w:spacing w:line="360" w:lineRule="auto"/>
              <w:ind w:firstLine="482" w:firstLineChars="200"/>
              <w:rPr>
                <w:color w:val="auto"/>
                <w:sz w:val="24"/>
              </w:rPr>
            </w:pPr>
            <w:r>
              <w:rPr>
                <w:rFonts w:hint="eastAsia"/>
                <w:b/>
                <w:color w:val="auto"/>
                <w:sz w:val="24"/>
              </w:rPr>
              <w:t>循环冷却</w:t>
            </w:r>
            <w:r>
              <w:rPr>
                <w:b/>
                <w:color w:val="auto"/>
                <w:sz w:val="24"/>
              </w:rPr>
              <w:t>用水：</w:t>
            </w:r>
            <w:r>
              <w:rPr>
                <w:rFonts w:hint="eastAsia"/>
                <w:color w:val="auto"/>
                <w:sz w:val="24"/>
              </w:rPr>
              <w:t>模温机需采用冷却塔对其进行间接冷却，损耗后添加，冷却水循环使用，产生的浓水排入污水管网。本项目设有</w:t>
            </w:r>
            <w:r>
              <w:rPr>
                <w:color w:val="auto"/>
                <w:sz w:val="24"/>
              </w:rPr>
              <w:t>1</w:t>
            </w:r>
            <w:r>
              <w:rPr>
                <w:rFonts w:hint="eastAsia"/>
                <w:color w:val="auto"/>
                <w:sz w:val="24"/>
              </w:rPr>
              <w:t>台</w:t>
            </w:r>
            <w:r>
              <w:rPr>
                <w:color w:val="auto"/>
                <w:sz w:val="24"/>
              </w:rPr>
              <w:t>25</w:t>
            </w:r>
            <w:r>
              <w:rPr>
                <w:rFonts w:hint="eastAsia"/>
                <w:color w:val="auto"/>
                <w:sz w:val="24"/>
              </w:rPr>
              <w:t>m</w:t>
            </w:r>
            <w:r>
              <w:rPr>
                <w:rFonts w:hint="eastAsia"/>
                <w:color w:val="auto"/>
                <w:sz w:val="24"/>
                <w:vertAlign w:val="superscript"/>
              </w:rPr>
              <w:t>3</w:t>
            </w:r>
            <w:r>
              <w:rPr>
                <w:rFonts w:hint="eastAsia"/>
                <w:color w:val="auto"/>
                <w:sz w:val="24"/>
              </w:rPr>
              <w:t>/h冷却塔，年工作时间为</w:t>
            </w:r>
            <w:r>
              <w:rPr>
                <w:color w:val="auto"/>
                <w:sz w:val="24"/>
              </w:rPr>
              <w:t>20</w:t>
            </w:r>
            <w:r>
              <w:rPr>
                <w:rFonts w:hint="eastAsia"/>
                <w:color w:val="auto"/>
                <w:sz w:val="24"/>
                <w:lang w:val="en-US" w:eastAsia="zh-CN"/>
              </w:rPr>
              <w:t>4</w:t>
            </w:r>
            <w:r>
              <w:rPr>
                <w:rFonts w:hint="eastAsia"/>
                <w:color w:val="auto"/>
                <w:sz w:val="24"/>
              </w:rPr>
              <w:t>0h，则循环水量为</w:t>
            </w:r>
            <w:r>
              <w:rPr>
                <w:color w:val="auto"/>
                <w:sz w:val="24"/>
              </w:rPr>
              <w:t>5</w:t>
            </w:r>
            <w:r>
              <w:rPr>
                <w:rFonts w:hint="eastAsia"/>
                <w:color w:val="auto"/>
                <w:sz w:val="24"/>
                <w:lang w:val="en-US" w:eastAsia="zh-CN"/>
              </w:rPr>
              <w:t>1</w:t>
            </w:r>
            <w:r>
              <w:rPr>
                <w:color w:val="auto"/>
                <w:sz w:val="24"/>
              </w:rPr>
              <w:t>000</w:t>
            </w:r>
            <w:r>
              <w:rPr>
                <w:rFonts w:hint="eastAsia"/>
                <w:color w:val="auto"/>
                <w:sz w:val="24"/>
              </w:rPr>
              <w:t>t/a，</w:t>
            </w:r>
            <w:r>
              <w:rPr>
                <w:rFonts w:hint="eastAsia"/>
                <w:color w:val="auto"/>
                <w:sz w:val="24"/>
                <w:lang w:eastAsia="zh-CN"/>
              </w:rPr>
              <w:t>总</w:t>
            </w:r>
            <w:r>
              <w:rPr>
                <w:rFonts w:hint="eastAsia"/>
                <w:color w:val="auto"/>
                <w:sz w:val="24"/>
              </w:rPr>
              <w:t>损耗量约占循环水量的1</w:t>
            </w:r>
            <w:r>
              <w:rPr>
                <w:rFonts w:hint="eastAsia"/>
                <w:color w:val="auto"/>
                <w:sz w:val="24"/>
                <w:lang w:val="en-US" w:eastAsia="zh-CN"/>
              </w:rPr>
              <w:t>.5</w:t>
            </w:r>
            <w:r>
              <w:rPr>
                <w:rFonts w:hint="eastAsia"/>
                <w:color w:val="auto"/>
                <w:sz w:val="24"/>
              </w:rPr>
              <w:t>%，则需补充新鲜水</w:t>
            </w:r>
            <w:r>
              <w:rPr>
                <w:rFonts w:hint="eastAsia"/>
                <w:color w:val="auto"/>
                <w:sz w:val="24"/>
                <w:lang w:val="en-US" w:eastAsia="zh-CN"/>
              </w:rPr>
              <w:t>765</w:t>
            </w:r>
            <w:r>
              <w:rPr>
                <w:rFonts w:hint="eastAsia"/>
                <w:color w:val="auto"/>
                <w:sz w:val="24"/>
              </w:rPr>
              <w:t>t/a。</w:t>
            </w:r>
          </w:p>
          <w:p>
            <w:pPr>
              <w:adjustRightInd w:val="0"/>
              <w:snapToGrid w:val="0"/>
              <w:spacing w:line="360" w:lineRule="auto"/>
              <w:ind w:firstLine="480" w:firstLineChars="200"/>
              <w:rPr>
                <w:color w:val="auto"/>
                <w:sz w:val="24"/>
              </w:rPr>
            </w:pPr>
            <w:r>
              <w:rPr>
                <w:rFonts w:hint="eastAsia"/>
                <w:color w:val="auto"/>
                <w:sz w:val="24"/>
              </w:rPr>
              <w:t>本项目水量平衡图见图</w:t>
            </w:r>
            <w:r>
              <w:rPr>
                <w:color w:val="auto"/>
                <w:sz w:val="24"/>
              </w:rPr>
              <w:t>2-1</w:t>
            </w:r>
            <w:r>
              <w:rPr>
                <w:rFonts w:hint="eastAsia"/>
                <w:color w:val="auto"/>
                <w:sz w:val="24"/>
              </w:rPr>
              <w:t>。</w:t>
            </w:r>
          </w:p>
          <w:p>
            <w:pPr>
              <w:rPr>
                <w:color w:val="auto"/>
                <w:highlight w:val="yellow"/>
              </w:rPr>
            </w:pPr>
            <w:r>
              <w:rPr>
                <w:color w:val="auto"/>
              </w:rPr>
              <w:drawing>
                <wp:inline distT="0" distB="0" distL="114300" distR="114300">
                  <wp:extent cx="5243830" cy="1341755"/>
                  <wp:effectExtent l="0" t="0" r="13970" b="1079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8"/>
                          <a:stretch>
                            <a:fillRect/>
                          </a:stretch>
                        </pic:blipFill>
                        <pic:spPr>
                          <a:xfrm>
                            <a:off x="0" y="0"/>
                            <a:ext cx="5243830" cy="1341755"/>
                          </a:xfrm>
                          <a:prstGeom prst="rect">
                            <a:avLst/>
                          </a:prstGeom>
                          <a:noFill/>
                          <a:ln>
                            <a:noFill/>
                          </a:ln>
                        </pic:spPr>
                      </pic:pic>
                    </a:graphicData>
                  </a:graphic>
                </wp:inline>
              </w:drawing>
            </w:r>
          </w:p>
          <w:p>
            <w:pPr>
              <w:pStyle w:val="18"/>
              <w:adjustRightInd w:val="0"/>
              <w:snapToGrid w:val="0"/>
              <w:spacing w:afterLines="50" w:line="360" w:lineRule="auto"/>
              <w:ind w:left="0" w:leftChars="0" w:firstLine="0" w:firstLineChars="0"/>
              <w:jc w:val="center"/>
              <w:rPr>
                <w:b/>
                <w:bCs/>
                <w:color w:val="auto"/>
                <w:sz w:val="24"/>
              </w:rPr>
            </w:pPr>
            <w:r>
              <w:rPr>
                <w:b/>
                <w:bCs/>
                <w:color w:val="auto"/>
                <w:sz w:val="24"/>
                <w:szCs w:val="24"/>
              </w:rPr>
              <w:t xml:space="preserve">图2-1 </w:t>
            </w:r>
            <w:r>
              <w:rPr>
                <w:rFonts w:hint="eastAsia"/>
                <w:b/>
                <w:bCs/>
                <w:color w:val="auto"/>
                <w:sz w:val="24"/>
                <w:szCs w:val="24"/>
              </w:rPr>
              <w:t>本项目</w:t>
            </w:r>
            <w:r>
              <w:rPr>
                <w:b/>
                <w:bCs/>
                <w:color w:val="auto"/>
                <w:sz w:val="24"/>
                <w:szCs w:val="24"/>
              </w:rPr>
              <w:t>水平衡图（单位：t/a）</w:t>
            </w:r>
          </w:p>
          <w:p>
            <w:pPr>
              <w:adjustRightInd w:val="0"/>
              <w:snapToGrid w:val="0"/>
              <w:spacing w:line="360" w:lineRule="auto"/>
              <w:jc w:val="left"/>
              <w:rPr>
                <w:b/>
                <w:color w:val="auto"/>
                <w:sz w:val="24"/>
              </w:rPr>
            </w:pPr>
            <w:r>
              <w:rPr>
                <w:b/>
                <w:color w:val="auto"/>
                <w:sz w:val="24"/>
              </w:rPr>
              <w:t>8、劳动定员及工作制度</w:t>
            </w:r>
          </w:p>
          <w:p>
            <w:pPr>
              <w:adjustRightInd w:val="0"/>
              <w:snapToGrid w:val="0"/>
              <w:spacing w:line="360" w:lineRule="auto"/>
              <w:ind w:firstLine="480" w:firstLineChars="200"/>
              <w:rPr>
                <w:color w:val="auto"/>
                <w:sz w:val="24"/>
              </w:rPr>
            </w:pPr>
            <w:r>
              <w:rPr>
                <w:color w:val="auto"/>
                <w:sz w:val="24"/>
              </w:rPr>
              <w:t>劳动定员：</w:t>
            </w:r>
            <w:r>
              <w:rPr>
                <w:rFonts w:hint="eastAsia"/>
                <w:color w:val="auto"/>
                <w:sz w:val="24"/>
              </w:rPr>
              <w:t>本项目员工</w:t>
            </w:r>
            <w:r>
              <w:rPr>
                <w:color w:val="auto"/>
                <w:sz w:val="24"/>
              </w:rPr>
              <w:t>80</w:t>
            </w:r>
            <w:r>
              <w:rPr>
                <w:rFonts w:hint="eastAsia"/>
                <w:color w:val="auto"/>
                <w:sz w:val="24"/>
              </w:rPr>
              <w:t>人</w:t>
            </w:r>
            <w:r>
              <w:rPr>
                <w:color w:val="auto"/>
                <w:sz w:val="24"/>
              </w:rPr>
              <w:t>。</w:t>
            </w:r>
          </w:p>
          <w:p>
            <w:pPr>
              <w:adjustRightInd w:val="0"/>
              <w:snapToGrid w:val="0"/>
              <w:spacing w:line="360" w:lineRule="auto"/>
              <w:ind w:firstLine="480" w:firstLineChars="200"/>
              <w:rPr>
                <w:color w:val="auto"/>
                <w:sz w:val="24"/>
              </w:rPr>
            </w:pPr>
            <w:r>
              <w:rPr>
                <w:color w:val="auto"/>
                <w:sz w:val="24"/>
              </w:rPr>
              <w:t>工作制度：年生产天数</w:t>
            </w:r>
            <w:r>
              <w:rPr>
                <w:rFonts w:hint="eastAsia"/>
                <w:color w:val="auto"/>
                <w:sz w:val="24"/>
                <w:lang w:val="en-US" w:eastAsia="zh-CN"/>
              </w:rPr>
              <w:t>255</w:t>
            </w:r>
            <w:r>
              <w:rPr>
                <w:color w:val="auto"/>
                <w:sz w:val="24"/>
              </w:rPr>
              <w:t>天，实行8小时</w:t>
            </w:r>
            <w:r>
              <w:rPr>
                <w:rFonts w:hint="eastAsia"/>
                <w:color w:val="auto"/>
                <w:sz w:val="24"/>
              </w:rPr>
              <w:t>一</w:t>
            </w:r>
            <w:r>
              <w:rPr>
                <w:color w:val="auto"/>
                <w:sz w:val="24"/>
              </w:rPr>
              <w:t>班制。</w:t>
            </w:r>
          </w:p>
          <w:p>
            <w:pPr>
              <w:adjustRightInd w:val="0"/>
              <w:snapToGrid w:val="0"/>
              <w:spacing w:line="360" w:lineRule="auto"/>
              <w:ind w:firstLine="480" w:firstLineChars="200"/>
              <w:rPr>
                <w:color w:val="auto"/>
                <w:sz w:val="24"/>
              </w:rPr>
            </w:pPr>
            <w:r>
              <w:rPr>
                <w:color w:val="auto"/>
                <w:sz w:val="24"/>
              </w:rPr>
              <w:t>生活配套设施：本项目不设食堂、浴室等生活设施</w:t>
            </w:r>
            <w:r>
              <w:rPr>
                <w:rFonts w:hint="eastAsia"/>
                <w:color w:val="auto"/>
                <w:sz w:val="24"/>
              </w:rPr>
              <w:t>；</w:t>
            </w:r>
            <w:r>
              <w:rPr>
                <w:color w:val="auto"/>
                <w:sz w:val="24"/>
              </w:rPr>
              <w:t>员工午餐</w:t>
            </w:r>
            <w:r>
              <w:rPr>
                <w:rFonts w:hint="eastAsia"/>
                <w:color w:val="auto"/>
                <w:sz w:val="24"/>
              </w:rPr>
              <w:t>通过快餐</w:t>
            </w:r>
            <w:r>
              <w:rPr>
                <w:color w:val="auto"/>
                <w:sz w:val="24"/>
              </w:rPr>
              <w:t>配送解决。</w:t>
            </w:r>
          </w:p>
          <w:p>
            <w:pPr>
              <w:adjustRightInd w:val="0"/>
              <w:snapToGrid w:val="0"/>
              <w:spacing w:line="360" w:lineRule="auto"/>
              <w:jc w:val="left"/>
              <w:rPr>
                <w:b/>
                <w:color w:val="auto"/>
                <w:sz w:val="24"/>
              </w:rPr>
            </w:pPr>
            <w:r>
              <w:rPr>
                <w:b/>
                <w:color w:val="auto"/>
                <w:sz w:val="24"/>
              </w:rPr>
              <w:t>9、项目位置、周围环境及厂区平面布置情况</w:t>
            </w:r>
          </w:p>
          <w:p>
            <w:pPr>
              <w:adjustRightInd w:val="0"/>
              <w:snapToGrid w:val="0"/>
              <w:spacing w:line="360" w:lineRule="auto"/>
              <w:ind w:firstLine="480" w:firstLineChars="200"/>
              <w:rPr>
                <w:color w:val="auto"/>
                <w:sz w:val="24"/>
              </w:rPr>
            </w:pPr>
            <w:r>
              <w:rPr>
                <w:color w:val="auto"/>
                <w:sz w:val="24"/>
              </w:rPr>
              <w:t>本项目位于无锡惠山工业转型集聚区北洲路与邓北路交叉口西北侧。</w:t>
            </w:r>
          </w:p>
          <w:p>
            <w:pPr>
              <w:adjustRightInd w:val="0"/>
              <w:snapToGrid w:val="0"/>
              <w:spacing w:line="360" w:lineRule="auto"/>
              <w:ind w:firstLine="480" w:firstLineChars="200"/>
              <w:rPr>
                <w:color w:val="auto"/>
                <w:sz w:val="24"/>
              </w:rPr>
            </w:pPr>
            <w:r>
              <w:rPr>
                <w:rFonts w:hint="eastAsia"/>
                <w:color w:val="auto"/>
                <w:sz w:val="24"/>
              </w:rPr>
              <w:t>本项目</w:t>
            </w:r>
            <w:r>
              <w:rPr>
                <w:color w:val="auto"/>
                <w:sz w:val="24"/>
              </w:rPr>
              <w:t>东侧</w:t>
            </w:r>
            <w:r>
              <w:rPr>
                <w:color w:val="auto"/>
                <w:sz w:val="24"/>
                <w:szCs w:val="22"/>
              </w:rPr>
              <w:t>为</w:t>
            </w:r>
            <w:r>
              <w:rPr>
                <w:rFonts w:hint="eastAsia"/>
                <w:color w:val="auto"/>
                <w:sz w:val="24"/>
                <w:szCs w:val="22"/>
              </w:rPr>
              <w:t>邓北路</w:t>
            </w:r>
            <w:r>
              <w:rPr>
                <w:color w:val="auto"/>
                <w:sz w:val="24"/>
                <w:szCs w:val="22"/>
              </w:rPr>
              <w:t>，</w:t>
            </w:r>
            <w:r>
              <w:rPr>
                <w:rFonts w:hint="eastAsia"/>
                <w:color w:val="auto"/>
                <w:sz w:val="24"/>
                <w:szCs w:val="22"/>
              </w:rPr>
              <w:t>隔路为</w:t>
            </w:r>
            <w:r>
              <w:rPr>
                <w:color w:val="auto"/>
                <w:sz w:val="24"/>
                <w:szCs w:val="22"/>
              </w:rPr>
              <w:t>规划工业用地；</w:t>
            </w:r>
            <w:r>
              <w:rPr>
                <w:color w:val="auto"/>
                <w:sz w:val="24"/>
              </w:rPr>
              <w:t>南侧为</w:t>
            </w:r>
            <w:r>
              <w:rPr>
                <w:rFonts w:hint="eastAsia"/>
                <w:color w:val="auto"/>
                <w:sz w:val="24"/>
              </w:rPr>
              <w:t>北洲路</w:t>
            </w:r>
            <w:r>
              <w:rPr>
                <w:color w:val="auto"/>
                <w:sz w:val="24"/>
              </w:rPr>
              <w:t>，</w:t>
            </w:r>
            <w:r>
              <w:rPr>
                <w:rFonts w:hint="eastAsia"/>
                <w:color w:val="auto"/>
                <w:sz w:val="24"/>
                <w:szCs w:val="22"/>
              </w:rPr>
              <w:t>隔路为</w:t>
            </w:r>
            <w:r>
              <w:rPr>
                <w:color w:val="auto"/>
                <w:sz w:val="24"/>
                <w:szCs w:val="22"/>
              </w:rPr>
              <w:t>规划工业用地；</w:t>
            </w:r>
            <w:r>
              <w:rPr>
                <w:color w:val="auto"/>
                <w:sz w:val="24"/>
              </w:rPr>
              <w:t>西侧为</w:t>
            </w:r>
            <w:r>
              <w:rPr>
                <w:rFonts w:hint="eastAsia"/>
                <w:color w:val="auto"/>
                <w:sz w:val="24"/>
              </w:rPr>
              <w:t>大联圩中心河</w:t>
            </w:r>
            <w:r>
              <w:rPr>
                <w:color w:val="auto"/>
                <w:sz w:val="24"/>
              </w:rPr>
              <w:t>，</w:t>
            </w:r>
            <w:r>
              <w:rPr>
                <w:rFonts w:hint="eastAsia"/>
                <w:color w:val="auto"/>
                <w:sz w:val="24"/>
              </w:rPr>
              <w:t>隔河为</w:t>
            </w:r>
            <w:r>
              <w:rPr>
                <w:color w:val="auto"/>
                <w:sz w:val="24"/>
                <w:szCs w:val="22"/>
              </w:rPr>
              <w:t>规划工业用地；</w:t>
            </w:r>
            <w:r>
              <w:rPr>
                <w:color w:val="auto"/>
                <w:sz w:val="24"/>
              </w:rPr>
              <w:t>北侧为</w:t>
            </w:r>
            <w:r>
              <w:rPr>
                <w:rFonts w:hint="eastAsia"/>
                <w:color w:val="auto"/>
                <w:sz w:val="24"/>
              </w:rPr>
              <w:t>智伟电力（无锡）有限公司</w:t>
            </w:r>
            <w:r>
              <w:rPr>
                <w:color w:val="auto"/>
                <w:sz w:val="24"/>
              </w:rPr>
              <w:t>。周围500米范围内</w:t>
            </w:r>
            <w:r>
              <w:rPr>
                <w:rFonts w:hint="eastAsia"/>
                <w:color w:val="auto"/>
                <w:sz w:val="24"/>
                <w:lang w:eastAsia="zh-CN"/>
              </w:rPr>
              <w:t>环境保护</w:t>
            </w:r>
            <w:r>
              <w:rPr>
                <w:rFonts w:hint="eastAsia"/>
                <w:color w:val="auto"/>
                <w:sz w:val="24"/>
              </w:rPr>
              <w:t>目标有东北侧</w:t>
            </w:r>
            <w:r>
              <w:rPr>
                <w:color w:val="auto"/>
                <w:sz w:val="24"/>
              </w:rPr>
              <w:t>455</w:t>
            </w:r>
            <w:r>
              <w:rPr>
                <w:rFonts w:hint="eastAsia"/>
                <w:color w:val="auto"/>
                <w:sz w:val="24"/>
              </w:rPr>
              <w:t>m处的陈巷</w:t>
            </w:r>
            <w:r>
              <w:rPr>
                <w:color w:val="auto"/>
                <w:sz w:val="24"/>
              </w:rPr>
              <w:t>。厂区地理位置见图2-1，周围500m环境示意图见图2-2。</w:t>
            </w:r>
          </w:p>
          <w:p>
            <w:pPr>
              <w:adjustRightInd w:val="0"/>
              <w:snapToGrid w:val="0"/>
              <w:spacing w:line="360" w:lineRule="auto"/>
              <w:ind w:firstLine="480" w:firstLineChars="200"/>
              <w:rPr>
                <w:color w:val="auto"/>
              </w:rPr>
            </w:pPr>
            <w:r>
              <w:rPr>
                <w:rFonts w:hint="eastAsia"/>
                <w:color w:val="auto"/>
                <w:sz w:val="24"/>
              </w:rPr>
              <w:t>车间一为一</w:t>
            </w:r>
            <w:r>
              <w:rPr>
                <w:color w:val="auto"/>
                <w:sz w:val="24"/>
              </w:rPr>
              <w:t>层，</w:t>
            </w:r>
            <w:r>
              <w:rPr>
                <w:rFonts w:hint="eastAsia"/>
                <w:color w:val="auto"/>
                <w:sz w:val="24"/>
              </w:rPr>
              <w:t>作为</w:t>
            </w:r>
            <w:r>
              <w:rPr>
                <w:color w:val="auto"/>
                <w:sz w:val="24"/>
              </w:rPr>
              <w:t>仓库区域，</w:t>
            </w:r>
            <w:r>
              <w:rPr>
                <w:rFonts w:hint="eastAsia"/>
                <w:color w:val="auto"/>
                <w:sz w:val="24"/>
              </w:rPr>
              <w:t>位于</w:t>
            </w:r>
            <w:r>
              <w:rPr>
                <w:color w:val="auto"/>
                <w:sz w:val="24"/>
              </w:rPr>
              <w:t>厂区南侧</w:t>
            </w:r>
            <w:r>
              <w:rPr>
                <w:rFonts w:hint="eastAsia"/>
                <w:color w:val="auto"/>
                <w:sz w:val="24"/>
              </w:rPr>
              <w:t>；车间二为</w:t>
            </w:r>
            <w:r>
              <w:rPr>
                <w:color w:val="auto"/>
                <w:sz w:val="24"/>
              </w:rPr>
              <w:t>一层，</w:t>
            </w:r>
            <w:r>
              <w:rPr>
                <w:rFonts w:hint="eastAsia"/>
                <w:color w:val="auto"/>
                <w:sz w:val="24"/>
              </w:rPr>
              <w:t>作为生产</w:t>
            </w:r>
            <w:r>
              <w:rPr>
                <w:color w:val="auto"/>
                <w:sz w:val="24"/>
              </w:rPr>
              <w:t>区域，</w:t>
            </w:r>
            <w:r>
              <w:rPr>
                <w:rFonts w:hint="eastAsia"/>
                <w:color w:val="auto"/>
                <w:sz w:val="24"/>
              </w:rPr>
              <w:t>位于厂区西北侧；</w:t>
            </w:r>
            <w:r>
              <w:rPr>
                <w:color w:val="auto"/>
                <w:sz w:val="24"/>
              </w:rPr>
              <w:t>办公</w:t>
            </w:r>
            <w:r>
              <w:rPr>
                <w:rFonts w:hint="eastAsia"/>
                <w:color w:val="auto"/>
                <w:sz w:val="24"/>
              </w:rPr>
              <w:t>楼为六</w:t>
            </w:r>
            <w:r>
              <w:rPr>
                <w:color w:val="auto"/>
                <w:sz w:val="24"/>
              </w:rPr>
              <w:t>层</w:t>
            </w:r>
            <w:r>
              <w:rPr>
                <w:rFonts w:hint="eastAsia"/>
                <w:color w:val="auto"/>
                <w:sz w:val="24"/>
              </w:rPr>
              <w:t>，</w:t>
            </w:r>
            <w:r>
              <w:rPr>
                <w:color w:val="auto"/>
                <w:sz w:val="24"/>
              </w:rPr>
              <w:t>位于厂房</w:t>
            </w:r>
            <w:r>
              <w:rPr>
                <w:rFonts w:hint="eastAsia"/>
                <w:color w:val="auto"/>
                <w:sz w:val="24"/>
              </w:rPr>
              <w:t>东北</w:t>
            </w:r>
            <w:r>
              <w:rPr>
                <w:color w:val="auto"/>
                <w:sz w:val="24"/>
              </w:rPr>
              <w:t>侧</w:t>
            </w:r>
            <w:r>
              <w:rPr>
                <w:rFonts w:hint="eastAsia"/>
                <w:color w:val="auto"/>
                <w:sz w:val="24"/>
              </w:rPr>
              <w:t>；</w:t>
            </w:r>
            <w:r>
              <w:rPr>
                <w:color w:val="auto"/>
                <w:sz w:val="24"/>
              </w:rPr>
              <w:t>厂区出入口</w:t>
            </w:r>
            <w:r>
              <w:rPr>
                <w:rFonts w:hint="eastAsia"/>
                <w:color w:val="auto"/>
                <w:sz w:val="24"/>
              </w:rPr>
              <w:t>位于</w:t>
            </w:r>
            <w:r>
              <w:rPr>
                <w:color w:val="auto"/>
                <w:sz w:val="24"/>
              </w:rPr>
              <w:t>东侧中部</w:t>
            </w:r>
            <w:r>
              <w:rPr>
                <w:rFonts w:hint="eastAsia"/>
                <w:color w:val="auto"/>
                <w:sz w:val="24"/>
              </w:rPr>
              <w:t>并配套</w:t>
            </w:r>
            <w:r>
              <w:rPr>
                <w:color w:val="auto"/>
                <w:sz w:val="24"/>
              </w:rPr>
              <w:t>门卫。厂区平面布置及雨污水管网图见图2-3。</w:t>
            </w:r>
          </w:p>
          <w:p>
            <w:pPr>
              <w:adjustRightInd w:val="0"/>
              <w:snapToGrid w:val="0"/>
              <w:spacing w:line="360" w:lineRule="auto"/>
              <w:ind w:firstLine="422" w:firstLineChars="200"/>
              <w:rPr>
                <w:b/>
                <w:color w:val="auto"/>
                <w:szCs w:val="21"/>
              </w:rPr>
            </w:pPr>
          </w:p>
        </w:tc>
      </w:tr>
    </w:tbl>
    <w:p>
      <w:pPr>
        <w:pStyle w:val="26"/>
        <w:adjustRightInd w:val="0"/>
        <w:snapToGrid w:val="0"/>
        <w:spacing w:before="0" w:beforeAutospacing="0" w:after="0" w:afterAutospacing="0"/>
        <w:jc w:val="center"/>
        <w:rPr>
          <w:rFonts w:ascii="Times New Roman" w:hAnsi="Times New Roman"/>
          <w:snapToGrid w:val="0"/>
          <w:color w:val="auto"/>
          <w:sz w:val="21"/>
          <w:szCs w:val="21"/>
        </w:rPr>
        <w:sectPr>
          <w:pgSz w:w="11906" w:h="16838"/>
          <w:pgMar w:top="1701" w:right="1531" w:bottom="1701" w:left="1531" w:header="851" w:footer="851" w:gutter="0"/>
          <w:cols w:space="720" w:num="1"/>
          <w:docGrid w:linePitch="312" w:charSpace="0"/>
        </w:sectPr>
      </w:pPr>
    </w:p>
    <w:tbl>
      <w:tblPr>
        <w:tblStyle w:val="29"/>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7" w:hRule="atLeast"/>
          <w:jc w:val="center"/>
        </w:trPr>
        <w:tc>
          <w:tcPr>
            <w:tcW w:w="677" w:type="dxa"/>
            <w:vAlign w:val="center"/>
          </w:tcPr>
          <w:p>
            <w:pPr>
              <w:pStyle w:val="26"/>
              <w:adjustRightInd w:val="0"/>
              <w:snapToGrid w:val="0"/>
              <w:jc w:val="center"/>
              <w:rPr>
                <w:rFonts w:ascii="Times New Roman" w:hAnsi="Times New Roman"/>
                <w:snapToGrid w:val="0"/>
                <w:color w:val="auto"/>
                <w:szCs w:val="24"/>
              </w:rPr>
            </w:pPr>
            <w:r>
              <w:rPr>
                <w:rFonts w:ascii="Times New Roman" w:hAnsi="Times New Roman"/>
                <w:color w:val="auto"/>
                <w:szCs w:val="24"/>
              </w:rPr>
              <w:t>工艺流程和产排污环节</w:t>
            </w:r>
          </w:p>
        </w:tc>
        <w:tc>
          <w:tcPr>
            <w:tcW w:w="8249" w:type="dxa"/>
          </w:tcPr>
          <w:p>
            <w:pPr>
              <w:adjustRightInd w:val="0"/>
              <w:snapToGrid w:val="0"/>
              <w:spacing w:line="360" w:lineRule="auto"/>
              <w:rPr>
                <w:b/>
                <w:bCs/>
                <w:snapToGrid w:val="0"/>
                <w:color w:val="auto"/>
                <w:kern w:val="0"/>
                <w:sz w:val="24"/>
              </w:rPr>
            </w:pPr>
            <w:r>
              <w:rPr>
                <w:b/>
                <w:bCs/>
                <w:snapToGrid w:val="0"/>
                <w:color w:val="auto"/>
                <w:kern w:val="0"/>
                <w:sz w:val="24"/>
              </w:rPr>
              <w:t>1、工艺流程</w:t>
            </w:r>
          </w:p>
          <w:p>
            <w:pPr>
              <w:pStyle w:val="26"/>
              <w:adjustRightInd w:val="0"/>
              <w:snapToGrid w:val="0"/>
              <w:spacing w:before="0" w:beforeAutospacing="0" w:after="0" w:afterAutospacing="0" w:line="360" w:lineRule="auto"/>
              <w:ind w:firstLine="482" w:firstLineChars="200"/>
              <w:rPr>
                <w:rFonts w:ascii="Times New Roman" w:hAnsi="Times New Roman"/>
                <w:color w:val="auto"/>
                <w:lang w:val="de-DE"/>
              </w:rPr>
            </w:pPr>
            <w:r>
              <w:rPr>
                <w:rFonts w:hint="eastAsia" w:ascii="Times New Roman" w:hAnsi="Times New Roman"/>
                <w:b/>
                <w:bCs/>
                <w:color w:val="auto"/>
                <w:szCs w:val="24"/>
              </w:rPr>
              <w:t>本项目主要生产</w:t>
            </w:r>
            <w:r>
              <w:rPr>
                <w:rFonts w:ascii="Times New Roman" w:hAnsi="Times New Roman"/>
                <w:b/>
                <w:bCs/>
                <w:color w:val="auto"/>
                <w:szCs w:val="24"/>
              </w:rPr>
              <w:t>饰面板</w:t>
            </w:r>
            <w:r>
              <w:rPr>
                <w:rFonts w:hint="eastAsia" w:ascii="Times New Roman" w:hAnsi="Times New Roman"/>
                <w:b/>
                <w:bCs/>
                <w:color w:val="auto"/>
                <w:szCs w:val="24"/>
              </w:rPr>
              <w:t>。</w:t>
            </w:r>
            <w:r>
              <w:rPr>
                <w:rFonts w:hint="eastAsia" w:ascii="Times New Roman" w:hAnsi="Times New Roman"/>
                <w:color w:val="auto"/>
                <w:lang w:val="de-DE"/>
              </w:rPr>
              <w:t>饰面板生产</w:t>
            </w:r>
            <w:r>
              <w:rPr>
                <w:rFonts w:ascii="Times New Roman" w:hAnsi="Times New Roman"/>
                <w:color w:val="auto"/>
                <w:lang w:val="de-DE"/>
              </w:rPr>
              <w:t>工艺流程如下：</w:t>
            </w:r>
          </w:p>
          <w:p>
            <w:pPr>
              <w:pStyle w:val="26"/>
              <w:adjustRightInd w:val="0"/>
              <w:snapToGrid w:val="0"/>
              <w:spacing w:before="0" w:beforeAutospacing="0" w:after="0" w:afterAutospacing="0" w:line="360" w:lineRule="auto"/>
              <w:jc w:val="center"/>
              <w:rPr>
                <w:rFonts w:ascii="Times New Roman" w:hAnsi="Times New Roman"/>
                <w:color w:val="auto"/>
                <w:szCs w:val="24"/>
              </w:rPr>
            </w:pPr>
            <w:r>
              <w:rPr>
                <w:rFonts w:ascii="Times New Roman" w:hAnsi="Times New Roman"/>
                <w:color w:val="auto"/>
              </w:rPr>
              <mc:AlternateContent>
                <mc:Choice Requires="wpc">
                  <w:drawing>
                    <wp:inline distT="0" distB="0" distL="0" distR="0">
                      <wp:extent cx="5248275" cy="2630805"/>
                      <wp:effectExtent l="0" t="0" r="0" b="17145"/>
                      <wp:docPr id="58" name="画布 337"/>
                      <wp:cNvGraphicFramePr/>
                      <a:graphic xmlns:a="http://schemas.openxmlformats.org/drawingml/2006/main">
                        <a:graphicData uri="http://schemas.microsoft.com/office/word/2010/wordprocessingCanvas">
                          <wpc:wpc>
                            <wpc:bg>
                              <a:noFill/>
                            </wpc:bg>
                            <wpc:whole/>
                            <wps:wsp>
                              <wps:cNvPr id="31" name="文本框 339"/>
                              <wps:cNvSpPr txBox="1">
                                <a:spLocks noChangeArrowheads="1"/>
                              </wps:cNvSpPr>
                              <wps:spPr bwMode="auto">
                                <a:xfrm>
                                  <a:off x="2311453" y="19"/>
                                  <a:ext cx="1528358" cy="296216"/>
                                </a:xfrm>
                                <a:prstGeom prst="rect">
                                  <a:avLst/>
                                </a:prstGeom>
                                <a:solidFill>
                                  <a:srgbClr val="FFFFFF"/>
                                </a:solidFill>
                                <a:ln>
                                  <a:noFill/>
                                </a:ln>
                              </wps:spPr>
                              <wps:txbx>
                                <w:txbxContent>
                                  <w:p>
                                    <w:pPr>
                                      <w:rPr>
                                        <w:szCs w:val="21"/>
                                      </w:rPr>
                                    </w:pPr>
                                    <w:r>
                                      <w:rPr>
                                        <w:rFonts w:hint="eastAsia"/>
                                        <w:szCs w:val="21"/>
                                      </w:rPr>
                                      <w:t>刨花板/密度板/多层板</w:t>
                                    </w:r>
                                  </w:p>
                                </w:txbxContent>
                              </wps:txbx>
                              <wps:bodyPr rot="0" vert="horz" wrap="square" lIns="91440" tIns="45720" rIns="91440" bIns="45720" anchor="t" anchorCtr="0" upright="1">
                                <a:noAutofit/>
                              </wps:bodyPr>
                            </wps:wsp>
                            <wps:wsp>
                              <wps:cNvPr id="33" name="文本框 342"/>
                              <wps:cNvSpPr txBox="1">
                                <a:spLocks noChangeArrowheads="1"/>
                              </wps:cNvSpPr>
                              <wps:spPr bwMode="auto">
                                <a:xfrm>
                                  <a:off x="3824738" y="562079"/>
                                  <a:ext cx="1372904" cy="321276"/>
                                </a:xfrm>
                                <a:prstGeom prst="rect">
                                  <a:avLst/>
                                </a:prstGeom>
                                <a:noFill/>
                                <a:ln>
                                  <a:noFill/>
                                </a:ln>
                              </wps:spPr>
                              <wps:txbx>
                                <w:txbxContent>
                                  <w:p>
                                    <w:pPr>
                                      <w:rPr>
                                        <w:szCs w:val="21"/>
                                      </w:rPr>
                                    </w:pPr>
                                    <w:r>
                                      <w:rPr>
                                        <w:rFonts w:hint="eastAsia"/>
                                        <w:szCs w:val="21"/>
                                      </w:rPr>
                                      <w:t>G</w:t>
                                    </w:r>
                                    <w:r>
                                      <w:rPr>
                                        <w:szCs w:val="21"/>
                                      </w:rPr>
                                      <w:t>1</w:t>
                                    </w:r>
                                    <w:r>
                                      <w:rPr>
                                        <w:rFonts w:hint="eastAsia"/>
                                        <w:szCs w:val="21"/>
                                      </w:rPr>
                                      <w:t>热压废气</w:t>
                                    </w:r>
                                  </w:p>
                                </w:txbxContent>
                              </wps:txbx>
                              <wps:bodyPr rot="0" vert="horz" wrap="square" lIns="91440" tIns="45720" rIns="91440" bIns="45720" anchor="t" anchorCtr="0" upright="1">
                                <a:noAutofit/>
                              </wps:bodyPr>
                            </wps:wsp>
                            <wps:wsp>
                              <wps:cNvPr id="34" name="文本框 345"/>
                              <wps:cNvSpPr txBox="1">
                                <a:spLocks noChangeArrowheads="1"/>
                              </wps:cNvSpPr>
                              <wps:spPr bwMode="auto">
                                <a:xfrm>
                                  <a:off x="2609562" y="564263"/>
                                  <a:ext cx="864708" cy="259914"/>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热压贴面</w:t>
                                    </w:r>
                                  </w:p>
                                </w:txbxContent>
                              </wps:txbx>
                              <wps:bodyPr rot="0" vert="horz" wrap="square" lIns="91440" tIns="45720" rIns="91440" bIns="45720" anchor="t" anchorCtr="0" upright="1">
                                <a:noAutofit/>
                              </wps:bodyPr>
                            </wps:wsp>
                            <wps:wsp>
                              <wps:cNvPr id="35" name="直线 346"/>
                              <wps:cNvCnPr>
                                <a:cxnSpLocks noChangeShapeType="1"/>
                              </wps:cNvCnPr>
                              <wps:spPr bwMode="auto">
                                <a:xfrm>
                                  <a:off x="3045851" y="283452"/>
                                  <a:ext cx="0" cy="273848"/>
                                </a:xfrm>
                                <a:prstGeom prst="line">
                                  <a:avLst/>
                                </a:prstGeom>
                                <a:noFill/>
                                <a:ln w="9525">
                                  <a:solidFill>
                                    <a:srgbClr val="000000"/>
                                  </a:solidFill>
                                  <a:round/>
                                  <a:tailEnd type="triangle" w="med" len="med"/>
                                </a:ln>
                              </wps:spPr>
                              <wps:bodyPr/>
                            </wps:wsp>
                            <wps:wsp>
                              <wps:cNvPr id="36" name="文本框 347"/>
                              <wps:cNvSpPr txBox="1">
                                <a:spLocks noChangeArrowheads="1"/>
                              </wps:cNvSpPr>
                              <wps:spPr bwMode="auto">
                                <a:xfrm>
                                  <a:off x="2616596" y="1187758"/>
                                  <a:ext cx="857573" cy="273314"/>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裁纸</w:t>
                                    </w:r>
                                  </w:p>
                                  <w:p>
                                    <w:pPr>
                                      <w:jc w:val="center"/>
                                      <w:rPr>
                                        <w:szCs w:val="21"/>
                                      </w:rPr>
                                    </w:pPr>
                                  </w:p>
                                </w:txbxContent>
                              </wps:txbx>
                              <wps:bodyPr rot="0" vert="horz" wrap="square" lIns="91440" tIns="45720" rIns="91440" bIns="45720" anchor="t" anchorCtr="0" upright="1">
                                <a:noAutofit/>
                              </wps:bodyPr>
                            </wps:wsp>
                            <wps:wsp>
                              <wps:cNvPr id="37" name="文本框 349"/>
                              <wps:cNvSpPr txBox="1">
                                <a:spLocks noChangeArrowheads="1"/>
                              </wps:cNvSpPr>
                              <wps:spPr bwMode="auto">
                                <a:xfrm>
                                  <a:off x="1332230" y="384810"/>
                                  <a:ext cx="713740" cy="298450"/>
                                </a:xfrm>
                                <a:prstGeom prst="rect">
                                  <a:avLst/>
                                </a:prstGeom>
                                <a:noFill/>
                                <a:ln>
                                  <a:noFill/>
                                </a:ln>
                              </wps:spPr>
                              <wps:txbx>
                                <w:txbxContent>
                                  <w:p>
                                    <w:pPr>
                                      <w:ind w:right="105"/>
                                      <w:rPr>
                                        <w:szCs w:val="21"/>
                                        <w:vertAlign w:val="subscript"/>
                                      </w:rPr>
                                    </w:pPr>
                                    <w:r>
                                      <w:rPr>
                                        <w:rFonts w:hint="eastAsia"/>
                                        <w:szCs w:val="21"/>
                                      </w:rPr>
                                      <w:t>天然气</w:t>
                                    </w:r>
                                  </w:p>
                                </w:txbxContent>
                              </wps:txbx>
                              <wps:bodyPr rot="0" vert="horz" wrap="square" lIns="91440" tIns="45720" rIns="91440" bIns="45720" anchor="t" anchorCtr="0" upright="1">
                                <a:noAutofit/>
                              </wps:bodyPr>
                            </wps:wsp>
                            <wps:wsp>
                              <wps:cNvPr id="38" name="文本框 351"/>
                              <wps:cNvSpPr txBox="1">
                                <a:spLocks noChangeArrowheads="1"/>
                              </wps:cNvSpPr>
                              <wps:spPr bwMode="auto">
                                <a:xfrm>
                                  <a:off x="3839811" y="1202918"/>
                                  <a:ext cx="1367204" cy="288332"/>
                                </a:xfrm>
                                <a:prstGeom prst="rect">
                                  <a:avLst/>
                                </a:prstGeom>
                                <a:noFill/>
                                <a:ln>
                                  <a:noFill/>
                                </a:ln>
                              </wps:spPr>
                              <wps:txbx>
                                <w:txbxContent>
                                  <w:p>
                                    <w:pPr>
                                      <w:rPr>
                                        <w:szCs w:val="21"/>
                                      </w:rPr>
                                    </w:pPr>
                                    <w:r>
                                      <w:rPr>
                                        <w:szCs w:val="21"/>
                                      </w:rPr>
                                      <w:t>S1</w:t>
                                    </w:r>
                                    <w:r>
                                      <w:rPr>
                                        <w:rFonts w:hint="eastAsia"/>
                                        <w:szCs w:val="21"/>
                                      </w:rPr>
                                      <w:t>废边角料</w:t>
                                    </w:r>
                                  </w:p>
                                </w:txbxContent>
                              </wps:txbx>
                              <wps:bodyPr rot="0" vert="horz" wrap="square" lIns="91440" tIns="45720" rIns="91440" bIns="45720" anchor="t" anchorCtr="0" upright="1">
                                <a:noAutofit/>
                              </wps:bodyPr>
                            </wps:wsp>
                            <wps:wsp>
                              <wps:cNvPr id="39" name="直线 352"/>
                              <wps:cNvCnPr>
                                <a:cxnSpLocks noChangeShapeType="1"/>
                              </wps:cNvCnPr>
                              <wps:spPr bwMode="auto">
                                <a:xfrm>
                                  <a:off x="3045851" y="829610"/>
                                  <a:ext cx="1200" cy="358148"/>
                                </a:xfrm>
                                <a:prstGeom prst="line">
                                  <a:avLst/>
                                </a:prstGeom>
                                <a:noFill/>
                                <a:ln w="9525">
                                  <a:solidFill>
                                    <a:srgbClr val="000000"/>
                                  </a:solidFill>
                                  <a:round/>
                                  <a:tailEnd type="triangle" w="med" len="med"/>
                                </a:ln>
                              </wps:spPr>
                              <wps:bodyPr/>
                            </wps:wsp>
                            <wps:wsp>
                              <wps:cNvPr id="40" name="文本框 353"/>
                              <wps:cNvSpPr txBox="1">
                                <a:spLocks noChangeArrowheads="1"/>
                              </wps:cNvSpPr>
                              <wps:spPr bwMode="auto">
                                <a:xfrm>
                                  <a:off x="2616596" y="1809824"/>
                                  <a:ext cx="857374" cy="264814"/>
                                </a:xfrm>
                                <a:prstGeom prst="rect">
                                  <a:avLst/>
                                </a:prstGeom>
                                <a:solidFill>
                                  <a:srgbClr val="FFFFFF"/>
                                </a:solidFill>
                                <a:ln w="9525">
                                  <a:solidFill>
                                    <a:srgbClr val="000000"/>
                                  </a:solidFill>
                                  <a:miter lim="800000"/>
                                </a:ln>
                              </wps:spPr>
                              <wps:txbx>
                                <w:txbxContent>
                                  <w:p>
                                    <w:pPr>
                                      <w:jc w:val="center"/>
                                      <w:rPr>
                                        <w:rFonts w:ascii="宋体" w:hAnsi="宋体" w:cs="宋体"/>
                                        <w:szCs w:val="21"/>
                                      </w:rPr>
                                    </w:pPr>
                                    <w:r>
                                      <w:rPr>
                                        <w:rFonts w:hint="eastAsia"/>
                                        <w:szCs w:val="21"/>
                                      </w:rPr>
                                      <w:t>检验包装</w:t>
                                    </w:r>
                                  </w:p>
                                  <w:p>
                                    <w:pPr>
                                      <w:rPr>
                                        <w:szCs w:val="21"/>
                                      </w:rPr>
                                    </w:pPr>
                                  </w:p>
                                </w:txbxContent>
                              </wps:txbx>
                              <wps:bodyPr rot="0" vert="horz" wrap="square" lIns="91440" tIns="45720" rIns="91440" bIns="45720" anchor="t" anchorCtr="0" upright="1">
                                <a:noAutofit/>
                              </wps:bodyPr>
                            </wps:wsp>
                            <wps:wsp>
                              <wps:cNvPr id="43" name="直线 356"/>
                              <wps:cNvCnPr>
                                <a:cxnSpLocks noChangeShapeType="1"/>
                                <a:stCxn id="36" idx="3"/>
                              </wps:cNvCnPr>
                              <wps:spPr bwMode="auto">
                                <a:xfrm>
                                  <a:off x="3474169" y="1324293"/>
                                  <a:ext cx="394452" cy="2115"/>
                                </a:xfrm>
                                <a:prstGeom prst="line">
                                  <a:avLst/>
                                </a:prstGeom>
                                <a:noFill/>
                                <a:ln w="9525">
                                  <a:solidFill>
                                    <a:srgbClr val="000000"/>
                                  </a:solidFill>
                                  <a:prstDash val="dash"/>
                                  <a:round/>
                                  <a:tailEnd type="triangle" w="med" len="med"/>
                                </a:ln>
                              </wps:spPr>
                              <wps:bodyPr/>
                            </wps:wsp>
                            <wps:wsp>
                              <wps:cNvPr id="47" name="文本框 366"/>
                              <wps:cNvSpPr txBox="1">
                                <a:spLocks noChangeArrowheads="1"/>
                              </wps:cNvSpPr>
                              <wps:spPr bwMode="auto">
                                <a:xfrm>
                                  <a:off x="2648828" y="2329032"/>
                                  <a:ext cx="812802" cy="266714"/>
                                </a:xfrm>
                                <a:prstGeom prst="rect">
                                  <a:avLst/>
                                </a:prstGeom>
                                <a:solidFill>
                                  <a:srgbClr val="FFFFFF"/>
                                </a:solidFill>
                                <a:ln>
                                  <a:noFill/>
                                </a:ln>
                              </wps:spPr>
                              <wps:txbx>
                                <w:txbxContent>
                                  <w:p>
                                    <w:pPr>
                                      <w:jc w:val="center"/>
                                    </w:pPr>
                                    <w:r>
                                      <w:rPr>
                                        <w:rFonts w:hint="eastAsia"/>
                                      </w:rPr>
                                      <w:t>成品</w:t>
                                    </w:r>
                                  </w:p>
                                </w:txbxContent>
                              </wps:txbx>
                              <wps:bodyPr rot="0" vert="horz" wrap="square" lIns="91440" tIns="45720" rIns="91440" bIns="45720" anchor="t" anchorCtr="0" upright="1">
                                <a:noAutofit/>
                              </wps:bodyPr>
                            </wps:wsp>
                            <wps:wsp>
                              <wps:cNvPr id="51" name="直线 373"/>
                              <wps:cNvCnPr>
                                <a:cxnSpLocks noChangeShapeType="1"/>
                                <a:stCxn id="97" idx="3"/>
                              </wps:cNvCnPr>
                              <wps:spPr bwMode="auto">
                                <a:xfrm flipV="1">
                                  <a:off x="2074217" y="1015664"/>
                                  <a:ext cx="774065" cy="5080"/>
                                </a:xfrm>
                                <a:prstGeom prst="line">
                                  <a:avLst/>
                                </a:prstGeom>
                                <a:noFill/>
                                <a:ln w="9525">
                                  <a:solidFill>
                                    <a:srgbClr val="000000"/>
                                  </a:solidFill>
                                  <a:round/>
                                  <a:tailEnd type="triangle" w="med" len="med"/>
                                </a:ln>
                              </wps:spPr>
                              <wps:bodyPr/>
                            </wps:wsp>
                            <wps:wsp>
                              <wps:cNvPr id="52" name="直线 374"/>
                              <wps:cNvCnPr>
                                <a:cxnSpLocks noChangeShapeType="1"/>
                              </wps:cNvCnPr>
                              <wps:spPr bwMode="auto">
                                <a:xfrm>
                                  <a:off x="3473970" y="693290"/>
                                  <a:ext cx="394152" cy="0"/>
                                </a:xfrm>
                                <a:prstGeom prst="line">
                                  <a:avLst/>
                                </a:prstGeom>
                                <a:noFill/>
                                <a:ln w="9525">
                                  <a:solidFill>
                                    <a:srgbClr val="000000"/>
                                  </a:solidFill>
                                  <a:prstDash val="dash"/>
                                  <a:round/>
                                  <a:tailEnd type="triangle" w="med" len="med"/>
                                </a:ln>
                              </wps:spPr>
                              <wps:bodyPr/>
                            </wps:wsp>
                            <wps:wsp>
                              <wps:cNvPr id="57" name="文本框 359"/>
                              <wps:cNvSpPr txBox="1">
                                <a:spLocks noChangeArrowheads="1"/>
                              </wps:cNvSpPr>
                              <wps:spPr bwMode="auto">
                                <a:xfrm>
                                  <a:off x="729259" y="1994574"/>
                                  <a:ext cx="798202" cy="583931"/>
                                </a:xfrm>
                                <a:prstGeom prst="rect">
                                  <a:avLst/>
                                </a:prstGeom>
                                <a:solidFill>
                                  <a:srgbClr val="FFFFFF"/>
                                </a:solidFill>
                                <a:ln>
                                  <a:noFill/>
                                </a:ln>
                              </wps:spPr>
                              <wps:txbx>
                                <w:txbxContent>
                                  <w:p>
                                    <w:pPr>
                                      <w:pStyle w:val="26"/>
                                      <w:spacing w:before="0" w:beforeAutospacing="0" w:after="0" w:afterAutospacing="0"/>
                                      <w:jc w:val="both"/>
                                      <w:rPr>
                                        <w:rFonts w:ascii="Times New Roman"/>
                                        <w:kern w:val="2"/>
                                        <w:sz w:val="18"/>
                                        <w:szCs w:val="18"/>
                                      </w:rPr>
                                    </w:pPr>
                                    <w:r>
                                      <w:rPr>
                                        <w:rFonts w:hint="eastAsia" w:ascii="Times New Roman"/>
                                        <w:kern w:val="2"/>
                                        <w:sz w:val="18"/>
                                        <w:szCs w:val="18"/>
                                      </w:rPr>
                                      <w:t>注：G废气</w:t>
                                    </w:r>
                                  </w:p>
                                  <w:p>
                                    <w:pPr>
                                      <w:pStyle w:val="26"/>
                                      <w:spacing w:before="0" w:beforeAutospacing="0" w:after="0" w:afterAutospacing="0"/>
                                      <w:jc w:val="both"/>
                                      <w:rPr>
                                        <w:sz w:val="18"/>
                                        <w:szCs w:val="18"/>
                                      </w:rPr>
                                    </w:pPr>
                                    <w:r>
                                      <w:rPr>
                                        <w:rFonts w:hint="eastAsia" w:ascii="Times New Roman"/>
                                        <w:kern w:val="2"/>
                                        <w:sz w:val="18"/>
                                        <w:szCs w:val="18"/>
                                      </w:rPr>
                                      <w:t xml:space="preserve">    S固废</w:t>
                                    </w:r>
                                  </w:p>
                                </w:txbxContent>
                              </wps:txbx>
                              <wps:bodyPr rot="0" vert="horz" wrap="square" lIns="91440" tIns="45720" rIns="91440" bIns="45720" anchor="t" anchorCtr="0" upright="1">
                                <a:noAutofit/>
                              </wps:bodyPr>
                            </wps:wsp>
                            <wps:wsp>
                              <wps:cNvPr id="97" name="文本框 345"/>
                              <wps:cNvSpPr txBox="1">
                                <a:spLocks noChangeArrowheads="1"/>
                              </wps:cNvSpPr>
                              <wps:spPr bwMode="auto">
                                <a:xfrm>
                                  <a:off x="1209675" y="890270"/>
                                  <a:ext cx="864235" cy="259715"/>
                                </a:xfrm>
                                <a:prstGeom prst="rect">
                                  <a:avLst/>
                                </a:prstGeom>
                                <a:solidFill>
                                  <a:srgbClr val="FFFFFF"/>
                                </a:solidFill>
                                <a:ln w="9525">
                                  <a:solidFill>
                                    <a:srgbClr val="000000"/>
                                  </a:solidFill>
                                  <a:miter lim="800000"/>
                                </a:ln>
                              </wps:spPr>
                              <wps:txbx>
                                <w:txbxContent>
                                  <w:p>
                                    <w:pPr>
                                      <w:pStyle w:val="26"/>
                                      <w:spacing w:before="0" w:beforeAutospacing="0" w:after="0" w:afterAutospacing="0"/>
                                      <w:jc w:val="center"/>
                                      <w:rPr>
                                        <w:szCs w:val="24"/>
                                      </w:rPr>
                                    </w:pPr>
                                    <w:r>
                                      <w:rPr>
                                        <w:rFonts w:hint="eastAsia" w:ascii="Times New Roman"/>
                                        <w:kern w:val="2"/>
                                        <w:sz w:val="21"/>
                                        <w:szCs w:val="21"/>
                                      </w:rPr>
                                      <w:t>模温机加热</w:t>
                                    </w:r>
                                  </w:p>
                                </w:txbxContent>
                              </wps:txbx>
                              <wps:bodyPr rot="0" vert="horz" wrap="square" lIns="91440" tIns="45720" rIns="91440" bIns="45720" anchor="t" anchorCtr="0" upright="1">
                                <a:noAutofit/>
                              </wps:bodyPr>
                            </wps:wsp>
                            <wps:wsp>
                              <wps:cNvPr id="98" name="文本框 342"/>
                              <wps:cNvSpPr txBox="1">
                                <a:spLocks noChangeArrowheads="1"/>
                              </wps:cNvSpPr>
                              <wps:spPr bwMode="auto">
                                <a:xfrm>
                                  <a:off x="33655" y="785495"/>
                                  <a:ext cx="871220" cy="610235"/>
                                </a:xfrm>
                                <a:prstGeom prst="rect">
                                  <a:avLst/>
                                </a:prstGeom>
                                <a:noFill/>
                                <a:ln>
                                  <a:noFill/>
                                </a:ln>
                              </wps:spPr>
                              <wps:txbx>
                                <w:txbxContent>
                                  <w:p>
                                    <w:pPr>
                                      <w:pStyle w:val="26"/>
                                      <w:spacing w:before="0" w:beforeAutospacing="0" w:after="0" w:afterAutospacing="0"/>
                                      <w:jc w:val="center"/>
                                      <w:rPr>
                                        <w:szCs w:val="24"/>
                                      </w:rPr>
                                    </w:pPr>
                                    <w:r>
                                      <w:rPr>
                                        <w:rFonts w:ascii="Times New Roman" w:hAnsi="Times New Roman"/>
                                        <w:kern w:val="2"/>
                                        <w:sz w:val="21"/>
                                        <w:szCs w:val="21"/>
                                      </w:rPr>
                                      <w:t>G2</w:t>
                                    </w:r>
                                    <w:r>
                                      <w:rPr>
                                        <w:rFonts w:hint="eastAsia" w:ascii="Times New Roman"/>
                                        <w:kern w:val="2"/>
                                        <w:sz w:val="21"/>
                                        <w:szCs w:val="21"/>
                                      </w:rPr>
                                      <w:t>天然气燃烧废气</w:t>
                                    </w:r>
                                  </w:p>
                                </w:txbxContent>
                              </wps:txbx>
                              <wps:bodyPr rot="0" vert="horz" wrap="square" lIns="91440" tIns="45720" rIns="91440" bIns="45720" anchor="t" anchorCtr="0" upright="1">
                                <a:noAutofit/>
                              </wps:bodyPr>
                            </wps:wsp>
                            <wps:wsp>
                              <wps:cNvPr id="99" name="直线 374"/>
                              <wps:cNvCnPr>
                                <a:cxnSpLocks noChangeShapeType="1"/>
                              </wps:cNvCnPr>
                              <wps:spPr bwMode="auto">
                                <a:xfrm flipH="1">
                                  <a:off x="812800" y="1019810"/>
                                  <a:ext cx="396875" cy="0"/>
                                </a:xfrm>
                                <a:prstGeom prst="line">
                                  <a:avLst/>
                                </a:prstGeom>
                                <a:noFill/>
                                <a:ln w="9525">
                                  <a:solidFill>
                                    <a:srgbClr val="000000"/>
                                  </a:solidFill>
                                  <a:prstDash val="dash"/>
                                  <a:round/>
                                  <a:tailEnd type="triangle" w="med" len="med"/>
                                </a:ln>
                              </wps:spPr>
                              <wps:bodyPr/>
                            </wps:wsp>
                            <wps:wsp>
                              <wps:cNvPr id="101" name="直线 378"/>
                              <wps:cNvCnPr>
                                <a:cxnSpLocks noChangeShapeType="1"/>
                              </wps:cNvCnPr>
                              <wps:spPr bwMode="auto">
                                <a:xfrm flipV="1">
                                  <a:off x="2842605" y="824166"/>
                                  <a:ext cx="0" cy="197726"/>
                                </a:xfrm>
                                <a:prstGeom prst="line">
                                  <a:avLst/>
                                </a:prstGeom>
                                <a:noFill/>
                                <a:ln w="9525">
                                  <a:solidFill>
                                    <a:srgbClr val="000000"/>
                                  </a:solidFill>
                                  <a:round/>
                                  <a:tailEnd type="triangle" w="med" len="med"/>
                                </a:ln>
                              </wps:spPr>
                              <wps:bodyPr/>
                            </wps:wsp>
                            <wps:wsp>
                              <wps:cNvPr id="151" name="直线 352"/>
                              <wps:cNvCnPr>
                                <a:cxnSpLocks noChangeShapeType="1"/>
                              </wps:cNvCnPr>
                              <wps:spPr bwMode="auto">
                                <a:xfrm>
                                  <a:off x="3047651" y="1452329"/>
                                  <a:ext cx="635" cy="357505"/>
                                </a:xfrm>
                                <a:prstGeom prst="line">
                                  <a:avLst/>
                                </a:prstGeom>
                                <a:noFill/>
                                <a:ln w="9525">
                                  <a:solidFill>
                                    <a:srgbClr val="000000"/>
                                  </a:solidFill>
                                  <a:round/>
                                  <a:tailEnd type="triangle" w="med" len="med"/>
                                </a:ln>
                              </wps:spPr>
                              <wps:bodyPr/>
                            </wps:wsp>
                            <wps:wsp>
                              <wps:cNvPr id="153" name="直线 346"/>
                              <wps:cNvCnPr>
                                <a:cxnSpLocks noChangeShapeType="1"/>
                              </wps:cNvCnPr>
                              <wps:spPr bwMode="auto">
                                <a:xfrm>
                                  <a:off x="3045851" y="2074732"/>
                                  <a:ext cx="0" cy="273685"/>
                                </a:xfrm>
                                <a:prstGeom prst="line">
                                  <a:avLst/>
                                </a:prstGeom>
                                <a:noFill/>
                                <a:ln w="9525">
                                  <a:solidFill>
                                    <a:srgbClr val="000000"/>
                                  </a:solidFill>
                                  <a:round/>
                                  <a:tailEnd type="triangle" w="med" len="med"/>
                                </a:ln>
                              </wps:spPr>
                              <wps:bodyPr/>
                            </wps:wsp>
                            <wps:wsp>
                              <wps:cNvPr id="166" name="直线 346"/>
                              <wps:cNvCnPr>
                                <a:cxnSpLocks noChangeShapeType="1"/>
                              </wps:cNvCnPr>
                              <wps:spPr bwMode="auto">
                                <a:xfrm>
                                  <a:off x="1642110" y="616585"/>
                                  <a:ext cx="0" cy="273685"/>
                                </a:xfrm>
                                <a:prstGeom prst="line">
                                  <a:avLst/>
                                </a:prstGeom>
                                <a:noFill/>
                                <a:ln w="9525">
                                  <a:solidFill>
                                    <a:srgbClr val="000000"/>
                                  </a:solidFill>
                                  <a:round/>
                                  <a:tailEnd type="triangle" w="med" len="med"/>
                                </a:ln>
                              </wps:spPr>
                              <wps:bodyPr/>
                            </wps:wsp>
                            <wps:wsp>
                              <wps:cNvPr id="169" name="直线 346"/>
                              <wps:cNvCnPr>
                                <a:cxnSpLocks noChangeShapeType="1"/>
                                <a:endCxn id="97" idx="2"/>
                              </wps:cNvCnPr>
                              <wps:spPr bwMode="auto">
                                <a:xfrm flipV="1">
                                  <a:off x="1642110" y="1149985"/>
                                  <a:ext cx="0" cy="280035"/>
                                </a:xfrm>
                                <a:prstGeom prst="line">
                                  <a:avLst/>
                                </a:prstGeom>
                                <a:noFill/>
                                <a:ln w="9525">
                                  <a:solidFill>
                                    <a:srgbClr val="000000"/>
                                  </a:solidFill>
                                  <a:round/>
                                  <a:tailEnd type="triangle" w="med" len="med"/>
                                </a:ln>
                              </wps:spPr>
                              <wps:bodyPr/>
                            </wps:wsp>
                            <wps:wsp>
                              <wps:cNvPr id="170" name="文本框 349"/>
                              <wps:cNvSpPr txBox="1">
                                <a:spLocks noChangeArrowheads="1"/>
                              </wps:cNvSpPr>
                              <wps:spPr bwMode="auto">
                                <a:xfrm>
                                  <a:off x="1348740" y="1388110"/>
                                  <a:ext cx="713740" cy="298450"/>
                                </a:xfrm>
                                <a:prstGeom prst="rect">
                                  <a:avLst/>
                                </a:prstGeom>
                                <a:noFill/>
                                <a:ln>
                                  <a:noFill/>
                                </a:ln>
                              </wps:spPr>
                              <wps:txbx>
                                <w:txbxContent>
                                  <w:p>
                                    <w:pPr>
                                      <w:pStyle w:val="26"/>
                                      <w:spacing w:before="0" w:beforeAutospacing="0" w:after="0" w:afterAutospacing="0"/>
                                      <w:ind w:right="101"/>
                                      <w:jc w:val="both"/>
                                      <w:rPr>
                                        <w:szCs w:val="24"/>
                                      </w:rPr>
                                    </w:pPr>
                                    <w:r>
                                      <w:rPr>
                                        <w:rFonts w:hint="eastAsia" w:ascii="Times New Roman"/>
                                        <w:kern w:val="2"/>
                                        <w:sz w:val="21"/>
                                        <w:szCs w:val="21"/>
                                      </w:rPr>
                                      <w:t>导热油</w:t>
                                    </w:r>
                                  </w:p>
                                </w:txbxContent>
                              </wps:txbx>
                              <wps:bodyPr rot="0" vert="horz" wrap="square" lIns="91440" tIns="45720" rIns="91440" bIns="45720" anchor="t" anchorCtr="0" upright="1">
                                <a:noAutofit/>
                              </wps:bodyPr>
                            </wps:wsp>
                            <wps:wsp>
                              <wps:cNvPr id="171" name="直线 356"/>
                              <wps:cNvCnPr>
                                <a:cxnSpLocks noChangeShapeType="1"/>
                              </wps:cNvCnPr>
                              <wps:spPr bwMode="auto">
                                <a:xfrm>
                                  <a:off x="3474286" y="1942125"/>
                                  <a:ext cx="394335" cy="1905"/>
                                </a:xfrm>
                                <a:prstGeom prst="line">
                                  <a:avLst/>
                                </a:prstGeom>
                                <a:noFill/>
                                <a:ln w="9525">
                                  <a:solidFill>
                                    <a:srgbClr val="000000"/>
                                  </a:solidFill>
                                  <a:prstDash val="dash"/>
                                  <a:round/>
                                  <a:tailEnd type="triangle" w="med" len="med"/>
                                </a:ln>
                              </wps:spPr>
                              <wps:bodyPr/>
                            </wps:wsp>
                            <wps:wsp>
                              <wps:cNvPr id="172" name="文本框 351"/>
                              <wps:cNvSpPr txBox="1">
                                <a:spLocks noChangeArrowheads="1"/>
                              </wps:cNvSpPr>
                              <wps:spPr bwMode="auto">
                                <a:xfrm>
                                  <a:off x="3839860" y="1805495"/>
                                  <a:ext cx="1367155" cy="287655"/>
                                </a:xfrm>
                                <a:prstGeom prst="rect">
                                  <a:avLst/>
                                </a:prstGeom>
                                <a:noFill/>
                                <a:ln>
                                  <a:noFill/>
                                </a:ln>
                              </wps:spPr>
                              <wps:txbx>
                                <w:txbxContent>
                                  <w:p>
                                    <w:pPr>
                                      <w:pStyle w:val="26"/>
                                      <w:spacing w:before="0" w:beforeAutospacing="0" w:after="0" w:afterAutospacing="0"/>
                                      <w:jc w:val="both"/>
                                      <w:rPr>
                                        <w:szCs w:val="24"/>
                                      </w:rPr>
                                    </w:pPr>
                                    <w:r>
                                      <w:rPr>
                                        <w:rFonts w:ascii="Times New Roman" w:hAnsi="Times New Roman"/>
                                        <w:kern w:val="2"/>
                                        <w:sz w:val="21"/>
                                        <w:szCs w:val="21"/>
                                      </w:rPr>
                                      <w:t>S2</w:t>
                                    </w:r>
                                    <w:r>
                                      <w:rPr>
                                        <w:rFonts w:hint="eastAsia" w:ascii="Times New Roman"/>
                                        <w:kern w:val="2"/>
                                        <w:sz w:val="21"/>
                                        <w:szCs w:val="21"/>
                                      </w:rPr>
                                      <w:t>不合格品</w:t>
                                    </w:r>
                                  </w:p>
                                </w:txbxContent>
                              </wps:txbx>
                              <wps:bodyPr rot="0" vert="horz" wrap="square" lIns="91440" tIns="45720" rIns="91440" bIns="45720" anchor="t" anchorCtr="0" upright="1">
                                <a:noAutofit/>
                              </wps:bodyPr>
                            </wps:wsp>
                            <wps:wsp>
                              <wps:cNvPr id="1" name="直线 373"/>
                              <wps:cNvCnPr>
                                <a:cxnSpLocks noChangeShapeType="1"/>
                              </wps:cNvCnPr>
                              <wps:spPr bwMode="auto">
                                <a:xfrm>
                                  <a:off x="2405380" y="693420"/>
                                  <a:ext cx="218440" cy="0"/>
                                </a:xfrm>
                                <a:prstGeom prst="line">
                                  <a:avLst/>
                                </a:prstGeom>
                                <a:noFill/>
                                <a:ln w="9525">
                                  <a:solidFill>
                                    <a:srgbClr val="000000"/>
                                  </a:solidFill>
                                  <a:round/>
                                  <a:tailEnd type="triangle" w="med" len="med"/>
                                </a:ln>
                              </wps:spPr>
                              <wps:bodyPr/>
                            </wps:wsp>
                            <wps:wsp>
                              <wps:cNvPr id="7" name="文本框 349"/>
                              <wps:cNvSpPr txBox="1">
                                <a:spLocks noChangeArrowheads="1"/>
                              </wps:cNvSpPr>
                              <wps:spPr bwMode="auto">
                                <a:xfrm>
                                  <a:off x="1905000" y="555625"/>
                                  <a:ext cx="650875" cy="255905"/>
                                </a:xfrm>
                                <a:prstGeom prst="rect">
                                  <a:avLst/>
                                </a:prstGeom>
                                <a:noFill/>
                                <a:ln>
                                  <a:noFill/>
                                </a:ln>
                              </wps:spPr>
                              <wps:txbx>
                                <w:txbxContent>
                                  <w:p>
                                    <w:pPr>
                                      <w:ind w:right="105"/>
                                      <w:rPr>
                                        <w:rFonts w:hint="eastAsia" w:eastAsia="宋体"/>
                                        <w:szCs w:val="21"/>
                                        <w:vertAlign w:val="subscript"/>
                                        <w:lang w:eastAsia="zh-CN"/>
                                      </w:rPr>
                                    </w:pPr>
                                    <w:r>
                                      <w:rPr>
                                        <w:rFonts w:hint="eastAsia"/>
                                        <w:szCs w:val="21"/>
                                        <w:lang w:eastAsia="zh-CN"/>
                                      </w:rPr>
                                      <w:t>浸胶纸</w:t>
                                    </w:r>
                                  </w:p>
                                </w:txbxContent>
                              </wps:txbx>
                              <wps:bodyPr rot="0" vert="horz" wrap="square" lIns="91440" tIns="45720" rIns="91440" bIns="45720" anchor="t" anchorCtr="0" upright="1">
                                <a:noAutofit/>
                              </wps:bodyPr>
                            </wps:wsp>
                          </wpc:wpc>
                        </a:graphicData>
                      </a:graphic>
                    </wp:inline>
                  </w:drawing>
                </mc:Choice>
                <mc:Fallback>
                  <w:pict>
                    <v:group id="画布 337" o:spid="_x0000_s1026" o:spt="203" style="height:207.15pt;width:413.25pt;" coordsize="5248275,2630805" editas="canvas" o:gfxdata="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">
                      <o:lock v:ext="edit" aspectratio="f"/>
                      <v:shape id="画布 337" o:spid="_x0000_s1026" style="position:absolute;left:0;top:0;height:2630805;width:5248275;" filled="f" stroked="f" coordsize="21600,21600" o:gfxdata="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Cb/u6u1wAAAAUBAAAPAAAAAAAAAAEAIAAAACIAAABkcnMv&#10;ZG93bnJldi54bWxQSwECFAAUAAAACACHTuJA6R3sbFwHAAA/PwAADgAAAAAAAAABACAAAAAmAQAA&#10;ZHJzL2Uyb0RvYy54bWxQSwUGAAAAAAYABgBZAQAA9AoAAAAA&#10;">
                        <v:fill on="f" focussize="0,0"/>
                        <v:stroke on="f"/>
                        <v:imagedata o:title=""/>
                        <o:lock v:ext="edit" aspectratio="f"/>
                      </v:shape>
                      <v:shape id="文本框 339" o:spid="_x0000_s1026" o:spt="202" type="#_x0000_t202" style="position:absolute;left:2311453;top:19;height:296216;width:1528358;" fillcolor="#FFFFFF" filled="t" stroked="f" coordsize="21600,21600" o:gfxdata="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lmM5tUAAAAFAQAADwAAAAAAAAABACAAAAAiAAAAZHJzL2Rvd25yZXYu&#10;eG1sUEsBAhQAFAAAAAgAh07iQBNkNZQ3AgAASAQAAA4AAAAAAAAAAQAgAAAAJAEAAGRycy9lMm9E&#10;b2MueG1sUEsFBgAAAAAGAAYAWQEAAM0FAAAAAA==&#10;">
                        <v:fill on="t" focussize="0,0"/>
                        <v:stroke on="f"/>
                        <v:imagedata o:title=""/>
                        <o:lock v:ext="edit" aspectratio="f"/>
                        <v:textbox>
                          <w:txbxContent>
                            <w:p>
                              <w:pPr>
                                <w:rPr>
                                  <w:szCs w:val="21"/>
                                </w:rPr>
                              </w:pPr>
                              <w:r>
                                <w:rPr>
                                  <w:rFonts w:hint="eastAsia"/>
                                  <w:szCs w:val="21"/>
                                </w:rPr>
                                <w:t>刨花板/密度板/多层板</w:t>
                              </w:r>
                            </w:p>
                          </w:txbxContent>
                        </v:textbox>
                      </v:shape>
                      <v:shape id="文本框 342" o:spid="_x0000_s1026" o:spt="202" type="#_x0000_t202" style="position:absolute;left:3824738;top:562079;height:321276;width:1372904;" filled="f" stroked="f" coordsize="21600,21600" o:gfxdata="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yGX&#10;bNQAAAAFAQAADwAAAAAAAAABACAAAAAiAAAAZHJzL2Rvd25yZXYueG1sUEsBAhQAFAAAAAgAh07i&#10;QNqalFcmAgAAIwQAAA4AAAAAAAAAAQAgAAAAIwEAAGRycy9lMm9Eb2MueG1sUEsFBgAAAAAGAAYA&#10;WQEAALsFAAAAAA==&#10;">
                        <v:fill on="f" focussize="0,0"/>
                        <v:stroke on="f"/>
                        <v:imagedata o:title=""/>
                        <o:lock v:ext="edit" aspectratio="f"/>
                        <v:textbox>
                          <w:txbxContent>
                            <w:p>
                              <w:pPr>
                                <w:rPr>
                                  <w:szCs w:val="21"/>
                                </w:rPr>
                              </w:pPr>
                              <w:r>
                                <w:rPr>
                                  <w:rFonts w:hint="eastAsia"/>
                                  <w:szCs w:val="21"/>
                                </w:rPr>
                                <w:t>G</w:t>
                              </w:r>
                              <w:r>
                                <w:rPr>
                                  <w:szCs w:val="21"/>
                                </w:rPr>
                                <w:t>1</w:t>
                              </w:r>
                              <w:r>
                                <w:rPr>
                                  <w:rFonts w:hint="eastAsia"/>
                                  <w:szCs w:val="21"/>
                                </w:rPr>
                                <w:t>热压废气</w:t>
                              </w:r>
                            </w:p>
                          </w:txbxContent>
                        </v:textbox>
                      </v:shape>
                      <v:shape id="文本框 345" o:spid="_x0000_s1026" o:spt="202" type="#_x0000_t202" style="position:absolute;left:2609562;top:564263;height:259914;width:864708;" fillcolor="#FFFFFF" filled="t" stroked="t" coordsize="21600,21600" o:gfxdata="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QSy9HXAAAABQEAAA8AAAAA&#10;AAAAAQAgAAAAIgAAAGRycy9kb3ducmV2LnhtbFBLAQIUABQAAAAIAIdO4kA2VglcTgIAAJQEAAAO&#10;AAAAAAAAAAEAIAAAACYBAABkcnMvZTJvRG9jLnhtbFBLBQYAAAAABgAGAFkBAADmBQAAAAA=&#10;">
                        <v:fill on="t" focussize="0,0"/>
                        <v:stroke color="#000000" miterlimit="8" joinstyle="miter"/>
                        <v:imagedata o:title=""/>
                        <o:lock v:ext="edit" aspectratio="f"/>
                        <v:textbox>
                          <w:txbxContent>
                            <w:p>
                              <w:pPr>
                                <w:jc w:val="center"/>
                                <w:rPr>
                                  <w:szCs w:val="21"/>
                                </w:rPr>
                              </w:pPr>
                              <w:r>
                                <w:rPr>
                                  <w:rFonts w:hint="eastAsia"/>
                                  <w:szCs w:val="21"/>
                                </w:rPr>
                                <w:t>热压贴面</w:t>
                              </w:r>
                            </w:p>
                          </w:txbxContent>
                        </v:textbox>
                      </v:shape>
                      <v:line id="直线 346" o:spid="_x0000_s1026" o:spt="20" style="position:absolute;left:3045851;top:283452;height:273848;width:0;" filled="f" stroked="t" coordsize="21600,21600" o:gfxdata="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jnOx2AAAAAUBAAAPAAAAAAAAAAEAIAAAACIAAABkcnMvZG93&#10;bnJldi54bWxQSwECFAAUAAAACACHTuJAwLwbCAACAADcAwAADgAAAAAAAAABACAAAAAnAQAAZHJz&#10;L2Uyb0RvYy54bWxQSwUGAAAAAAYABgBZAQAAmQUAAAAA&#10;">
                        <v:fill on="f" focussize="0,0"/>
                        <v:stroke color="#000000" joinstyle="round" endarrow="block"/>
                        <v:imagedata o:title=""/>
                        <o:lock v:ext="edit" aspectratio="f"/>
                      </v:line>
                      <v:shape id="文本框 347" o:spid="_x0000_s1026" o:spt="202" type="#_x0000_t202" style="position:absolute;left:2616596;top:1187758;height:273314;width:857573;" fillcolor="#FFFFFF" filled="t" stroked="t" coordsize="21600,21600" o:gfxdata="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BLL0dcAAAAFAQAADwAA&#10;AAAAAAABACAAAAAiAAAAZHJzL2Rvd25yZXYueG1sUEsBAhQAFAAAAAgAh07iQIUgY+hQAgAAlQQA&#10;AA4AAAAAAAAAAQAgAAAAJgEAAGRycy9lMm9Eb2MueG1sUEsFBgAAAAAGAAYAWQEAAOgFAAAAAA==&#10;">
                        <v:fill on="t" focussize="0,0"/>
                        <v:stroke color="#000000" miterlimit="8" joinstyle="miter"/>
                        <v:imagedata o:title=""/>
                        <o:lock v:ext="edit" aspectratio="f"/>
                        <v:textbox>
                          <w:txbxContent>
                            <w:p>
                              <w:pPr>
                                <w:jc w:val="center"/>
                                <w:rPr>
                                  <w:szCs w:val="21"/>
                                </w:rPr>
                              </w:pPr>
                              <w:r>
                                <w:rPr>
                                  <w:rFonts w:hint="eastAsia"/>
                                  <w:szCs w:val="21"/>
                                </w:rPr>
                                <w:t>裁纸</w:t>
                              </w:r>
                            </w:p>
                            <w:p>
                              <w:pPr>
                                <w:jc w:val="center"/>
                                <w:rPr>
                                  <w:szCs w:val="21"/>
                                </w:rPr>
                              </w:pPr>
                            </w:p>
                          </w:txbxContent>
                        </v:textbox>
                      </v:shape>
                      <v:shape id="文本框 349" o:spid="_x0000_s1026" o:spt="202" type="#_x0000_t202" style="position:absolute;left:1332230;top:384810;height:298450;width:713740;" filled="f" stroked="f" coordsize="21600,21600" o:gfxdata="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IZds1AAA&#10;AAUBAAAPAAAAAAAAAAEAIAAAACIAAABkcnMvZG93bnJldi54bWxQSwECFAAUAAAACACHTuJA4+aL&#10;EyICAAAiBAAADgAAAAAAAAABACAAAAAjAQAAZHJzL2Uyb0RvYy54bWxQSwUGAAAAAAYABgBZAQAA&#10;twUAAAAA&#10;">
                        <v:fill on="f" focussize="0,0"/>
                        <v:stroke on="f"/>
                        <v:imagedata o:title=""/>
                        <o:lock v:ext="edit" aspectratio="f"/>
                        <v:textbox>
                          <w:txbxContent>
                            <w:p>
                              <w:pPr>
                                <w:ind w:right="105"/>
                                <w:rPr>
                                  <w:szCs w:val="21"/>
                                  <w:vertAlign w:val="subscript"/>
                                </w:rPr>
                              </w:pPr>
                              <w:r>
                                <w:rPr>
                                  <w:rFonts w:hint="eastAsia"/>
                                  <w:szCs w:val="21"/>
                                </w:rPr>
                                <w:t>天然气</w:t>
                              </w:r>
                            </w:p>
                          </w:txbxContent>
                        </v:textbox>
                      </v:shape>
                      <v:shape id="文本框 351" o:spid="_x0000_s1026" o:spt="202" type="#_x0000_t202" style="position:absolute;left:3839811;top:1202918;height:288332;width:1367204;" filled="f" stroked="f" coordsize="21600,21600" o:gfxdata="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chl2zU&#10;AAAABQEAAA8AAAAAAAAAAQAgAAAAIgAAAGRycy9kb3ducmV2LnhtbFBLAQIUABQAAAAIAIdO4kBX&#10;rSkAJAIAACQEAAAOAAAAAAAAAAEAIAAAACMBAABkcnMvZTJvRG9jLnhtbFBLBQYAAAAABgAGAFkB&#10;AAC5BQAAAAA=&#10;">
                        <v:fill on="f" focussize="0,0"/>
                        <v:stroke on="f"/>
                        <v:imagedata o:title=""/>
                        <o:lock v:ext="edit" aspectratio="f"/>
                        <v:textbox>
                          <w:txbxContent>
                            <w:p>
                              <w:pPr>
                                <w:rPr>
                                  <w:szCs w:val="21"/>
                                </w:rPr>
                              </w:pPr>
                              <w:r>
                                <w:rPr>
                                  <w:szCs w:val="21"/>
                                </w:rPr>
                                <w:t>S1</w:t>
                              </w:r>
                              <w:r>
                                <w:rPr>
                                  <w:rFonts w:hint="eastAsia"/>
                                  <w:szCs w:val="21"/>
                                </w:rPr>
                                <w:t>废边角料</w:t>
                              </w:r>
                            </w:p>
                          </w:txbxContent>
                        </v:textbox>
                      </v:shape>
                      <v:line id="直线 352" o:spid="_x0000_s1026" o:spt="20" style="position:absolute;left:3045851;top:829610;height:358148;width:1200;" filled="f" stroked="t" coordsize="21600,21600" o:gfxdata="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aOc7HYAAAABQEAAA8AAAAAAAAAAQAgAAAAIgAAAGRycy9k&#10;b3ducmV2LnhtbFBLAQIUABQAAAAIAIdO4kBmUfY4AgIAAN8DAAAOAAAAAAAAAAEAIAAAACcBAABk&#10;cnMvZTJvRG9jLnhtbFBLBQYAAAAABgAGAFkBAACbBQAAAAA=&#10;">
                        <v:fill on="f" focussize="0,0"/>
                        <v:stroke color="#000000" joinstyle="round" endarrow="block"/>
                        <v:imagedata o:title=""/>
                        <o:lock v:ext="edit" aspectratio="f"/>
                      </v:line>
                      <v:shape id="文本框 353" o:spid="_x0000_s1026" o:spt="202" type="#_x0000_t202" style="position:absolute;left:2616596;top:1809824;height:264814;width:857374;" fillcolor="#FFFFFF" filled="t" stroked="t" coordsize="21600,21600" o:gfxdata="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EEsvR1wAAAAUBAAAPAAAA&#10;AAAAAAEAIAAAACIAAABkcnMvZG93bnJldi54bWxQSwECFAAUAAAACACHTuJAXiTa1E8CAACVBAAA&#10;DgAAAAAAAAABACAAAAAmAQAAZHJzL2Uyb0RvYy54bWxQSwUGAAAAAAYABgBZAQAA5wUAAAAA&#10;">
                        <v:fill on="t" focussize="0,0"/>
                        <v:stroke color="#000000" miterlimit="8" joinstyle="miter"/>
                        <v:imagedata o:title=""/>
                        <o:lock v:ext="edit" aspectratio="f"/>
                        <v:textbox>
                          <w:txbxContent>
                            <w:p>
                              <w:pPr>
                                <w:jc w:val="center"/>
                                <w:rPr>
                                  <w:rFonts w:ascii="宋体" w:hAnsi="宋体" w:cs="宋体"/>
                                  <w:szCs w:val="21"/>
                                </w:rPr>
                              </w:pPr>
                              <w:r>
                                <w:rPr>
                                  <w:rFonts w:hint="eastAsia"/>
                                  <w:szCs w:val="21"/>
                                </w:rPr>
                                <w:t>检验包装</w:t>
                              </w:r>
                            </w:p>
                            <w:p>
                              <w:pPr>
                                <w:rPr>
                                  <w:szCs w:val="21"/>
                                </w:rPr>
                              </w:pPr>
                            </w:p>
                          </w:txbxContent>
                        </v:textbox>
                      </v:shape>
                      <v:line id="直线 356" o:spid="_x0000_s1026" o:spt="20" style="position:absolute;left:3474169;top:1324293;height:2115;width:394452;" filled="f" stroked="t" coordsize="21600,21600" o:gfxdata="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mUGV2AAAAAUB&#10;AAAPAAAAAAAAAAEAIAAAACIAAABkcnMvZG93bnJldi54bWxQSwECFAAUAAAACACHTuJAUN1urRsC&#10;AAASBAAADgAAAAAAAAABACAAAAAnAQAAZHJzL2Uyb0RvYy54bWxQSwUGAAAAAAYABgBZAQAAtAUA&#10;AAAA&#10;">
                        <v:fill on="f" focussize="0,0"/>
                        <v:stroke color="#000000" joinstyle="round" dashstyle="dash" endarrow="block"/>
                        <v:imagedata o:title=""/>
                        <o:lock v:ext="edit" aspectratio="f"/>
                      </v:line>
                      <v:shape id="文本框 366" o:spid="_x0000_s1026" o:spt="202" type="#_x0000_t202" style="position:absolute;left:2648828;top:2329032;height:266714;width:812802;" fillcolor="#FFFFFF" filled="t" stroked="f" coordsize="21600,21600" o:gfxdata="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lmM5tUAAAAFAQAADwAAAAAAAAABACAAAAAiAAAAZHJzL2Rvd25y&#10;ZXYueG1sUEsBAhQAFAAAAAgAh07iQDUgYfQ6AgAATAQAAA4AAAAAAAAAAQAgAAAAJAEAAGRycy9l&#10;Mm9Eb2MueG1sUEsFBgAAAAAGAAYAWQEAANAFAAAAAA==&#10;">
                        <v:fill on="t" focussize="0,0"/>
                        <v:stroke on="f"/>
                        <v:imagedata o:title=""/>
                        <o:lock v:ext="edit" aspectratio="f"/>
                        <v:textbox>
                          <w:txbxContent>
                            <w:p>
                              <w:pPr>
                                <w:jc w:val="center"/>
                              </w:pPr>
                              <w:r>
                                <w:rPr>
                                  <w:rFonts w:hint="eastAsia"/>
                                </w:rPr>
                                <w:t>成品</w:t>
                              </w:r>
                            </w:p>
                          </w:txbxContent>
                        </v:textbox>
                      </v:shape>
                      <v:line id="直线 373" o:spid="_x0000_s1026" o:spt="20" style="position:absolute;left:2074217;top:1015664;flip:y;height:5080;width:774065;" filled="f" stroked="t" coordsize="21600,21600" o:gfxdata="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7m5uLXAAAABQEAAA8A&#10;AAAAAAAAAQAgAAAAIgAAAGRycy9kb3ducmV2LnhtbFBLAQIUABQAAAAIAIdO4kDhYq8jGAIAAAQE&#10;AAAOAAAAAAAAAAEAIAAAACYBAABkcnMvZTJvRG9jLnhtbFBLBQYAAAAABgAGAFkBAACwBQAAAAA=&#10;">
                        <v:fill on="f" focussize="0,0"/>
                        <v:stroke color="#000000" joinstyle="round" endarrow="block"/>
                        <v:imagedata o:title=""/>
                        <o:lock v:ext="edit" aspectratio="f"/>
                      </v:line>
                      <v:line id="直线 374" o:spid="_x0000_s1026" o:spt="20" style="position:absolute;left:3473970;top:693290;height:0;width:394152;" filled="f" stroked="t" coordsize="21600,21600" o:gfxdata="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ZlBldgAAAAFAQAADwAAAAAAAAABACAAAAAi&#10;AAAAZHJzL2Rvd25yZXYueG1sUEsBAhQAFAAAAAgAh07iQJX41qwKAgAA9AMAAA4AAAAAAAAAAQAg&#10;AAAAJwEAAGRycy9lMm9Eb2MueG1sUEsFBgAAAAAGAAYAWQEAAKMFAAAAAA==&#10;">
                        <v:fill on="f" focussize="0,0"/>
                        <v:stroke color="#000000" joinstyle="round" dashstyle="dash" endarrow="block"/>
                        <v:imagedata o:title=""/>
                        <o:lock v:ext="edit" aspectratio="f"/>
                      </v:line>
                      <v:shape id="文本框 359" o:spid="_x0000_s1026" o:spt="202" type="#_x0000_t202" style="position:absolute;left:729259;top:1994574;height:583931;width:798202;" fillcolor="#FFFFFF" filled="t" stroked="f" coordsize="21600,21600" o:gfxdata="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lmM5tUAAAAFAQAADwAAAAAAAAABACAAAAAiAAAAZHJzL2Rvd25yZXYu&#10;eG1sUEsBAhQAFAAAAAgAh07iQPWmcJc3AgAASwQAAA4AAAAAAAAAAQAgAAAAJAEAAGRycy9lMm9E&#10;b2MueG1sUEsFBgAAAAAGAAYAWQEAAM0FAAAAAA==&#10;">
                        <v:fill on="t" focussize="0,0"/>
                        <v:stroke on="f"/>
                        <v:imagedata o:title=""/>
                        <o:lock v:ext="edit" aspectratio="f"/>
                        <v:textbox>
                          <w:txbxContent>
                            <w:p>
                              <w:pPr>
                                <w:pStyle w:val="26"/>
                                <w:spacing w:before="0" w:beforeAutospacing="0" w:after="0" w:afterAutospacing="0"/>
                                <w:jc w:val="both"/>
                                <w:rPr>
                                  <w:rFonts w:ascii="Times New Roman"/>
                                  <w:kern w:val="2"/>
                                  <w:sz w:val="18"/>
                                  <w:szCs w:val="18"/>
                                </w:rPr>
                              </w:pPr>
                              <w:r>
                                <w:rPr>
                                  <w:rFonts w:hint="eastAsia" w:ascii="Times New Roman"/>
                                  <w:kern w:val="2"/>
                                  <w:sz w:val="18"/>
                                  <w:szCs w:val="18"/>
                                </w:rPr>
                                <w:t>注：G废气</w:t>
                              </w:r>
                            </w:p>
                            <w:p>
                              <w:pPr>
                                <w:pStyle w:val="26"/>
                                <w:spacing w:before="0" w:beforeAutospacing="0" w:after="0" w:afterAutospacing="0"/>
                                <w:jc w:val="both"/>
                                <w:rPr>
                                  <w:sz w:val="18"/>
                                  <w:szCs w:val="18"/>
                                </w:rPr>
                              </w:pPr>
                              <w:r>
                                <w:rPr>
                                  <w:rFonts w:hint="eastAsia" w:ascii="Times New Roman"/>
                                  <w:kern w:val="2"/>
                                  <w:sz w:val="18"/>
                                  <w:szCs w:val="18"/>
                                </w:rPr>
                                <w:t xml:space="preserve">    S固废</w:t>
                              </w:r>
                            </w:p>
                          </w:txbxContent>
                        </v:textbox>
                      </v:shape>
                      <v:shape id="文本框 345" o:spid="_x0000_s1026" o:spt="202" type="#_x0000_t202" style="position:absolute;left:1209675;top:890270;height:259715;width:864235;" fillcolor="#FFFFFF" filled="t" stroked="t" coordsize="21600,21600" o:gfxdata="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BLL0dcAAAAFAQAADwAAAAAA&#10;AAABACAAAAAiAAAAZHJzL2Rvd25yZXYueG1sUEsBAhQAFAAAAAgAh07iQNhT2QJNAgAAlAQAAA4A&#10;AAAAAAAAAQAgAAAAJgEAAGRycy9lMm9Eb2MueG1sUEsFBgAAAAAGAAYAWQEAAOUFAAAAAA==&#10;">
                        <v:fill on="t" focussize="0,0"/>
                        <v:stroke color="#000000" miterlimit="8" joinstyle="miter"/>
                        <v:imagedata o:title=""/>
                        <o:lock v:ext="edit" aspectratio="f"/>
                        <v:textbox>
                          <w:txbxContent>
                            <w:p>
                              <w:pPr>
                                <w:pStyle w:val="26"/>
                                <w:spacing w:before="0" w:beforeAutospacing="0" w:after="0" w:afterAutospacing="0"/>
                                <w:jc w:val="center"/>
                                <w:rPr>
                                  <w:szCs w:val="24"/>
                                </w:rPr>
                              </w:pPr>
                              <w:r>
                                <w:rPr>
                                  <w:rFonts w:hint="eastAsia" w:ascii="Times New Roman"/>
                                  <w:kern w:val="2"/>
                                  <w:sz w:val="21"/>
                                  <w:szCs w:val="21"/>
                                </w:rPr>
                                <w:t>模温机加热</w:t>
                              </w:r>
                            </w:p>
                          </w:txbxContent>
                        </v:textbox>
                      </v:shape>
                      <v:shape id="文本框 342" o:spid="_x0000_s1026" o:spt="202" type="#_x0000_t202" style="position:absolute;left:33655;top:785495;height:610235;width:871220;" filled="f" stroked="f" coordsize="21600,21600" o:gfxdata="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yGXbNQA&#10;AAAFAQAADwAAAAAAAAABACAAAAAiAAAAZHJzL2Rvd25yZXYueG1sUEsBAhQAFAAAAAgAh07iQHcL&#10;qhwjAgAAIAQAAA4AAAAAAAAAAQAgAAAAIwEAAGRycy9lMm9Eb2MueG1sUEsFBgAAAAAGAAYAWQEA&#10;ALgFAAAAAA==&#10;">
                        <v:fill on="f" focussize="0,0"/>
                        <v:stroke on="f"/>
                        <v:imagedata o:title=""/>
                        <o:lock v:ext="edit" aspectratio="f"/>
                        <v:textbox>
                          <w:txbxContent>
                            <w:p>
                              <w:pPr>
                                <w:pStyle w:val="26"/>
                                <w:spacing w:before="0" w:beforeAutospacing="0" w:after="0" w:afterAutospacing="0"/>
                                <w:jc w:val="center"/>
                                <w:rPr>
                                  <w:szCs w:val="24"/>
                                </w:rPr>
                              </w:pPr>
                              <w:r>
                                <w:rPr>
                                  <w:rFonts w:ascii="Times New Roman" w:hAnsi="Times New Roman"/>
                                  <w:kern w:val="2"/>
                                  <w:sz w:val="21"/>
                                  <w:szCs w:val="21"/>
                                </w:rPr>
                                <w:t>G2</w:t>
                              </w:r>
                              <w:r>
                                <w:rPr>
                                  <w:rFonts w:hint="eastAsia" w:ascii="Times New Roman"/>
                                  <w:kern w:val="2"/>
                                  <w:sz w:val="21"/>
                                  <w:szCs w:val="21"/>
                                </w:rPr>
                                <w:t>天然气燃烧废气</w:t>
                              </w:r>
                            </w:p>
                          </w:txbxContent>
                        </v:textbox>
                      </v:shape>
                      <v:line id="直线 374" o:spid="_x0000_s1026" o:spt="20" style="position:absolute;left:812800;top:1019810;flip:x;height:0;width:396875;" filled="f" stroked="t" coordsize="21600,21600" o:gfxdata="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80R2fUAAAABQEAAA8AAAAAAAAAAQAg&#10;AAAAIgAAAGRycy9kb3ducmV2LnhtbFBLAQIUABQAAAAIAIdO4kAmjDBgEgIAAP4DAAAOAAAAAAAA&#10;AAEAIAAAACMBAABkcnMvZTJvRG9jLnhtbFBLBQYAAAAABgAGAFkBAACnBQAAAAA=&#10;">
                        <v:fill on="f" focussize="0,0"/>
                        <v:stroke color="#000000" joinstyle="round" dashstyle="dash" endarrow="block"/>
                        <v:imagedata o:title=""/>
                        <o:lock v:ext="edit" aspectratio="f"/>
                      </v:line>
                      <v:line id="直线 378" o:spid="_x0000_s1026" o:spt="20" style="position:absolute;left:2842605;top:824166;flip:y;height:197726;width:0;" filled="f" stroked="t" coordsize="21600,21600" o:gfxdata="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7m5uLXAAAABQEAAA8AAAAAAAAAAQAgAAAAIgAA&#10;AGRycy9kb3ducmV2LnhtbFBLAQIUABQAAAAIAIdO4kCci4vDCQIAAOcDAAAOAAAAAAAAAAEAIAAA&#10;ACYBAABkcnMvZTJvRG9jLnhtbFBLBQYAAAAABgAGAFkBAAChBQAAAAA=&#10;">
                        <v:fill on="f" focussize="0,0"/>
                        <v:stroke color="#000000" joinstyle="round" endarrow="block"/>
                        <v:imagedata o:title=""/>
                        <o:lock v:ext="edit" aspectratio="f"/>
                      </v:line>
                      <v:line id="直线 352" o:spid="_x0000_s1026" o:spt="20" style="position:absolute;left:3047651;top:1452329;height:357505;width:635;" filled="f" stroked="t" coordsize="21600,21600" o:gfxdata="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jnOx2AAAAAUBAAAPAAAAAAAAAAEAIAAAACIAAABkcnMv&#10;ZG93bnJldi54bWxQSwECFAAUAAAACACHTuJACavaigMCAADgAwAADgAAAAAAAAABACAAAAAnAQAA&#10;ZHJzL2Uyb0RvYy54bWxQSwUGAAAAAAYABgBZAQAAnAUAAAAA&#10;">
                        <v:fill on="f" focussize="0,0"/>
                        <v:stroke color="#000000" joinstyle="round" endarrow="block"/>
                        <v:imagedata o:title=""/>
                        <o:lock v:ext="edit" aspectratio="f"/>
                      </v:line>
                      <v:line id="直线 346" o:spid="_x0000_s1026" o:spt="20" style="position:absolute;left:3045851;top:2074732;height:273685;width:0;" filled="f" stroked="t" coordsize="21600,21600" o:gfxdata="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jnOx2AAAAAUBAAAPAAAAAAAAAAEAIAAAACIAAABkcnMv&#10;ZG93bnJldi54bWxQSwECFAAUAAAACACHTuJAY+hg6QMCAADeAwAADgAAAAAAAAABACAAAAAnAQAA&#10;ZHJzL2Uyb0RvYy54bWxQSwUGAAAAAAYABgBZAQAAnAUAAAAA&#10;">
                        <v:fill on="f" focussize="0,0"/>
                        <v:stroke color="#000000" joinstyle="round" endarrow="block"/>
                        <v:imagedata o:title=""/>
                        <o:lock v:ext="edit" aspectratio="f"/>
                      </v:line>
                      <v:line id="直线 346" o:spid="_x0000_s1026" o:spt="20" style="position:absolute;left:1642110;top:616585;height:273685;width:0;" filled="f" stroked="t" coordsize="21600,21600" o:gfxdata="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jnOx2AAAAAUBAAAPAAAAAAAAAAEAIAAAACIAAABkcnMvZG93&#10;bnJldi54bWxQSwECFAAUAAAACACHTuJA2eshXAACAADdAwAADgAAAAAAAAABACAAAAAnAQAAZHJz&#10;L2Uyb0RvYy54bWxQSwUGAAAAAAYABgBZAQAAmQUAAAAA&#10;">
                        <v:fill on="f" focussize="0,0"/>
                        <v:stroke color="#000000" joinstyle="round" endarrow="block"/>
                        <v:imagedata o:title=""/>
                        <o:lock v:ext="edit" aspectratio="f"/>
                      </v:line>
                      <v:line id="直线 346" o:spid="_x0000_s1026" o:spt="20" style="position:absolute;left:1642110;top:1149985;flip:y;height:280035;width:0;" filled="f" stroked="t" coordsize="21600,21600" o:gfxdata="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7m5uLXAAAABQEAAA8AAAAA&#10;AAAAAQAgAAAAIgAAAGRycy9kb3ducmV2LnhtbFBLAQIUABQAAAAIAIdO4kDghxamFQIAAAMEAAAO&#10;AAAAAAAAAAEAIAAAACYBAABkcnMvZTJvRG9jLnhtbFBLBQYAAAAABgAGAFkBAACtBQAAAAA=&#10;">
                        <v:fill on="f" focussize="0,0"/>
                        <v:stroke color="#000000" joinstyle="round" endarrow="block"/>
                        <v:imagedata o:title=""/>
                        <o:lock v:ext="edit" aspectratio="f"/>
                      </v:line>
                      <v:shape id="文本框 349" o:spid="_x0000_s1026" o:spt="202" type="#_x0000_t202" style="position:absolute;left:1348740;top:1388110;height:298450;width:713740;" filled="f" stroked="f" coordsize="21600,21600" o:gfxdata="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yGXbNQAAAAF&#10;AQAADwAAAAAAAAABACAAAAAiAAAAZHJzL2Rvd25yZXYueG1sUEsBAhQAFAAAAAgAh07iQFXw1Bcg&#10;AgAAJAQAAA4AAAAAAAAAAQAgAAAAIwEAAGRycy9lMm9Eb2MueG1sUEsFBgAAAAAGAAYAWQEAALUF&#10;AAAAAA==&#10;">
                        <v:fill on="f" focussize="0,0"/>
                        <v:stroke on="f"/>
                        <v:imagedata o:title=""/>
                        <o:lock v:ext="edit" aspectratio="f"/>
                        <v:textbox>
                          <w:txbxContent>
                            <w:p>
                              <w:pPr>
                                <w:pStyle w:val="26"/>
                                <w:spacing w:before="0" w:beforeAutospacing="0" w:after="0" w:afterAutospacing="0"/>
                                <w:ind w:right="101"/>
                                <w:jc w:val="both"/>
                                <w:rPr>
                                  <w:szCs w:val="24"/>
                                </w:rPr>
                              </w:pPr>
                              <w:r>
                                <w:rPr>
                                  <w:rFonts w:hint="eastAsia" w:ascii="Times New Roman"/>
                                  <w:kern w:val="2"/>
                                  <w:sz w:val="21"/>
                                  <w:szCs w:val="21"/>
                                </w:rPr>
                                <w:t>导热油</w:t>
                              </w:r>
                            </w:p>
                          </w:txbxContent>
                        </v:textbox>
                      </v:shape>
                      <v:line id="直线 356" o:spid="_x0000_s1026" o:spt="20" style="position:absolute;left:3474286;top:1942125;height:1905;width:394335;" filled="f" stroked="t" coordsize="21600,21600" o:gfxdata="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mUGV2AAAAAUBAAAPAAAAAAAAAAEAIAAA&#10;ACIAAABkcnMvZG93bnJldi54bWxQSwECFAAUAAAACACHTuJA136lBAwCAAD5AwAADgAAAAAAAAAB&#10;ACAAAAAnAQAAZHJzL2Uyb0RvYy54bWxQSwUGAAAAAAYABgBZAQAApQUAAAAA&#10;">
                        <v:fill on="f" focussize="0,0"/>
                        <v:stroke color="#000000" joinstyle="round" dashstyle="dash" endarrow="block"/>
                        <v:imagedata o:title=""/>
                        <o:lock v:ext="edit" aspectratio="f"/>
                      </v:line>
                      <v:shape id="文本框 351" o:spid="_x0000_s1026" o:spt="202" type="#_x0000_t202" style="position:absolute;left:3839860;top:1805495;height:287655;width:1367155;" filled="f" stroked="f" coordsize="21600,21600" o:gfxdata="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chl2zU&#10;AAAABQEAAA8AAAAAAAAAAQAgAAAAIgAAAGRycy9kb3ducmV2LnhtbFBLAQIUABQAAAAIAIdO4kDj&#10;4YPqJAIAACUEAAAOAAAAAAAAAAEAIAAAACMBAABkcnMvZTJvRG9jLnhtbFBLBQYAAAAABgAGAFkB&#10;AAC5BQAAAAA=&#10;">
                        <v:fill on="f" focussize="0,0"/>
                        <v:stroke on="f"/>
                        <v:imagedata o:title=""/>
                        <o:lock v:ext="edit" aspectratio="f"/>
                        <v:textbox>
                          <w:txbxContent>
                            <w:p>
                              <w:pPr>
                                <w:pStyle w:val="26"/>
                                <w:spacing w:before="0" w:beforeAutospacing="0" w:after="0" w:afterAutospacing="0"/>
                                <w:jc w:val="both"/>
                                <w:rPr>
                                  <w:szCs w:val="24"/>
                                </w:rPr>
                              </w:pPr>
                              <w:r>
                                <w:rPr>
                                  <w:rFonts w:ascii="Times New Roman" w:hAnsi="Times New Roman"/>
                                  <w:kern w:val="2"/>
                                  <w:sz w:val="21"/>
                                  <w:szCs w:val="21"/>
                                </w:rPr>
                                <w:t>S2</w:t>
                              </w:r>
                              <w:r>
                                <w:rPr>
                                  <w:rFonts w:hint="eastAsia" w:ascii="Times New Roman"/>
                                  <w:kern w:val="2"/>
                                  <w:sz w:val="21"/>
                                  <w:szCs w:val="21"/>
                                </w:rPr>
                                <w:t>不合格品</w:t>
                              </w:r>
                            </w:p>
                          </w:txbxContent>
                        </v:textbox>
                      </v:shape>
                      <v:line id="直线 373" o:spid="_x0000_s1026" o:spt="20" style="position:absolute;left:2405380;top:693420;height:0;width:218440;" filled="f" stroked="t" coordsize="21600,21600" o:gfxdata="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aOc7HYAAAABQEAAA8AAAAAAAAAAQAgAAAAIgAAAGRycy9kb3du&#10;cmV2LnhtbFBLAQIUABQAAAAIAIdO4kBXGwtL/wEAANsDAAAOAAAAAAAAAAEAIAAAACcBAABkcnMv&#10;ZTJvRG9jLnhtbFBLBQYAAAAABgAGAFkBAACYBQAAAAA=&#10;">
                        <v:fill on="f" focussize="0,0"/>
                        <v:stroke color="#000000" joinstyle="round" endarrow="block"/>
                        <v:imagedata o:title=""/>
                        <o:lock v:ext="edit" aspectratio="f"/>
                      </v:line>
                      <v:shape id="文本框 349" o:spid="_x0000_s1026" o:spt="202" type="#_x0000_t202" style="position:absolute;left:1905000;top:555625;height:255905;width:650875;" filled="f" stroked="f" coordsize="21600,21600" o:gfxdata="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yGXbNQA&#10;AAAFAQAADwAAAAAAAAABACAAAAAiAAAAZHJzL2Rvd25yZXYueG1sUEsBAhQAFAAAAAgAh07iQGvT&#10;uJcjAgAAIQQAAA4AAAAAAAAAAQAgAAAAIwEAAGRycy9lMm9Eb2MueG1sUEsFBgAAAAAGAAYAWQEA&#10;ALgFAAAAAA==&#10;">
                        <v:fill on="f" focussize="0,0"/>
                        <v:stroke on="f"/>
                        <v:imagedata o:title=""/>
                        <o:lock v:ext="edit" aspectratio="f"/>
                        <v:textbox>
                          <w:txbxContent>
                            <w:p>
                              <w:pPr>
                                <w:ind w:right="105"/>
                                <w:rPr>
                                  <w:rFonts w:hint="eastAsia" w:eastAsia="宋体"/>
                                  <w:szCs w:val="21"/>
                                  <w:vertAlign w:val="subscript"/>
                                  <w:lang w:eastAsia="zh-CN"/>
                                </w:rPr>
                              </w:pPr>
                              <w:r>
                                <w:rPr>
                                  <w:rFonts w:hint="eastAsia"/>
                                  <w:szCs w:val="21"/>
                                  <w:lang w:eastAsia="zh-CN"/>
                                </w:rPr>
                                <w:t>浸胶纸</w:t>
                              </w:r>
                            </w:p>
                          </w:txbxContent>
                        </v:textbox>
                      </v:shape>
                      <w10:wrap type="none"/>
                      <w10:anchorlock/>
                    </v:group>
                  </w:pict>
                </mc:Fallback>
              </mc:AlternateContent>
            </w:r>
          </w:p>
          <w:p>
            <w:pPr>
              <w:adjustRightInd w:val="0"/>
              <w:snapToGrid w:val="0"/>
              <w:spacing w:line="360" w:lineRule="auto"/>
              <w:jc w:val="center"/>
              <w:rPr>
                <w:b/>
                <w:color w:val="auto"/>
                <w:szCs w:val="21"/>
              </w:rPr>
            </w:pPr>
            <w:r>
              <w:rPr>
                <w:b/>
                <w:color w:val="auto"/>
                <w:szCs w:val="21"/>
              </w:rPr>
              <w:t xml:space="preserve">图2-2 </w:t>
            </w:r>
            <w:r>
              <w:rPr>
                <w:rFonts w:hint="eastAsia"/>
                <w:b/>
                <w:color w:val="auto"/>
                <w:szCs w:val="21"/>
              </w:rPr>
              <w:t>饰面板</w:t>
            </w:r>
            <w:r>
              <w:rPr>
                <w:b/>
                <w:color w:val="auto"/>
                <w:szCs w:val="21"/>
              </w:rPr>
              <w:t>生产工艺流程图</w:t>
            </w:r>
          </w:p>
          <w:p>
            <w:pPr>
              <w:adjustRightInd w:val="0"/>
              <w:snapToGrid w:val="0"/>
              <w:spacing w:line="360" w:lineRule="auto"/>
              <w:rPr>
                <w:bCs/>
                <w:color w:val="auto"/>
                <w:sz w:val="24"/>
              </w:rPr>
            </w:pPr>
            <w:r>
              <w:rPr>
                <w:b/>
                <w:color w:val="auto"/>
                <w:sz w:val="24"/>
              </w:rPr>
              <w:t>工艺</w:t>
            </w:r>
            <w:r>
              <w:rPr>
                <w:b/>
                <w:bCs/>
                <w:color w:val="auto"/>
                <w:sz w:val="24"/>
              </w:rPr>
              <w:t>流程简述</w:t>
            </w:r>
            <w:r>
              <w:rPr>
                <w:b/>
                <w:color w:val="auto"/>
                <w:sz w:val="24"/>
              </w:rPr>
              <w:t>：</w:t>
            </w:r>
          </w:p>
          <w:p>
            <w:pPr>
              <w:adjustRightInd w:val="0"/>
              <w:snapToGrid w:val="0"/>
              <w:spacing w:line="360" w:lineRule="auto"/>
              <w:ind w:firstLine="482" w:firstLineChars="200"/>
              <w:rPr>
                <w:bCs/>
                <w:color w:val="auto"/>
                <w:sz w:val="24"/>
                <w:szCs w:val="22"/>
              </w:rPr>
            </w:pPr>
            <w:r>
              <w:rPr>
                <w:b/>
                <w:bCs/>
                <w:color w:val="auto"/>
                <w:sz w:val="24"/>
                <w:szCs w:val="22"/>
              </w:rPr>
              <w:t>（1）</w:t>
            </w:r>
            <w:r>
              <w:rPr>
                <w:rFonts w:hint="eastAsia"/>
                <w:b/>
                <w:bCs/>
                <w:color w:val="auto"/>
                <w:sz w:val="24"/>
                <w:szCs w:val="22"/>
              </w:rPr>
              <w:t>热压贴面</w:t>
            </w:r>
            <w:r>
              <w:rPr>
                <w:b/>
                <w:bCs/>
                <w:color w:val="auto"/>
                <w:sz w:val="24"/>
                <w:szCs w:val="22"/>
              </w:rPr>
              <w:t>：</w:t>
            </w:r>
            <w:r>
              <w:rPr>
                <w:rFonts w:hint="eastAsia"/>
                <w:bCs/>
                <w:color w:val="auto"/>
                <w:sz w:val="24"/>
                <w:szCs w:val="22"/>
              </w:rPr>
              <w:t>根据客户要求将不同种类的木板与浸胶纸一起放入双面压机生产线中，在高温、高压（温度为150-190℃左右，压力为17MPa左右）、一定时间（热压时间一般为20</w:t>
            </w:r>
            <w:r>
              <w:rPr>
                <w:bCs/>
                <w:color w:val="auto"/>
                <w:sz w:val="24"/>
                <w:szCs w:val="22"/>
              </w:rPr>
              <w:t>s-</w:t>
            </w:r>
            <w:r>
              <w:rPr>
                <w:rFonts w:hint="eastAsia"/>
                <w:bCs/>
                <w:color w:val="auto"/>
                <w:sz w:val="24"/>
                <w:szCs w:val="22"/>
              </w:rPr>
              <w:t>60</w:t>
            </w:r>
            <w:r>
              <w:rPr>
                <w:bCs/>
                <w:color w:val="auto"/>
                <w:sz w:val="24"/>
                <w:szCs w:val="22"/>
              </w:rPr>
              <w:t>s</w:t>
            </w:r>
            <w:r>
              <w:rPr>
                <w:rFonts w:hint="eastAsia"/>
                <w:bCs/>
                <w:color w:val="auto"/>
                <w:sz w:val="24"/>
                <w:szCs w:val="22"/>
              </w:rPr>
              <w:t>）下完成木板与浸胶纸的贴合，热压过程产生热压</w:t>
            </w:r>
            <w:r>
              <w:rPr>
                <w:bCs/>
                <w:color w:val="auto"/>
                <w:sz w:val="24"/>
                <w:szCs w:val="22"/>
              </w:rPr>
              <w:t>废气</w:t>
            </w:r>
            <w:r>
              <w:rPr>
                <w:rFonts w:hint="eastAsia"/>
                <w:bCs/>
                <w:color w:val="auto"/>
                <w:sz w:val="24"/>
                <w:szCs w:val="22"/>
              </w:rPr>
              <w:t>G1。</w:t>
            </w:r>
          </w:p>
          <w:p>
            <w:pPr>
              <w:adjustRightInd w:val="0"/>
              <w:snapToGrid w:val="0"/>
              <w:spacing w:line="360" w:lineRule="auto"/>
              <w:ind w:firstLine="482" w:firstLineChars="200"/>
              <w:rPr>
                <w:color w:val="auto"/>
                <w:sz w:val="24"/>
                <w:szCs w:val="22"/>
              </w:rPr>
            </w:pPr>
            <w:r>
              <w:rPr>
                <w:rFonts w:hint="eastAsia"/>
                <w:b/>
                <w:bCs/>
                <w:color w:val="auto"/>
                <w:sz w:val="24"/>
                <w:szCs w:val="22"/>
              </w:rPr>
              <w:t>模温机加热</w:t>
            </w:r>
            <w:r>
              <w:rPr>
                <w:b/>
                <w:bCs/>
                <w:color w:val="auto"/>
                <w:sz w:val="24"/>
                <w:szCs w:val="22"/>
              </w:rPr>
              <w:t>：</w:t>
            </w:r>
            <w:r>
              <w:rPr>
                <w:rFonts w:hint="eastAsia"/>
                <w:bCs/>
                <w:color w:val="auto"/>
                <w:sz w:val="24"/>
                <w:szCs w:val="22"/>
              </w:rPr>
              <w:t>热压过程由导热油炉供热，导热油炉通过燃烧天然气产生热量，天然气燃烧产生燃烧废气G2。</w:t>
            </w:r>
          </w:p>
          <w:p>
            <w:pPr>
              <w:adjustRightInd w:val="0"/>
              <w:snapToGrid w:val="0"/>
              <w:spacing w:line="360" w:lineRule="auto"/>
              <w:ind w:firstLine="482" w:firstLineChars="200"/>
              <w:rPr>
                <w:color w:val="auto"/>
                <w:sz w:val="24"/>
              </w:rPr>
            </w:pPr>
            <w:r>
              <w:rPr>
                <w:b/>
                <w:color w:val="auto"/>
                <w:sz w:val="24"/>
              </w:rPr>
              <w:t>（2）</w:t>
            </w:r>
            <w:r>
              <w:rPr>
                <w:rFonts w:hint="eastAsia"/>
                <w:b/>
                <w:color w:val="auto"/>
                <w:sz w:val="24"/>
              </w:rPr>
              <w:t>裁纸</w:t>
            </w:r>
            <w:r>
              <w:rPr>
                <w:b/>
                <w:color w:val="auto"/>
                <w:sz w:val="24"/>
              </w:rPr>
              <w:t>：</w:t>
            </w:r>
            <w:r>
              <w:rPr>
                <w:rFonts w:hint="eastAsia"/>
                <w:color w:val="auto"/>
                <w:sz w:val="24"/>
              </w:rPr>
              <w:t>面板完成贴合后，浸胶纸超出木板的部分通过生产线设备全自动裁剪，形成饰面板成品。该工序产生废边角料S1。</w:t>
            </w:r>
          </w:p>
          <w:p>
            <w:pPr>
              <w:adjustRightInd w:val="0"/>
              <w:snapToGrid w:val="0"/>
              <w:spacing w:line="360" w:lineRule="auto"/>
              <w:ind w:firstLine="482" w:firstLineChars="200"/>
              <w:rPr>
                <w:color w:val="auto"/>
                <w:sz w:val="24"/>
                <w:lang w:val="de-DE"/>
              </w:rPr>
            </w:pPr>
            <w:r>
              <w:rPr>
                <w:b/>
                <w:color w:val="auto"/>
                <w:sz w:val="24"/>
              </w:rPr>
              <w:t>（3）</w:t>
            </w:r>
            <w:r>
              <w:rPr>
                <w:rFonts w:hint="eastAsia"/>
                <w:b/>
                <w:color w:val="auto"/>
                <w:sz w:val="24"/>
              </w:rPr>
              <w:t>检验</w:t>
            </w:r>
            <w:r>
              <w:rPr>
                <w:b/>
                <w:color w:val="auto"/>
                <w:sz w:val="24"/>
              </w:rPr>
              <w:t>：</w:t>
            </w:r>
            <w:r>
              <w:rPr>
                <w:rFonts w:hint="eastAsia"/>
                <w:color w:val="auto"/>
                <w:sz w:val="24"/>
              </w:rPr>
              <w:t>根据产品质量要求，饰面板经过内部人工检验达标后包装入库。该工序产生少量不合格品S2。</w:t>
            </w:r>
          </w:p>
          <w:p>
            <w:pPr>
              <w:adjustRightInd w:val="0"/>
              <w:snapToGrid w:val="0"/>
              <w:spacing w:line="360" w:lineRule="auto"/>
              <w:ind w:firstLine="482" w:firstLineChars="200"/>
              <w:rPr>
                <w:b/>
                <w:bCs/>
                <w:color w:val="auto"/>
                <w:sz w:val="24"/>
              </w:rPr>
            </w:pPr>
            <w:r>
              <w:rPr>
                <w:b/>
                <w:bCs/>
                <w:color w:val="auto"/>
                <w:sz w:val="24"/>
              </w:rPr>
              <w:t>其他产污环节分析：</w:t>
            </w:r>
          </w:p>
          <w:p>
            <w:pPr>
              <w:adjustRightInd w:val="0"/>
              <w:snapToGrid w:val="0"/>
              <w:spacing w:line="360" w:lineRule="auto"/>
              <w:ind w:firstLine="480" w:firstLineChars="200"/>
              <w:rPr>
                <w:color w:val="auto"/>
                <w:sz w:val="24"/>
              </w:rPr>
            </w:pPr>
            <w:r>
              <w:rPr>
                <w:rFonts w:hint="eastAsia" w:ascii="宋体" w:hAnsi="宋体" w:cs="宋体"/>
                <w:color w:val="auto"/>
                <w:sz w:val="24"/>
              </w:rPr>
              <w:t>①</w:t>
            </w:r>
            <w:r>
              <w:rPr>
                <w:rFonts w:hint="eastAsia"/>
                <w:color w:val="auto"/>
                <w:sz w:val="24"/>
              </w:rPr>
              <w:t>冷却塔</w:t>
            </w:r>
            <w:r>
              <w:rPr>
                <w:color w:val="auto"/>
                <w:sz w:val="24"/>
              </w:rPr>
              <w:t>定期排水产生冷却排水；</w:t>
            </w:r>
            <w:r>
              <w:rPr>
                <w:rFonts w:hint="eastAsia" w:ascii="宋体" w:hAnsi="宋体" w:cs="宋体"/>
                <w:color w:val="auto"/>
                <w:sz w:val="24"/>
                <w:lang w:eastAsia="zh-CN"/>
              </w:rPr>
              <w:t>②</w:t>
            </w:r>
            <w:r>
              <w:rPr>
                <w:rFonts w:hint="eastAsia"/>
                <w:color w:val="auto"/>
                <w:sz w:val="24"/>
              </w:rPr>
              <w:t>浸胶纸使用后</w:t>
            </w:r>
            <w:r>
              <w:rPr>
                <w:color w:val="auto"/>
                <w:sz w:val="24"/>
              </w:rPr>
              <w:t>产生</w:t>
            </w:r>
            <w:r>
              <w:rPr>
                <w:rFonts w:hint="eastAsia"/>
                <w:color w:val="auto"/>
                <w:sz w:val="24"/>
              </w:rPr>
              <w:t>废</w:t>
            </w:r>
            <w:r>
              <w:rPr>
                <w:color w:val="auto"/>
                <w:sz w:val="24"/>
              </w:rPr>
              <w:t>包装袋；</w:t>
            </w:r>
            <w:r>
              <w:rPr>
                <w:rFonts w:hint="eastAsia"/>
                <w:color w:val="auto"/>
                <w:sz w:val="24"/>
                <w:lang w:eastAsia="zh-CN"/>
              </w:rPr>
              <w:t>③</w:t>
            </w:r>
            <w:r>
              <w:rPr>
                <w:color w:val="auto"/>
                <w:sz w:val="24"/>
              </w:rPr>
              <w:t>废气处理设施产生废活性炭；</w:t>
            </w:r>
            <w:r>
              <w:rPr>
                <w:rFonts w:hint="eastAsia" w:ascii="宋体" w:hAnsi="宋体" w:cs="宋体"/>
                <w:color w:val="auto"/>
                <w:sz w:val="24"/>
                <w:lang w:eastAsia="zh-CN"/>
              </w:rPr>
              <w:t>④</w:t>
            </w:r>
            <w:r>
              <w:rPr>
                <w:rFonts w:hint="eastAsia"/>
                <w:color w:val="auto"/>
                <w:sz w:val="24"/>
              </w:rPr>
              <w:t>双面压机定期更换液压油</w:t>
            </w:r>
            <w:r>
              <w:rPr>
                <w:rFonts w:hint="eastAsia"/>
                <w:color w:val="auto"/>
                <w:sz w:val="24"/>
                <w:lang w:eastAsia="zh-CN"/>
              </w:rPr>
              <w:t>产生废液压油；</w:t>
            </w:r>
            <w:r>
              <w:rPr>
                <w:color w:val="auto"/>
                <w:sz w:val="24"/>
              </w:rPr>
              <w:t>导热油炉</w:t>
            </w:r>
            <w:r>
              <w:rPr>
                <w:rFonts w:hint="eastAsia"/>
                <w:color w:val="auto"/>
                <w:sz w:val="24"/>
              </w:rPr>
              <w:t>定期更换</w:t>
            </w:r>
            <w:r>
              <w:rPr>
                <w:color w:val="auto"/>
                <w:sz w:val="24"/>
              </w:rPr>
              <w:t>导热</w:t>
            </w:r>
            <w:r>
              <w:rPr>
                <w:rFonts w:hint="eastAsia"/>
                <w:color w:val="auto"/>
                <w:sz w:val="24"/>
              </w:rPr>
              <w:t>油过程产生</w:t>
            </w:r>
            <w:r>
              <w:rPr>
                <w:color w:val="auto"/>
                <w:sz w:val="24"/>
              </w:rPr>
              <w:t>废</w:t>
            </w:r>
            <w:r>
              <w:rPr>
                <w:rFonts w:hint="eastAsia"/>
                <w:color w:val="auto"/>
                <w:sz w:val="24"/>
                <w:lang w:eastAsia="zh-CN"/>
              </w:rPr>
              <w:t>导热</w:t>
            </w:r>
            <w:r>
              <w:rPr>
                <w:rFonts w:hint="eastAsia"/>
                <w:color w:val="auto"/>
                <w:sz w:val="24"/>
              </w:rPr>
              <w:t>油；液压油</w:t>
            </w:r>
            <w:r>
              <w:rPr>
                <w:color w:val="auto"/>
                <w:sz w:val="24"/>
              </w:rPr>
              <w:t>、导热油</w:t>
            </w:r>
            <w:r>
              <w:rPr>
                <w:rFonts w:hint="eastAsia"/>
                <w:color w:val="auto"/>
                <w:sz w:val="24"/>
              </w:rPr>
              <w:t>使用过程</w:t>
            </w:r>
            <w:r>
              <w:rPr>
                <w:color w:val="auto"/>
                <w:sz w:val="24"/>
              </w:rPr>
              <w:t>产生废包装桶</w:t>
            </w:r>
            <w:r>
              <w:rPr>
                <w:rFonts w:hint="eastAsia"/>
                <w:color w:val="auto"/>
              </w:rPr>
              <w:t>；</w:t>
            </w:r>
            <w:r>
              <w:rPr>
                <w:rFonts w:hint="eastAsia" w:ascii="宋体" w:hAnsi="宋体" w:cs="宋体"/>
                <w:color w:val="auto"/>
                <w:sz w:val="24"/>
                <w:lang w:eastAsia="zh-CN"/>
              </w:rPr>
              <w:t>⑤</w:t>
            </w:r>
            <w:r>
              <w:rPr>
                <w:color w:val="auto"/>
                <w:sz w:val="24"/>
              </w:rPr>
              <w:t>设备维护产生</w:t>
            </w:r>
            <w:r>
              <w:rPr>
                <w:rFonts w:hint="eastAsia"/>
                <w:color w:val="auto"/>
                <w:sz w:val="24"/>
              </w:rPr>
              <w:t>废抹布手套</w:t>
            </w:r>
            <w:r>
              <w:rPr>
                <w:color w:val="auto"/>
                <w:sz w:val="24"/>
              </w:rPr>
              <w:t>等沾染废物</w:t>
            </w:r>
            <w:r>
              <w:rPr>
                <w:rFonts w:hint="eastAsia"/>
                <w:color w:val="auto"/>
                <w:sz w:val="24"/>
              </w:rPr>
              <w:t>；</w:t>
            </w:r>
            <w:r>
              <w:rPr>
                <w:rFonts w:hint="eastAsia" w:ascii="宋体" w:hAnsi="宋体" w:cs="宋体"/>
                <w:color w:val="auto"/>
                <w:sz w:val="24"/>
                <w:lang w:eastAsia="zh-CN"/>
              </w:rPr>
              <w:t>⑥</w:t>
            </w:r>
            <w:r>
              <w:rPr>
                <w:color w:val="auto"/>
                <w:sz w:val="24"/>
              </w:rPr>
              <w:t>员工生活产生生活污水、生活垃圾等。</w:t>
            </w:r>
          </w:p>
          <w:p>
            <w:pPr>
              <w:pStyle w:val="18"/>
              <w:ind w:left="0" w:leftChars="0" w:firstLine="0" w:firstLineChars="0"/>
              <w:rPr>
                <w:b/>
                <w:bCs/>
                <w:color w:val="auto"/>
                <w:sz w:val="24"/>
                <w:szCs w:val="24"/>
              </w:rPr>
            </w:pPr>
            <w:r>
              <w:rPr>
                <w:b/>
                <w:bCs/>
                <w:color w:val="auto"/>
                <w:sz w:val="24"/>
                <w:szCs w:val="24"/>
              </w:rPr>
              <w:t>2、污染物产生及排放情况</w:t>
            </w:r>
          </w:p>
          <w:p>
            <w:pPr>
              <w:adjustRightInd w:val="0"/>
              <w:snapToGrid w:val="0"/>
              <w:spacing w:line="360" w:lineRule="auto"/>
              <w:ind w:firstLine="480" w:firstLineChars="200"/>
              <w:rPr>
                <w:b/>
                <w:bCs/>
                <w:color w:val="auto"/>
                <w:sz w:val="24"/>
              </w:rPr>
            </w:pPr>
            <w:r>
              <w:rPr>
                <w:bCs/>
                <w:snapToGrid w:val="0"/>
                <w:color w:val="auto"/>
                <w:kern w:val="0"/>
                <w:sz w:val="24"/>
              </w:rPr>
              <w:t>营运期主要的产污环节和排污特征见表2-6。</w:t>
            </w:r>
          </w:p>
          <w:p>
            <w:pPr>
              <w:pStyle w:val="19"/>
              <w:adjustRightInd w:val="0"/>
              <w:snapToGrid w:val="0"/>
              <w:spacing w:after="0"/>
              <w:ind w:firstLine="0" w:firstLineChars="0"/>
              <w:jc w:val="center"/>
              <w:rPr>
                <w:b/>
                <w:bCs/>
                <w:color w:val="auto"/>
                <w:sz w:val="24"/>
                <w:szCs w:val="24"/>
              </w:rPr>
            </w:pPr>
            <w:r>
              <w:rPr>
                <w:b/>
                <w:bCs/>
                <w:color w:val="auto"/>
                <w:sz w:val="24"/>
                <w:szCs w:val="24"/>
              </w:rPr>
              <w:t>表2-6  主要产污环节和排污特征</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51"/>
              <w:gridCol w:w="750"/>
              <w:gridCol w:w="1195"/>
              <w:gridCol w:w="1501"/>
              <w:gridCol w:w="622"/>
              <w:gridCol w:w="1140"/>
              <w:gridCol w:w="22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Align w:val="center"/>
                </w:tcPr>
                <w:p>
                  <w:pPr>
                    <w:widowControl/>
                    <w:adjustRightInd w:val="0"/>
                    <w:snapToGrid w:val="0"/>
                    <w:jc w:val="center"/>
                    <w:rPr>
                      <w:b/>
                      <w:bCs/>
                      <w:color w:val="auto"/>
                      <w:szCs w:val="21"/>
                    </w:rPr>
                  </w:pPr>
                  <w:r>
                    <w:rPr>
                      <w:b/>
                      <w:bCs/>
                      <w:color w:val="auto"/>
                      <w:szCs w:val="21"/>
                    </w:rPr>
                    <w:t>类别</w:t>
                  </w:r>
                </w:p>
              </w:tc>
              <w:tc>
                <w:tcPr>
                  <w:tcW w:w="750" w:type="dxa"/>
                  <w:vAlign w:val="center"/>
                </w:tcPr>
                <w:p>
                  <w:pPr>
                    <w:widowControl/>
                    <w:adjustRightInd w:val="0"/>
                    <w:snapToGrid w:val="0"/>
                    <w:jc w:val="center"/>
                    <w:rPr>
                      <w:b/>
                      <w:bCs/>
                      <w:color w:val="auto"/>
                      <w:szCs w:val="21"/>
                    </w:rPr>
                  </w:pPr>
                  <w:r>
                    <w:rPr>
                      <w:b/>
                      <w:bCs/>
                      <w:color w:val="auto"/>
                      <w:szCs w:val="21"/>
                    </w:rPr>
                    <w:t>代码</w:t>
                  </w:r>
                </w:p>
              </w:tc>
              <w:tc>
                <w:tcPr>
                  <w:tcW w:w="1195" w:type="dxa"/>
                  <w:vAlign w:val="center"/>
                </w:tcPr>
                <w:p>
                  <w:pPr>
                    <w:widowControl/>
                    <w:adjustRightInd w:val="0"/>
                    <w:snapToGrid w:val="0"/>
                    <w:jc w:val="center"/>
                    <w:rPr>
                      <w:b/>
                      <w:bCs/>
                      <w:color w:val="auto"/>
                      <w:szCs w:val="21"/>
                    </w:rPr>
                  </w:pPr>
                  <w:r>
                    <w:rPr>
                      <w:b/>
                      <w:bCs/>
                      <w:color w:val="auto"/>
                      <w:szCs w:val="21"/>
                    </w:rPr>
                    <w:t>产生点</w:t>
                  </w:r>
                </w:p>
              </w:tc>
              <w:tc>
                <w:tcPr>
                  <w:tcW w:w="1501" w:type="dxa"/>
                  <w:vAlign w:val="center"/>
                </w:tcPr>
                <w:p>
                  <w:pPr>
                    <w:widowControl/>
                    <w:adjustRightInd w:val="0"/>
                    <w:snapToGrid w:val="0"/>
                    <w:jc w:val="center"/>
                    <w:rPr>
                      <w:b/>
                      <w:bCs/>
                      <w:color w:val="auto"/>
                      <w:szCs w:val="21"/>
                    </w:rPr>
                  </w:pPr>
                  <w:r>
                    <w:rPr>
                      <w:b/>
                      <w:bCs/>
                      <w:color w:val="auto"/>
                      <w:szCs w:val="21"/>
                    </w:rPr>
                    <w:t>污染物</w:t>
                  </w:r>
                </w:p>
              </w:tc>
              <w:tc>
                <w:tcPr>
                  <w:tcW w:w="622" w:type="dxa"/>
                  <w:vAlign w:val="center"/>
                </w:tcPr>
                <w:p>
                  <w:pPr>
                    <w:widowControl/>
                    <w:adjustRightInd w:val="0"/>
                    <w:snapToGrid w:val="0"/>
                    <w:jc w:val="center"/>
                    <w:rPr>
                      <w:b/>
                      <w:bCs/>
                      <w:color w:val="auto"/>
                      <w:szCs w:val="21"/>
                    </w:rPr>
                  </w:pPr>
                  <w:r>
                    <w:rPr>
                      <w:b/>
                      <w:bCs/>
                      <w:color w:val="auto"/>
                      <w:szCs w:val="21"/>
                    </w:rPr>
                    <w:t>特征</w:t>
                  </w:r>
                </w:p>
              </w:tc>
              <w:tc>
                <w:tcPr>
                  <w:tcW w:w="3438" w:type="dxa"/>
                  <w:gridSpan w:val="2"/>
                  <w:vAlign w:val="center"/>
                </w:tcPr>
                <w:p>
                  <w:pPr>
                    <w:widowControl/>
                    <w:adjustRightInd w:val="0"/>
                    <w:snapToGrid w:val="0"/>
                    <w:jc w:val="center"/>
                    <w:rPr>
                      <w:b/>
                      <w:bCs/>
                      <w:color w:val="auto"/>
                      <w:szCs w:val="21"/>
                    </w:rPr>
                  </w:pPr>
                  <w:r>
                    <w:rPr>
                      <w:b/>
                      <w:bCs/>
                      <w:color w:val="auto"/>
                      <w:szCs w:val="21"/>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1" w:type="dxa"/>
                  <w:vMerge w:val="restart"/>
                  <w:vAlign w:val="center"/>
                </w:tcPr>
                <w:p>
                  <w:pPr>
                    <w:widowControl/>
                    <w:adjustRightInd w:val="0"/>
                    <w:snapToGrid w:val="0"/>
                    <w:jc w:val="center"/>
                    <w:rPr>
                      <w:bCs/>
                      <w:color w:val="auto"/>
                      <w:szCs w:val="21"/>
                    </w:rPr>
                  </w:pPr>
                  <w:r>
                    <w:rPr>
                      <w:bCs/>
                      <w:color w:val="auto"/>
                      <w:szCs w:val="21"/>
                    </w:rPr>
                    <w:t>废气</w:t>
                  </w:r>
                </w:p>
              </w:tc>
              <w:tc>
                <w:tcPr>
                  <w:tcW w:w="750" w:type="dxa"/>
                  <w:vAlign w:val="center"/>
                </w:tcPr>
                <w:p>
                  <w:pPr>
                    <w:widowControl/>
                    <w:adjustRightInd w:val="0"/>
                    <w:snapToGrid w:val="0"/>
                    <w:jc w:val="center"/>
                    <w:rPr>
                      <w:color w:val="auto"/>
                      <w:kern w:val="0"/>
                      <w:szCs w:val="21"/>
                    </w:rPr>
                  </w:pPr>
                  <w:r>
                    <w:rPr>
                      <w:color w:val="auto"/>
                      <w:kern w:val="0"/>
                      <w:szCs w:val="21"/>
                    </w:rPr>
                    <w:t>G1</w:t>
                  </w:r>
                </w:p>
              </w:tc>
              <w:tc>
                <w:tcPr>
                  <w:tcW w:w="1195" w:type="dxa"/>
                  <w:vAlign w:val="center"/>
                </w:tcPr>
                <w:p>
                  <w:pPr>
                    <w:widowControl/>
                    <w:adjustRightInd w:val="0"/>
                    <w:snapToGrid w:val="0"/>
                    <w:jc w:val="center"/>
                    <w:rPr>
                      <w:color w:val="auto"/>
                    </w:rPr>
                  </w:pPr>
                  <w:r>
                    <w:rPr>
                      <w:rFonts w:hint="eastAsia"/>
                      <w:bCs/>
                      <w:color w:val="auto"/>
                      <w:szCs w:val="22"/>
                    </w:rPr>
                    <w:t>热压贴面</w:t>
                  </w:r>
                </w:p>
              </w:tc>
              <w:tc>
                <w:tcPr>
                  <w:tcW w:w="1501" w:type="dxa"/>
                  <w:vAlign w:val="center"/>
                </w:tcPr>
                <w:p>
                  <w:pPr>
                    <w:jc w:val="center"/>
                    <w:rPr>
                      <w:color w:val="auto"/>
                      <w:szCs w:val="21"/>
                    </w:rPr>
                  </w:pPr>
                  <w:r>
                    <w:rPr>
                      <w:color w:val="auto"/>
                      <w:szCs w:val="21"/>
                    </w:rPr>
                    <w:t>非甲烷总烃</w:t>
                  </w:r>
                  <w:r>
                    <w:rPr>
                      <w:rFonts w:hint="eastAsia"/>
                      <w:color w:val="auto"/>
                      <w:szCs w:val="21"/>
                    </w:rPr>
                    <w:t>、</w:t>
                  </w:r>
                  <w:r>
                    <w:rPr>
                      <w:color w:val="auto"/>
                      <w:szCs w:val="21"/>
                    </w:rPr>
                    <w:t>甲醛</w:t>
                  </w:r>
                </w:p>
              </w:tc>
              <w:tc>
                <w:tcPr>
                  <w:tcW w:w="622" w:type="dxa"/>
                  <w:vAlign w:val="center"/>
                </w:tcPr>
                <w:p>
                  <w:pPr>
                    <w:widowControl/>
                    <w:adjustRightInd w:val="0"/>
                    <w:snapToGrid w:val="0"/>
                    <w:jc w:val="center"/>
                    <w:rPr>
                      <w:bCs/>
                      <w:color w:val="auto"/>
                      <w:szCs w:val="21"/>
                    </w:rPr>
                  </w:pPr>
                  <w:r>
                    <w:rPr>
                      <w:bCs/>
                      <w:color w:val="auto"/>
                      <w:szCs w:val="21"/>
                    </w:rPr>
                    <w:t>连续</w:t>
                  </w:r>
                </w:p>
              </w:tc>
              <w:tc>
                <w:tcPr>
                  <w:tcW w:w="1140" w:type="dxa"/>
                  <w:vAlign w:val="center"/>
                </w:tcPr>
                <w:p>
                  <w:pPr>
                    <w:pStyle w:val="83"/>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经</w:t>
                  </w:r>
                  <w:r>
                    <w:rPr>
                      <w:rFonts w:hint="eastAsia" w:ascii="Times New Roman" w:hAnsi="Times New Roman" w:eastAsia="宋体"/>
                      <w:color w:val="auto"/>
                      <w:sz w:val="21"/>
                      <w:szCs w:val="21"/>
                      <w:lang w:eastAsia="zh-CN"/>
                    </w:rPr>
                    <w:t>管道</w:t>
                  </w:r>
                  <w:r>
                    <w:rPr>
                      <w:rFonts w:ascii="Times New Roman" w:hAnsi="Times New Roman" w:eastAsia="宋体"/>
                      <w:color w:val="auto"/>
                      <w:sz w:val="21"/>
                      <w:szCs w:val="21"/>
                    </w:rPr>
                    <w:t>收集</w:t>
                  </w:r>
                </w:p>
              </w:tc>
              <w:tc>
                <w:tcPr>
                  <w:tcW w:w="2298" w:type="dxa"/>
                  <w:vAlign w:val="center"/>
                </w:tcPr>
                <w:p>
                  <w:pPr>
                    <w:pStyle w:val="83"/>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由二级活性炭吸附装置</w:t>
                  </w:r>
                  <w:r>
                    <w:rPr>
                      <w:rFonts w:ascii="Times New Roman" w:hAnsi="Times New Roman" w:eastAsia="宋体"/>
                      <w:color w:val="auto"/>
                      <w:sz w:val="21"/>
                      <w:szCs w:val="21"/>
                    </w:rPr>
                    <w:t>处理后</w:t>
                  </w:r>
                  <w:r>
                    <w:rPr>
                      <w:rFonts w:hint="eastAsia" w:ascii="Times New Roman" w:hAnsi="Times New Roman" w:eastAsia="宋体"/>
                      <w:color w:val="auto"/>
                      <w:sz w:val="21"/>
                      <w:szCs w:val="21"/>
                    </w:rPr>
                    <w:t>，</w:t>
                  </w:r>
                  <w:r>
                    <w:rPr>
                      <w:rFonts w:ascii="Times New Roman" w:hAnsi="Times New Roman" w:eastAsia="宋体"/>
                      <w:color w:val="auto"/>
                      <w:sz w:val="21"/>
                      <w:szCs w:val="21"/>
                    </w:rPr>
                    <w:t>通过1</w:t>
                  </w:r>
                  <w:r>
                    <w:rPr>
                      <w:rFonts w:hint="eastAsia" w:ascii="Times New Roman" w:hAnsi="Times New Roman" w:eastAsia="宋体"/>
                      <w:color w:val="auto"/>
                      <w:sz w:val="21"/>
                      <w:szCs w:val="21"/>
                    </w:rPr>
                    <w:t>根</w:t>
                  </w:r>
                  <w:r>
                    <w:rPr>
                      <w:rFonts w:ascii="Times New Roman" w:hAnsi="Times New Roman" w:eastAsia="宋体"/>
                      <w:color w:val="auto"/>
                      <w:sz w:val="21"/>
                      <w:szCs w:val="21"/>
                    </w:rPr>
                    <w:t>15m排气筒DA001高空排放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Merge w:val="continue"/>
                  <w:vAlign w:val="center"/>
                </w:tcPr>
                <w:p>
                  <w:pPr>
                    <w:widowControl/>
                    <w:adjustRightInd w:val="0"/>
                    <w:snapToGrid w:val="0"/>
                    <w:jc w:val="center"/>
                    <w:rPr>
                      <w:bCs/>
                      <w:color w:val="auto"/>
                      <w:szCs w:val="21"/>
                    </w:rPr>
                  </w:pPr>
                </w:p>
              </w:tc>
              <w:tc>
                <w:tcPr>
                  <w:tcW w:w="750" w:type="dxa"/>
                  <w:vAlign w:val="center"/>
                </w:tcPr>
                <w:p>
                  <w:pPr>
                    <w:widowControl/>
                    <w:adjustRightInd w:val="0"/>
                    <w:snapToGrid w:val="0"/>
                    <w:jc w:val="center"/>
                    <w:rPr>
                      <w:color w:val="auto"/>
                      <w:kern w:val="0"/>
                      <w:szCs w:val="21"/>
                    </w:rPr>
                  </w:pPr>
                  <w:r>
                    <w:rPr>
                      <w:color w:val="auto"/>
                      <w:kern w:val="0"/>
                      <w:szCs w:val="21"/>
                    </w:rPr>
                    <w:t>G2</w:t>
                  </w:r>
                </w:p>
              </w:tc>
              <w:tc>
                <w:tcPr>
                  <w:tcW w:w="1195" w:type="dxa"/>
                  <w:vAlign w:val="center"/>
                </w:tcPr>
                <w:p>
                  <w:pPr>
                    <w:widowControl/>
                    <w:adjustRightInd w:val="0"/>
                    <w:snapToGrid w:val="0"/>
                    <w:jc w:val="center"/>
                    <w:rPr>
                      <w:color w:val="auto"/>
                    </w:rPr>
                  </w:pPr>
                  <w:r>
                    <w:rPr>
                      <w:color w:val="auto"/>
                    </w:rPr>
                    <w:t>天然气燃烧</w:t>
                  </w:r>
                </w:p>
              </w:tc>
              <w:tc>
                <w:tcPr>
                  <w:tcW w:w="1501" w:type="dxa"/>
                  <w:vAlign w:val="center"/>
                </w:tcPr>
                <w:p>
                  <w:pPr>
                    <w:widowControl/>
                    <w:adjustRightInd w:val="0"/>
                    <w:snapToGrid w:val="0"/>
                    <w:jc w:val="center"/>
                    <w:rPr>
                      <w:color w:val="auto"/>
                      <w:kern w:val="0"/>
                      <w:szCs w:val="21"/>
                    </w:rPr>
                  </w:pPr>
                  <w:r>
                    <w:rPr>
                      <w:color w:val="auto"/>
                      <w:kern w:val="0"/>
                      <w:szCs w:val="21"/>
                    </w:rPr>
                    <w:t>烟尘、二氧化硫、氮氧化物</w:t>
                  </w:r>
                </w:p>
              </w:tc>
              <w:tc>
                <w:tcPr>
                  <w:tcW w:w="622" w:type="dxa"/>
                  <w:vAlign w:val="center"/>
                </w:tcPr>
                <w:p>
                  <w:pPr>
                    <w:widowControl/>
                    <w:adjustRightInd w:val="0"/>
                    <w:snapToGrid w:val="0"/>
                    <w:jc w:val="center"/>
                    <w:rPr>
                      <w:bCs/>
                      <w:color w:val="auto"/>
                      <w:szCs w:val="21"/>
                    </w:rPr>
                  </w:pPr>
                  <w:r>
                    <w:rPr>
                      <w:bCs/>
                      <w:color w:val="auto"/>
                      <w:szCs w:val="21"/>
                    </w:rPr>
                    <w:t>连续</w:t>
                  </w:r>
                </w:p>
              </w:tc>
              <w:tc>
                <w:tcPr>
                  <w:tcW w:w="1140" w:type="dxa"/>
                  <w:vAlign w:val="center"/>
                </w:tcPr>
                <w:p>
                  <w:pPr>
                    <w:pStyle w:val="83"/>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经</w:t>
                  </w:r>
                  <w:r>
                    <w:rPr>
                      <w:rFonts w:ascii="Times New Roman" w:hAnsi="Times New Roman" w:eastAsia="宋体"/>
                      <w:color w:val="auto"/>
                      <w:sz w:val="21"/>
                      <w:szCs w:val="21"/>
                    </w:rPr>
                    <w:t>管道收集</w:t>
                  </w:r>
                </w:p>
              </w:tc>
              <w:tc>
                <w:tcPr>
                  <w:tcW w:w="2298" w:type="dxa"/>
                  <w:vAlign w:val="center"/>
                </w:tcPr>
                <w:p>
                  <w:pPr>
                    <w:pStyle w:val="83"/>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直接通过1根</w:t>
                  </w:r>
                  <w:r>
                    <w:rPr>
                      <w:rFonts w:ascii="Times New Roman" w:hAnsi="Times New Roman" w:eastAsia="宋体"/>
                      <w:color w:val="auto"/>
                      <w:sz w:val="21"/>
                      <w:szCs w:val="21"/>
                    </w:rPr>
                    <w:t>15m排气筒DA002高空排放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Merge w:val="continue"/>
                  <w:vAlign w:val="center"/>
                </w:tcPr>
                <w:p>
                  <w:pPr>
                    <w:widowControl/>
                    <w:adjustRightInd w:val="0"/>
                    <w:snapToGrid w:val="0"/>
                    <w:jc w:val="center"/>
                    <w:rPr>
                      <w:bCs/>
                      <w:color w:val="auto"/>
                      <w:szCs w:val="21"/>
                    </w:rPr>
                  </w:pPr>
                </w:p>
              </w:tc>
              <w:tc>
                <w:tcPr>
                  <w:tcW w:w="750" w:type="dxa"/>
                  <w:vAlign w:val="center"/>
                </w:tcPr>
                <w:p>
                  <w:pPr>
                    <w:widowControl/>
                    <w:adjustRightInd w:val="0"/>
                    <w:snapToGrid w:val="0"/>
                    <w:jc w:val="center"/>
                    <w:rPr>
                      <w:color w:val="auto"/>
                      <w:kern w:val="0"/>
                      <w:szCs w:val="21"/>
                    </w:rPr>
                  </w:pPr>
                  <w:r>
                    <w:rPr>
                      <w:rFonts w:hint="eastAsia"/>
                      <w:color w:val="auto"/>
                      <w:kern w:val="0"/>
                      <w:szCs w:val="21"/>
                    </w:rPr>
                    <w:t>/</w:t>
                  </w:r>
                </w:p>
              </w:tc>
              <w:tc>
                <w:tcPr>
                  <w:tcW w:w="1195" w:type="dxa"/>
                  <w:vAlign w:val="center"/>
                </w:tcPr>
                <w:p>
                  <w:pPr>
                    <w:widowControl/>
                    <w:adjustRightInd w:val="0"/>
                    <w:snapToGrid w:val="0"/>
                    <w:jc w:val="center"/>
                    <w:rPr>
                      <w:color w:val="auto"/>
                    </w:rPr>
                  </w:pPr>
                  <w:r>
                    <w:rPr>
                      <w:rFonts w:hint="eastAsia"/>
                      <w:color w:val="auto"/>
                    </w:rPr>
                    <w:t>危废仓库</w:t>
                  </w:r>
                </w:p>
              </w:tc>
              <w:tc>
                <w:tcPr>
                  <w:tcW w:w="1501" w:type="dxa"/>
                  <w:vAlign w:val="center"/>
                </w:tcPr>
                <w:p>
                  <w:pPr>
                    <w:widowControl/>
                    <w:adjustRightInd w:val="0"/>
                    <w:snapToGrid w:val="0"/>
                    <w:jc w:val="center"/>
                    <w:rPr>
                      <w:color w:val="auto"/>
                      <w:kern w:val="0"/>
                      <w:szCs w:val="21"/>
                    </w:rPr>
                  </w:pPr>
                  <w:r>
                    <w:rPr>
                      <w:color w:val="auto"/>
                      <w:szCs w:val="21"/>
                    </w:rPr>
                    <w:t>非甲烷总烃</w:t>
                  </w:r>
                  <w:r>
                    <w:rPr>
                      <w:rFonts w:hint="eastAsia"/>
                      <w:color w:val="auto"/>
                      <w:szCs w:val="21"/>
                    </w:rPr>
                    <w:t>、</w:t>
                  </w:r>
                  <w:r>
                    <w:rPr>
                      <w:color w:val="auto"/>
                      <w:szCs w:val="21"/>
                    </w:rPr>
                    <w:t>甲醛</w:t>
                  </w:r>
                </w:p>
              </w:tc>
              <w:tc>
                <w:tcPr>
                  <w:tcW w:w="622" w:type="dxa"/>
                  <w:vAlign w:val="center"/>
                </w:tcPr>
                <w:p>
                  <w:pPr>
                    <w:widowControl/>
                    <w:adjustRightInd w:val="0"/>
                    <w:snapToGrid w:val="0"/>
                    <w:jc w:val="center"/>
                    <w:rPr>
                      <w:bCs/>
                      <w:color w:val="auto"/>
                      <w:szCs w:val="21"/>
                    </w:rPr>
                  </w:pPr>
                  <w:r>
                    <w:rPr>
                      <w:bCs/>
                      <w:color w:val="auto"/>
                      <w:szCs w:val="21"/>
                    </w:rPr>
                    <w:t>连续</w:t>
                  </w:r>
                </w:p>
              </w:tc>
              <w:tc>
                <w:tcPr>
                  <w:tcW w:w="1140" w:type="dxa"/>
                  <w:vAlign w:val="center"/>
                </w:tcPr>
                <w:p>
                  <w:pPr>
                    <w:pStyle w:val="83"/>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整体</w:t>
                  </w:r>
                  <w:r>
                    <w:rPr>
                      <w:rFonts w:ascii="Times New Roman" w:hAnsi="Times New Roman" w:eastAsia="宋体"/>
                      <w:color w:val="auto"/>
                      <w:sz w:val="21"/>
                      <w:szCs w:val="21"/>
                    </w:rPr>
                    <w:t>收集</w:t>
                  </w:r>
                </w:p>
              </w:tc>
              <w:tc>
                <w:tcPr>
                  <w:tcW w:w="2298" w:type="dxa"/>
                  <w:vAlign w:val="center"/>
                </w:tcPr>
                <w:p>
                  <w:pPr>
                    <w:pStyle w:val="83"/>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经活性炭吸附装置处理后无组织排放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1" w:type="dxa"/>
                  <w:vMerge w:val="restart"/>
                  <w:vAlign w:val="center"/>
                </w:tcPr>
                <w:p>
                  <w:pPr>
                    <w:widowControl/>
                    <w:adjustRightInd w:val="0"/>
                    <w:snapToGrid w:val="0"/>
                    <w:jc w:val="center"/>
                    <w:rPr>
                      <w:bCs/>
                      <w:color w:val="auto"/>
                      <w:szCs w:val="21"/>
                    </w:rPr>
                  </w:pPr>
                  <w:r>
                    <w:rPr>
                      <w:bCs/>
                      <w:color w:val="auto"/>
                      <w:szCs w:val="21"/>
                    </w:rPr>
                    <w:t>废水</w:t>
                  </w:r>
                </w:p>
              </w:tc>
              <w:tc>
                <w:tcPr>
                  <w:tcW w:w="750" w:type="dxa"/>
                  <w:vAlign w:val="center"/>
                </w:tcPr>
                <w:p>
                  <w:pPr>
                    <w:adjustRightInd w:val="0"/>
                    <w:snapToGrid w:val="0"/>
                    <w:jc w:val="center"/>
                    <w:rPr>
                      <w:bCs/>
                      <w:color w:val="auto"/>
                      <w:szCs w:val="21"/>
                    </w:rPr>
                  </w:pPr>
                  <w:r>
                    <w:rPr>
                      <w:color w:val="auto"/>
                      <w:kern w:val="0"/>
                      <w:szCs w:val="21"/>
                    </w:rPr>
                    <w:t>—</w:t>
                  </w:r>
                </w:p>
              </w:tc>
              <w:tc>
                <w:tcPr>
                  <w:tcW w:w="1195" w:type="dxa"/>
                  <w:vAlign w:val="center"/>
                </w:tcPr>
                <w:p>
                  <w:pPr>
                    <w:adjustRightInd w:val="0"/>
                    <w:snapToGrid w:val="0"/>
                    <w:jc w:val="center"/>
                    <w:rPr>
                      <w:bCs/>
                      <w:color w:val="auto"/>
                      <w:szCs w:val="21"/>
                    </w:rPr>
                  </w:pPr>
                  <w:r>
                    <w:rPr>
                      <w:color w:val="auto"/>
                      <w:kern w:val="0"/>
                      <w:szCs w:val="21"/>
                    </w:rPr>
                    <w:t>员工生活</w:t>
                  </w:r>
                </w:p>
              </w:tc>
              <w:tc>
                <w:tcPr>
                  <w:tcW w:w="1501" w:type="dxa"/>
                  <w:vAlign w:val="center"/>
                </w:tcPr>
                <w:p>
                  <w:pPr>
                    <w:adjustRightInd w:val="0"/>
                    <w:snapToGrid w:val="0"/>
                    <w:jc w:val="center"/>
                    <w:rPr>
                      <w:bCs/>
                      <w:color w:val="auto"/>
                      <w:szCs w:val="21"/>
                    </w:rPr>
                  </w:pPr>
                  <w:r>
                    <w:rPr>
                      <w:color w:val="auto"/>
                      <w:kern w:val="0"/>
                      <w:szCs w:val="21"/>
                    </w:rPr>
                    <w:t>pH、COD、SS、NH</w:t>
                  </w:r>
                  <w:r>
                    <w:rPr>
                      <w:color w:val="auto"/>
                      <w:kern w:val="0"/>
                      <w:szCs w:val="21"/>
                      <w:vertAlign w:val="subscript"/>
                    </w:rPr>
                    <w:t>3</w:t>
                  </w:r>
                  <w:r>
                    <w:rPr>
                      <w:color w:val="auto"/>
                      <w:kern w:val="0"/>
                      <w:szCs w:val="21"/>
                    </w:rPr>
                    <w:t>-N、TN、TP</w:t>
                  </w:r>
                </w:p>
              </w:tc>
              <w:tc>
                <w:tcPr>
                  <w:tcW w:w="622" w:type="dxa"/>
                  <w:vAlign w:val="center"/>
                </w:tcPr>
                <w:p>
                  <w:pPr>
                    <w:adjustRightInd w:val="0"/>
                    <w:snapToGrid w:val="0"/>
                    <w:jc w:val="center"/>
                    <w:rPr>
                      <w:color w:val="auto"/>
                      <w:szCs w:val="21"/>
                    </w:rPr>
                  </w:pPr>
                  <w:r>
                    <w:rPr>
                      <w:color w:val="auto"/>
                      <w:kern w:val="0"/>
                      <w:szCs w:val="21"/>
                    </w:rPr>
                    <w:t>间断</w:t>
                  </w:r>
                </w:p>
              </w:tc>
              <w:tc>
                <w:tcPr>
                  <w:tcW w:w="3438" w:type="dxa"/>
                  <w:gridSpan w:val="2"/>
                  <w:vMerge w:val="restart"/>
                  <w:vAlign w:val="center"/>
                </w:tcPr>
                <w:p>
                  <w:pPr>
                    <w:adjustRightInd w:val="0"/>
                    <w:snapToGrid w:val="0"/>
                    <w:jc w:val="center"/>
                    <w:rPr>
                      <w:color w:val="auto"/>
                      <w:szCs w:val="21"/>
                    </w:rPr>
                  </w:pPr>
                  <w:r>
                    <w:rPr>
                      <w:rFonts w:hint="eastAsia"/>
                      <w:color w:val="auto"/>
                      <w:szCs w:val="21"/>
                    </w:rPr>
                    <w:t>冷却排水</w:t>
                  </w:r>
                  <w:r>
                    <w:rPr>
                      <w:color w:val="auto"/>
                      <w:szCs w:val="21"/>
                    </w:rPr>
                    <w:t>与经化粪池预处理后</w:t>
                  </w:r>
                  <w:r>
                    <w:rPr>
                      <w:rFonts w:hint="eastAsia"/>
                      <w:color w:val="auto"/>
                      <w:szCs w:val="21"/>
                    </w:rPr>
                    <w:t>的</w:t>
                  </w:r>
                  <w:r>
                    <w:rPr>
                      <w:color w:val="auto"/>
                      <w:szCs w:val="21"/>
                    </w:rPr>
                    <w:t>生活污水</w:t>
                  </w:r>
                  <w:r>
                    <w:rPr>
                      <w:rFonts w:hint="eastAsia"/>
                      <w:color w:val="auto"/>
                      <w:szCs w:val="21"/>
                    </w:rPr>
                    <w:t>一同接管至</w:t>
                  </w:r>
                  <w:r>
                    <w:rPr>
                      <w:color w:val="auto"/>
                      <w:szCs w:val="21"/>
                    </w:rPr>
                    <w:t>无锡玉祁永新污水处理有限公司集中处理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Merge w:val="continue"/>
                  <w:vAlign w:val="center"/>
                </w:tcPr>
                <w:p>
                  <w:pPr>
                    <w:widowControl/>
                    <w:adjustRightInd w:val="0"/>
                    <w:snapToGrid w:val="0"/>
                    <w:jc w:val="center"/>
                    <w:rPr>
                      <w:bCs/>
                      <w:color w:val="auto"/>
                      <w:szCs w:val="21"/>
                    </w:rPr>
                  </w:pPr>
                </w:p>
              </w:tc>
              <w:tc>
                <w:tcPr>
                  <w:tcW w:w="750" w:type="dxa"/>
                  <w:vAlign w:val="center"/>
                </w:tcPr>
                <w:p>
                  <w:pPr>
                    <w:adjustRightInd w:val="0"/>
                    <w:snapToGrid w:val="0"/>
                    <w:jc w:val="center"/>
                    <w:rPr>
                      <w:color w:val="auto"/>
                      <w:kern w:val="0"/>
                      <w:szCs w:val="21"/>
                    </w:rPr>
                  </w:pPr>
                  <w:r>
                    <w:rPr>
                      <w:color w:val="auto"/>
                      <w:kern w:val="0"/>
                      <w:szCs w:val="21"/>
                    </w:rPr>
                    <w:t>—</w:t>
                  </w:r>
                </w:p>
              </w:tc>
              <w:tc>
                <w:tcPr>
                  <w:tcW w:w="1195" w:type="dxa"/>
                  <w:vAlign w:val="center"/>
                </w:tcPr>
                <w:p>
                  <w:pPr>
                    <w:adjustRightInd w:val="0"/>
                    <w:snapToGrid w:val="0"/>
                    <w:jc w:val="center"/>
                    <w:rPr>
                      <w:color w:val="auto"/>
                      <w:kern w:val="0"/>
                      <w:szCs w:val="21"/>
                    </w:rPr>
                  </w:pPr>
                  <w:r>
                    <w:rPr>
                      <w:rFonts w:hint="eastAsia"/>
                      <w:color w:val="auto"/>
                      <w:kern w:val="0"/>
                      <w:szCs w:val="21"/>
                    </w:rPr>
                    <w:t>冷却排水</w:t>
                  </w:r>
                </w:p>
              </w:tc>
              <w:tc>
                <w:tcPr>
                  <w:tcW w:w="1501" w:type="dxa"/>
                  <w:vAlign w:val="center"/>
                </w:tcPr>
                <w:p>
                  <w:pPr>
                    <w:adjustRightInd w:val="0"/>
                    <w:snapToGrid w:val="0"/>
                    <w:jc w:val="center"/>
                    <w:rPr>
                      <w:color w:val="auto"/>
                      <w:kern w:val="0"/>
                      <w:szCs w:val="21"/>
                    </w:rPr>
                  </w:pPr>
                  <w:r>
                    <w:rPr>
                      <w:color w:val="auto"/>
                      <w:kern w:val="0"/>
                      <w:szCs w:val="21"/>
                    </w:rPr>
                    <w:t>pH、COD、SS</w:t>
                  </w:r>
                </w:p>
              </w:tc>
              <w:tc>
                <w:tcPr>
                  <w:tcW w:w="622" w:type="dxa"/>
                  <w:vAlign w:val="center"/>
                </w:tcPr>
                <w:p>
                  <w:pPr>
                    <w:adjustRightInd w:val="0"/>
                    <w:snapToGrid w:val="0"/>
                    <w:jc w:val="center"/>
                    <w:rPr>
                      <w:color w:val="auto"/>
                      <w:kern w:val="0"/>
                      <w:szCs w:val="21"/>
                    </w:rPr>
                  </w:pPr>
                  <w:r>
                    <w:rPr>
                      <w:color w:val="auto"/>
                      <w:kern w:val="0"/>
                      <w:szCs w:val="21"/>
                    </w:rPr>
                    <w:t>间断</w:t>
                  </w:r>
                </w:p>
              </w:tc>
              <w:tc>
                <w:tcPr>
                  <w:tcW w:w="3438" w:type="dxa"/>
                  <w:gridSpan w:val="2"/>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1" w:type="dxa"/>
                  <w:vAlign w:val="center"/>
                </w:tcPr>
                <w:p>
                  <w:pPr>
                    <w:widowControl/>
                    <w:adjustRightInd w:val="0"/>
                    <w:snapToGrid w:val="0"/>
                    <w:jc w:val="center"/>
                    <w:rPr>
                      <w:bCs/>
                      <w:color w:val="auto"/>
                      <w:szCs w:val="21"/>
                    </w:rPr>
                  </w:pPr>
                  <w:r>
                    <w:rPr>
                      <w:bCs/>
                      <w:color w:val="auto"/>
                      <w:szCs w:val="21"/>
                    </w:rPr>
                    <w:t>噪声</w:t>
                  </w:r>
                </w:p>
              </w:tc>
              <w:tc>
                <w:tcPr>
                  <w:tcW w:w="750" w:type="dxa"/>
                  <w:vAlign w:val="center"/>
                </w:tcPr>
                <w:p>
                  <w:pPr>
                    <w:widowControl/>
                    <w:adjustRightInd w:val="0"/>
                    <w:snapToGrid w:val="0"/>
                    <w:jc w:val="center"/>
                    <w:rPr>
                      <w:bCs/>
                      <w:color w:val="auto"/>
                      <w:szCs w:val="21"/>
                    </w:rPr>
                  </w:pPr>
                  <w:r>
                    <w:rPr>
                      <w:color w:val="auto"/>
                      <w:kern w:val="0"/>
                      <w:szCs w:val="21"/>
                    </w:rPr>
                    <w:t>—</w:t>
                  </w:r>
                </w:p>
              </w:tc>
              <w:tc>
                <w:tcPr>
                  <w:tcW w:w="1195" w:type="dxa"/>
                  <w:vAlign w:val="center"/>
                </w:tcPr>
                <w:p>
                  <w:pPr>
                    <w:widowControl/>
                    <w:adjustRightInd w:val="0"/>
                    <w:snapToGrid w:val="0"/>
                    <w:jc w:val="center"/>
                    <w:rPr>
                      <w:bCs/>
                      <w:color w:val="auto"/>
                      <w:szCs w:val="21"/>
                    </w:rPr>
                  </w:pPr>
                  <w:r>
                    <w:rPr>
                      <w:bCs/>
                      <w:color w:val="auto"/>
                      <w:szCs w:val="21"/>
                    </w:rPr>
                    <w:t>设备运行</w:t>
                  </w:r>
                </w:p>
              </w:tc>
              <w:tc>
                <w:tcPr>
                  <w:tcW w:w="1501" w:type="dxa"/>
                  <w:vAlign w:val="center"/>
                </w:tcPr>
                <w:p>
                  <w:pPr>
                    <w:widowControl/>
                    <w:adjustRightInd w:val="0"/>
                    <w:snapToGrid w:val="0"/>
                    <w:jc w:val="center"/>
                    <w:rPr>
                      <w:bCs/>
                      <w:color w:val="auto"/>
                      <w:szCs w:val="21"/>
                    </w:rPr>
                  </w:pPr>
                  <w:r>
                    <w:rPr>
                      <w:bCs/>
                      <w:color w:val="auto"/>
                      <w:szCs w:val="21"/>
                    </w:rPr>
                    <w:t>噪声</w:t>
                  </w:r>
                </w:p>
              </w:tc>
              <w:tc>
                <w:tcPr>
                  <w:tcW w:w="622" w:type="dxa"/>
                  <w:vAlign w:val="center"/>
                </w:tcPr>
                <w:p>
                  <w:pPr>
                    <w:widowControl/>
                    <w:adjustRightInd w:val="0"/>
                    <w:snapToGrid w:val="0"/>
                    <w:jc w:val="center"/>
                    <w:rPr>
                      <w:bCs/>
                      <w:color w:val="auto"/>
                      <w:szCs w:val="21"/>
                    </w:rPr>
                  </w:pPr>
                  <w:r>
                    <w:rPr>
                      <w:bCs/>
                      <w:color w:val="auto"/>
                      <w:szCs w:val="21"/>
                    </w:rPr>
                    <w:t>连续</w:t>
                  </w:r>
                </w:p>
              </w:tc>
              <w:tc>
                <w:tcPr>
                  <w:tcW w:w="3438" w:type="dxa"/>
                  <w:gridSpan w:val="2"/>
                  <w:vAlign w:val="center"/>
                </w:tcPr>
                <w:p>
                  <w:pPr>
                    <w:pStyle w:val="83"/>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选用低噪声设备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Merge w:val="restart"/>
                  <w:vAlign w:val="center"/>
                </w:tcPr>
                <w:p>
                  <w:pPr>
                    <w:adjustRightInd w:val="0"/>
                    <w:snapToGrid w:val="0"/>
                    <w:jc w:val="center"/>
                    <w:rPr>
                      <w:bCs/>
                      <w:color w:val="auto"/>
                      <w:szCs w:val="21"/>
                    </w:rPr>
                  </w:pPr>
                  <w:r>
                    <w:rPr>
                      <w:bCs/>
                      <w:color w:val="auto"/>
                      <w:szCs w:val="21"/>
                    </w:rPr>
                    <w:t>固废</w:t>
                  </w:r>
                </w:p>
              </w:tc>
              <w:tc>
                <w:tcPr>
                  <w:tcW w:w="750" w:type="dxa"/>
                  <w:vAlign w:val="center"/>
                </w:tcPr>
                <w:p>
                  <w:pPr>
                    <w:widowControl/>
                    <w:adjustRightInd w:val="0"/>
                    <w:snapToGrid w:val="0"/>
                    <w:jc w:val="center"/>
                    <w:rPr>
                      <w:color w:val="auto"/>
                      <w:kern w:val="0"/>
                      <w:szCs w:val="21"/>
                    </w:rPr>
                  </w:pPr>
                  <w:r>
                    <w:rPr>
                      <w:color w:val="auto"/>
                      <w:kern w:val="0"/>
                      <w:szCs w:val="21"/>
                    </w:rPr>
                    <w:t>S1</w:t>
                  </w:r>
                </w:p>
              </w:tc>
              <w:tc>
                <w:tcPr>
                  <w:tcW w:w="1195" w:type="dxa"/>
                  <w:vAlign w:val="center"/>
                </w:tcPr>
                <w:p>
                  <w:pPr>
                    <w:widowControl/>
                    <w:adjustRightInd w:val="0"/>
                    <w:snapToGrid w:val="0"/>
                    <w:jc w:val="center"/>
                    <w:rPr>
                      <w:bCs/>
                      <w:color w:val="auto"/>
                      <w:szCs w:val="21"/>
                    </w:rPr>
                  </w:pPr>
                  <w:r>
                    <w:rPr>
                      <w:rFonts w:hint="eastAsia"/>
                      <w:bCs/>
                      <w:color w:val="auto"/>
                      <w:szCs w:val="21"/>
                    </w:rPr>
                    <w:t>裁纸</w:t>
                  </w:r>
                </w:p>
              </w:tc>
              <w:tc>
                <w:tcPr>
                  <w:tcW w:w="1501" w:type="dxa"/>
                  <w:vAlign w:val="center"/>
                </w:tcPr>
                <w:p>
                  <w:pPr>
                    <w:widowControl/>
                    <w:adjustRightInd w:val="0"/>
                    <w:snapToGrid w:val="0"/>
                    <w:jc w:val="center"/>
                    <w:rPr>
                      <w:bCs/>
                      <w:color w:val="auto"/>
                      <w:szCs w:val="21"/>
                    </w:rPr>
                  </w:pPr>
                  <w:r>
                    <w:rPr>
                      <w:rFonts w:hint="eastAsia"/>
                      <w:bCs/>
                      <w:color w:val="auto"/>
                      <w:szCs w:val="21"/>
                    </w:rPr>
                    <w:t>废边角料</w:t>
                  </w:r>
                </w:p>
              </w:tc>
              <w:tc>
                <w:tcPr>
                  <w:tcW w:w="622" w:type="dxa"/>
                  <w:vAlign w:val="center"/>
                </w:tcPr>
                <w:p>
                  <w:pPr>
                    <w:widowControl/>
                    <w:adjustRightInd w:val="0"/>
                    <w:snapToGrid w:val="0"/>
                    <w:jc w:val="center"/>
                    <w:rPr>
                      <w:bCs/>
                      <w:color w:val="auto"/>
                      <w:szCs w:val="21"/>
                    </w:rPr>
                  </w:pPr>
                  <w:r>
                    <w:rPr>
                      <w:bCs/>
                      <w:color w:val="auto"/>
                      <w:szCs w:val="21"/>
                    </w:rPr>
                    <w:t>间断</w:t>
                  </w:r>
                </w:p>
              </w:tc>
              <w:tc>
                <w:tcPr>
                  <w:tcW w:w="3438" w:type="dxa"/>
                  <w:gridSpan w:val="2"/>
                  <w:vMerge w:val="restart"/>
                  <w:vAlign w:val="center"/>
                </w:tcPr>
                <w:p>
                  <w:pPr>
                    <w:pStyle w:val="83"/>
                    <w:adjustRightInd w:val="0"/>
                    <w:snapToGrid w:val="0"/>
                    <w:rPr>
                      <w:rFonts w:ascii="Times New Roman" w:hAnsi="Times New Roman" w:eastAsia="宋体"/>
                      <w:color w:val="auto"/>
                      <w:sz w:val="21"/>
                      <w:szCs w:val="21"/>
                    </w:rPr>
                  </w:pPr>
                  <w:r>
                    <w:rPr>
                      <w:rFonts w:hint="eastAsia" w:ascii="Times New Roman" w:hAnsi="Times New Roman" w:eastAsia="宋体"/>
                      <w:color w:val="auto"/>
                      <w:sz w:val="21"/>
                      <w:szCs w:val="21"/>
                    </w:rPr>
                    <w:t>外售综合利用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1" w:type="dxa"/>
                  <w:vMerge w:val="continue"/>
                  <w:vAlign w:val="center"/>
                </w:tcPr>
                <w:p>
                  <w:pPr>
                    <w:adjustRightInd w:val="0"/>
                    <w:snapToGrid w:val="0"/>
                    <w:jc w:val="center"/>
                    <w:rPr>
                      <w:bCs/>
                      <w:color w:val="auto"/>
                      <w:szCs w:val="21"/>
                    </w:rPr>
                  </w:pPr>
                </w:p>
              </w:tc>
              <w:tc>
                <w:tcPr>
                  <w:tcW w:w="750" w:type="dxa"/>
                  <w:vAlign w:val="center"/>
                </w:tcPr>
                <w:p>
                  <w:pPr>
                    <w:widowControl/>
                    <w:adjustRightInd w:val="0"/>
                    <w:snapToGrid w:val="0"/>
                    <w:jc w:val="center"/>
                    <w:rPr>
                      <w:color w:val="auto"/>
                      <w:kern w:val="0"/>
                      <w:szCs w:val="21"/>
                    </w:rPr>
                  </w:pPr>
                  <w:r>
                    <w:rPr>
                      <w:color w:val="auto"/>
                      <w:kern w:val="0"/>
                      <w:szCs w:val="21"/>
                    </w:rPr>
                    <w:t>S2</w:t>
                  </w:r>
                </w:p>
              </w:tc>
              <w:tc>
                <w:tcPr>
                  <w:tcW w:w="1195" w:type="dxa"/>
                  <w:vAlign w:val="center"/>
                </w:tcPr>
                <w:p>
                  <w:pPr>
                    <w:widowControl/>
                    <w:adjustRightInd w:val="0"/>
                    <w:snapToGrid w:val="0"/>
                    <w:jc w:val="center"/>
                    <w:rPr>
                      <w:bCs/>
                      <w:color w:val="auto"/>
                      <w:szCs w:val="21"/>
                    </w:rPr>
                  </w:pPr>
                  <w:r>
                    <w:rPr>
                      <w:rFonts w:hint="eastAsia"/>
                      <w:bCs/>
                      <w:color w:val="auto"/>
                      <w:szCs w:val="21"/>
                    </w:rPr>
                    <w:t>检验</w:t>
                  </w:r>
                  <w:r>
                    <w:rPr>
                      <w:bCs/>
                      <w:color w:val="auto"/>
                      <w:szCs w:val="21"/>
                    </w:rPr>
                    <w:t>包装</w:t>
                  </w:r>
                </w:p>
              </w:tc>
              <w:tc>
                <w:tcPr>
                  <w:tcW w:w="1501" w:type="dxa"/>
                  <w:vAlign w:val="center"/>
                </w:tcPr>
                <w:p>
                  <w:pPr>
                    <w:widowControl/>
                    <w:adjustRightInd w:val="0"/>
                    <w:snapToGrid w:val="0"/>
                    <w:jc w:val="center"/>
                    <w:rPr>
                      <w:bCs/>
                      <w:color w:val="auto"/>
                      <w:szCs w:val="21"/>
                    </w:rPr>
                  </w:pPr>
                  <w:r>
                    <w:rPr>
                      <w:rFonts w:hint="eastAsia"/>
                      <w:bCs/>
                      <w:color w:val="auto"/>
                      <w:szCs w:val="21"/>
                    </w:rPr>
                    <w:t>不合格品</w:t>
                  </w:r>
                </w:p>
              </w:tc>
              <w:tc>
                <w:tcPr>
                  <w:tcW w:w="622" w:type="dxa"/>
                  <w:vAlign w:val="center"/>
                </w:tcPr>
                <w:p>
                  <w:pPr>
                    <w:widowControl/>
                    <w:adjustRightInd w:val="0"/>
                    <w:snapToGrid w:val="0"/>
                    <w:jc w:val="center"/>
                    <w:rPr>
                      <w:bCs/>
                      <w:color w:val="auto"/>
                      <w:szCs w:val="21"/>
                    </w:rPr>
                  </w:pPr>
                  <w:r>
                    <w:rPr>
                      <w:bCs/>
                      <w:color w:val="auto"/>
                      <w:szCs w:val="21"/>
                    </w:rPr>
                    <w:t>间断</w:t>
                  </w:r>
                </w:p>
              </w:tc>
              <w:tc>
                <w:tcPr>
                  <w:tcW w:w="3438" w:type="dxa"/>
                  <w:gridSpan w:val="2"/>
                  <w:vMerge w:val="continue"/>
                  <w:vAlign w:val="center"/>
                </w:tcPr>
                <w:p>
                  <w:pPr>
                    <w:pStyle w:val="83"/>
                    <w:adjustRightInd w:val="0"/>
                    <w:snapToGrid w:val="0"/>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1" w:type="dxa"/>
                  <w:vMerge w:val="continue"/>
                  <w:vAlign w:val="center"/>
                </w:tcPr>
                <w:p>
                  <w:pPr>
                    <w:adjustRightInd w:val="0"/>
                    <w:snapToGrid w:val="0"/>
                    <w:jc w:val="center"/>
                    <w:rPr>
                      <w:bCs/>
                      <w:color w:val="auto"/>
                      <w:szCs w:val="21"/>
                    </w:rPr>
                  </w:pPr>
                </w:p>
              </w:tc>
              <w:tc>
                <w:tcPr>
                  <w:tcW w:w="750" w:type="dxa"/>
                  <w:vAlign w:val="center"/>
                </w:tcPr>
                <w:p>
                  <w:pPr>
                    <w:widowControl/>
                    <w:adjustRightInd w:val="0"/>
                    <w:snapToGrid w:val="0"/>
                    <w:jc w:val="center"/>
                    <w:rPr>
                      <w:color w:val="auto"/>
                      <w:kern w:val="0"/>
                      <w:szCs w:val="21"/>
                    </w:rPr>
                  </w:pPr>
                  <w:r>
                    <w:rPr>
                      <w:color w:val="auto"/>
                      <w:kern w:val="0"/>
                      <w:szCs w:val="21"/>
                    </w:rPr>
                    <w:t>—</w:t>
                  </w:r>
                </w:p>
              </w:tc>
              <w:tc>
                <w:tcPr>
                  <w:tcW w:w="1195" w:type="dxa"/>
                  <w:vAlign w:val="center"/>
                </w:tcPr>
                <w:p>
                  <w:pPr>
                    <w:widowControl/>
                    <w:adjustRightInd w:val="0"/>
                    <w:snapToGrid w:val="0"/>
                    <w:jc w:val="center"/>
                    <w:rPr>
                      <w:bCs/>
                      <w:color w:val="auto"/>
                      <w:szCs w:val="21"/>
                    </w:rPr>
                  </w:pPr>
                  <w:r>
                    <w:rPr>
                      <w:rFonts w:hint="eastAsia"/>
                      <w:bCs/>
                      <w:color w:val="auto"/>
                      <w:szCs w:val="21"/>
                    </w:rPr>
                    <w:t>浸胶纸</w:t>
                  </w:r>
                  <w:r>
                    <w:rPr>
                      <w:bCs/>
                      <w:color w:val="auto"/>
                      <w:szCs w:val="21"/>
                    </w:rPr>
                    <w:t>使用</w:t>
                  </w:r>
                </w:p>
              </w:tc>
              <w:tc>
                <w:tcPr>
                  <w:tcW w:w="1501" w:type="dxa"/>
                  <w:vAlign w:val="center"/>
                </w:tcPr>
                <w:p>
                  <w:pPr>
                    <w:widowControl/>
                    <w:adjustRightInd w:val="0"/>
                    <w:snapToGrid w:val="0"/>
                    <w:jc w:val="center"/>
                    <w:rPr>
                      <w:bCs/>
                      <w:color w:val="auto"/>
                      <w:szCs w:val="21"/>
                    </w:rPr>
                  </w:pPr>
                  <w:r>
                    <w:rPr>
                      <w:rFonts w:hint="eastAsia"/>
                      <w:bCs/>
                      <w:color w:val="auto"/>
                      <w:szCs w:val="21"/>
                    </w:rPr>
                    <w:t>废包装袋</w:t>
                  </w:r>
                </w:p>
              </w:tc>
              <w:tc>
                <w:tcPr>
                  <w:tcW w:w="622" w:type="dxa"/>
                  <w:vAlign w:val="center"/>
                </w:tcPr>
                <w:p>
                  <w:pPr>
                    <w:widowControl/>
                    <w:adjustRightInd w:val="0"/>
                    <w:snapToGrid w:val="0"/>
                    <w:jc w:val="center"/>
                    <w:rPr>
                      <w:bCs/>
                      <w:color w:val="auto"/>
                      <w:szCs w:val="21"/>
                    </w:rPr>
                  </w:pPr>
                  <w:r>
                    <w:rPr>
                      <w:bCs/>
                      <w:color w:val="auto"/>
                      <w:szCs w:val="21"/>
                    </w:rPr>
                    <w:t>间断</w:t>
                  </w:r>
                </w:p>
              </w:tc>
              <w:tc>
                <w:tcPr>
                  <w:tcW w:w="3438" w:type="dxa"/>
                  <w:gridSpan w:val="2"/>
                  <w:vMerge w:val="continue"/>
                  <w:vAlign w:val="center"/>
                </w:tcPr>
                <w:p>
                  <w:pPr>
                    <w:pStyle w:val="83"/>
                    <w:adjustRightInd w:val="0"/>
                    <w:snapToGrid w:val="0"/>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Merge w:val="continue"/>
                  <w:vAlign w:val="center"/>
                </w:tcPr>
                <w:p>
                  <w:pPr>
                    <w:adjustRightInd w:val="0"/>
                    <w:snapToGrid w:val="0"/>
                    <w:jc w:val="center"/>
                    <w:rPr>
                      <w:bCs/>
                      <w:color w:val="auto"/>
                      <w:szCs w:val="21"/>
                    </w:rPr>
                  </w:pPr>
                </w:p>
              </w:tc>
              <w:tc>
                <w:tcPr>
                  <w:tcW w:w="750" w:type="dxa"/>
                  <w:vAlign w:val="center"/>
                </w:tcPr>
                <w:p>
                  <w:pPr>
                    <w:widowControl/>
                    <w:adjustRightInd w:val="0"/>
                    <w:snapToGrid w:val="0"/>
                    <w:jc w:val="center"/>
                    <w:rPr>
                      <w:bCs/>
                      <w:color w:val="auto"/>
                      <w:szCs w:val="21"/>
                    </w:rPr>
                  </w:pPr>
                  <w:r>
                    <w:rPr>
                      <w:color w:val="auto"/>
                      <w:kern w:val="0"/>
                      <w:szCs w:val="21"/>
                    </w:rPr>
                    <w:t>—</w:t>
                  </w:r>
                </w:p>
              </w:tc>
              <w:tc>
                <w:tcPr>
                  <w:tcW w:w="1195" w:type="dxa"/>
                  <w:vAlign w:val="center"/>
                </w:tcPr>
                <w:p>
                  <w:pPr>
                    <w:widowControl/>
                    <w:adjustRightInd w:val="0"/>
                    <w:snapToGrid w:val="0"/>
                    <w:jc w:val="center"/>
                    <w:rPr>
                      <w:color w:val="auto"/>
                    </w:rPr>
                  </w:pPr>
                  <w:r>
                    <w:rPr>
                      <w:bCs/>
                      <w:color w:val="auto"/>
                      <w:szCs w:val="21"/>
                    </w:rPr>
                    <w:t>废气处理</w:t>
                  </w:r>
                </w:p>
              </w:tc>
              <w:tc>
                <w:tcPr>
                  <w:tcW w:w="1501" w:type="dxa"/>
                  <w:vAlign w:val="center"/>
                </w:tcPr>
                <w:p>
                  <w:pPr>
                    <w:widowControl/>
                    <w:adjustRightInd w:val="0"/>
                    <w:snapToGrid w:val="0"/>
                    <w:jc w:val="center"/>
                    <w:rPr>
                      <w:bCs/>
                      <w:color w:val="auto"/>
                      <w:szCs w:val="21"/>
                    </w:rPr>
                  </w:pPr>
                  <w:r>
                    <w:rPr>
                      <w:bCs/>
                      <w:color w:val="auto"/>
                      <w:szCs w:val="21"/>
                    </w:rPr>
                    <w:t>废活性炭</w:t>
                  </w:r>
                </w:p>
              </w:tc>
              <w:tc>
                <w:tcPr>
                  <w:tcW w:w="622" w:type="dxa"/>
                  <w:vAlign w:val="center"/>
                </w:tcPr>
                <w:p>
                  <w:pPr>
                    <w:adjustRightInd w:val="0"/>
                    <w:snapToGrid w:val="0"/>
                    <w:jc w:val="center"/>
                    <w:rPr>
                      <w:bCs/>
                      <w:color w:val="auto"/>
                      <w:szCs w:val="21"/>
                    </w:rPr>
                  </w:pPr>
                  <w:r>
                    <w:rPr>
                      <w:bCs/>
                      <w:color w:val="auto"/>
                      <w:szCs w:val="21"/>
                    </w:rPr>
                    <w:t>间断</w:t>
                  </w:r>
                </w:p>
              </w:tc>
              <w:tc>
                <w:tcPr>
                  <w:tcW w:w="3438" w:type="dxa"/>
                  <w:gridSpan w:val="2"/>
                  <w:vMerge w:val="restart"/>
                  <w:vAlign w:val="center"/>
                </w:tcPr>
                <w:p>
                  <w:pPr>
                    <w:adjustRightInd w:val="0"/>
                    <w:snapToGrid w:val="0"/>
                    <w:jc w:val="center"/>
                    <w:rPr>
                      <w:color w:val="auto"/>
                      <w:szCs w:val="21"/>
                    </w:rPr>
                  </w:pPr>
                  <w:r>
                    <w:rPr>
                      <w:color w:val="auto"/>
                      <w:szCs w:val="21"/>
                    </w:rPr>
                    <w:t>委托资质单位处置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Merge w:val="continue"/>
                  <w:vAlign w:val="center"/>
                </w:tcPr>
                <w:p>
                  <w:pPr>
                    <w:adjustRightInd w:val="0"/>
                    <w:snapToGrid w:val="0"/>
                    <w:jc w:val="center"/>
                    <w:rPr>
                      <w:bCs/>
                      <w:color w:val="auto"/>
                      <w:szCs w:val="21"/>
                    </w:rPr>
                  </w:pPr>
                </w:p>
              </w:tc>
              <w:tc>
                <w:tcPr>
                  <w:tcW w:w="750" w:type="dxa"/>
                  <w:vAlign w:val="center"/>
                </w:tcPr>
                <w:p>
                  <w:pPr>
                    <w:widowControl/>
                    <w:adjustRightInd w:val="0"/>
                    <w:snapToGrid w:val="0"/>
                    <w:jc w:val="center"/>
                    <w:rPr>
                      <w:color w:val="auto"/>
                      <w:kern w:val="0"/>
                      <w:szCs w:val="21"/>
                    </w:rPr>
                  </w:pPr>
                  <w:r>
                    <w:rPr>
                      <w:color w:val="auto"/>
                      <w:kern w:val="0"/>
                      <w:szCs w:val="21"/>
                    </w:rPr>
                    <w:t>—</w:t>
                  </w:r>
                </w:p>
              </w:tc>
              <w:tc>
                <w:tcPr>
                  <w:tcW w:w="1195" w:type="dxa"/>
                  <w:vAlign w:val="center"/>
                </w:tcPr>
                <w:p>
                  <w:pPr>
                    <w:widowControl/>
                    <w:adjustRightInd w:val="0"/>
                    <w:snapToGrid w:val="0"/>
                    <w:jc w:val="center"/>
                    <w:rPr>
                      <w:rFonts w:hint="eastAsia" w:eastAsia="宋体"/>
                      <w:bCs/>
                      <w:color w:val="auto"/>
                      <w:szCs w:val="21"/>
                      <w:lang w:eastAsia="zh-CN"/>
                    </w:rPr>
                  </w:pPr>
                  <w:r>
                    <w:rPr>
                      <w:rFonts w:hint="eastAsia"/>
                      <w:bCs/>
                      <w:color w:val="auto"/>
                      <w:szCs w:val="21"/>
                      <w:lang w:eastAsia="zh-CN"/>
                    </w:rPr>
                    <w:t>设备维保</w:t>
                  </w:r>
                </w:p>
              </w:tc>
              <w:tc>
                <w:tcPr>
                  <w:tcW w:w="1501" w:type="dxa"/>
                  <w:vAlign w:val="center"/>
                </w:tcPr>
                <w:p>
                  <w:pPr>
                    <w:widowControl/>
                    <w:adjustRightInd w:val="0"/>
                    <w:snapToGrid w:val="0"/>
                    <w:jc w:val="center"/>
                    <w:rPr>
                      <w:bCs/>
                      <w:color w:val="auto"/>
                      <w:szCs w:val="21"/>
                    </w:rPr>
                  </w:pPr>
                  <w:r>
                    <w:rPr>
                      <w:rFonts w:hint="eastAsia"/>
                      <w:bCs/>
                      <w:color w:val="auto"/>
                      <w:szCs w:val="21"/>
                    </w:rPr>
                    <w:t>废</w:t>
                  </w:r>
                  <w:r>
                    <w:rPr>
                      <w:rFonts w:hint="eastAsia"/>
                      <w:bCs/>
                      <w:color w:val="auto"/>
                      <w:szCs w:val="21"/>
                      <w:lang w:eastAsia="zh-CN"/>
                    </w:rPr>
                    <w:t>导热</w:t>
                  </w:r>
                  <w:r>
                    <w:rPr>
                      <w:rFonts w:hint="eastAsia"/>
                      <w:bCs/>
                      <w:color w:val="auto"/>
                      <w:szCs w:val="21"/>
                    </w:rPr>
                    <w:t>油</w:t>
                  </w:r>
                </w:p>
              </w:tc>
              <w:tc>
                <w:tcPr>
                  <w:tcW w:w="622" w:type="dxa"/>
                  <w:vAlign w:val="center"/>
                </w:tcPr>
                <w:p>
                  <w:pPr>
                    <w:adjustRightInd w:val="0"/>
                    <w:snapToGrid w:val="0"/>
                    <w:jc w:val="center"/>
                    <w:rPr>
                      <w:bCs/>
                      <w:color w:val="auto"/>
                      <w:szCs w:val="21"/>
                    </w:rPr>
                  </w:pPr>
                  <w:r>
                    <w:rPr>
                      <w:bCs/>
                      <w:color w:val="auto"/>
                      <w:szCs w:val="21"/>
                    </w:rPr>
                    <w:t>间断</w:t>
                  </w:r>
                </w:p>
              </w:tc>
              <w:tc>
                <w:tcPr>
                  <w:tcW w:w="3438" w:type="dxa"/>
                  <w:gridSpan w:val="2"/>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51" w:type="dxa"/>
                  <w:vMerge w:val="continue"/>
                  <w:vAlign w:val="center"/>
                </w:tcPr>
                <w:p>
                  <w:pPr>
                    <w:adjustRightInd w:val="0"/>
                    <w:snapToGrid w:val="0"/>
                    <w:jc w:val="center"/>
                    <w:rPr>
                      <w:bCs/>
                      <w:color w:val="auto"/>
                      <w:szCs w:val="21"/>
                    </w:rPr>
                  </w:pPr>
                </w:p>
              </w:tc>
              <w:tc>
                <w:tcPr>
                  <w:tcW w:w="750" w:type="dxa"/>
                  <w:vAlign w:val="center"/>
                </w:tcPr>
                <w:p>
                  <w:pPr>
                    <w:widowControl/>
                    <w:adjustRightInd w:val="0"/>
                    <w:snapToGrid w:val="0"/>
                    <w:jc w:val="center"/>
                    <w:rPr>
                      <w:color w:val="auto"/>
                      <w:kern w:val="0"/>
                      <w:szCs w:val="21"/>
                    </w:rPr>
                  </w:pPr>
                  <w:r>
                    <w:rPr>
                      <w:color w:val="auto"/>
                      <w:kern w:val="0"/>
                      <w:szCs w:val="21"/>
                    </w:rPr>
                    <w:t>—</w:t>
                  </w:r>
                </w:p>
              </w:tc>
              <w:tc>
                <w:tcPr>
                  <w:tcW w:w="1195" w:type="dxa"/>
                  <w:vAlign w:val="center"/>
                </w:tcPr>
                <w:p>
                  <w:pPr>
                    <w:widowControl/>
                    <w:adjustRightInd w:val="0"/>
                    <w:snapToGrid w:val="0"/>
                    <w:jc w:val="center"/>
                    <w:rPr>
                      <w:rFonts w:hint="eastAsia"/>
                      <w:bCs/>
                      <w:color w:val="auto"/>
                      <w:szCs w:val="21"/>
                      <w:lang w:eastAsia="zh-CN"/>
                    </w:rPr>
                  </w:pPr>
                  <w:r>
                    <w:rPr>
                      <w:rFonts w:hint="eastAsia"/>
                      <w:bCs/>
                      <w:color w:val="auto"/>
                      <w:szCs w:val="21"/>
                      <w:lang w:eastAsia="zh-CN"/>
                    </w:rPr>
                    <w:t>设备维保</w:t>
                  </w:r>
                </w:p>
              </w:tc>
              <w:tc>
                <w:tcPr>
                  <w:tcW w:w="1501" w:type="dxa"/>
                  <w:vAlign w:val="center"/>
                </w:tcPr>
                <w:p>
                  <w:pPr>
                    <w:widowControl/>
                    <w:adjustRightInd w:val="0"/>
                    <w:snapToGrid w:val="0"/>
                    <w:jc w:val="center"/>
                    <w:rPr>
                      <w:rFonts w:hint="eastAsia"/>
                      <w:bCs/>
                      <w:color w:val="auto"/>
                      <w:szCs w:val="21"/>
                    </w:rPr>
                  </w:pPr>
                  <w:r>
                    <w:rPr>
                      <w:rFonts w:hint="eastAsia"/>
                      <w:bCs/>
                      <w:color w:val="auto"/>
                      <w:szCs w:val="21"/>
                    </w:rPr>
                    <w:t>废</w:t>
                  </w:r>
                  <w:r>
                    <w:rPr>
                      <w:rFonts w:hint="eastAsia"/>
                      <w:bCs/>
                      <w:color w:val="auto"/>
                      <w:szCs w:val="21"/>
                      <w:lang w:eastAsia="zh-CN"/>
                    </w:rPr>
                    <w:t>液压</w:t>
                  </w:r>
                  <w:r>
                    <w:rPr>
                      <w:rFonts w:hint="eastAsia"/>
                      <w:bCs/>
                      <w:color w:val="auto"/>
                      <w:szCs w:val="21"/>
                    </w:rPr>
                    <w:t>油</w:t>
                  </w:r>
                </w:p>
              </w:tc>
              <w:tc>
                <w:tcPr>
                  <w:tcW w:w="622" w:type="dxa"/>
                  <w:vAlign w:val="center"/>
                </w:tcPr>
                <w:p>
                  <w:pPr>
                    <w:adjustRightInd w:val="0"/>
                    <w:snapToGrid w:val="0"/>
                    <w:jc w:val="center"/>
                    <w:rPr>
                      <w:bCs/>
                      <w:color w:val="auto"/>
                      <w:szCs w:val="21"/>
                    </w:rPr>
                  </w:pPr>
                  <w:r>
                    <w:rPr>
                      <w:bCs/>
                      <w:color w:val="auto"/>
                      <w:szCs w:val="21"/>
                    </w:rPr>
                    <w:t>间断</w:t>
                  </w:r>
                </w:p>
              </w:tc>
              <w:tc>
                <w:tcPr>
                  <w:tcW w:w="3438" w:type="dxa"/>
                  <w:gridSpan w:val="2"/>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Merge w:val="continue"/>
                  <w:vAlign w:val="center"/>
                </w:tcPr>
                <w:p>
                  <w:pPr>
                    <w:adjustRightInd w:val="0"/>
                    <w:snapToGrid w:val="0"/>
                    <w:jc w:val="center"/>
                    <w:rPr>
                      <w:bCs/>
                      <w:color w:val="auto"/>
                      <w:szCs w:val="21"/>
                    </w:rPr>
                  </w:pPr>
                </w:p>
              </w:tc>
              <w:tc>
                <w:tcPr>
                  <w:tcW w:w="750" w:type="dxa"/>
                  <w:vAlign w:val="center"/>
                </w:tcPr>
                <w:p>
                  <w:pPr>
                    <w:widowControl/>
                    <w:adjustRightInd w:val="0"/>
                    <w:snapToGrid w:val="0"/>
                    <w:jc w:val="center"/>
                    <w:rPr>
                      <w:color w:val="auto"/>
                      <w:kern w:val="0"/>
                      <w:szCs w:val="21"/>
                    </w:rPr>
                  </w:pPr>
                  <w:r>
                    <w:rPr>
                      <w:color w:val="auto"/>
                      <w:kern w:val="0"/>
                      <w:szCs w:val="21"/>
                    </w:rPr>
                    <w:t>—</w:t>
                  </w:r>
                </w:p>
              </w:tc>
              <w:tc>
                <w:tcPr>
                  <w:tcW w:w="1195" w:type="dxa"/>
                  <w:vAlign w:val="center"/>
                </w:tcPr>
                <w:p>
                  <w:pPr>
                    <w:widowControl/>
                    <w:adjustRightInd w:val="0"/>
                    <w:snapToGrid w:val="0"/>
                    <w:jc w:val="center"/>
                    <w:rPr>
                      <w:bCs/>
                      <w:color w:val="auto"/>
                      <w:szCs w:val="21"/>
                    </w:rPr>
                  </w:pPr>
                  <w:r>
                    <w:rPr>
                      <w:rFonts w:hint="eastAsia"/>
                      <w:bCs/>
                      <w:color w:val="auto"/>
                      <w:szCs w:val="21"/>
                      <w:lang w:eastAsia="zh-CN"/>
                    </w:rPr>
                    <w:t>矿物油</w:t>
                  </w:r>
                  <w:r>
                    <w:rPr>
                      <w:bCs/>
                      <w:color w:val="auto"/>
                      <w:szCs w:val="21"/>
                    </w:rPr>
                    <w:t>使用</w:t>
                  </w:r>
                </w:p>
              </w:tc>
              <w:tc>
                <w:tcPr>
                  <w:tcW w:w="1501" w:type="dxa"/>
                  <w:vAlign w:val="center"/>
                </w:tcPr>
                <w:p>
                  <w:pPr>
                    <w:widowControl/>
                    <w:adjustRightInd w:val="0"/>
                    <w:snapToGrid w:val="0"/>
                    <w:jc w:val="center"/>
                    <w:rPr>
                      <w:bCs/>
                      <w:color w:val="auto"/>
                      <w:szCs w:val="21"/>
                    </w:rPr>
                  </w:pPr>
                  <w:r>
                    <w:rPr>
                      <w:rFonts w:hint="eastAsia"/>
                      <w:bCs/>
                      <w:color w:val="auto"/>
                      <w:szCs w:val="21"/>
                    </w:rPr>
                    <w:t>废包装桶</w:t>
                  </w:r>
                </w:p>
              </w:tc>
              <w:tc>
                <w:tcPr>
                  <w:tcW w:w="622" w:type="dxa"/>
                  <w:vAlign w:val="center"/>
                </w:tcPr>
                <w:p>
                  <w:pPr>
                    <w:adjustRightInd w:val="0"/>
                    <w:snapToGrid w:val="0"/>
                    <w:jc w:val="center"/>
                    <w:rPr>
                      <w:bCs/>
                      <w:color w:val="auto"/>
                      <w:szCs w:val="21"/>
                    </w:rPr>
                  </w:pPr>
                  <w:r>
                    <w:rPr>
                      <w:bCs/>
                      <w:color w:val="auto"/>
                      <w:szCs w:val="21"/>
                    </w:rPr>
                    <w:t>间断</w:t>
                  </w:r>
                </w:p>
              </w:tc>
              <w:tc>
                <w:tcPr>
                  <w:tcW w:w="3438" w:type="dxa"/>
                  <w:gridSpan w:val="2"/>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Merge w:val="continue"/>
                  <w:vAlign w:val="center"/>
                </w:tcPr>
                <w:p>
                  <w:pPr>
                    <w:adjustRightInd w:val="0"/>
                    <w:snapToGrid w:val="0"/>
                    <w:jc w:val="center"/>
                    <w:rPr>
                      <w:bCs/>
                      <w:color w:val="auto"/>
                      <w:szCs w:val="21"/>
                    </w:rPr>
                  </w:pPr>
                </w:p>
              </w:tc>
              <w:tc>
                <w:tcPr>
                  <w:tcW w:w="750" w:type="dxa"/>
                  <w:vAlign w:val="center"/>
                </w:tcPr>
                <w:p>
                  <w:pPr>
                    <w:widowControl/>
                    <w:adjustRightInd w:val="0"/>
                    <w:snapToGrid w:val="0"/>
                    <w:jc w:val="center"/>
                    <w:rPr>
                      <w:color w:val="auto"/>
                      <w:kern w:val="0"/>
                      <w:szCs w:val="21"/>
                    </w:rPr>
                  </w:pPr>
                  <w:r>
                    <w:rPr>
                      <w:color w:val="auto"/>
                      <w:kern w:val="0"/>
                      <w:szCs w:val="21"/>
                    </w:rPr>
                    <w:t>—</w:t>
                  </w:r>
                </w:p>
              </w:tc>
              <w:tc>
                <w:tcPr>
                  <w:tcW w:w="1195" w:type="dxa"/>
                  <w:vAlign w:val="center"/>
                </w:tcPr>
                <w:p>
                  <w:pPr>
                    <w:widowControl/>
                    <w:adjustRightInd w:val="0"/>
                    <w:snapToGrid w:val="0"/>
                    <w:jc w:val="center"/>
                    <w:rPr>
                      <w:bCs/>
                      <w:color w:val="auto"/>
                      <w:szCs w:val="21"/>
                    </w:rPr>
                  </w:pPr>
                  <w:r>
                    <w:rPr>
                      <w:color w:val="auto"/>
                    </w:rPr>
                    <w:t>设备维保</w:t>
                  </w:r>
                </w:p>
              </w:tc>
              <w:tc>
                <w:tcPr>
                  <w:tcW w:w="1501" w:type="dxa"/>
                  <w:vAlign w:val="center"/>
                </w:tcPr>
                <w:p>
                  <w:pPr>
                    <w:widowControl/>
                    <w:adjustRightInd w:val="0"/>
                    <w:snapToGrid w:val="0"/>
                    <w:jc w:val="center"/>
                    <w:rPr>
                      <w:bCs/>
                      <w:color w:val="auto"/>
                      <w:szCs w:val="21"/>
                    </w:rPr>
                  </w:pPr>
                  <w:r>
                    <w:rPr>
                      <w:color w:val="auto"/>
                      <w:szCs w:val="21"/>
                    </w:rPr>
                    <w:t>废抹布</w:t>
                  </w:r>
                  <w:r>
                    <w:rPr>
                      <w:rFonts w:hint="eastAsia"/>
                      <w:color w:val="auto"/>
                      <w:szCs w:val="21"/>
                    </w:rPr>
                    <w:t>手套</w:t>
                  </w:r>
                </w:p>
              </w:tc>
              <w:tc>
                <w:tcPr>
                  <w:tcW w:w="622" w:type="dxa"/>
                  <w:vAlign w:val="center"/>
                </w:tcPr>
                <w:p>
                  <w:pPr>
                    <w:adjustRightInd w:val="0"/>
                    <w:snapToGrid w:val="0"/>
                    <w:jc w:val="center"/>
                    <w:rPr>
                      <w:bCs/>
                      <w:color w:val="auto"/>
                      <w:szCs w:val="21"/>
                    </w:rPr>
                  </w:pPr>
                  <w:r>
                    <w:rPr>
                      <w:bCs/>
                      <w:color w:val="auto"/>
                      <w:szCs w:val="21"/>
                    </w:rPr>
                    <w:t>间断</w:t>
                  </w:r>
                </w:p>
              </w:tc>
              <w:tc>
                <w:tcPr>
                  <w:tcW w:w="3438" w:type="dxa"/>
                  <w:gridSpan w:val="2"/>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51" w:type="dxa"/>
                  <w:vMerge w:val="continue"/>
                  <w:vAlign w:val="center"/>
                </w:tcPr>
                <w:p>
                  <w:pPr>
                    <w:pStyle w:val="83"/>
                    <w:adjustRightInd w:val="0"/>
                    <w:snapToGrid w:val="0"/>
                    <w:ind w:firstLine="420"/>
                    <w:rPr>
                      <w:rFonts w:ascii="Times New Roman" w:hAnsi="Times New Roman" w:eastAsia="宋体"/>
                      <w:color w:val="auto"/>
                      <w:sz w:val="21"/>
                      <w:szCs w:val="21"/>
                    </w:rPr>
                  </w:pPr>
                </w:p>
              </w:tc>
              <w:tc>
                <w:tcPr>
                  <w:tcW w:w="750" w:type="dxa"/>
                  <w:vAlign w:val="center"/>
                </w:tcPr>
                <w:p>
                  <w:pPr>
                    <w:jc w:val="center"/>
                    <w:rPr>
                      <w:color w:val="auto"/>
                      <w:kern w:val="0"/>
                      <w:szCs w:val="21"/>
                    </w:rPr>
                  </w:pPr>
                  <w:r>
                    <w:rPr>
                      <w:color w:val="auto"/>
                      <w:kern w:val="0"/>
                      <w:szCs w:val="21"/>
                    </w:rPr>
                    <w:t>—</w:t>
                  </w:r>
                </w:p>
              </w:tc>
              <w:tc>
                <w:tcPr>
                  <w:tcW w:w="1195" w:type="dxa"/>
                  <w:vAlign w:val="center"/>
                </w:tcPr>
                <w:p>
                  <w:pPr>
                    <w:jc w:val="center"/>
                    <w:rPr>
                      <w:color w:val="auto"/>
                    </w:rPr>
                  </w:pPr>
                  <w:r>
                    <w:rPr>
                      <w:color w:val="auto"/>
                      <w:kern w:val="0"/>
                      <w:szCs w:val="21"/>
                    </w:rPr>
                    <w:t>员工生活</w:t>
                  </w:r>
                </w:p>
              </w:tc>
              <w:tc>
                <w:tcPr>
                  <w:tcW w:w="1501" w:type="dxa"/>
                  <w:vAlign w:val="center"/>
                </w:tcPr>
                <w:p>
                  <w:pPr>
                    <w:jc w:val="center"/>
                    <w:rPr>
                      <w:color w:val="auto"/>
                      <w:szCs w:val="21"/>
                    </w:rPr>
                  </w:pPr>
                  <w:r>
                    <w:rPr>
                      <w:color w:val="auto"/>
                      <w:kern w:val="0"/>
                      <w:szCs w:val="21"/>
                    </w:rPr>
                    <w:t>生活垃圾</w:t>
                  </w:r>
                </w:p>
              </w:tc>
              <w:tc>
                <w:tcPr>
                  <w:tcW w:w="622" w:type="dxa"/>
                  <w:vAlign w:val="center"/>
                </w:tcPr>
                <w:p>
                  <w:pPr>
                    <w:adjustRightInd w:val="0"/>
                    <w:snapToGrid w:val="0"/>
                    <w:jc w:val="center"/>
                    <w:rPr>
                      <w:color w:val="auto"/>
                      <w:kern w:val="0"/>
                      <w:szCs w:val="21"/>
                    </w:rPr>
                  </w:pPr>
                  <w:r>
                    <w:rPr>
                      <w:bCs/>
                      <w:color w:val="auto"/>
                      <w:szCs w:val="21"/>
                    </w:rPr>
                    <w:t>间断</w:t>
                  </w:r>
                </w:p>
              </w:tc>
              <w:tc>
                <w:tcPr>
                  <w:tcW w:w="3438" w:type="dxa"/>
                  <w:gridSpan w:val="2"/>
                  <w:vAlign w:val="center"/>
                </w:tcPr>
                <w:p>
                  <w:pPr>
                    <w:adjustRightInd w:val="0"/>
                    <w:snapToGrid w:val="0"/>
                    <w:jc w:val="center"/>
                    <w:rPr>
                      <w:color w:val="auto"/>
                      <w:szCs w:val="21"/>
                    </w:rPr>
                  </w:pPr>
                  <w:r>
                    <w:rPr>
                      <w:color w:val="auto"/>
                      <w:szCs w:val="21"/>
                    </w:rPr>
                    <w:t>环卫部门统一清运</w:t>
                  </w:r>
                </w:p>
              </w:tc>
            </w:tr>
          </w:tbl>
          <w:p>
            <w:pPr>
              <w:pStyle w:val="18"/>
              <w:rPr>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8" w:hRule="atLeast"/>
          <w:jc w:val="center"/>
        </w:trPr>
        <w:tc>
          <w:tcPr>
            <w:tcW w:w="677" w:type="dxa"/>
            <w:vAlign w:val="center"/>
          </w:tcPr>
          <w:p>
            <w:pPr>
              <w:pStyle w:val="26"/>
              <w:adjustRightInd w:val="0"/>
              <w:snapToGrid w:val="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249" w:type="dxa"/>
            <w:vAlign w:val="center"/>
          </w:tcPr>
          <w:p>
            <w:pPr>
              <w:jc w:val="center"/>
              <w:rPr>
                <w:color w:val="auto"/>
              </w:rPr>
            </w:pPr>
            <w:r>
              <w:rPr>
                <w:bCs/>
                <w:color w:val="auto"/>
                <w:sz w:val="24"/>
                <w:szCs w:val="21"/>
              </w:rPr>
              <w:t>无</w:t>
            </w:r>
          </w:p>
        </w:tc>
      </w:tr>
    </w:tbl>
    <w:p>
      <w:pPr>
        <w:pStyle w:val="26"/>
        <w:jc w:val="center"/>
        <w:rPr>
          <w:rFonts w:ascii="Times New Roman" w:hAnsi="Times New Roman"/>
          <w:snapToGrid w:val="0"/>
          <w:color w:val="auto"/>
          <w:sz w:val="36"/>
          <w:szCs w:val="36"/>
        </w:rPr>
        <w:sectPr>
          <w:pgSz w:w="11906" w:h="16838"/>
          <w:pgMar w:top="1701" w:right="1531" w:bottom="1701" w:left="1531" w:header="851" w:footer="851" w:gutter="0"/>
          <w:cols w:space="720" w:num="1"/>
          <w:docGrid w:linePitch="312" w:charSpace="0"/>
        </w:sectPr>
      </w:pPr>
    </w:p>
    <w:p>
      <w:pPr>
        <w:pStyle w:val="26"/>
        <w:adjustRightInd w:val="0"/>
        <w:snapToGrid w:val="0"/>
        <w:spacing w:before="0" w:beforeAutospacing="0" w:after="0" w:afterAutospacing="0"/>
        <w:jc w:val="center"/>
        <w:outlineLvl w:val="0"/>
        <w:rPr>
          <w:rFonts w:ascii="Times New Roman" w:hAnsi="Times New Roman"/>
          <w:b/>
          <w:bCs/>
          <w:snapToGrid w:val="0"/>
          <w:color w:val="auto"/>
          <w:sz w:val="30"/>
          <w:szCs w:val="30"/>
        </w:rPr>
      </w:pPr>
      <w:bookmarkStart w:id="6" w:name="_Toc7243"/>
      <w:r>
        <w:rPr>
          <w:rFonts w:ascii="Times New Roman" w:hAnsi="Times New Roman"/>
          <w:b/>
          <w:bCs/>
          <w:snapToGrid w:val="0"/>
          <w:color w:val="auto"/>
          <w:sz w:val="30"/>
          <w:szCs w:val="30"/>
        </w:rPr>
        <w:t>三、区域环境质量现状、环境保护目标及评价标准</w:t>
      </w:r>
      <w:bookmarkEnd w:id="6"/>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4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20" w:hRule="atLeast"/>
          <w:jc w:val="center"/>
        </w:trPr>
        <w:tc>
          <w:tcPr>
            <w:tcW w:w="507" w:type="dxa"/>
            <w:vAlign w:val="center"/>
          </w:tcPr>
          <w:p>
            <w:pPr>
              <w:adjustRightInd w:val="0"/>
              <w:snapToGrid w:val="0"/>
              <w:jc w:val="center"/>
              <w:rPr>
                <w:color w:val="auto"/>
                <w:kern w:val="0"/>
                <w:sz w:val="24"/>
              </w:rPr>
            </w:pPr>
            <w:r>
              <w:rPr>
                <w:color w:val="auto"/>
                <w:kern w:val="0"/>
                <w:sz w:val="24"/>
              </w:rPr>
              <w:t>区域</w:t>
            </w:r>
          </w:p>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质量</w:t>
            </w:r>
          </w:p>
          <w:p>
            <w:pPr>
              <w:adjustRightInd w:val="0"/>
              <w:snapToGrid w:val="0"/>
              <w:jc w:val="center"/>
              <w:rPr>
                <w:color w:val="auto"/>
                <w:kern w:val="0"/>
                <w:szCs w:val="21"/>
              </w:rPr>
            </w:pPr>
            <w:r>
              <w:rPr>
                <w:color w:val="auto"/>
                <w:kern w:val="0"/>
                <w:sz w:val="24"/>
              </w:rPr>
              <w:t>现状</w:t>
            </w:r>
          </w:p>
        </w:tc>
        <w:tc>
          <w:tcPr>
            <w:tcW w:w="8483" w:type="dxa"/>
            <w:vAlign w:val="center"/>
          </w:tcPr>
          <w:p>
            <w:pPr>
              <w:adjustRightInd w:val="0"/>
              <w:snapToGrid w:val="0"/>
              <w:spacing w:line="360" w:lineRule="auto"/>
              <w:jc w:val="left"/>
              <w:rPr>
                <w:color w:val="auto"/>
                <w:kern w:val="0"/>
                <w:sz w:val="24"/>
              </w:rPr>
            </w:pPr>
            <w:r>
              <w:rPr>
                <w:b/>
                <w:bCs/>
                <w:color w:val="auto"/>
                <w:kern w:val="0"/>
                <w:sz w:val="24"/>
              </w:rPr>
              <w:t>1、大气环境</w:t>
            </w:r>
          </w:p>
          <w:p>
            <w:pPr>
              <w:adjustRightInd w:val="0"/>
              <w:snapToGrid w:val="0"/>
              <w:spacing w:line="360" w:lineRule="auto"/>
              <w:ind w:firstLine="361" w:firstLineChars="150"/>
              <w:rPr>
                <w:b/>
                <w:color w:val="auto"/>
                <w:sz w:val="24"/>
              </w:rPr>
            </w:pPr>
            <w:r>
              <w:rPr>
                <w:b/>
                <w:color w:val="auto"/>
                <w:sz w:val="24"/>
              </w:rPr>
              <w:t>①环境质量达标区判定</w:t>
            </w:r>
          </w:p>
          <w:p>
            <w:pPr>
              <w:tabs>
                <w:tab w:val="left" w:pos="9555"/>
              </w:tabs>
              <w:adjustRightInd w:val="0"/>
              <w:snapToGrid w:val="0"/>
              <w:spacing w:line="360" w:lineRule="auto"/>
              <w:ind w:firstLine="448" w:firstLineChars="187"/>
              <w:rPr>
                <w:color w:val="auto"/>
                <w:sz w:val="24"/>
              </w:rPr>
            </w:pPr>
            <w:r>
              <w:rPr>
                <w:color w:val="auto"/>
                <w:sz w:val="24"/>
              </w:rPr>
              <w:t>根据《环境影响评价技术导则-大气环境》（HJ2.2-2018），项目所在区域达标判定，优先采用国家或地方生态环境主管部门公开发布的评价基准年环境质量公告或环境质量报告中的数据或结论。</w:t>
            </w:r>
            <w:r>
              <w:rPr>
                <w:color w:val="auto"/>
                <w:sz w:val="24"/>
                <w:szCs w:val="22"/>
              </w:rPr>
              <w:t>本报告选取2021年作为评价基准年，</w:t>
            </w:r>
            <w:r>
              <w:rPr>
                <w:color w:val="auto"/>
                <w:sz w:val="24"/>
              </w:rPr>
              <w:t>根据《无锡市生态环境状况公报（2021年度）》，全市环境空气中细颗粒物（PM</w:t>
            </w:r>
            <w:r>
              <w:rPr>
                <w:color w:val="auto"/>
                <w:sz w:val="24"/>
                <w:vertAlign w:val="subscript"/>
              </w:rPr>
              <w:t>2.5</w:t>
            </w:r>
            <w:r>
              <w:rPr>
                <w:color w:val="auto"/>
                <w:sz w:val="24"/>
              </w:rPr>
              <w:t>）、可吸入颗粒物（PM</w:t>
            </w:r>
            <w:r>
              <w:rPr>
                <w:color w:val="auto"/>
                <w:sz w:val="24"/>
                <w:vertAlign w:val="subscript"/>
              </w:rPr>
              <w:t>10</w:t>
            </w:r>
            <w:r>
              <w:rPr>
                <w:color w:val="auto"/>
                <w:sz w:val="24"/>
              </w:rPr>
              <w:t>）、一氧化碳（CO）年均浓度分别为29微克/立方米、54微克/立方米和1.1毫克/立方米，同比分别下降12.1%、3.6%和8.3%；二氧化氮（NO</w:t>
            </w:r>
            <w:r>
              <w:rPr>
                <w:color w:val="auto"/>
                <w:sz w:val="24"/>
                <w:vertAlign w:val="subscript"/>
              </w:rPr>
              <w:t>2</w:t>
            </w:r>
            <w:r>
              <w:rPr>
                <w:color w:val="auto"/>
                <w:sz w:val="24"/>
              </w:rPr>
              <w:t>）和二氧化硫（SO</w:t>
            </w:r>
            <w:r>
              <w:rPr>
                <w:color w:val="auto"/>
                <w:sz w:val="24"/>
                <w:vertAlign w:val="subscript"/>
              </w:rPr>
              <w:t>2</w:t>
            </w:r>
            <w:r>
              <w:rPr>
                <w:color w:val="auto"/>
                <w:sz w:val="24"/>
              </w:rPr>
              <w:t>）年均浓度分别为34微克/立方米和7微克/立方米，同比持平；臭氧（O</w:t>
            </w:r>
            <w:r>
              <w:rPr>
                <w:color w:val="auto"/>
                <w:sz w:val="24"/>
                <w:vertAlign w:val="subscript"/>
              </w:rPr>
              <w:t>3</w:t>
            </w:r>
            <w:r>
              <w:rPr>
                <w:color w:val="auto"/>
                <w:sz w:val="24"/>
              </w:rPr>
              <w:t>）浓度为175微克/立方米，同比上升2.3%。按照《环境空气质量标准》（GB3095-2012）二级标准进行年度评价，所辖“二市六区”臭氧浓度均未达标，其余指标均已达标。因此判定为不达标区。</w:t>
            </w:r>
          </w:p>
          <w:p>
            <w:pPr>
              <w:pStyle w:val="94"/>
              <w:spacing w:line="360" w:lineRule="auto"/>
              <w:ind w:firstLine="480"/>
              <w:rPr>
                <w:rFonts w:eastAsia="宋体"/>
                <w:color w:val="auto"/>
                <w:sz w:val="24"/>
              </w:rPr>
            </w:pPr>
            <w:r>
              <w:rPr>
                <w:rFonts w:eastAsia="宋体"/>
                <w:color w:val="auto"/>
                <w:sz w:val="24"/>
              </w:rPr>
              <w:t>根据《中华人民共和国大气污染防治法》的要求，未达标城市需要编制限期达标规划，明确限期达标，制定有效的大气污染防治措施。无锡市已按要求开展限期达标规划。</w:t>
            </w:r>
          </w:p>
          <w:p>
            <w:pPr>
              <w:pStyle w:val="94"/>
              <w:spacing w:line="360" w:lineRule="auto"/>
              <w:ind w:firstLine="480"/>
              <w:rPr>
                <w:rFonts w:eastAsia="宋体"/>
                <w:color w:val="auto"/>
                <w:sz w:val="24"/>
              </w:rPr>
            </w:pPr>
            <w:r>
              <w:rPr>
                <w:rFonts w:eastAsia="宋体"/>
                <w:color w:val="auto"/>
                <w:sz w:val="24"/>
              </w:rPr>
              <w:t>根据《无锡市大气环境质量限期达标规划（2018-2025年）》，无锡市达标规划的规划范围为：整个无锡市全市范围（4650平方公里）。无锡市区面积1643.88平方公里，另有太湖水域397.8平方公里。下辖共5个区2个市（梁溪区、滨湖区、惠山区、锡山区、新吴区、江阴市、宜兴市）、7个镇、41个街道。</w:t>
            </w:r>
          </w:p>
          <w:p>
            <w:pPr>
              <w:pStyle w:val="94"/>
              <w:spacing w:line="360" w:lineRule="auto"/>
              <w:ind w:firstLine="480"/>
              <w:rPr>
                <w:rFonts w:eastAsia="宋体"/>
                <w:color w:val="auto"/>
                <w:sz w:val="24"/>
              </w:rPr>
            </w:pPr>
            <w:r>
              <w:rPr>
                <w:rFonts w:eastAsia="宋体"/>
                <w:color w:val="auto"/>
                <w:sz w:val="24"/>
              </w:rPr>
              <w:t>达标期限：无锡市环境空气质量在2025年实现全面达标。</w:t>
            </w:r>
          </w:p>
          <w:p>
            <w:pPr>
              <w:pStyle w:val="94"/>
              <w:spacing w:line="360" w:lineRule="auto"/>
              <w:ind w:firstLine="480"/>
              <w:rPr>
                <w:rFonts w:eastAsia="宋体"/>
                <w:color w:val="auto"/>
                <w:sz w:val="24"/>
              </w:rPr>
            </w:pPr>
            <w:r>
              <w:rPr>
                <w:rFonts w:eastAsia="宋体"/>
                <w:color w:val="auto"/>
                <w:sz w:val="24"/>
              </w:rPr>
              <w:t>远期目标：力争到2025年，无锡市PM</w:t>
            </w:r>
            <w:r>
              <w:rPr>
                <w:rFonts w:eastAsia="宋体"/>
                <w:color w:val="auto"/>
                <w:sz w:val="24"/>
                <w:vertAlign w:val="subscript"/>
              </w:rPr>
              <w:t>2.5</w:t>
            </w:r>
            <w:r>
              <w:rPr>
                <w:rFonts w:eastAsia="宋体"/>
                <w:color w:val="auto"/>
                <w:sz w:val="24"/>
              </w:rPr>
              <w:t>浓度达到35</w:t>
            </w:r>
            <w:r>
              <w:rPr>
                <w:rFonts w:eastAsia="宋体"/>
                <w:color w:val="auto"/>
                <w:sz w:val="24"/>
                <w:shd w:val="clear" w:color="auto" w:fill="FFFFFF"/>
              </w:rPr>
              <w:t>μ</w:t>
            </w:r>
            <w:r>
              <w:rPr>
                <w:rFonts w:eastAsia="宋体"/>
                <w:color w:val="auto"/>
                <w:sz w:val="24"/>
              </w:rPr>
              <w:t>g/m</w:t>
            </w:r>
            <w:r>
              <w:rPr>
                <w:rFonts w:eastAsia="宋体"/>
                <w:color w:val="auto"/>
                <w:sz w:val="24"/>
                <w:vertAlign w:val="superscript"/>
              </w:rPr>
              <w:t>3</w:t>
            </w:r>
            <w:r>
              <w:rPr>
                <w:rFonts w:eastAsia="宋体"/>
                <w:color w:val="auto"/>
                <w:sz w:val="24"/>
              </w:rPr>
              <w:t>左右，O</w:t>
            </w:r>
            <w:r>
              <w:rPr>
                <w:rFonts w:eastAsia="宋体"/>
                <w:color w:val="auto"/>
                <w:sz w:val="24"/>
                <w:vertAlign w:val="subscript"/>
              </w:rPr>
              <w:t>3</w:t>
            </w:r>
            <w:r>
              <w:rPr>
                <w:rFonts w:eastAsia="宋体"/>
                <w:color w:val="auto"/>
                <w:sz w:val="24"/>
              </w:rPr>
              <w:t>浓度达到拐点，除O</w:t>
            </w:r>
            <w:r>
              <w:rPr>
                <w:rFonts w:eastAsia="宋体"/>
                <w:color w:val="auto"/>
                <w:sz w:val="24"/>
                <w:vertAlign w:val="subscript"/>
              </w:rPr>
              <w:t>3</w:t>
            </w:r>
            <w:r>
              <w:rPr>
                <w:rFonts w:eastAsia="宋体"/>
                <w:color w:val="auto"/>
                <w:sz w:val="24"/>
              </w:rPr>
              <w:t>以外的主要大气污染物浓度达到国家二级标准要求，空气质量优良天数比率达到80%。</w:t>
            </w:r>
          </w:p>
          <w:p>
            <w:pPr>
              <w:pStyle w:val="94"/>
              <w:spacing w:line="360" w:lineRule="auto"/>
              <w:ind w:firstLine="480"/>
              <w:rPr>
                <w:rFonts w:eastAsia="宋体"/>
                <w:color w:val="auto"/>
                <w:sz w:val="24"/>
              </w:rPr>
            </w:pPr>
            <w:r>
              <w:rPr>
                <w:rFonts w:eastAsia="宋体"/>
                <w:color w:val="auto"/>
                <w:sz w:val="24"/>
              </w:rPr>
              <w:t>总体战略：以不断降低PM</w:t>
            </w:r>
            <w:r>
              <w:rPr>
                <w:rFonts w:eastAsia="宋体"/>
                <w:color w:val="auto"/>
                <w:sz w:val="24"/>
                <w:vertAlign w:val="subscript"/>
              </w:rPr>
              <w:t>2.5</w:t>
            </w:r>
            <w:r>
              <w:rPr>
                <w:rFonts w:eastAsia="宋体"/>
                <w:color w:val="auto"/>
                <w:sz w:val="24"/>
              </w:rPr>
              <w:t>浓度，明显减少重污染天数，明显改善环境空气质量，明显增强人民的蓝天幸福感为核心目标，推进能源结构调整，推进热电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rFonts w:eastAsia="宋体"/>
                <w:color w:val="auto"/>
                <w:sz w:val="24"/>
                <w:vertAlign w:val="subscript"/>
              </w:rPr>
              <w:t>2.5</w:t>
            </w:r>
            <w:r>
              <w:rPr>
                <w:rFonts w:eastAsia="宋体"/>
                <w:color w:val="auto"/>
                <w:sz w:val="24"/>
              </w:rPr>
              <w:t>和臭氧协同控制，推进区域联防联控，提升大气污染精细化防控能力。</w:t>
            </w:r>
          </w:p>
          <w:p>
            <w:pPr>
              <w:tabs>
                <w:tab w:val="left" w:pos="9555"/>
              </w:tabs>
              <w:adjustRightInd w:val="0"/>
              <w:snapToGrid w:val="0"/>
              <w:spacing w:line="360" w:lineRule="auto"/>
              <w:ind w:firstLine="448" w:firstLineChars="187"/>
              <w:rPr>
                <w:color w:val="auto"/>
                <w:sz w:val="24"/>
              </w:rPr>
            </w:pPr>
            <w:r>
              <w:rPr>
                <w:color w:val="auto"/>
                <w:sz w:val="24"/>
              </w:rPr>
              <w:t>分阶段战略：到2025年，实施清洁能源利用，优化能源结构，以江阴市为重点推进热电整合。完成重点行业低VOCs含量原辅料替代目标。升级工艺技术，优化工艺流程，提高各行业清洁化生产水平。大幅提升新能源汽车特别是电动车比例。推进PM</w:t>
            </w:r>
            <w:r>
              <w:rPr>
                <w:color w:val="auto"/>
                <w:sz w:val="24"/>
                <w:vertAlign w:val="subscript"/>
              </w:rPr>
              <w:t>2.5</w:t>
            </w:r>
            <w:r>
              <w:rPr>
                <w:color w:val="auto"/>
                <w:sz w:val="24"/>
              </w:rPr>
              <w:t>和臭氧的协同控制，推进区域联防联控。</w:t>
            </w:r>
          </w:p>
          <w:p>
            <w:pPr>
              <w:tabs>
                <w:tab w:val="left" w:pos="9555"/>
              </w:tabs>
              <w:adjustRightInd w:val="0"/>
              <w:snapToGrid w:val="0"/>
              <w:spacing w:line="360" w:lineRule="auto"/>
              <w:ind w:firstLine="451" w:firstLineChars="187"/>
              <w:rPr>
                <w:b/>
                <w:color w:val="auto"/>
                <w:sz w:val="24"/>
              </w:rPr>
            </w:pPr>
            <w:r>
              <w:rPr>
                <w:rFonts w:hint="eastAsia"/>
                <w:b/>
                <w:color w:val="auto"/>
                <w:sz w:val="24"/>
              </w:rPr>
              <w:t>②</w:t>
            </w:r>
            <w:r>
              <w:rPr>
                <w:b/>
                <w:color w:val="auto"/>
                <w:sz w:val="24"/>
              </w:rPr>
              <w:t>其他污染物环境质量现状</w:t>
            </w:r>
          </w:p>
          <w:p>
            <w:pPr>
              <w:wordWrap w:val="0"/>
              <w:spacing w:line="360" w:lineRule="auto"/>
              <w:ind w:firstLine="482"/>
              <w:jc w:val="left"/>
              <w:rPr>
                <w:color w:val="auto"/>
                <w:sz w:val="24"/>
                <w:szCs w:val="21"/>
              </w:rPr>
            </w:pPr>
            <w:r>
              <w:rPr>
                <w:rFonts w:hint="eastAsia"/>
                <w:color w:val="auto"/>
                <w:sz w:val="24"/>
                <w:szCs w:val="21"/>
              </w:rPr>
              <w:t>本项目</w:t>
            </w:r>
            <w:r>
              <w:rPr>
                <w:color w:val="auto"/>
                <w:sz w:val="24"/>
                <w:szCs w:val="21"/>
              </w:rPr>
              <w:t>特征污染物</w:t>
            </w:r>
            <w:r>
              <w:rPr>
                <w:rFonts w:hint="eastAsia"/>
                <w:color w:val="auto"/>
                <w:sz w:val="24"/>
                <w:szCs w:val="21"/>
              </w:rPr>
              <w:t>非甲烷总烃</w:t>
            </w:r>
            <w:r>
              <w:rPr>
                <w:color w:val="auto"/>
                <w:sz w:val="24"/>
                <w:szCs w:val="21"/>
              </w:rPr>
              <w:t>现状数据引用</w:t>
            </w:r>
            <w:r>
              <w:rPr>
                <w:rFonts w:hint="eastAsia"/>
                <w:color w:val="auto"/>
                <w:sz w:val="24"/>
                <w:szCs w:val="21"/>
              </w:rPr>
              <w:t>《无锡南大绿色</w:t>
            </w:r>
            <w:r>
              <w:rPr>
                <w:color w:val="auto"/>
                <w:sz w:val="24"/>
                <w:szCs w:val="21"/>
              </w:rPr>
              <w:t>环境友好</w:t>
            </w:r>
            <w:r>
              <w:rPr>
                <w:rFonts w:hint="eastAsia"/>
                <w:color w:val="auto"/>
                <w:sz w:val="24"/>
                <w:szCs w:val="21"/>
              </w:rPr>
              <w:t>材料技术</w:t>
            </w:r>
            <w:r>
              <w:rPr>
                <w:color w:val="auto"/>
                <w:sz w:val="24"/>
                <w:szCs w:val="21"/>
              </w:rPr>
              <w:t>研究院有限公司年产</w:t>
            </w:r>
            <w:r>
              <w:rPr>
                <w:rFonts w:hint="eastAsia"/>
                <w:color w:val="auto"/>
                <w:sz w:val="24"/>
                <w:szCs w:val="21"/>
              </w:rPr>
              <w:t>2万吨</w:t>
            </w:r>
            <w:r>
              <w:rPr>
                <w:color w:val="auto"/>
                <w:sz w:val="24"/>
                <w:szCs w:val="21"/>
              </w:rPr>
              <w:t>聚乳酸切片可降解新材料项目</w:t>
            </w:r>
            <w:r>
              <w:rPr>
                <w:rFonts w:hint="eastAsia"/>
                <w:color w:val="auto"/>
                <w:sz w:val="24"/>
                <w:szCs w:val="21"/>
              </w:rPr>
              <w:t>环境影响报告书》</w:t>
            </w:r>
            <w:r>
              <w:rPr>
                <w:color w:val="auto"/>
                <w:sz w:val="24"/>
                <w:szCs w:val="21"/>
              </w:rPr>
              <w:t>中</w:t>
            </w:r>
            <w:r>
              <w:rPr>
                <w:rFonts w:hint="eastAsia"/>
                <w:color w:val="auto"/>
                <w:sz w:val="24"/>
                <w:szCs w:val="21"/>
              </w:rPr>
              <w:t>于</w:t>
            </w:r>
            <w:r>
              <w:rPr>
                <w:color w:val="auto"/>
                <w:sz w:val="24"/>
                <w:szCs w:val="21"/>
              </w:rPr>
              <w:t>2020年9月24日～9月30日的监测数据</w:t>
            </w:r>
            <w:r>
              <w:rPr>
                <w:rFonts w:hint="eastAsia"/>
                <w:color w:val="auto"/>
                <w:sz w:val="24"/>
                <w:szCs w:val="21"/>
              </w:rPr>
              <w:t>（</w:t>
            </w:r>
            <w:r>
              <w:rPr>
                <w:color w:val="auto"/>
                <w:sz w:val="24"/>
                <w:szCs w:val="21"/>
              </w:rPr>
              <w:t>G2</w:t>
            </w:r>
            <w:r>
              <w:rPr>
                <w:rFonts w:hint="eastAsia"/>
                <w:color w:val="auto"/>
                <w:sz w:val="24"/>
                <w:szCs w:val="21"/>
              </w:rPr>
              <w:t>无锡市前洲</w:t>
            </w:r>
            <w:r>
              <w:rPr>
                <w:color w:val="auto"/>
                <w:sz w:val="24"/>
                <w:szCs w:val="21"/>
              </w:rPr>
              <w:t>中学</w:t>
            </w:r>
            <w:r>
              <w:rPr>
                <w:rFonts w:hint="eastAsia"/>
                <w:color w:val="auto"/>
                <w:sz w:val="24"/>
                <w:szCs w:val="21"/>
              </w:rPr>
              <w:t>，</w:t>
            </w:r>
            <w:r>
              <w:rPr>
                <w:color w:val="auto"/>
                <w:sz w:val="24"/>
                <w:szCs w:val="21"/>
              </w:rPr>
              <w:t>位于本项目</w:t>
            </w:r>
            <w:r>
              <w:rPr>
                <w:rFonts w:hint="eastAsia"/>
                <w:color w:val="auto"/>
                <w:sz w:val="24"/>
                <w:szCs w:val="21"/>
              </w:rPr>
              <w:t>南侧</w:t>
            </w:r>
            <w:r>
              <w:rPr>
                <w:color w:val="auto"/>
                <w:sz w:val="24"/>
                <w:szCs w:val="21"/>
              </w:rPr>
              <w:t>2.2km</w:t>
            </w:r>
            <w:r>
              <w:rPr>
                <w:rFonts w:hint="eastAsia"/>
                <w:color w:val="auto"/>
                <w:sz w:val="24"/>
                <w:szCs w:val="21"/>
              </w:rPr>
              <w:t>）；甲醛现状数据来源</w:t>
            </w:r>
            <w:r>
              <w:rPr>
                <w:color w:val="auto"/>
                <w:sz w:val="24"/>
                <w:szCs w:val="21"/>
              </w:rPr>
              <w:t>于无锡市新环化工监测站</w:t>
            </w:r>
            <w:r>
              <w:rPr>
                <w:rFonts w:hint="eastAsia"/>
                <w:color w:val="auto"/>
                <w:sz w:val="24"/>
                <w:szCs w:val="21"/>
              </w:rPr>
              <w:t>于202</w:t>
            </w:r>
            <w:r>
              <w:rPr>
                <w:color w:val="auto"/>
                <w:sz w:val="24"/>
                <w:szCs w:val="21"/>
              </w:rPr>
              <w:t>3</w:t>
            </w:r>
            <w:r>
              <w:rPr>
                <w:rFonts w:hint="eastAsia"/>
                <w:color w:val="auto"/>
                <w:sz w:val="24"/>
                <w:szCs w:val="21"/>
              </w:rPr>
              <w:t>年</w:t>
            </w:r>
            <w:r>
              <w:rPr>
                <w:color w:val="auto"/>
                <w:sz w:val="24"/>
                <w:szCs w:val="21"/>
              </w:rPr>
              <w:t>2</w:t>
            </w:r>
            <w:r>
              <w:rPr>
                <w:rFonts w:hint="eastAsia"/>
                <w:color w:val="auto"/>
                <w:sz w:val="24"/>
                <w:szCs w:val="21"/>
              </w:rPr>
              <w:t>月24日～</w:t>
            </w:r>
            <w:r>
              <w:rPr>
                <w:color w:val="auto"/>
                <w:sz w:val="24"/>
                <w:szCs w:val="21"/>
              </w:rPr>
              <w:t>3</w:t>
            </w:r>
            <w:r>
              <w:rPr>
                <w:rFonts w:hint="eastAsia"/>
                <w:color w:val="auto"/>
                <w:sz w:val="24"/>
                <w:szCs w:val="21"/>
              </w:rPr>
              <w:t>月</w:t>
            </w:r>
            <w:r>
              <w:rPr>
                <w:color w:val="auto"/>
                <w:sz w:val="24"/>
                <w:szCs w:val="21"/>
              </w:rPr>
              <w:t>2</w:t>
            </w:r>
            <w:r>
              <w:rPr>
                <w:rFonts w:hint="eastAsia"/>
                <w:color w:val="auto"/>
                <w:sz w:val="24"/>
                <w:szCs w:val="21"/>
              </w:rPr>
              <w:t>日在</w:t>
            </w:r>
            <w:r>
              <w:rPr>
                <w:rFonts w:hint="eastAsia"/>
                <w:color w:val="auto"/>
                <w:sz w:val="24"/>
                <w:szCs w:val="21"/>
                <w:lang w:eastAsia="zh-CN"/>
              </w:rPr>
              <w:t>项目所在地</w:t>
            </w:r>
            <w:r>
              <w:rPr>
                <w:color w:val="auto"/>
                <w:sz w:val="24"/>
                <w:szCs w:val="21"/>
              </w:rPr>
              <w:t>的</w:t>
            </w:r>
            <w:r>
              <w:rPr>
                <w:rFonts w:hint="eastAsia"/>
                <w:color w:val="auto"/>
                <w:sz w:val="24"/>
                <w:szCs w:val="21"/>
              </w:rPr>
              <w:t>监测数据，</w:t>
            </w:r>
            <w:r>
              <w:rPr>
                <w:color w:val="auto"/>
                <w:sz w:val="24"/>
                <w:szCs w:val="21"/>
              </w:rPr>
              <w:t>具体如下：</w:t>
            </w:r>
          </w:p>
          <w:p>
            <w:pPr>
              <w:snapToGrid w:val="0"/>
              <w:ind w:firstLine="482" w:firstLineChars="200"/>
              <w:jc w:val="center"/>
              <w:rPr>
                <w:b/>
                <w:bCs/>
                <w:color w:val="auto"/>
                <w:kern w:val="0"/>
                <w:sz w:val="24"/>
                <w:szCs w:val="21"/>
              </w:rPr>
            </w:pPr>
            <w:r>
              <w:rPr>
                <w:b/>
                <w:bCs/>
                <w:color w:val="auto"/>
                <w:kern w:val="0"/>
                <w:sz w:val="24"/>
                <w:szCs w:val="21"/>
              </w:rPr>
              <w:t>表3-</w:t>
            </w:r>
            <w:r>
              <w:rPr>
                <w:rFonts w:hint="eastAsia"/>
                <w:b/>
                <w:bCs/>
                <w:color w:val="auto"/>
                <w:kern w:val="0"/>
                <w:sz w:val="24"/>
                <w:szCs w:val="21"/>
              </w:rPr>
              <w:t>1</w:t>
            </w:r>
            <w:r>
              <w:rPr>
                <w:b/>
                <w:bCs/>
                <w:color w:val="auto"/>
                <w:kern w:val="0"/>
                <w:sz w:val="24"/>
                <w:szCs w:val="21"/>
              </w:rPr>
              <w:t xml:space="preserve">  其他污染物环境质量现状监测</w:t>
            </w:r>
            <w:r>
              <w:rPr>
                <w:rFonts w:hint="eastAsia"/>
                <w:b/>
                <w:bCs/>
                <w:color w:val="auto"/>
                <w:kern w:val="0"/>
                <w:sz w:val="24"/>
                <w:szCs w:val="21"/>
              </w:rPr>
              <w:t>点位情况表</w:t>
            </w:r>
            <w:r>
              <w:rPr>
                <w:b/>
                <w:bCs/>
                <w:color w:val="auto"/>
                <w:kern w:val="0"/>
                <w:sz w:val="24"/>
                <w:szCs w:val="21"/>
              </w:rPr>
              <w:t xml:space="preserve"> </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419"/>
              <w:gridCol w:w="2125"/>
              <w:gridCol w:w="1559"/>
              <w:gridCol w:w="15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op w:val="single" w:color="auto" w:sz="12" w:space="0"/>
                    <w:left w:val="nil"/>
                    <w:right w:val="single" w:color="auto" w:sz="4" w:space="0"/>
                  </w:tcBorders>
                  <w:vAlign w:val="center"/>
                </w:tcPr>
                <w:p>
                  <w:pPr>
                    <w:adjustRightInd w:val="0"/>
                    <w:snapToGrid w:val="0"/>
                    <w:jc w:val="center"/>
                    <w:rPr>
                      <w:b/>
                      <w:bCs/>
                      <w:color w:val="auto"/>
                      <w:szCs w:val="18"/>
                    </w:rPr>
                  </w:pPr>
                  <w:r>
                    <w:rPr>
                      <w:b/>
                      <w:bCs/>
                      <w:color w:val="auto"/>
                      <w:szCs w:val="18"/>
                    </w:rPr>
                    <w:t>监测点名称</w:t>
                  </w:r>
                </w:p>
              </w:tc>
              <w:tc>
                <w:tcPr>
                  <w:tcW w:w="858" w:type="pct"/>
                  <w:vMerge w:val="restart"/>
                  <w:tcBorders>
                    <w:top w:val="single" w:color="auto" w:sz="12" w:space="0"/>
                    <w:left w:val="single" w:color="auto" w:sz="4" w:space="0"/>
                    <w:right w:val="single" w:color="auto" w:sz="4" w:space="0"/>
                  </w:tcBorders>
                  <w:vAlign w:val="center"/>
                </w:tcPr>
                <w:p>
                  <w:pPr>
                    <w:adjustRightInd w:val="0"/>
                    <w:snapToGrid w:val="0"/>
                    <w:jc w:val="center"/>
                    <w:rPr>
                      <w:b/>
                      <w:bCs/>
                      <w:color w:val="auto"/>
                      <w:szCs w:val="18"/>
                    </w:rPr>
                  </w:pPr>
                  <w:r>
                    <w:rPr>
                      <w:b/>
                      <w:bCs/>
                      <w:color w:val="auto"/>
                      <w:szCs w:val="18"/>
                    </w:rPr>
                    <w:t>监测因子</w:t>
                  </w:r>
                </w:p>
              </w:tc>
              <w:tc>
                <w:tcPr>
                  <w:tcW w:w="1285" w:type="pct"/>
                  <w:vMerge w:val="restart"/>
                  <w:tcBorders>
                    <w:top w:val="single" w:color="auto" w:sz="12" w:space="0"/>
                    <w:left w:val="single" w:color="auto" w:sz="4" w:space="0"/>
                    <w:right w:val="single" w:color="auto" w:sz="4" w:space="0"/>
                  </w:tcBorders>
                  <w:vAlign w:val="center"/>
                </w:tcPr>
                <w:p>
                  <w:pPr>
                    <w:adjustRightInd w:val="0"/>
                    <w:snapToGrid w:val="0"/>
                    <w:jc w:val="center"/>
                    <w:rPr>
                      <w:b/>
                      <w:bCs/>
                      <w:color w:val="auto"/>
                      <w:szCs w:val="18"/>
                    </w:rPr>
                  </w:pPr>
                  <w:r>
                    <w:rPr>
                      <w:b/>
                      <w:bCs/>
                      <w:color w:val="auto"/>
                      <w:szCs w:val="18"/>
                    </w:rPr>
                    <w:t>检测时段</w:t>
                  </w:r>
                </w:p>
              </w:tc>
              <w:tc>
                <w:tcPr>
                  <w:tcW w:w="943" w:type="pct"/>
                  <w:vMerge w:val="restart"/>
                  <w:tcBorders>
                    <w:top w:val="single" w:color="auto" w:sz="12" w:space="0"/>
                    <w:left w:val="single" w:color="auto" w:sz="4" w:space="0"/>
                    <w:right w:val="single" w:color="auto" w:sz="4" w:space="0"/>
                  </w:tcBorders>
                  <w:vAlign w:val="center"/>
                </w:tcPr>
                <w:p>
                  <w:pPr>
                    <w:adjustRightInd w:val="0"/>
                    <w:snapToGrid w:val="0"/>
                    <w:jc w:val="center"/>
                    <w:rPr>
                      <w:b/>
                      <w:bCs/>
                      <w:color w:val="auto"/>
                      <w:szCs w:val="18"/>
                    </w:rPr>
                  </w:pPr>
                  <w:r>
                    <w:rPr>
                      <w:b/>
                      <w:bCs/>
                      <w:color w:val="auto"/>
                      <w:szCs w:val="18"/>
                    </w:rPr>
                    <w:t>相对厂址方位</w:t>
                  </w:r>
                </w:p>
              </w:tc>
              <w:tc>
                <w:tcPr>
                  <w:tcW w:w="920" w:type="pct"/>
                  <w:vMerge w:val="restart"/>
                  <w:tcBorders>
                    <w:top w:val="single" w:color="auto" w:sz="12" w:space="0"/>
                    <w:left w:val="single" w:color="auto" w:sz="4" w:space="0"/>
                    <w:right w:val="nil"/>
                  </w:tcBorders>
                  <w:vAlign w:val="center"/>
                </w:tcPr>
                <w:p>
                  <w:pPr>
                    <w:adjustRightInd w:val="0"/>
                    <w:snapToGrid w:val="0"/>
                    <w:jc w:val="center"/>
                    <w:rPr>
                      <w:b/>
                      <w:bCs/>
                      <w:color w:val="auto"/>
                      <w:szCs w:val="18"/>
                    </w:rPr>
                  </w:pPr>
                  <w:r>
                    <w:rPr>
                      <w:b/>
                      <w:bCs/>
                      <w:color w:val="auto"/>
                      <w:szCs w:val="18"/>
                    </w:rPr>
                    <w:t>相对厂界距离/km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994" w:type="pct"/>
                  <w:vMerge w:val="continue"/>
                  <w:tcBorders>
                    <w:left w:val="nil"/>
                    <w:bottom w:val="single" w:color="auto" w:sz="4" w:space="0"/>
                    <w:right w:val="single" w:color="auto" w:sz="4" w:space="0"/>
                  </w:tcBorders>
                  <w:vAlign w:val="center"/>
                </w:tcPr>
                <w:p>
                  <w:pPr>
                    <w:adjustRightInd w:val="0"/>
                    <w:snapToGrid w:val="0"/>
                    <w:jc w:val="center"/>
                    <w:rPr>
                      <w:b/>
                      <w:bCs/>
                      <w:color w:val="auto"/>
                      <w:szCs w:val="18"/>
                    </w:rPr>
                  </w:pPr>
                </w:p>
              </w:tc>
              <w:tc>
                <w:tcPr>
                  <w:tcW w:w="858" w:type="pct"/>
                  <w:vMerge w:val="continue"/>
                  <w:tcBorders>
                    <w:left w:val="single" w:color="auto" w:sz="4" w:space="0"/>
                    <w:bottom w:val="single" w:color="auto" w:sz="4" w:space="0"/>
                    <w:right w:val="single" w:color="auto" w:sz="4" w:space="0"/>
                  </w:tcBorders>
                  <w:vAlign w:val="center"/>
                </w:tcPr>
                <w:p>
                  <w:pPr>
                    <w:adjustRightInd w:val="0"/>
                    <w:snapToGrid w:val="0"/>
                    <w:rPr>
                      <w:b/>
                      <w:bCs/>
                      <w:color w:val="auto"/>
                      <w:szCs w:val="18"/>
                    </w:rPr>
                  </w:pPr>
                </w:p>
              </w:tc>
              <w:tc>
                <w:tcPr>
                  <w:tcW w:w="1285" w:type="pct"/>
                  <w:vMerge w:val="continue"/>
                  <w:tcBorders>
                    <w:left w:val="single" w:color="auto" w:sz="4" w:space="0"/>
                    <w:bottom w:val="single" w:color="auto" w:sz="4" w:space="0"/>
                    <w:right w:val="single" w:color="auto" w:sz="4" w:space="0"/>
                  </w:tcBorders>
                  <w:vAlign w:val="center"/>
                </w:tcPr>
                <w:p>
                  <w:pPr>
                    <w:adjustRightInd w:val="0"/>
                    <w:snapToGrid w:val="0"/>
                    <w:jc w:val="center"/>
                    <w:rPr>
                      <w:b/>
                      <w:bCs/>
                      <w:color w:val="auto"/>
                      <w:szCs w:val="18"/>
                    </w:rPr>
                  </w:pPr>
                </w:p>
              </w:tc>
              <w:tc>
                <w:tcPr>
                  <w:tcW w:w="943" w:type="pct"/>
                  <w:vMerge w:val="continue"/>
                  <w:tcBorders>
                    <w:left w:val="single" w:color="auto" w:sz="4" w:space="0"/>
                    <w:bottom w:val="single" w:color="auto" w:sz="4" w:space="0"/>
                    <w:right w:val="single" w:color="auto" w:sz="4" w:space="0"/>
                  </w:tcBorders>
                  <w:vAlign w:val="center"/>
                </w:tcPr>
                <w:p>
                  <w:pPr>
                    <w:adjustRightInd w:val="0"/>
                    <w:snapToGrid w:val="0"/>
                    <w:jc w:val="center"/>
                    <w:rPr>
                      <w:b/>
                      <w:bCs/>
                      <w:color w:val="auto"/>
                      <w:szCs w:val="18"/>
                    </w:rPr>
                  </w:pPr>
                </w:p>
              </w:tc>
              <w:tc>
                <w:tcPr>
                  <w:tcW w:w="920" w:type="pct"/>
                  <w:vMerge w:val="continue"/>
                  <w:tcBorders>
                    <w:left w:val="single" w:color="auto" w:sz="4" w:space="0"/>
                    <w:bottom w:val="single" w:color="auto" w:sz="4" w:space="0"/>
                    <w:right w:val="nil"/>
                  </w:tcBorders>
                  <w:vAlign w:val="center"/>
                </w:tcPr>
                <w:p>
                  <w:pPr>
                    <w:adjustRightInd w:val="0"/>
                    <w:snapToGrid w:val="0"/>
                    <w:jc w:val="center"/>
                    <w:rPr>
                      <w:b/>
                      <w:bCs/>
                      <w:color w:val="auto"/>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tcBorders>
                    <w:top w:val="single" w:color="auto" w:sz="4" w:space="0"/>
                    <w:left w:val="nil"/>
                    <w:bottom w:val="single" w:color="auto" w:sz="4" w:space="0"/>
                    <w:right w:val="single" w:color="auto" w:sz="4" w:space="0"/>
                  </w:tcBorders>
                  <w:vAlign w:val="center"/>
                </w:tcPr>
                <w:p>
                  <w:pPr>
                    <w:adjustRightInd w:val="0"/>
                    <w:snapToGrid w:val="0"/>
                    <w:jc w:val="center"/>
                    <w:rPr>
                      <w:color w:val="auto"/>
                      <w:szCs w:val="18"/>
                    </w:rPr>
                  </w:pPr>
                  <w:r>
                    <w:rPr>
                      <w:rFonts w:hint="eastAsia"/>
                      <w:color w:val="auto"/>
                      <w:szCs w:val="18"/>
                    </w:rPr>
                    <w:t>前洲</w:t>
                  </w:r>
                  <w:r>
                    <w:rPr>
                      <w:color w:val="auto"/>
                      <w:szCs w:val="18"/>
                    </w:rPr>
                    <w:t>中学</w:t>
                  </w:r>
                </w:p>
              </w:tc>
              <w:tc>
                <w:tcPr>
                  <w:tcW w:w="85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18"/>
                    </w:rPr>
                  </w:pPr>
                  <w:r>
                    <w:rPr>
                      <w:rFonts w:hint="eastAsia"/>
                      <w:color w:val="auto"/>
                      <w:szCs w:val="18"/>
                    </w:rPr>
                    <w:t>非甲烷总烃</w:t>
                  </w:r>
                </w:p>
              </w:tc>
              <w:tc>
                <w:tcPr>
                  <w:tcW w:w="128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auto"/>
                      <w:szCs w:val="18"/>
                    </w:rPr>
                  </w:pPr>
                  <w:r>
                    <w:rPr>
                      <w:color w:val="auto"/>
                      <w:szCs w:val="18"/>
                    </w:rPr>
                    <w:t>2020.9.24~2020.9.30</w:t>
                  </w:r>
                </w:p>
              </w:tc>
              <w:tc>
                <w:tcPr>
                  <w:tcW w:w="943" w:type="pct"/>
                  <w:tcBorders>
                    <w:top w:val="single" w:color="auto" w:sz="4" w:space="0"/>
                    <w:left w:val="single" w:color="auto" w:sz="4" w:space="0"/>
                    <w:bottom w:val="single" w:color="auto" w:sz="4" w:space="0"/>
                    <w:right w:val="single" w:color="auto" w:sz="4" w:space="0"/>
                  </w:tcBorders>
                  <w:vAlign w:val="center"/>
                </w:tcPr>
                <w:p>
                  <w:pPr>
                    <w:jc w:val="center"/>
                    <w:rPr>
                      <w:color w:val="auto"/>
                      <w:szCs w:val="18"/>
                    </w:rPr>
                  </w:pPr>
                  <w:r>
                    <w:rPr>
                      <w:color w:val="auto"/>
                      <w:szCs w:val="18"/>
                    </w:rPr>
                    <w:t>S</w:t>
                  </w:r>
                </w:p>
              </w:tc>
              <w:tc>
                <w:tcPr>
                  <w:tcW w:w="920" w:type="pct"/>
                  <w:tcBorders>
                    <w:top w:val="single" w:color="auto" w:sz="4" w:space="0"/>
                    <w:left w:val="single" w:color="auto" w:sz="4" w:space="0"/>
                    <w:bottom w:val="single" w:color="auto" w:sz="4" w:space="0"/>
                    <w:right w:val="nil"/>
                  </w:tcBorders>
                  <w:vAlign w:val="center"/>
                </w:tcPr>
                <w:p>
                  <w:pPr>
                    <w:widowControl/>
                    <w:jc w:val="center"/>
                    <w:textAlignment w:val="center"/>
                    <w:rPr>
                      <w:color w:val="auto"/>
                      <w:szCs w:val="18"/>
                    </w:rPr>
                  </w:pPr>
                  <w:r>
                    <w:rPr>
                      <w:color w:val="auto"/>
                      <w:szCs w:val="18"/>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tcBorders>
                    <w:top w:val="single" w:color="auto" w:sz="4" w:space="0"/>
                    <w:left w:val="nil"/>
                    <w:right w:val="single" w:color="auto" w:sz="4" w:space="0"/>
                  </w:tcBorders>
                  <w:vAlign w:val="center"/>
                </w:tcPr>
                <w:p>
                  <w:pPr>
                    <w:adjustRightInd w:val="0"/>
                    <w:snapToGrid w:val="0"/>
                    <w:jc w:val="center"/>
                    <w:rPr>
                      <w:rFonts w:hint="eastAsia"/>
                      <w:color w:val="auto"/>
                      <w:szCs w:val="18"/>
                    </w:rPr>
                  </w:pPr>
                  <w:r>
                    <w:rPr>
                      <w:rFonts w:hint="eastAsia"/>
                      <w:color w:val="auto"/>
                      <w:szCs w:val="18"/>
                    </w:rPr>
                    <w:t>项目所在地</w:t>
                  </w:r>
                </w:p>
              </w:tc>
              <w:tc>
                <w:tcPr>
                  <w:tcW w:w="858"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szCs w:val="18"/>
                    </w:rPr>
                  </w:pPr>
                  <w:r>
                    <w:rPr>
                      <w:rFonts w:hint="eastAsia"/>
                      <w:color w:val="auto"/>
                      <w:szCs w:val="18"/>
                    </w:rPr>
                    <w:t>甲醛</w:t>
                  </w:r>
                </w:p>
              </w:tc>
              <w:tc>
                <w:tcPr>
                  <w:tcW w:w="1285" w:type="pct"/>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color w:val="auto"/>
                      <w:szCs w:val="18"/>
                    </w:rPr>
                  </w:pPr>
                  <w:r>
                    <w:rPr>
                      <w:rFonts w:hint="eastAsia"/>
                      <w:color w:val="auto"/>
                      <w:szCs w:val="18"/>
                    </w:rPr>
                    <w:t>2023.2.24</w:t>
                  </w:r>
                  <w:r>
                    <w:rPr>
                      <w:rFonts w:hint="eastAsia"/>
                      <w:color w:val="auto"/>
                      <w:szCs w:val="18"/>
                      <w:lang w:val="en-US" w:eastAsia="zh-CN"/>
                    </w:rPr>
                    <w:t>~</w:t>
                  </w:r>
                  <w:r>
                    <w:rPr>
                      <w:rFonts w:hint="eastAsia"/>
                      <w:color w:val="auto"/>
                      <w:szCs w:val="18"/>
                    </w:rPr>
                    <w:t>2023.3.2</w:t>
                  </w:r>
                </w:p>
              </w:tc>
              <w:tc>
                <w:tcPr>
                  <w:tcW w:w="943" w:type="pct"/>
                  <w:tcBorders>
                    <w:top w:val="single" w:color="auto" w:sz="4" w:space="0"/>
                    <w:left w:val="single" w:color="auto" w:sz="4" w:space="0"/>
                    <w:right w:val="single" w:color="auto" w:sz="4" w:space="0"/>
                  </w:tcBorders>
                  <w:vAlign w:val="center"/>
                </w:tcPr>
                <w:p>
                  <w:pPr>
                    <w:jc w:val="center"/>
                    <w:rPr>
                      <w:color w:val="auto"/>
                      <w:szCs w:val="18"/>
                    </w:rPr>
                  </w:pPr>
                  <w:r>
                    <w:rPr>
                      <w:rFonts w:hint="eastAsia"/>
                      <w:color w:val="auto"/>
                      <w:szCs w:val="18"/>
                    </w:rPr>
                    <w:t>/</w:t>
                  </w:r>
                </w:p>
              </w:tc>
              <w:tc>
                <w:tcPr>
                  <w:tcW w:w="920" w:type="pct"/>
                  <w:tcBorders>
                    <w:top w:val="single" w:color="auto" w:sz="4" w:space="0"/>
                    <w:left w:val="single" w:color="auto" w:sz="4" w:space="0"/>
                    <w:right w:val="nil"/>
                  </w:tcBorders>
                  <w:vAlign w:val="center"/>
                </w:tcPr>
                <w:p>
                  <w:pPr>
                    <w:widowControl/>
                    <w:jc w:val="center"/>
                    <w:textAlignment w:val="center"/>
                    <w:rPr>
                      <w:color w:val="auto"/>
                      <w:szCs w:val="18"/>
                    </w:rPr>
                  </w:pPr>
                  <w:r>
                    <w:rPr>
                      <w:rFonts w:hint="eastAsia"/>
                      <w:color w:val="auto"/>
                      <w:szCs w:val="18"/>
                    </w:rPr>
                    <w:t>/</w:t>
                  </w:r>
                </w:p>
              </w:tc>
            </w:tr>
          </w:tbl>
          <w:p>
            <w:pPr>
              <w:spacing w:before="120" w:beforeLines="50"/>
              <w:jc w:val="center"/>
              <w:rPr>
                <w:b/>
                <w:color w:val="auto"/>
                <w:sz w:val="24"/>
                <w:szCs w:val="21"/>
              </w:rPr>
            </w:pPr>
            <w:r>
              <w:rPr>
                <w:b/>
                <w:color w:val="auto"/>
                <w:sz w:val="24"/>
                <w:szCs w:val="21"/>
              </w:rPr>
              <w:t>表3-</w:t>
            </w:r>
            <w:r>
              <w:rPr>
                <w:rFonts w:hint="eastAsia"/>
                <w:b/>
                <w:color w:val="auto"/>
                <w:sz w:val="24"/>
                <w:szCs w:val="21"/>
              </w:rPr>
              <w:t>2</w:t>
            </w:r>
            <w:r>
              <w:rPr>
                <w:b/>
                <w:color w:val="auto"/>
                <w:sz w:val="24"/>
                <w:szCs w:val="21"/>
              </w:rPr>
              <w:t xml:space="preserve">  其他污染物环境质量现状</w:t>
            </w:r>
            <w:r>
              <w:rPr>
                <w:rFonts w:hint="eastAsia"/>
                <w:b/>
                <w:color w:val="auto"/>
                <w:sz w:val="24"/>
                <w:szCs w:val="21"/>
              </w:rPr>
              <w:t>监测结果</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272"/>
              <w:gridCol w:w="714"/>
              <w:gridCol w:w="1000"/>
              <w:gridCol w:w="1228"/>
              <w:gridCol w:w="1147"/>
              <w:gridCol w:w="709"/>
              <w:gridCol w:w="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pct"/>
                  <w:vMerge w:val="restart"/>
                  <w:vAlign w:val="center"/>
                </w:tcPr>
                <w:p>
                  <w:pPr>
                    <w:adjustRightInd w:val="0"/>
                    <w:snapToGrid w:val="0"/>
                    <w:jc w:val="center"/>
                    <w:rPr>
                      <w:b/>
                      <w:bCs/>
                      <w:color w:val="auto"/>
                      <w:szCs w:val="18"/>
                    </w:rPr>
                  </w:pPr>
                  <w:r>
                    <w:rPr>
                      <w:b/>
                      <w:bCs/>
                      <w:color w:val="auto"/>
                      <w:szCs w:val="18"/>
                    </w:rPr>
                    <w:t>监测点名称</w:t>
                  </w:r>
                </w:p>
              </w:tc>
              <w:tc>
                <w:tcPr>
                  <w:tcW w:w="769" w:type="pct"/>
                  <w:vMerge w:val="restart"/>
                  <w:vAlign w:val="center"/>
                </w:tcPr>
                <w:p>
                  <w:pPr>
                    <w:adjustRightInd w:val="0"/>
                    <w:snapToGrid w:val="0"/>
                    <w:jc w:val="center"/>
                    <w:rPr>
                      <w:b/>
                      <w:bCs/>
                      <w:color w:val="auto"/>
                      <w:szCs w:val="18"/>
                    </w:rPr>
                  </w:pPr>
                  <w:r>
                    <w:rPr>
                      <w:b/>
                      <w:bCs/>
                      <w:color w:val="auto"/>
                      <w:szCs w:val="18"/>
                    </w:rPr>
                    <w:t>污染物</w:t>
                  </w:r>
                </w:p>
              </w:tc>
              <w:tc>
                <w:tcPr>
                  <w:tcW w:w="431" w:type="pct"/>
                  <w:vMerge w:val="restart"/>
                  <w:vAlign w:val="center"/>
                </w:tcPr>
                <w:p>
                  <w:pPr>
                    <w:adjustRightInd w:val="0"/>
                    <w:snapToGrid w:val="0"/>
                    <w:jc w:val="center"/>
                    <w:rPr>
                      <w:b/>
                      <w:bCs/>
                      <w:color w:val="auto"/>
                      <w:szCs w:val="18"/>
                    </w:rPr>
                  </w:pPr>
                  <w:r>
                    <w:rPr>
                      <w:b/>
                      <w:bCs/>
                      <w:color w:val="auto"/>
                      <w:szCs w:val="18"/>
                    </w:rPr>
                    <w:t>平均时间</w:t>
                  </w:r>
                </w:p>
              </w:tc>
              <w:tc>
                <w:tcPr>
                  <w:tcW w:w="604" w:type="pct"/>
                  <w:vMerge w:val="restart"/>
                  <w:vAlign w:val="center"/>
                </w:tcPr>
                <w:p>
                  <w:pPr>
                    <w:adjustRightInd w:val="0"/>
                    <w:snapToGrid w:val="0"/>
                    <w:jc w:val="center"/>
                    <w:rPr>
                      <w:b/>
                      <w:bCs/>
                      <w:color w:val="auto"/>
                      <w:szCs w:val="18"/>
                    </w:rPr>
                  </w:pPr>
                  <w:r>
                    <w:rPr>
                      <w:b/>
                      <w:bCs/>
                      <w:color w:val="auto"/>
                      <w:szCs w:val="18"/>
                    </w:rPr>
                    <w:t>评价</w:t>
                  </w:r>
                </w:p>
                <w:p>
                  <w:pPr>
                    <w:adjustRightInd w:val="0"/>
                    <w:snapToGrid w:val="0"/>
                    <w:jc w:val="center"/>
                    <w:rPr>
                      <w:b/>
                      <w:bCs/>
                      <w:color w:val="auto"/>
                      <w:szCs w:val="18"/>
                    </w:rPr>
                  </w:pPr>
                  <w:r>
                    <w:rPr>
                      <w:b/>
                      <w:bCs/>
                      <w:color w:val="auto"/>
                      <w:szCs w:val="18"/>
                    </w:rPr>
                    <w:t>标准mg/m</w:t>
                  </w:r>
                  <w:r>
                    <w:rPr>
                      <w:b/>
                      <w:bCs/>
                      <w:color w:val="auto"/>
                      <w:szCs w:val="18"/>
                      <w:vertAlign w:val="superscript"/>
                    </w:rPr>
                    <w:t>3</w:t>
                  </w:r>
                </w:p>
              </w:tc>
              <w:tc>
                <w:tcPr>
                  <w:tcW w:w="742" w:type="pct"/>
                  <w:vMerge w:val="restart"/>
                  <w:vAlign w:val="center"/>
                </w:tcPr>
                <w:p>
                  <w:pPr>
                    <w:adjustRightInd w:val="0"/>
                    <w:snapToGrid w:val="0"/>
                    <w:jc w:val="center"/>
                    <w:rPr>
                      <w:b/>
                      <w:bCs/>
                      <w:color w:val="auto"/>
                      <w:szCs w:val="18"/>
                    </w:rPr>
                  </w:pPr>
                  <w:r>
                    <w:rPr>
                      <w:b/>
                      <w:bCs/>
                      <w:color w:val="auto"/>
                      <w:szCs w:val="18"/>
                    </w:rPr>
                    <w:t>浓度范围mg/m</w:t>
                  </w:r>
                  <w:r>
                    <w:rPr>
                      <w:b/>
                      <w:bCs/>
                      <w:color w:val="auto"/>
                      <w:szCs w:val="18"/>
                      <w:vertAlign w:val="superscript"/>
                    </w:rPr>
                    <w:t>3</w:t>
                  </w:r>
                </w:p>
              </w:tc>
              <w:tc>
                <w:tcPr>
                  <w:tcW w:w="693" w:type="pct"/>
                  <w:vMerge w:val="restart"/>
                  <w:vAlign w:val="center"/>
                </w:tcPr>
                <w:p>
                  <w:pPr>
                    <w:adjustRightInd w:val="0"/>
                    <w:snapToGrid w:val="0"/>
                    <w:jc w:val="center"/>
                    <w:rPr>
                      <w:b/>
                      <w:bCs/>
                      <w:color w:val="auto"/>
                      <w:szCs w:val="18"/>
                    </w:rPr>
                  </w:pPr>
                  <w:r>
                    <w:rPr>
                      <w:b/>
                      <w:bCs/>
                      <w:color w:val="auto"/>
                      <w:szCs w:val="18"/>
                    </w:rPr>
                    <w:t>最大浓度占标率/%</w:t>
                  </w:r>
                </w:p>
              </w:tc>
              <w:tc>
                <w:tcPr>
                  <w:tcW w:w="428" w:type="pct"/>
                  <w:vMerge w:val="restart"/>
                  <w:vAlign w:val="center"/>
                </w:tcPr>
                <w:p>
                  <w:pPr>
                    <w:adjustRightInd w:val="0"/>
                    <w:snapToGrid w:val="0"/>
                    <w:jc w:val="center"/>
                    <w:rPr>
                      <w:b/>
                      <w:bCs/>
                      <w:color w:val="auto"/>
                      <w:szCs w:val="18"/>
                    </w:rPr>
                  </w:pPr>
                  <w:r>
                    <w:rPr>
                      <w:b/>
                      <w:bCs/>
                      <w:color w:val="auto"/>
                      <w:szCs w:val="18"/>
                    </w:rPr>
                    <w:t>超标率/%</w:t>
                  </w:r>
                </w:p>
              </w:tc>
              <w:tc>
                <w:tcPr>
                  <w:tcW w:w="404" w:type="pct"/>
                  <w:vMerge w:val="restart"/>
                  <w:vAlign w:val="center"/>
                </w:tcPr>
                <w:p>
                  <w:pPr>
                    <w:adjustRightInd w:val="0"/>
                    <w:snapToGrid w:val="0"/>
                    <w:jc w:val="center"/>
                    <w:rPr>
                      <w:b/>
                      <w:bCs/>
                      <w:color w:val="auto"/>
                      <w:szCs w:val="18"/>
                    </w:rPr>
                  </w:pPr>
                  <w:r>
                    <w:rPr>
                      <w:b/>
                      <w:bCs/>
                      <w:color w:val="auto"/>
                      <w:szCs w:val="18"/>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pct"/>
                  <w:vMerge w:val="continue"/>
                  <w:vAlign w:val="center"/>
                </w:tcPr>
                <w:p>
                  <w:pPr>
                    <w:adjustRightInd w:val="0"/>
                    <w:snapToGrid w:val="0"/>
                    <w:jc w:val="center"/>
                    <w:rPr>
                      <w:color w:val="auto"/>
                      <w:szCs w:val="18"/>
                    </w:rPr>
                  </w:pPr>
                </w:p>
              </w:tc>
              <w:tc>
                <w:tcPr>
                  <w:tcW w:w="769" w:type="pct"/>
                  <w:vMerge w:val="continue"/>
                  <w:vAlign w:val="center"/>
                </w:tcPr>
                <w:p>
                  <w:pPr>
                    <w:adjustRightInd w:val="0"/>
                    <w:snapToGrid w:val="0"/>
                    <w:jc w:val="center"/>
                    <w:rPr>
                      <w:b/>
                      <w:bCs/>
                      <w:color w:val="auto"/>
                      <w:szCs w:val="18"/>
                    </w:rPr>
                  </w:pPr>
                </w:p>
              </w:tc>
              <w:tc>
                <w:tcPr>
                  <w:tcW w:w="431" w:type="pct"/>
                  <w:vMerge w:val="continue"/>
                  <w:vAlign w:val="center"/>
                </w:tcPr>
                <w:p>
                  <w:pPr>
                    <w:adjustRightInd w:val="0"/>
                    <w:snapToGrid w:val="0"/>
                    <w:jc w:val="center"/>
                    <w:rPr>
                      <w:b/>
                      <w:bCs/>
                      <w:color w:val="auto"/>
                      <w:szCs w:val="18"/>
                    </w:rPr>
                  </w:pPr>
                </w:p>
              </w:tc>
              <w:tc>
                <w:tcPr>
                  <w:tcW w:w="604" w:type="pct"/>
                  <w:vMerge w:val="continue"/>
                  <w:vAlign w:val="center"/>
                </w:tcPr>
                <w:p>
                  <w:pPr>
                    <w:adjustRightInd w:val="0"/>
                    <w:snapToGrid w:val="0"/>
                    <w:jc w:val="center"/>
                    <w:rPr>
                      <w:b/>
                      <w:bCs/>
                      <w:color w:val="auto"/>
                      <w:szCs w:val="18"/>
                    </w:rPr>
                  </w:pPr>
                </w:p>
              </w:tc>
              <w:tc>
                <w:tcPr>
                  <w:tcW w:w="742" w:type="pct"/>
                  <w:vMerge w:val="continue"/>
                  <w:vAlign w:val="center"/>
                </w:tcPr>
                <w:p>
                  <w:pPr>
                    <w:adjustRightInd w:val="0"/>
                    <w:snapToGrid w:val="0"/>
                    <w:jc w:val="center"/>
                    <w:rPr>
                      <w:b/>
                      <w:bCs/>
                      <w:color w:val="auto"/>
                      <w:szCs w:val="18"/>
                    </w:rPr>
                  </w:pPr>
                </w:p>
              </w:tc>
              <w:tc>
                <w:tcPr>
                  <w:tcW w:w="693" w:type="pct"/>
                  <w:vMerge w:val="continue"/>
                  <w:vAlign w:val="center"/>
                </w:tcPr>
                <w:p>
                  <w:pPr>
                    <w:adjustRightInd w:val="0"/>
                    <w:snapToGrid w:val="0"/>
                    <w:jc w:val="center"/>
                    <w:rPr>
                      <w:b/>
                      <w:bCs/>
                      <w:color w:val="auto"/>
                      <w:szCs w:val="18"/>
                    </w:rPr>
                  </w:pPr>
                </w:p>
              </w:tc>
              <w:tc>
                <w:tcPr>
                  <w:tcW w:w="428" w:type="pct"/>
                  <w:vMerge w:val="continue"/>
                  <w:vAlign w:val="center"/>
                </w:tcPr>
                <w:p>
                  <w:pPr>
                    <w:adjustRightInd w:val="0"/>
                    <w:snapToGrid w:val="0"/>
                    <w:jc w:val="center"/>
                    <w:rPr>
                      <w:b/>
                      <w:bCs/>
                      <w:color w:val="auto"/>
                      <w:szCs w:val="18"/>
                    </w:rPr>
                  </w:pPr>
                </w:p>
              </w:tc>
              <w:tc>
                <w:tcPr>
                  <w:tcW w:w="404" w:type="pct"/>
                  <w:vMerge w:val="continue"/>
                  <w:vAlign w:val="center"/>
                </w:tcPr>
                <w:p>
                  <w:pPr>
                    <w:adjustRightInd w:val="0"/>
                    <w:snapToGrid w:val="0"/>
                    <w:jc w:val="center"/>
                    <w:rPr>
                      <w:b/>
                      <w:bCs/>
                      <w:color w:val="auto"/>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pct"/>
                  <w:vAlign w:val="center"/>
                </w:tcPr>
                <w:p>
                  <w:pPr>
                    <w:adjustRightInd w:val="0"/>
                    <w:snapToGrid w:val="0"/>
                    <w:jc w:val="center"/>
                    <w:rPr>
                      <w:color w:val="auto"/>
                      <w:szCs w:val="18"/>
                    </w:rPr>
                  </w:pPr>
                  <w:r>
                    <w:rPr>
                      <w:rFonts w:hint="eastAsia"/>
                      <w:color w:val="auto"/>
                      <w:szCs w:val="18"/>
                    </w:rPr>
                    <w:t>前洲</w:t>
                  </w:r>
                  <w:r>
                    <w:rPr>
                      <w:color w:val="auto"/>
                      <w:szCs w:val="18"/>
                    </w:rPr>
                    <w:t>中学</w:t>
                  </w:r>
                </w:p>
              </w:tc>
              <w:tc>
                <w:tcPr>
                  <w:tcW w:w="769" w:type="pct"/>
                  <w:vAlign w:val="center"/>
                </w:tcPr>
                <w:p>
                  <w:pPr>
                    <w:adjustRightInd w:val="0"/>
                    <w:snapToGrid w:val="0"/>
                    <w:jc w:val="center"/>
                    <w:rPr>
                      <w:color w:val="auto"/>
                      <w:szCs w:val="18"/>
                    </w:rPr>
                  </w:pPr>
                  <w:r>
                    <w:rPr>
                      <w:rFonts w:hint="eastAsia"/>
                      <w:color w:val="auto"/>
                      <w:szCs w:val="18"/>
                    </w:rPr>
                    <w:t>非甲烷总烃</w:t>
                  </w:r>
                </w:p>
              </w:tc>
              <w:tc>
                <w:tcPr>
                  <w:tcW w:w="431" w:type="pct"/>
                  <w:vAlign w:val="center"/>
                </w:tcPr>
                <w:p>
                  <w:pPr>
                    <w:adjustRightInd w:val="0"/>
                    <w:snapToGrid w:val="0"/>
                    <w:jc w:val="center"/>
                    <w:rPr>
                      <w:color w:val="auto"/>
                      <w:szCs w:val="18"/>
                    </w:rPr>
                  </w:pPr>
                  <w:r>
                    <w:rPr>
                      <w:color w:val="auto"/>
                      <w:szCs w:val="18"/>
                    </w:rPr>
                    <w:t>1h</w:t>
                  </w:r>
                </w:p>
              </w:tc>
              <w:tc>
                <w:tcPr>
                  <w:tcW w:w="604" w:type="pct"/>
                  <w:vAlign w:val="center"/>
                </w:tcPr>
                <w:p>
                  <w:pPr>
                    <w:widowControl/>
                    <w:jc w:val="center"/>
                    <w:textAlignment w:val="center"/>
                    <w:rPr>
                      <w:color w:val="auto"/>
                      <w:szCs w:val="18"/>
                    </w:rPr>
                  </w:pPr>
                  <w:r>
                    <w:rPr>
                      <w:rFonts w:hint="eastAsia"/>
                      <w:color w:val="auto"/>
                      <w:szCs w:val="18"/>
                    </w:rPr>
                    <w:t>2.0</w:t>
                  </w:r>
                </w:p>
              </w:tc>
              <w:tc>
                <w:tcPr>
                  <w:tcW w:w="742" w:type="pct"/>
                  <w:vAlign w:val="center"/>
                </w:tcPr>
                <w:p>
                  <w:pPr>
                    <w:widowControl/>
                    <w:jc w:val="center"/>
                    <w:textAlignment w:val="center"/>
                    <w:rPr>
                      <w:color w:val="auto"/>
                      <w:szCs w:val="18"/>
                    </w:rPr>
                  </w:pPr>
                  <w:r>
                    <w:rPr>
                      <w:rFonts w:hint="eastAsia"/>
                      <w:color w:val="auto"/>
                      <w:szCs w:val="18"/>
                    </w:rPr>
                    <w:t>0.12-0.91</w:t>
                  </w:r>
                </w:p>
              </w:tc>
              <w:tc>
                <w:tcPr>
                  <w:tcW w:w="693" w:type="pct"/>
                  <w:vAlign w:val="center"/>
                </w:tcPr>
                <w:p>
                  <w:pPr>
                    <w:widowControl/>
                    <w:jc w:val="center"/>
                    <w:textAlignment w:val="center"/>
                    <w:rPr>
                      <w:color w:val="auto"/>
                      <w:kern w:val="0"/>
                      <w:szCs w:val="18"/>
                      <w:lang w:bidi="ar"/>
                    </w:rPr>
                  </w:pPr>
                  <w:r>
                    <w:rPr>
                      <w:color w:val="auto"/>
                      <w:kern w:val="0"/>
                      <w:szCs w:val="18"/>
                      <w:lang w:bidi="ar"/>
                    </w:rPr>
                    <w:t>45.5</w:t>
                  </w:r>
                </w:p>
              </w:tc>
              <w:tc>
                <w:tcPr>
                  <w:tcW w:w="428" w:type="pct"/>
                  <w:vAlign w:val="center"/>
                </w:tcPr>
                <w:p>
                  <w:pPr>
                    <w:widowControl/>
                    <w:jc w:val="center"/>
                    <w:textAlignment w:val="center"/>
                    <w:rPr>
                      <w:color w:val="auto"/>
                      <w:kern w:val="0"/>
                      <w:szCs w:val="18"/>
                      <w:lang w:bidi="ar"/>
                    </w:rPr>
                  </w:pPr>
                  <w:r>
                    <w:rPr>
                      <w:color w:val="auto"/>
                      <w:kern w:val="0"/>
                      <w:szCs w:val="18"/>
                      <w:lang w:bidi="ar"/>
                    </w:rPr>
                    <w:t>—</w:t>
                  </w:r>
                </w:p>
              </w:tc>
              <w:tc>
                <w:tcPr>
                  <w:tcW w:w="404" w:type="pct"/>
                  <w:vAlign w:val="center"/>
                </w:tcPr>
                <w:p>
                  <w:pPr>
                    <w:widowControl/>
                    <w:jc w:val="center"/>
                    <w:textAlignment w:val="center"/>
                    <w:rPr>
                      <w:color w:val="auto"/>
                      <w:szCs w:val="18"/>
                    </w:rPr>
                  </w:pPr>
                  <w:r>
                    <w:rPr>
                      <w:color w:val="auto"/>
                      <w:kern w:val="0"/>
                      <w:szCs w:val="18"/>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pct"/>
                  <w:vAlign w:val="center"/>
                </w:tcPr>
                <w:p>
                  <w:pPr>
                    <w:adjustRightInd w:val="0"/>
                    <w:snapToGrid w:val="0"/>
                    <w:jc w:val="center"/>
                    <w:rPr>
                      <w:color w:val="auto"/>
                      <w:szCs w:val="18"/>
                    </w:rPr>
                  </w:pPr>
                  <w:r>
                    <w:rPr>
                      <w:rFonts w:hint="eastAsia"/>
                      <w:color w:val="auto"/>
                      <w:szCs w:val="18"/>
                    </w:rPr>
                    <w:t>项目所在地</w:t>
                  </w:r>
                </w:p>
              </w:tc>
              <w:tc>
                <w:tcPr>
                  <w:tcW w:w="769" w:type="pct"/>
                  <w:vAlign w:val="center"/>
                </w:tcPr>
                <w:p>
                  <w:pPr>
                    <w:adjustRightInd w:val="0"/>
                    <w:snapToGrid w:val="0"/>
                    <w:jc w:val="center"/>
                    <w:rPr>
                      <w:color w:val="auto"/>
                      <w:szCs w:val="18"/>
                    </w:rPr>
                  </w:pPr>
                  <w:r>
                    <w:rPr>
                      <w:rFonts w:hint="eastAsia"/>
                      <w:color w:val="auto"/>
                      <w:szCs w:val="18"/>
                    </w:rPr>
                    <w:t>甲醛</w:t>
                  </w:r>
                </w:p>
              </w:tc>
              <w:tc>
                <w:tcPr>
                  <w:tcW w:w="431" w:type="pct"/>
                  <w:vAlign w:val="center"/>
                </w:tcPr>
                <w:p>
                  <w:pPr>
                    <w:widowControl/>
                    <w:jc w:val="center"/>
                    <w:textAlignment w:val="center"/>
                    <w:rPr>
                      <w:color w:val="auto"/>
                      <w:szCs w:val="18"/>
                    </w:rPr>
                  </w:pPr>
                  <w:r>
                    <w:rPr>
                      <w:color w:val="auto"/>
                      <w:szCs w:val="18"/>
                    </w:rPr>
                    <w:t>1h</w:t>
                  </w:r>
                </w:p>
              </w:tc>
              <w:tc>
                <w:tcPr>
                  <w:tcW w:w="604" w:type="pct"/>
                  <w:vAlign w:val="center"/>
                </w:tcPr>
                <w:p>
                  <w:pPr>
                    <w:jc w:val="center"/>
                    <w:rPr>
                      <w:color w:val="auto"/>
                      <w:szCs w:val="18"/>
                    </w:rPr>
                  </w:pPr>
                  <w:r>
                    <w:rPr>
                      <w:rFonts w:hint="eastAsia"/>
                      <w:color w:val="auto"/>
                      <w:szCs w:val="18"/>
                    </w:rPr>
                    <w:t>0.05</w:t>
                  </w:r>
                </w:p>
              </w:tc>
              <w:tc>
                <w:tcPr>
                  <w:tcW w:w="742" w:type="pct"/>
                  <w:vAlign w:val="center"/>
                </w:tcPr>
                <w:p>
                  <w:pPr>
                    <w:widowControl/>
                    <w:jc w:val="center"/>
                    <w:textAlignment w:val="center"/>
                    <w:rPr>
                      <w:rFonts w:hint="default" w:eastAsia="宋体"/>
                      <w:color w:val="auto"/>
                      <w:szCs w:val="18"/>
                      <w:lang w:val="en-US" w:eastAsia="zh-CN"/>
                    </w:rPr>
                  </w:pPr>
                  <w:r>
                    <w:rPr>
                      <w:rFonts w:hint="eastAsia"/>
                      <w:color w:val="auto"/>
                      <w:szCs w:val="18"/>
                      <w:lang w:val="en-US" w:eastAsia="zh-CN"/>
                    </w:rPr>
                    <w:t>ND</w:t>
                  </w:r>
                </w:p>
              </w:tc>
              <w:tc>
                <w:tcPr>
                  <w:tcW w:w="693" w:type="pct"/>
                  <w:vAlign w:val="center"/>
                </w:tcPr>
                <w:p>
                  <w:pPr>
                    <w:jc w:val="center"/>
                    <w:rPr>
                      <w:color w:val="auto"/>
                      <w:szCs w:val="18"/>
                    </w:rPr>
                  </w:pPr>
                  <w:r>
                    <w:rPr>
                      <w:color w:val="auto"/>
                      <w:kern w:val="0"/>
                      <w:szCs w:val="18"/>
                      <w:lang w:bidi="ar"/>
                    </w:rPr>
                    <w:t>—</w:t>
                  </w:r>
                </w:p>
              </w:tc>
              <w:tc>
                <w:tcPr>
                  <w:tcW w:w="428" w:type="pct"/>
                  <w:vAlign w:val="center"/>
                </w:tcPr>
                <w:p>
                  <w:pPr>
                    <w:widowControl/>
                    <w:jc w:val="center"/>
                    <w:textAlignment w:val="center"/>
                    <w:rPr>
                      <w:color w:val="auto"/>
                      <w:szCs w:val="18"/>
                    </w:rPr>
                  </w:pPr>
                  <w:r>
                    <w:rPr>
                      <w:color w:val="auto"/>
                      <w:kern w:val="0"/>
                      <w:szCs w:val="18"/>
                      <w:lang w:bidi="ar"/>
                    </w:rPr>
                    <w:t>—</w:t>
                  </w:r>
                </w:p>
              </w:tc>
              <w:tc>
                <w:tcPr>
                  <w:tcW w:w="404" w:type="pct"/>
                  <w:vAlign w:val="center"/>
                </w:tcPr>
                <w:p>
                  <w:pPr>
                    <w:widowControl/>
                    <w:jc w:val="center"/>
                    <w:textAlignment w:val="center"/>
                    <w:rPr>
                      <w:color w:val="auto"/>
                      <w:kern w:val="0"/>
                      <w:szCs w:val="18"/>
                      <w:lang w:bidi="ar"/>
                    </w:rPr>
                  </w:pPr>
                  <w:r>
                    <w:rPr>
                      <w:color w:val="auto"/>
                      <w:kern w:val="0"/>
                      <w:szCs w:val="18"/>
                      <w:lang w:bidi="ar"/>
                    </w:rPr>
                    <w:t>达标</w:t>
                  </w:r>
                </w:p>
              </w:tc>
            </w:tr>
          </w:tbl>
          <w:p>
            <w:pPr>
              <w:pStyle w:val="95"/>
              <w:adjustRightInd w:val="0"/>
              <w:snapToGrid w:val="0"/>
              <w:spacing w:before="120" w:beforeLines="50" w:line="360" w:lineRule="auto"/>
              <w:ind w:firstLine="480" w:firstLineChars="200"/>
              <w:rPr>
                <w:color w:val="auto"/>
                <w:sz w:val="24"/>
              </w:rPr>
            </w:pPr>
            <w:r>
              <w:rPr>
                <w:rFonts w:hint="eastAsia"/>
                <w:color w:val="auto"/>
                <w:sz w:val="24"/>
              </w:rPr>
              <w:t>由上表可见，项目所在地非甲烷总烃满足《大气污染物综合排放标准详解》中的标准要求；甲醛满足《环境影响评价技术导则 大气环境》（HJ2.2-2018）附录D中其他污染物空气质量浓度参考限值。</w:t>
            </w:r>
          </w:p>
          <w:p>
            <w:pPr>
              <w:adjustRightInd w:val="0"/>
              <w:snapToGrid w:val="0"/>
              <w:spacing w:line="360" w:lineRule="auto"/>
              <w:jc w:val="left"/>
              <w:rPr>
                <w:b/>
                <w:bCs/>
                <w:color w:val="auto"/>
                <w:kern w:val="0"/>
                <w:sz w:val="24"/>
              </w:rPr>
            </w:pPr>
            <w:r>
              <w:rPr>
                <w:b/>
                <w:bCs/>
                <w:color w:val="auto"/>
                <w:kern w:val="0"/>
                <w:sz w:val="24"/>
              </w:rPr>
              <w:t>2、地表水环境</w:t>
            </w:r>
          </w:p>
          <w:p>
            <w:pPr>
              <w:tabs>
                <w:tab w:val="left" w:pos="9555"/>
              </w:tabs>
              <w:adjustRightInd w:val="0"/>
              <w:snapToGrid w:val="0"/>
              <w:spacing w:line="360" w:lineRule="auto"/>
              <w:ind w:firstLine="480" w:firstLineChars="200"/>
              <w:rPr>
                <w:b/>
                <w:bCs/>
                <w:color w:val="auto"/>
                <w:sz w:val="24"/>
              </w:rPr>
            </w:pPr>
            <w:r>
              <w:rPr>
                <w:color w:val="auto"/>
                <w:sz w:val="24"/>
              </w:rPr>
              <w:t>本项目</w:t>
            </w:r>
            <w:r>
              <w:rPr>
                <w:rFonts w:hint="eastAsia"/>
                <w:color w:val="auto"/>
                <w:sz w:val="24"/>
              </w:rPr>
              <w:t>冷却排水</w:t>
            </w:r>
            <w:r>
              <w:rPr>
                <w:color w:val="auto"/>
                <w:sz w:val="24"/>
              </w:rPr>
              <w:t>与</w:t>
            </w:r>
            <w:r>
              <w:rPr>
                <w:rFonts w:hint="eastAsia"/>
                <w:color w:val="auto"/>
                <w:sz w:val="24"/>
              </w:rPr>
              <w:t>经化粪池预处理后的生活污水接管</w:t>
            </w:r>
            <w:r>
              <w:rPr>
                <w:color w:val="auto"/>
                <w:sz w:val="24"/>
              </w:rPr>
              <w:t>无锡玉祁永新污水处理有限公司</w:t>
            </w:r>
            <w:r>
              <w:rPr>
                <w:rFonts w:hint="eastAsia"/>
                <w:color w:val="auto"/>
                <w:sz w:val="24"/>
              </w:rPr>
              <w:t>集中</w:t>
            </w:r>
            <w:r>
              <w:rPr>
                <w:color w:val="auto"/>
                <w:sz w:val="24"/>
              </w:rPr>
              <w:t>处理</w:t>
            </w:r>
            <w:r>
              <w:rPr>
                <w:rFonts w:hint="eastAsia"/>
                <w:color w:val="auto"/>
                <w:sz w:val="24"/>
              </w:rPr>
              <w:t>，尾水</w:t>
            </w:r>
            <w:r>
              <w:rPr>
                <w:color w:val="auto"/>
                <w:sz w:val="24"/>
              </w:rPr>
              <w:t>排入横港，根据《江苏省地表水（环境）功能区划（2021-2030年）》，横港水域功能区水质目标（2030年）类别为</w:t>
            </w:r>
            <w:r>
              <w:rPr>
                <w:rFonts w:hint="eastAsia" w:ascii="宋体" w:hAnsi="宋体" w:cs="宋体"/>
                <w:color w:val="auto"/>
                <w:sz w:val="24"/>
              </w:rPr>
              <w:t>Ⅲ类</w:t>
            </w:r>
            <w:r>
              <w:rPr>
                <w:color w:val="auto"/>
                <w:sz w:val="24"/>
              </w:rPr>
              <w:t>。根据2021年惠山区主要断面的主要水质指标</w:t>
            </w:r>
            <w:r>
              <w:rPr>
                <w:rFonts w:hint="eastAsia"/>
                <w:color w:val="auto"/>
                <w:sz w:val="24"/>
              </w:rPr>
              <w:t>数据</w:t>
            </w:r>
            <w:r>
              <w:rPr>
                <w:color w:val="auto"/>
                <w:sz w:val="24"/>
              </w:rPr>
              <w:t>，横港卫东桥断面监测结果见下表。</w:t>
            </w:r>
          </w:p>
          <w:p>
            <w:pPr>
              <w:pStyle w:val="18"/>
              <w:adjustRightInd w:val="0"/>
              <w:snapToGrid w:val="0"/>
              <w:spacing w:after="0"/>
              <w:ind w:firstLine="0" w:firstLineChars="0"/>
              <w:jc w:val="center"/>
              <w:rPr>
                <w:b/>
                <w:bCs/>
                <w:color w:val="auto"/>
                <w:sz w:val="24"/>
                <w:szCs w:val="24"/>
              </w:rPr>
            </w:pPr>
            <w:r>
              <w:rPr>
                <w:b/>
                <w:bCs/>
                <w:color w:val="auto"/>
                <w:sz w:val="24"/>
                <w:szCs w:val="24"/>
              </w:rPr>
              <w:t>表3-3  水质评价结果  单位：mg/L</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131"/>
              <w:gridCol w:w="1131"/>
              <w:gridCol w:w="1565"/>
              <w:gridCol w:w="698"/>
              <w:gridCol w:w="1003"/>
              <w:gridCol w:w="12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tcMar>
                    <w:top w:w="0" w:type="dxa"/>
                    <w:left w:w="0" w:type="dxa"/>
                    <w:bottom w:w="0" w:type="dxa"/>
                    <w:right w:w="0" w:type="dxa"/>
                  </w:tcMar>
                  <w:vAlign w:val="center"/>
                </w:tcPr>
                <w:p>
                  <w:pPr>
                    <w:widowControl/>
                    <w:adjustRightInd w:val="0"/>
                    <w:snapToGrid w:val="0"/>
                    <w:jc w:val="center"/>
                    <w:rPr>
                      <w:b/>
                      <w:color w:val="auto"/>
                      <w:szCs w:val="21"/>
                    </w:rPr>
                  </w:pPr>
                  <w:r>
                    <w:rPr>
                      <w:rFonts w:hint="eastAsia"/>
                      <w:b/>
                      <w:color w:val="auto"/>
                      <w:szCs w:val="21"/>
                    </w:rPr>
                    <w:t>河流</w:t>
                  </w:r>
                  <w:r>
                    <w:rPr>
                      <w:b/>
                      <w:color w:val="auto"/>
                      <w:szCs w:val="21"/>
                    </w:rPr>
                    <w:t>名称</w:t>
                  </w:r>
                </w:p>
              </w:tc>
              <w:tc>
                <w:tcPr>
                  <w:tcW w:w="1131" w:type="dxa"/>
                  <w:tcMar>
                    <w:top w:w="0" w:type="dxa"/>
                    <w:left w:w="0" w:type="dxa"/>
                    <w:bottom w:w="0" w:type="dxa"/>
                    <w:right w:w="0" w:type="dxa"/>
                  </w:tcMar>
                  <w:vAlign w:val="center"/>
                </w:tcPr>
                <w:p>
                  <w:pPr>
                    <w:widowControl/>
                    <w:adjustRightInd w:val="0"/>
                    <w:snapToGrid w:val="0"/>
                    <w:jc w:val="center"/>
                    <w:rPr>
                      <w:b/>
                      <w:color w:val="auto"/>
                      <w:szCs w:val="21"/>
                    </w:rPr>
                  </w:pPr>
                  <w:r>
                    <w:rPr>
                      <w:b/>
                      <w:color w:val="auto"/>
                      <w:szCs w:val="21"/>
                    </w:rPr>
                    <w:t>溶解氧</w:t>
                  </w:r>
                </w:p>
              </w:tc>
              <w:tc>
                <w:tcPr>
                  <w:tcW w:w="1131" w:type="dxa"/>
                  <w:tcMar>
                    <w:top w:w="0" w:type="dxa"/>
                    <w:left w:w="0" w:type="dxa"/>
                    <w:bottom w:w="0" w:type="dxa"/>
                    <w:right w:w="0" w:type="dxa"/>
                  </w:tcMar>
                  <w:vAlign w:val="center"/>
                </w:tcPr>
                <w:p>
                  <w:pPr>
                    <w:widowControl/>
                    <w:adjustRightInd w:val="0"/>
                    <w:snapToGrid w:val="0"/>
                    <w:jc w:val="center"/>
                    <w:rPr>
                      <w:b/>
                      <w:color w:val="auto"/>
                      <w:szCs w:val="21"/>
                    </w:rPr>
                  </w:pPr>
                  <w:r>
                    <w:rPr>
                      <w:b/>
                      <w:color w:val="auto"/>
                      <w:szCs w:val="21"/>
                    </w:rPr>
                    <w:t>化学需氧量</w:t>
                  </w:r>
                </w:p>
              </w:tc>
              <w:tc>
                <w:tcPr>
                  <w:tcW w:w="1565" w:type="dxa"/>
                  <w:tcMar>
                    <w:top w:w="0" w:type="dxa"/>
                    <w:left w:w="0" w:type="dxa"/>
                    <w:bottom w:w="0" w:type="dxa"/>
                    <w:right w:w="0" w:type="dxa"/>
                  </w:tcMar>
                  <w:vAlign w:val="center"/>
                </w:tcPr>
                <w:p>
                  <w:pPr>
                    <w:widowControl/>
                    <w:adjustRightInd w:val="0"/>
                    <w:snapToGrid w:val="0"/>
                    <w:jc w:val="center"/>
                    <w:rPr>
                      <w:b/>
                      <w:color w:val="auto"/>
                      <w:szCs w:val="21"/>
                    </w:rPr>
                  </w:pPr>
                  <w:r>
                    <w:rPr>
                      <w:b/>
                      <w:color w:val="auto"/>
                      <w:szCs w:val="21"/>
                    </w:rPr>
                    <w:t>五日生化需氧量</w:t>
                  </w:r>
                </w:p>
              </w:tc>
              <w:tc>
                <w:tcPr>
                  <w:tcW w:w="698" w:type="dxa"/>
                  <w:tcMar>
                    <w:top w:w="0" w:type="dxa"/>
                    <w:left w:w="0" w:type="dxa"/>
                    <w:bottom w:w="0" w:type="dxa"/>
                    <w:right w:w="0" w:type="dxa"/>
                  </w:tcMar>
                  <w:vAlign w:val="center"/>
                </w:tcPr>
                <w:p>
                  <w:pPr>
                    <w:widowControl/>
                    <w:adjustRightInd w:val="0"/>
                    <w:snapToGrid w:val="0"/>
                    <w:jc w:val="center"/>
                    <w:rPr>
                      <w:color w:val="auto"/>
                      <w:szCs w:val="21"/>
                    </w:rPr>
                  </w:pPr>
                  <w:r>
                    <w:rPr>
                      <w:b/>
                      <w:color w:val="auto"/>
                      <w:szCs w:val="21"/>
                    </w:rPr>
                    <w:t>氨氮</w:t>
                  </w:r>
                </w:p>
              </w:tc>
              <w:tc>
                <w:tcPr>
                  <w:tcW w:w="1003" w:type="dxa"/>
                  <w:tcMar>
                    <w:top w:w="0" w:type="dxa"/>
                    <w:left w:w="0" w:type="dxa"/>
                    <w:bottom w:w="0" w:type="dxa"/>
                    <w:right w:w="0" w:type="dxa"/>
                  </w:tcMar>
                  <w:vAlign w:val="center"/>
                </w:tcPr>
                <w:p>
                  <w:pPr>
                    <w:widowControl/>
                    <w:adjustRightInd w:val="0"/>
                    <w:snapToGrid w:val="0"/>
                    <w:jc w:val="center"/>
                    <w:rPr>
                      <w:b/>
                      <w:color w:val="auto"/>
                      <w:szCs w:val="21"/>
                    </w:rPr>
                  </w:pPr>
                  <w:r>
                    <w:rPr>
                      <w:b/>
                      <w:color w:val="auto"/>
                      <w:szCs w:val="21"/>
                    </w:rPr>
                    <w:t>总磷</w:t>
                  </w:r>
                </w:p>
              </w:tc>
              <w:tc>
                <w:tcPr>
                  <w:tcW w:w="1237" w:type="dxa"/>
                  <w:vMerge w:val="restart"/>
                  <w:tcMar>
                    <w:top w:w="0" w:type="dxa"/>
                    <w:left w:w="0" w:type="dxa"/>
                    <w:bottom w:w="0" w:type="dxa"/>
                    <w:right w:w="0" w:type="dxa"/>
                  </w:tcMar>
                  <w:vAlign w:val="center"/>
                </w:tcPr>
                <w:p>
                  <w:pPr>
                    <w:widowControl/>
                    <w:adjustRightInd w:val="0"/>
                    <w:snapToGrid w:val="0"/>
                    <w:jc w:val="center"/>
                    <w:rPr>
                      <w:bCs/>
                      <w:color w:val="auto"/>
                      <w:szCs w:val="21"/>
                    </w:rPr>
                  </w:pPr>
                  <w:r>
                    <w:rPr>
                      <w:b/>
                      <w:color w:val="auto"/>
                      <w:szCs w:val="21"/>
                    </w:rPr>
                    <w:t>水质类别（2030年）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tcMar>
                    <w:top w:w="0" w:type="dxa"/>
                    <w:left w:w="0" w:type="dxa"/>
                    <w:bottom w:w="0" w:type="dxa"/>
                    <w:right w:w="0" w:type="dxa"/>
                  </w:tcMar>
                  <w:vAlign w:val="center"/>
                </w:tcPr>
                <w:p>
                  <w:pPr>
                    <w:widowControl/>
                    <w:adjustRightInd w:val="0"/>
                    <w:snapToGrid w:val="0"/>
                    <w:jc w:val="center"/>
                    <w:rPr>
                      <w:bCs/>
                      <w:color w:val="auto"/>
                      <w:szCs w:val="21"/>
                    </w:rPr>
                  </w:pPr>
                  <w:r>
                    <w:rPr>
                      <w:rFonts w:hint="eastAsia" w:ascii="宋体" w:hAnsi="宋体" w:cs="宋体"/>
                      <w:bCs/>
                      <w:color w:val="auto"/>
                      <w:szCs w:val="21"/>
                    </w:rPr>
                    <w:t>Ⅲ类</w:t>
                  </w:r>
                  <w:r>
                    <w:rPr>
                      <w:bCs/>
                      <w:color w:val="auto"/>
                      <w:szCs w:val="21"/>
                    </w:rPr>
                    <w:t>水质标准</w:t>
                  </w:r>
                </w:p>
              </w:tc>
              <w:tc>
                <w:tcPr>
                  <w:tcW w:w="1131" w:type="dxa"/>
                  <w:tcMar>
                    <w:top w:w="0" w:type="dxa"/>
                    <w:left w:w="0" w:type="dxa"/>
                    <w:bottom w:w="0" w:type="dxa"/>
                    <w:right w:w="0" w:type="dxa"/>
                  </w:tcMar>
                  <w:vAlign w:val="center"/>
                </w:tcPr>
                <w:p>
                  <w:pPr>
                    <w:widowControl/>
                    <w:adjustRightInd w:val="0"/>
                    <w:snapToGrid w:val="0"/>
                    <w:jc w:val="center"/>
                    <w:rPr>
                      <w:rFonts w:hint="eastAsia" w:eastAsia="宋体"/>
                      <w:bCs/>
                      <w:color w:val="auto"/>
                      <w:szCs w:val="21"/>
                      <w:lang w:eastAsia="zh-CN"/>
                    </w:rPr>
                  </w:pPr>
                  <w:r>
                    <w:rPr>
                      <w:bCs/>
                      <w:color w:val="auto"/>
                      <w:szCs w:val="21"/>
                    </w:rPr>
                    <w:t>≥</w:t>
                  </w:r>
                  <w:r>
                    <w:rPr>
                      <w:rFonts w:hint="eastAsia"/>
                      <w:bCs/>
                      <w:color w:val="auto"/>
                      <w:szCs w:val="21"/>
                      <w:lang w:val="en-US" w:eastAsia="zh-CN"/>
                    </w:rPr>
                    <w:t>5</w:t>
                  </w:r>
                </w:p>
              </w:tc>
              <w:tc>
                <w:tcPr>
                  <w:tcW w:w="1131" w:type="dxa"/>
                  <w:tcMar>
                    <w:top w:w="0" w:type="dxa"/>
                    <w:left w:w="0" w:type="dxa"/>
                    <w:bottom w:w="0" w:type="dxa"/>
                    <w:right w:w="0" w:type="dxa"/>
                  </w:tcMar>
                  <w:vAlign w:val="center"/>
                </w:tcPr>
                <w:p>
                  <w:pPr>
                    <w:widowControl/>
                    <w:adjustRightInd w:val="0"/>
                    <w:snapToGrid w:val="0"/>
                    <w:jc w:val="center"/>
                    <w:rPr>
                      <w:bCs/>
                      <w:color w:val="auto"/>
                      <w:szCs w:val="21"/>
                    </w:rPr>
                  </w:pPr>
                  <w:r>
                    <w:rPr>
                      <w:bCs/>
                      <w:color w:val="auto"/>
                      <w:szCs w:val="21"/>
                    </w:rPr>
                    <w:t>≤</w:t>
                  </w:r>
                  <w:r>
                    <w:rPr>
                      <w:rFonts w:hint="eastAsia"/>
                      <w:bCs/>
                      <w:color w:val="auto"/>
                      <w:szCs w:val="21"/>
                      <w:lang w:val="en-US" w:eastAsia="zh-CN"/>
                    </w:rPr>
                    <w:t>2</w:t>
                  </w:r>
                  <w:r>
                    <w:rPr>
                      <w:bCs/>
                      <w:color w:val="auto"/>
                      <w:szCs w:val="21"/>
                    </w:rPr>
                    <w:t>0</w:t>
                  </w:r>
                </w:p>
              </w:tc>
              <w:tc>
                <w:tcPr>
                  <w:tcW w:w="1565" w:type="dxa"/>
                  <w:tcMar>
                    <w:top w:w="0" w:type="dxa"/>
                    <w:left w:w="0" w:type="dxa"/>
                    <w:bottom w:w="0" w:type="dxa"/>
                    <w:right w:w="0" w:type="dxa"/>
                  </w:tcMar>
                  <w:vAlign w:val="center"/>
                </w:tcPr>
                <w:p>
                  <w:pPr>
                    <w:widowControl/>
                    <w:adjustRightInd w:val="0"/>
                    <w:snapToGrid w:val="0"/>
                    <w:jc w:val="center"/>
                    <w:rPr>
                      <w:rFonts w:hint="eastAsia" w:eastAsia="宋体"/>
                      <w:bCs/>
                      <w:color w:val="auto"/>
                      <w:szCs w:val="21"/>
                      <w:lang w:eastAsia="zh-CN"/>
                    </w:rPr>
                  </w:pPr>
                  <w:r>
                    <w:rPr>
                      <w:bCs/>
                      <w:color w:val="auto"/>
                      <w:szCs w:val="21"/>
                    </w:rPr>
                    <w:t>≤</w:t>
                  </w:r>
                  <w:r>
                    <w:rPr>
                      <w:rFonts w:hint="eastAsia"/>
                      <w:bCs/>
                      <w:color w:val="auto"/>
                      <w:szCs w:val="21"/>
                      <w:lang w:val="en-US" w:eastAsia="zh-CN"/>
                    </w:rPr>
                    <w:t>4</w:t>
                  </w:r>
                </w:p>
              </w:tc>
              <w:tc>
                <w:tcPr>
                  <w:tcW w:w="698" w:type="dxa"/>
                  <w:tcMar>
                    <w:top w:w="0" w:type="dxa"/>
                    <w:left w:w="0" w:type="dxa"/>
                    <w:bottom w:w="0" w:type="dxa"/>
                    <w:right w:w="0" w:type="dxa"/>
                  </w:tcMar>
                  <w:vAlign w:val="center"/>
                </w:tcPr>
                <w:p>
                  <w:pPr>
                    <w:widowControl/>
                    <w:adjustRightInd w:val="0"/>
                    <w:snapToGrid w:val="0"/>
                    <w:jc w:val="center"/>
                    <w:rPr>
                      <w:rFonts w:hint="default" w:eastAsia="宋体"/>
                      <w:color w:val="auto"/>
                      <w:szCs w:val="21"/>
                      <w:lang w:val="en-US" w:eastAsia="zh-CN"/>
                    </w:rPr>
                  </w:pPr>
                  <w:r>
                    <w:rPr>
                      <w:bCs/>
                      <w:color w:val="auto"/>
                      <w:szCs w:val="21"/>
                    </w:rPr>
                    <w:t>≤1</w:t>
                  </w:r>
                  <w:r>
                    <w:rPr>
                      <w:rFonts w:hint="eastAsia"/>
                      <w:bCs/>
                      <w:color w:val="auto"/>
                      <w:szCs w:val="21"/>
                      <w:lang w:val="en-US" w:eastAsia="zh-CN"/>
                    </w:rPr>
                    <w:t>.0</w:t>
                  </w:r>
                </w:p>
              </w:tc>
              <w:tc>
                <w:tcPr>
                  <w:tcW w:w="1003" w:type="dxa"/>
                  <w:tcMar>
                    <w:top w:w="0" w:type="dxa"/>
                    <w:left w:w="0" w:type="dxa"/>
                    <w:bottom w:w="0" w:type="dxa"/>
                    <w:right w:w="0" w:type="dxa"/>
                  </w:tcMar>
                  <w:vAlign w:val="center"/>
                </w:tcPr>
                <w:p>
                  <w:pPr>
                    <w:widowControl/>
                    <w:adjustRightInd w:val="0"/>
                    <w:snapToGrid w:val="0"/>
                    <w:jc w:val="center"/>
                    <w:rPr>
                      <w:rFonts w:hint="eastAsia" w:eastAsia="宋体"/>
                      <w:bCs/>
                      <w:color w:val="auto"/>
                      <w:szCs w:val="21"/>
                      <w:lang w:eastAsia="zh-CN"/>
                    </w:rPr>
                  </w:pPr>
                  <w:r>
                    <w:rPr>
                      <w:bCs/>
                      <w:color w:val="auto"/>
                      <w:szCs w:val="21"/>
                    </w:rPr>
                    <w:t>≤0.</w:t>
                  </w:r>
                  <w:r>
                    <w:rPr>
                      <w:rFonts w:hint="eastAsia"/>
                      <w:bCs/>
                      <w:color w:val="auto"/>
                      <w:szCs w:val="21"/>
                      <w:lang w:val="en-US" w:eastAsia="zh-CN"/>
                    </w:rPr>
                    <w:t>2</w:t>
                  </w:r>
                </w:p>
              </w:tc>
              <w:tc>
                <w:tcPr>
                  <w:tcW w:w="1237" w:type="dxa"/>
                  <w:vMerge w:val="continue"/>
                  <w:tcMar>
                    <w:top w:w="0" w:type="dxa"/>
                    <w:left w:w="0" w:type="dxa"/>
                    <w:bottom w:w="0" w:type="dxa"/>
                    <w:right w:w="0" w:type="dxa"/>
                  </w:tcMar>
                  <w:vAlign w:val="center"/>
                </w:tcPr>
                <w:p>
                  <w:pPr>
                    <w:widowControl/>
                    <w:adjustRightInd w:val="0"/>
                    <w:snapToGrid w:val="0"/>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tcMar>
                    <w:top w:w="0" w:type="dxa"/>
                    <w:left w:w="0" w:type="dxa"/>
                    <w:bottom w:w="0" w:type="dxa"/>
                    <w:right w:w="0" w:type="dxa"/>
                  </w:tcMar>
                  <w:vAlign w:val="center"/>
                </w:tcPr>
                <w:p>
                  <w:pPr>
                    <w:widowControl/>
                    <w:adjustRightInd w:val="0"/>
                    <w:snapToGrid w:val="0"/>
                    <w:jc w:val="center"/>
                    <w:rPr>
                      <w:bCs/>
                      <w:color w:val="auto"/>
                      <w:szCs w:val="21"/>
                    </w:rPr>
                  </w:pPr>
                  <w:r>
                    <w:rPr>
                      <w:bCs/>
                      <w:color w:val="auto"/>
                      <w:szCs w:val="21"/>
                    </w:rPr>
                    <w:t>横港</w:t>
                  </w:r>
                </w:p>
              </w:tc>
              <w:tc>
                <w:tcPr>
                  <w:tcW w:w="1131" w:type="dxa"/>
                  <w:tcMar>
                    <w:top w:w="0" w:type="dxa"/>
                    <w:left w:w="0" w:type="dxa"/>
                    <w:bottom w:w="0" w:type="dxa"/>
                    <w:right w:w="0" w:type="dxa"/>
                  </w:tcMar>
                  <w:vAlign w:val="center"/>
                </w:tcPr>
                <w:p>
                  <w:pPr>
                    <w:jc w:val="center"/>
                    <w:rPr>
                      <w:color w:val="auto"/>
                      <w:szCs w:val="21"/>
                    </w:rPr>
                  </w:pPr>
                  <w:r>
                    <w:rPr>
                      <w:color w:val="auto"/>
                      <w:szCs w:val="21"/>
                    </w:rPr>
                    <w:t>6.48</w:t>
                  </w:r>
                </w:p>
              </w:tc>
              <w:tc>
                <w:tcPr>
                  <w:tcW w:w="1131" w:type="dxa"/>
                  <w:tcMar>
                    <w:top w:w="0" w:type="dxa"/>
                    <w:left w:w="0" w:type="dxa"/>
                    <w:bottom w:w="0" w:type="dxa"/>
                    <w:right w:w="0" w:type="dxa"/>
                  </w:tcMar>
                  <w:vAlign w:val="center"/>
                </w:tcPr>
                <w:p>
                  <w:pPr>
                    <w:jc w:val="center"/>
                    <w:rPr>
                      <w:color w:val="auto"/>
                      <w:szCs w:val="21"/>
                    </w:rPr>
                  </w:pPr>
                  <w:r>
                    <w:rPr>
                      <w:color w:val="auto"/>
                      <w:szCs w:val="21"/>
                    </w:rPr>
                    <w:t>15</w:t>
                  </w:r>
                </w:p>
              </w:tc>
              <w:tc>
                <w:tcPr>
                  <w:tcW w:w="1565" w:type="dxa"/>
                  <w:tcMar>
                    <w:top w:w="0" w:type="dxa"/>
                    <w:left w:w="0" w:type="dxa"/>
                    <w:bottom w:w="0" w:type="dxa"/>
                    <w:right w:w="0" w:type="dxa"/>
                  </w:tcMar>
                  <w:vAlign w:val="center"/>
                </w:tcPr>
                <w:p>
                  <w:pPr>
                    <w:jc w:val="center"/>
                    <w:rPr>
                      <w:color w:val="auto"/>
                      <w:szCs w:val="21"/>
                    </w:rPr>
                  </w:pPr>
                  <w:r>
                    <w:rPr>
                      <w:color w:val="auto"/>
                      <w:szCs w:val="21"/>
                    </w:rPr>
                    <w:t>2.7</w:t>
                  </w:r>
                </w:p>
              </w:tc>
              <w:tc>
                <w:tcPr>
                  <w:tcW w:w="698" w:type="dxa"/>
                  <w:tcMar>
                    <w:top w:w="0" w:type="dxa"/>
                    <w:left w:w="0" w:type="dxa"/>
                    <w:bottom w:w="0" w:type="dxa"/>
                    <w:right w:w="0" w:type="dxa"/>
                  </w:tcMar>
                  <w:vAlign w:val="center"/>
                </w:tcPr>
                <w:p>
                  <w:pPr>
                    <w:jc w:val="center"/>
                    <w:rPr>
                      <w:color w:val="auto"/>
                      <w:szCs w:val="21"/>
                    </w:rPr>
                  </w:pPr>
                  <w:r>
                    <w:rPr>
                      <w:color w:val="auto"/>
                      <w:szCs w:val="21"/>
                    </w:rPr>
                    <w:t>0.41</w:t>
                  </w:r>
                </w:p>
              </w:tc>
              <w:tc>
                <w:tcPr>
                  <w:tcW w:w="1003" w:type="dxa"/>
                  <w:tcMar>
                    <w:top w:w="0" w:type="dxa"/>
                    <w:left w:w="0" w:type="dxa"/>
                    <w:bottom w:w="0" w:type="dxa"/>
                    <w:right w:w="0" w:type="dxa"/>
                  </w:tcMar>
                  <w:vAlign w:val="center"/>
                </w:tcPr>
                <w:p>
                  <w:pPr>
                    <w:jc w:val="center"/>
                    <w:rPr>
                      <w:color w:val="auto"/>
                      <w:szCs w:val="21"/>
                    </w:rPr>
                  </w:pPr>
                  <w:r>
                    <w:rPr>
                      <w:color w:val="auto"/>
                      <w:szCs w:val="21"/>
                    </w:rPr>
                    <w:t>0.135</w:t>
                  </w:r>
                </w:p>
              </w:tc>
              <w:tc>
                <w:tcPr>
                  <w:tcW w:w="1237" w:type="dxa"/>
                  <w:tcMar>
                    <w:top w:w="0" w:type="dxa"/>
                    <w:left w:w="0" w:type="dxa"/>
                    <w:bottom w:w="0" w:type="dxa"/>
                    <w:right w:w="0" w:type="dxa"/>
                  </w:tcMar>
                  <w:vAlign w:val="center"/>
                </w:tcPr>
                <w:p>
                  <w:pPr>
                    <w:widowControl/>
                    <w:adjustRightInd w:val="0"/>
                    <w:snapToGrid w:val="0"/>
                    <w:jc w:val="center"/>
                    <w:rPr>
                      <w:bCs/>
                      <w:color w:val="auto"/>
                      <w:szCs w:val="21"/>
                    </w:rPr>
                  </w:pPr>
                  <w:r>
                    <w:rPr>
                      <w:rFonts w:hint="eastAsia" w:ascii="宋体" w:hAnsi="宋体" w:cs="宋体"/>
                      <w:bCs/>
                      <w:color w:val="auto"/>
                      <w:szCs w:val="21"/>
                    </w:rPr>
                    <w:t>Ⅲ</w:t>
                  </w:r>
                </w:p>
              </w:tc>
            </w:tr>
          </w:tbl>
          <w:p>
            <w:pPr>
              <w:pStyle w:val="95"/>
              <w:adjustRightInd w:val="0"/>
              <w:snapToGrid w:val="0"/>
              <w:spacing w:before="120" w:beforeLines="50" w:line="360" w:lineRule="auto"/>
              <w:ind w:firstLine="480" w:firstLineChars="200"/>
              <w:rPr>
                <w:color w:val="auto"/>
              </w:rPr>
            </w:pPr>
            <w:r>
              <w:rPr>
                <w:rFonts w:hint="eastAsia"/>
                <w:color w:val="auto"/>
                <w:sz w:val="24"/>
              </w:rPr>
              <w:t>由</w:t>
            </w:r>
            <w:r>
              <w:rPr>
                <w:snapToGrid w:val="0"/>
                <w:color w:val="auto"/>
                <w:sz w:val="24"/>
                <w:szCs w:val="24"/>
                <w:lang w:val="zh-CN"/>
              </w:rPr>
              <w:t>上表可见，横港</w:t>
            </w:r>
            <w:r>
              <w:rPr>
                <w:rFonts w:hint="eastAsia"/>
                <w:snapToGrid w:val="0"/>
                <w:color w:val="auto"/>
                <w:sz w:val="24"/>
                <w:szCs w:val="24"/>
                <w:lang w:val="zh-CN"/>
              </w:rPr>
              <w:t>水质指标</w:t>
            </w:r>
            <w:r>
              <w:rPr>
                <w:snapToGrid w:val="0"/>
                <w:color w:val="auto"/>
                <w:sz w:val="24"/>
                <w:szCs w:val="24"/>
                <w:lang w:val="zh-CN"/>
              </w:rPr>
              <w:t>均能</w:t>
            </w:r>
            <w:r>
              <w:rPr>
                <w:rFonts w:hint="eastAsia"/>
                <w:snapToGrid w:val="0"/>
                <w:color w:val="auto"/>
                <w:sz w:val="24"/>
                <w:szCs w:val="24"/>
                <w:lang w:val="zh-CN"/>
              </w:rPr>
              <w:t>达到</w:t>
            </w:r>
            <w:r>
              <w:rPr>
                <w:snapToGrid w:val="0"/>
                <w:color w:val="auto"/>
                <w:sz w:val="24"/>
                <w:szCs w:val="24"/>
                <w:lang w:val="zh-CN"/>
              </w:rPr>
              <w:t>《地表水环境质量标准》（GB3838-2002）</w:t>
            </w:r>
            <w:r>
              <w:rPr>
                <w:rFonts w:hint="eastAsia" w:ascii="宋体" w:hAnsi="宋体" w:cs="宋体"/>
                <w:color w:val="auto"/>
                <w:sz w:val="24"/>
              </w:rPr>
              <w:t>Ⅲ类</w:t>
            </w:r>
            <w:r>
              <w:rPr>
                <w:snapToGrid w:val="0"/>
                <w:color w:val="auto"/>
                <w:sz w:val="24"/>
                <w:szCs w:val="24"/>
                <w:lang w:val="zh-CN"/>
              </w:rPr>
              <w:t>水质标准要求，水环境质量现状较好</w:t>
            </w:r>
            <w:r>
              <w:rPr>
                <w:color w:val="auto"/>
                <w:sz w:val="24"/>
                <w:szCs w:val="24"/>
              </w:rPr>
              <w:t>。</w:t>
            </w:r>
          </w:p>
          <w:p>
            <w:pPr>
              <w:adjustRightInd w:val="0"/>
              <w:snapToGrid w:val="0"/>
              <w:spacing w:line="360" w:lineRule="auto"/>
              <w:jc w:val="left"/>
              <w:rPr>
                <w:color w:val="auto"/>
                <w:kern w:val="0"/>
                <w:sz w:val="24"/>
              </w:rPr>
            </w:pPr>
            <w:r>
              <w:rPr>
                <w:b/>
                <w:bCs/>
                <w:color w:val="auto"/>
                <w:kern w:val="0"/>
                <w:sz w:val="24"/>
              </w:rPr>
              <w:t>3、声环境</w:t>
            </w:r>
          </w:p>
          <w:p>
            <w:pPr>
              <w:pStyle w:val="26"/>
              <w:autoSpaceDE w:val="0"/>
              <w:autoSpaceDN w:val="0"/>
              <w:adjustRightInd w:val="0"/>
              <w:snapToGrid w:val="0"/>
              <w:spacing w:before="0" w:beforeAutospacing="0" w:after="0" w:afterAutospacing="0" w:line="360" w:lineRule="auto"/>
              <w:ind w:firstLine="480" w:firstLineChars="200"/>
              <w:rPr>
                <w:rFonts w:ascii="Times New Roman" w:hAnsi="Times New Roman"/>
                <w:color w:val="auto"/>
              </w:rPr>
            </w:pPr>
            <w:r>
              <w:rPr>
                <w:rFonts w:ascii="Times New Roman" w:hAnsi="Times New Roman"/>
                <w:color w:val="auto"/>
                <w:szCs w:val="24"/>
              </w:rPr>
              <w:t>根据《市政府办公室关于印发无锡市区声环境功能区划分调整方案的通知》（锡政办发[2018]157号），本项目所在地属于3类声环境功能区，执行《声环境质量标准》（GB3096-2008）中的3类区域标准。</w:t>
            </w:r>
            <w:r>
              <w:rPr>
                <w:rFonts w:hint="eastAsia" w:ascii="Times New Roman" w:hAnsi="Times New Roman"/>
                <w:color w:val="auto"/>
                <w:szCs w:val="24"/>
              </w:rPr>
              <w:t>根据《2022年无锡市声环境质量状况》，2022年无锡市区域环境噪声昼间均值为56.2分贝（A），质量等级三级，评价水平为一般。</w:t>
            </w:r>
          </w:p>
          <w:p>
            <w:pPr>
              <w:adjustRightInd w:val="0"/>
              <w:snapToGrid w:val="0"/>
              <w:spacing w:line="360" w:lineRule="auto"/>
              <w:rPr>
                <w:b/>
                <w:bCs/>
                <w:color w:val="auto"/>
                <w:sz w:val="24"/>
              </w:rPr>
            </w:pPr>
            <w:r>
              <w:rPr>
                <w:b/>
                <w:bCs/>
                <w:color w:val="auto"/>
                <w:sz w:val="24"/>
              </w:rPr>
              <w:t>4、生态环境</w:t>
            </w:r>
          </w:p>
          <w:p>
            <w:pPr>
              <w:adjustRightInd w:val="0"/>
              <w:snapToGrid w:val="0"/>
              <w:spacing w:line="360" w:lineRule="auto"/>
              <w:ind w:firstLine="480" w:firstLineChars="200"/>
              <w:rPr>
                <w:color w:val="auto"/>
                <w:sz w:val="24"/>
              </w:rPr>
            </w:pPr>
            <w:r>
              <w:rPr>
                <w:color w:val="auto"/>
                <w:sz w:val="24"/>
              </w:rPr>
              <w:t>本项目位于无锡惠山工业转型集聚区（东区）内，范围内不涉及生态环境保护目标，不开展生态环境现状调查。</w:t>
            </w:r>
          </w:p>
          <w:p>
            <w:pPr>
              <w:adjustRightInd w:val="0"/>
              <w:snapToGrid w:val="0"/>
              <w:spacing w:line="360" w:lineRule="auto"/>
              <w:rPr>
                <w:b/>
                <w:bCs/>
                <w:color w:val="auto"/>
                <w:sz w:val="24"/>
              </w:rPr>
            </w:pPr>
            <w:r>
              <w:rPr>
                <w:b/>
                <w:bCs/>
                <w:color w:val="auto"/>
                <w:sz w:val="24"/>
              </w:rPr>
              <w:t>5、电磁辐射</w:t>
            </w:r>
          </w:p>
          <w:p>
            <w:pPr>
              <w:adjustRightInd w:val="0"/>
              <w:snapToGrid w:val="0"/>
              <w:spacing w:line="360" w:lineRule="auto"/>
              <w:ind w:firstLine="480" w:firstLineChars="200"/>
              <w:rPr>
                <w:color w:val="auto"/>
                <w:sz w:val="24"/>
              </w:rPr>
            </w:pPr>
            <w:r>
              <w:rPr>
                <w:color w:val="auto"/>
                <w:sz w:val="24"/>
              </w:rPr>
              <w:t>本项目无电磁辐射产生。</w:t>
            </w:r>
          </w:p>
          <w:p>
            <w:pPr>
              <w:adjustRightInd w:val="0"/>
              <w:snapToGrid w:val="0"/>
              <w:spacing w:line="360" w:lineRule="auto"/>
              <w:rPr>
                <w:b/>
                <w:bCs/>
                <w:color w:val="auto"/>
                <w:sz w:val="24"/>
              </w:rPr>
            </w:pPr>
            <w:r>
              <w:rPr>
                <w:b/>
                <w:bCs/>
                <w:color w:val="auto"/>
                <w:sz w:val="24"/>
              </w:rPr>
              <w:t>6、地下水、土壤环境</w:t>
            </w:r>
          </w:p>
          <w:p>
            <w:pPr>
              <w:adjustRightInd w:val="0"/>
              <w:snapToGrid w:val="0"/>
              <w:spacing w:line="360" w:lineRule="auto"/>
              <w:ind w:firstLine="480" w:firstLineChars="200"/>
              <w:jc w:val="left"/>
              <w:rPr>
                <w:bCs/>
                <w:color w:val="auto"/>
                <w:sz w:val="24"/>
              </w:rPr>
            </w:pPr>
            <w:r>
              <w:rPr>
                <w:bCs/>
                <w:color w:val="auto"/>
                <w:sz w:val="24"/>
              </w:rPr>
              <w:t>本项目</w:t>
            </w:r>
            <w:r>
              <w:rPr>
                <w:rFonts w:hint="eastAsia"/>
                <w:bCs/>
                <w:color w:val="auto"/>
                <w:sz w:val="24"/>
              </w:rPr>
              <w:t>使用原料</w:t>
            </w:r>
            <w:r>
              <w:rPr>
                <w:bCs/>
                <w:color w:val="auto"/>
                <w:sz w:val="24"/>
              </w:rPr>
              <w:t>涉及</w:t>
            </w:r>
            <w:r>
              <w:rPr>
                <w:rFonts w:hint="eastAsia"/>
                <w:bCs/>
                <w:color w:val="auto"/>
                <w:sz w:val="24"/>
              </w:rPr>
              <w:t>液压油、</w:t>
            </w:r>
            <w:r>
              <w:rPr>
                <w:bCs/>
                <w:color w:val="auto"/>
                <w:sz w:val="24"/>
              </w:rPr>
              <w:t>导热油等，</w:t>
            </w:r>
            <w:r>
              <w:rPr>
                <w:rFonts w:hint="eastAsia"/>
                <w:bCs/>
                <w:color w:val="auto"/>
                <w:sz w:val="24"/>
              </w:rPr>
              <w:t>生产车间</w:t>
            </w:r>
            <w:r>
              <w:rPr>
                <w:bCs/>
                <w:color w:val="auto"/>
                <w:sz w:val="24"/>
              </w:rPr>
              <w:t>、原料仓库及危废仓库采取合理的分区防渗措施后，正常运营工况下无地下水、土壤污染途径，不开展地下水、土壤环境现状调查。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9" w:hRule="atLeast"/>
          <w:jc w:val="center"/>
        </w:trPr>
        <w:tc>
          <w:tcPr>
            <w:tcW w:w="507" w:type="dxa"/>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Cs w:val="21"/>
              </w:rPr>
            </w:pPr>
            <w:r>
              <w:rPr>
                <w:color w:val="auto"/>
                <w:kern w:val="0"/>
                <w:sz w:val="24"/>
              </w:rPr>
              <w:t>目标</w:t>
            </w:r>
          </w:p>
        </w:tc>
        <w:tc>
          <w:tcPr>
            <w:tcW w:w="8483" w:type="dxa"/>
            <w:vAlign w:val="center"/>
          </w:tcPr>
          <w:p>
            <w:pPr>
              <w:adjustRightInd w:val="0"/>
              <w:snapToGrid w:val="0"/>
              <w:spacing w:line="360" w:lineRule="auto"/>
              <w:rPr>
                <w:b/>
                <w:bCs/>
                <w:color w:val="auto"/>
                <w:sz w:val="24"/>
              </w:rPr>
            </w:pPr>
            <w:r>
              <w:rPr>
                <w:b/>
                <w:bCs/>
                <w:color w:val="auto"/>
                <w:sz w:val="24"/>
              </w:rPr>
              <w:t>1、大气环境</w:t>
            </w:r>
          </w:p>
          <w:p>
            <w:pPr>
              <w:adjustRightInd w:val="0"/>
              <w:snapToGrid w:val="0"/>
              <w:spacing w:line="360" w:lineRule="auto"/>
              <w:ind w:firstLine="480" w:firstLineChars="200"/>
              <w:rPr>
                <w:snapToGrid w:val="0"/>
                <w:color w:val="auto"/>
                <w:kern w:val="0"/>
                <w:sz w:val="24"/>
              </w:rPr>
            </w:pPr>
            <w:r>
              <w:rPr>
                <w:color w:val="auto"/>
                <w:sz w:val="24"/>
              </w:rPr>
              <w:t>本项目位于无锡惠山工业转型集聚区北洲路与邓北路交叉口西北侧</w:t>
            </w:r>
            <w:r>
              <w:rPr>
                <w:rFonts w:hint="eastAsia"/>
                <w:color w:val="auto"/>
                <w:sz w:val="24"/>
                <w:lang w:eastAsia="zh-CN"/>
              </w:rPr>
              <w:t>。本项目根据要求设置大气专项评价，按照</w:t>
            </w:r>
            <w:r>
              <w:rPr>
                <w:rFonts w:hint="eastAsia"/>
                <w:color w:val="auto"/>
                <w:sz w:val="24"/>
              </w:rPr>
              <w:t>《环境影响评价技术导则 大气环境》（HJ2.2-2018</w:t>
            </w:r>
            <w:r>
              <w:rPr>
                <w:rFonts w:hint="eastAsia"/>
                <w:color w:val="auto"/>
                <w:sz w:val="24"/>
                <w:lang w:eastAsia="zh-CN"/>
              </w:rPr>
              <w:t>），二级评价项目评价范围</w:t>
            </w:r>
            <w:r>
              <w:rPr>
                <w:rFonts w:hint="eastAsia"/>
                <w:color w:val="auto"/>
                <w:sz w:val="24"/>
              </w:rPr>
              <w:t>为以项目厂址为中心区域，边长为5km的矩形区域。评价范围内大气环境保护目标</w:t>
            </w:r>
            <w:r>
              <w:rPr>
                <w:rFonts w:hint="eastAsia"/>
                <w:color w:val="auto"/>
                <w:sz w:val="24"/>
                <w:lang w:eastAsia="zh-CN"/>
              </w:rPr>
              <w:t>见</w:t>
            </w:r>
            <w:r>
              <w:rPr>
                <w:rFonts w:hint="eastAsia"/>
                <w:color w:val="auto"/>
                <w:sz w:val="24"/>
                <w:lang w:val="en-US" w:eastAsia="zh-CN"/>
              </w:rPr>
              <w:t>大气专项评价表2-6及</w:t>
            </w:r>
            <w:r>
              <w:rPr>
                <w:rFonts w:hint="eastAsia"/>
                <w:snapToGrid w:val="0"/>
                <w:color w:val="auto"/>
                <w:kern w:val="0"/>
                <w:sz w:val="24"/>
              </w:rPr>
              <w:t>图2-1</w:t>
            </w:r>
            <w:r>
              <w:rPr>
                <w:rFonts w:hint="eastAsia"/>
                <w:color w:val="auto"/>
                <w:sz w:val="24"/>
                <w:lang w:val="en-US" w:eastAsia="zh-CN"/>
              </w:rPr>
              <w:t>，</w:t>
            </w:r>
            <w:r>
              <w:rPr>
                <w:rFonts w:hint="eastAsia"/>
                <w:color w:val="auto"/>
                <w:sz w:val="24"/>
                <w:lang w:eastAsia="zh-CN"/>
              </w:rPr>
              <w:t>本报告仅列出</w:t>
            </w:r>
            <w:r>
              <w:rPr>
                <w:snapToGrid w:val="0"/>
                <w:color w:val="auto"/>
                <w:kern w:val="0"/>
                <w:sz w:val="24"/>
              </w:rPr>
              <w:t>项目周边500米范围内大气环境保护目标</w:t>
            </w:r>
            <w:r>
              <w:rPr>
                <w:rFonts w:hint="eastAsia"/>
                <w:snapToGrid w:val="0"/>
                <w:color w:val="auto"/>
                <w:kern w:val="0"/>
                <w:sz w:val="24"/>
                <w:lang w:eastAsia="zh-CN"/>
              </w:rPr>
              <w:t>，</w:t>
            </w:r>
            <w:r>
              <w:rPr>
                <w:snapToGrid w:val="0"/>
                <w:color w:val="auto"/>
                <w:kern w:val="0"/>
                <w:sz w:val="24"/>
              </w:rPr>
              <w:t>见下表，</w:t>
            </w:r>
            <w:r>
              <w:rPr>
                <w:color w:val="auto"/>
                <w:sz w:val="24"/>
              </w:rPr>
              <w:t>周围500m</w:t>
            </w:r>
            <w:r>
              <w:rPr>
                <w:rFonts w:hint="eastAsia"/>
                <w:color w:val="auto"/>
                <w:sz w:val="24"/>
              </w:rPr>
              <w:t>范围</w:t>
            </w:r>
            <w:r>
              <w:rPr>
                <w:color w:val="auto"/>
                <w:sz w:val="24"/>
              </w:rPr>
              <w:t>环境示意图</w:t>
            </w:r>
            <w:r>
              <w:rPr>
                <w:snapToGrid w:val="0"/>
                <w:color w:val="auto"/>
                <w:kern w:val="0"/>
                <w:sz w:val="24"/>
              </w:rPr>
              <w:t>详见图2-2。</w:t>
            </w:r>
          </w:p>
          <w:p>
            <w:pPr>
              <w:pStyle w:val="9"/>
              <w:jc w:val="center"/>
              <w:rPr>
                <w:b/>
                <w:bCs/>
                <w:color w:val="auto"/>
                <w:sz w:val="21"/>
                <w:szCs w:val="21"/>
              </w:rPr>
            </w:pPr>
            <w:r>
              <w:rPr>
                <w:b/>
                <w:bCs/>
                <w:color w:val="auto"/>
                <w:szCs w:val="24"/>
              </w:rPr>
              <w:t xml:space="preserve">表3-4  </w:t>
            </w:r>
            <w:r>
              <w:rPr>
                <w:b/>
                <w:color w:val="auto"/>
                <w:szCs w:val="24"/>
              </w:rPr>
              <w:t>大气环境保护目标一览表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4"/>
              <w:gridCol w:w="965"/>
              <w:gridCol w:w="852"/>
              <w:gridCol w:w="709"/>
              <w:gridCol w:w="851"/>
              <w:gridCol w:w="709"/>
              <w:gridCol w:w="849"/>
              <w:gridCol w:w="1561"/>
              <w:gridCol w:w="667"/>
              <w:gridCol w:w="7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3" w:hRule="atLeast"/>
                <w:jc w:val="center"/>
              </w:trPr>
              <w:tc>
                <w:tcPr>
                  <w:tcW w:w="239" w:type="pct"/>
                  <w:vMerge w:val="restart"/>
                  <w:vAlign w:val="center"/>
                </w:tcPr>
                <w:p>
                  <w:pPr>
                    <w:pStyle w:val="101"/>
                    <w:adjustRightInd w:val="0"/>
                    <w:snapToGrid w:val="0"/>
                    <w:rPr>
                      <w:b/>
                      <w:bCs/>
                      <w:color w:val="auto"/>
                    </w:rPr>
                  </w:pPr>
                  <w:r>
                    <w:rPr>
                      <w:b/>
                      <w:bCs/>
                      <w:color w:val="auto"/>
                    </w:rPr>
                    <w:t>序号</w:t>
                  </w:r>
                </w:p>
              </w:tc>
              <w:tc>
                <w:tcPr>
                  <w:tcW w:w="584" w:type="pct"/>
                  <w:vMerge w:val="restart"/>
                  <w:vAlign w:val="center"/>
                </w:tcPr>
                <w:p>
                  <w:pPr>
                    <w:pStyle w:val="101"/>
                    <w:adjustRightInd w:val="0"/>
                    <w:snapToGrid w:val="0"/>
                    <w:rPr>
                      <w:b/>
                      <w:bCs/>
                      <w:color w:val="auto"/>
                    </w:rPr>
                  </w:pPr>
                  <w:r>
                    <w:rPr>
                      <w:b/>
                      <w:bCs/>
                      <w:color w:val="auto"/>
                    </w:rPr>
                    <w:t>名称</w:t>
                  </w:r>
                </w:p>
              </w:tc>
              <w:tc>
                <w:tcPr>
                  <w:tcW w:w="945" w:type="pct"/>
                  <w:gridSpan w:val="2"/>
                  <w:vAlign w:val="center"/>
                </w:tcPr>
                <w:p>
                  <w:pPr>
                    <w:pStyle w:val="101"/>
                    <w:adjustRightInd w:val="0"/>
                    <w:snapToGrid w:val="0"/>
                    <w:rPr>
                      <w:b/>
                      <w:bCs/>
                      <w:color w:val="auto"/>
                    </w:rPr>
                  </w:pPr>
                  <w:r>
                    <w:rPr>
                      <w:b/>
                      <w:bCs/>
                      <w:color w:val="auto"/>
                    </w:rPr>
                    <w:t>坐标/</w:t>
                  </w:r>
                  <w:r>
                    <w:rPr>
                      <w:color w:val="auto"/>
                    </w:rPr>
                    <w:t>°</w:t>
                  </w:r>
                </w:p>
              </w:tc>
              <w:tc>
                <w:tcPr>
                  <w:tcW w:w="515" w:type="pct"/>
                  <w:vMerge w:val="restart"/>
                  <w:vAlign w:val="center"/>
                </w:tcPr>
                <w:p>
                  <w:pPr>
                    <w:pStyle w:val="101"/>
                    <w:adjustRightInd w:val="0"/>
                    <w:snapToGrid w:val="0"/>
                    <w:rPr>
                      <w:b/>
                      <w:bCs/>
                      <w:color w:val="auto"/>
                    </w:rPr>
                  </w:pPr>
                  <w:r>
                    <w:rPr>
                      <w:b/>
                      <w:bCs/>
                      <w:color w:val="auto"/>
                    </w:rPr>
                    <w:t>保护对象</w:t>
                  </w:r>
                </w:p>
              </w:tc>
              <w:tc>
                <w:tcPr>
                  <w:tcW w:w="429" w:type="pct"/>
                  <w:vMerge w:val="restart"/>
                  <w:vAlign w:val="center"/>
                </w:tcPr>
                <w:p>
                  <w:pPr>
                    <w:pStyle w:val="101"/>
                    <w:adjustRightInd w:val="0"/>
                    <w:snapToGrid w:val="0"/>
                    <w:rPr>
                      <w:b/>
                      <w:bCs/>
                      <w:color w:val="auto"/>
                    </w:rPr>
                  </w:pPr>
                  <w:r>
                    <w:rPr>
                      <w:b/>
                      <w:bCs/>
                      <w:color w:val="auto"/>
                    </w:rPr>
                    <w:t>保护内容</w:t>
                  </w:r>
                </w:p>
              </w:tc>
              <w:tc>
                <w:tcPr>
                  <w:tcW w:w="514" w:type="pct"/>
                  <w:vMerge w:val="restart"/>
                  <w:vAlign w:val="center"/>
                </w:tcPr>
                <w:p>
                  <w:pPr>
                    <w:pStyle w:val="101"/>
                    <w:adjustRightInd w:val="0"/>
                    <w:snapToGrid w:val="0"/>
                    <w:rPr>
                      <w:b/>
                      <w:bCs/>
                      <w:color w:val="auto"/>
                    </w:rPr>
                  </w:pPr>
                  <w:r>
                    <w:rPr>
                      <w:b/>
                      <w:bCs/>
                      <w:color w:val="auto"/>
                    </w:rPr>
                    <w:t>环境功能区</w:t>
                  </w:r>
                </w:p>
              </w:tc>
              <w:tc>
                <w:tcPr>
                  <w:tcW w:w="945" w:type="pct"/>
                  <w:vAlign w:val="center"/>
                </w:tcPr>
                <w:p>
                  <w:pPr>
                    <w:pStyle w:val="101"/>
                    <w:adjustRightInd w:val="0"/>
                    <w:snapToGrid w:val="0"/>
                    <w:rPr>
                      <w:b/>
                      <w:bCs/>
                      <w:color w:val="auto"/>
                    </w:rPr>
                  </w:pPr>
                  <w:r>
                    <w:rPr>
                      <w:b/>
                      <w:bCs/>
                      <w:color w:val="auto"/>
                    </w:rPr>
                    <w:t>规模</w:t>
                  </w:r>
                </w:p>
              </w:tc>
              <w:tc>
                <w:tcPr>
                  <w:tcW w:w="404" w:type="pct"/>
                  <w:vMerge w:val="restart"/>
                  <w:vAlign w:val="center"/>
                </w:tcPr>
                <w:p>
                  <w:pPr>
                    <w:pStyle w:val="101"/>
                    <w:adjustRightInd w:val="0"/>
                    <w:snapToGrid w:val="0"/>
                    <w:rPr>
                      <w:b/>
                      <w:bCs/>
                      <w:color w:val="auto"/>
                    </w:rPr>
                  </w:pPr>
                  <w:r>
                    <w:rPr>
                      <w:b/>
                      <w:bCs/>
                      <w:color w:val="auto"/>
                    </w:rPr>
                    <w:t>相对厂址方位</w:t>
                  </w:r>
                </w:p>
              </w:tc>
              <w:tc>
                <w:tcPr>
                  <w:tcW w:w="425" w:type="pct"/>
                  <w:vMerge w:val="restart"/>
                  <w:vAlign w:val="center"/>
                </w:tcPr>
                <w:p>
                  <w:pPr>
                    <w:pStyle w:val="101"/>
                    <w:adjustRightInd w:val="0"/>
                    <w:snapToGrid w:val="0"/>
                    <w:rPr>
                      <w:b/>
                      <w:bCs/>
                      <w:color w:val="auto"/>
                    </w:rPr>
                  </w:pPr>
                  <w:r>
                    <w:rPr>
                      <w:b/>
                      <w:bCs/>
                      <w:color w:val="auto"/>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39" w:type="pct"/>
                  <w:vMerge w:val="continue"/>
                  <w:vAlign w:val="center"/>
                </w:tcPr>
                <w:p>
                  <w:pPr>
                    <w:pStyle w:val="101"/>
                    <w:adjustRightInd w:val="0"/>
                    <w:snapToGrid w:val="0"/>
                    <w:rPr>
                      <w:color w:val="auto"/>
                    </w:rPr>
                  </w:pPr>
                </w:p>
              </w:tc>
              <w:tc>
                <w:tcPr>
                  <w:tcW w:w="584" w:type="pct"/>
                  <w:vMerge w:val="continue"/>
                  <w:vAlign w:val="center"/>
                </w:tcPr>
                <w:p>
                  <w:pPr>
                    <w:pStyle w:val="101"/>
                    <w:adjustRightInd w:val="0"/>
                    <w:snapToGrid w:val="0"/>
                    <w:rPr>
                      <w:color w:val="auto"/>
                    </w:rPr>
                  </w:pPr>
                </w:p>
              </w:tc>
              <w:tc>
                <w:tcPr>
                  <w:tcW w:w="516" w:type="pct"/>
                  <w:vAlign w:val="center"/>
                </w:tcPr>
                <w:p>
                  <w:pPr>
                    <w:pStyle w:val="101"/>
                    <w:adjustRightInd w:val="0"/>
                    <w:snapToGrid w:val="0"/>
                    <w:rPr>
                      <w:b/>
                      <w:bCs/>
                      <w:color w:val="auto"/>
                    </w:rPr>
                  </w:pPr>
                  <w:r>
                    <w:rPr>
                      <w:b/>
                      <w:bCs/>
                      <w:color w:val="auto"/>
                    </w:rPr>
                    <w:t>X</w:t>
                  </w:r>
                </w:p>
              </w:tc>
              <w:tc>
                <w:tcPr>
                  <w:tcW w:w="429" w:type="pct"/>
                  <w:vAlign w:val="center"/>
                </w:tcPr>
                <w:p>
                  <w:pPr>
                    <w:pStyle w:val="101"/>
                    <w:adjustRightInd w:val="0"/>
                    <w:snapToGrid w:val="0"/>
                    <w:rPr>
                      <w:b/>
                      <w:bCs/>
                      <w:color w:val="auto"/>
                    </w:rPr>
                  </w:pPr>
                  <w:r>
                    <w:rPr>
                      <w:b/>
                      <w:bCs/>
                      <w:color w:val="auto"/>
                    </w:rPr>
                    <w:t>Y</w:t>
                  </w:r>
                </w:p>
              </w:tc>
              <w:tc>
                <w:tcPr>
                  <w:tcW w:w="515" w:type="pct"/>
                  <w:vMerge w:val="continue"/>
                  <w:vAlign w:val="center"/>
                </w:tcPr>
                <w:p>
                  <w:pPr>
                    <w:pStyle w:val="101"/>
                    <w:adjustRightInd w:val="0"/>
                    <w:snapToGrid w:val="0"/>
                    <w:rPr>
                      <w:color w:val="auto"/>
                    </w:rPr>
                  </w:pPr>
                </w:p>
              </w:tc>
              <w:tc>
                <w:tcPr>
                  <w:tcW w:w="429" w:type="pct"/>
                  <w:vMerge w:val="continue"/>
                  <w:vAlign w:val="center"/>
                </w:tcPr>
                <w:p>
                  <w:pPr>
                    <w:pStyle w:val="101"/>
                    <w:adjustRightInd w:val="0"/>
                    <w:snapToGrid w:val="0"/>
                    <w:rPr>
                      <w:color w:val="auto"/>
                    </w:rPr>
                  </w:pPr>
                </w:p>
              </w:tc>
              <w:tc>
                <w:tcPr>
                  <w:tcW w:w="514" w:type="pct"/>
                  <w:vMerge w:val="continue"/>
                  <w:vAlign w:val="center"/>
                </w:tcPr>
                <w:p>
                  <w:pPr>
                    <w:pStyle w:val="101"/>
                    <w:adjustRightInd w:val="0"/>
                    <w:snapToGrid w:val="0"/>
                    <w:rPr>
                      <w:color w:val="auto"/>
                    </w:rPr>
                  </w:pPr>
                </w:p>
              </w:tc>
              <w:tc>
                <w:tcPr>
                  <w:tcW w:w="945" w:type="pct"/>
                  <w:vAlign w:val="center"/>
                </w:tcPr>
                <w:p>
                  <w:pPr>
                    <w:pStyle w:val="101"/>
                    <w:adjustRightInd w:val="0"/>
                    <w:snapToGrid w:val="0"/>
                    <w:rPr>
                      <w:color w:val="auto"/>
                    </w:rPr>
                  </w:pPr>
                  <w:r>
                    <w:rPr>
                      <w:b/>
                      <w:bCs/>
                      <w:color w:val="auto"/>
                    </w:rPr>
                    <w:t>户数/人数</w:t>
                  </w:r>
                </w:p>
              </w:tc>
              <w:tc>
                <w:tcPr>
                  <w:tcW w:w="404" w:type="pct"/>
                  <w:vMerge w:val="continue"/>
                  <w:vAlign w:val="center"/>
                </w:tcPr>
                <w:p>
                  <w:pPr>
                    <w:pStyle w:val="101"/>
                    <w:adjustRightInd w:val="0"/>
                    <w:snapToGrid w:val="0"/>
                    <w:rPr>
                      <w:color w:val="auto"/>
                    </w:rPr>
                  </w:pPr>
                </w:p>
              </w:tc>
              <w:tc>
                <w:tcPr>
                  <w:tcW w:w="425" w:type="pct"/>
                  <w:vMerge w:val="continue"/>
                  <w:vAlign w:val="center"/>
                </w:tcPr>
                <w:p>
                  <w:pPr>
                    <w:pStyle w:val="101"/>
                    <w:adjustRightInd w:val="0"/>
                    <w:snapToGrid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pPr>
                    <w:adjustRightInd w:val="0"/>
                    <w:snapToGrid w:val="0"/>
                    <w:jc w:val="center"/>
                    <w:rPr>
                      <w:color w:val="auto"/>
                      <w:szCs w:val="21"/>
                    </w:rPr>
                  </w:pPr>
                  <w:r>
                    <w:rPr>
                      <w:color w:val="auto"/>
                      <w:szCs w:val="21"/>
                    </w:rPr>
                    <w:t>1</w:t>
                  </w:r>
                </w:p>
              </w:tc>
              <w:tc>
                <w:tcPr>
                  <w:tcW w:w="584" w:type="pct"/>
                  <w:vAlign w:val="center"/>
                </w:tcPr>
                <w:p>
                  <w:pPr>
                    <w:adjustRightInd w:val="0"/>
                    <w:snapToGrid w:val="0"/>
                    <w:jc w:val="center"/>
                    <w:rPr>
                      <w:color w:val="auto"/>
                      <w:szCs w:val="21"/>
                    </w:rPr>
                  </w:pPr>
                  <w:r>
                    <w:rPr>
                      <w:rFonts w:hint="eastAsia"/>
                      <w:color w:val="auto"/>
                      <w:szCs w:val="21"/>
                    </w:rPr>
                    <w:t>陈巷</w:t>
                  </w:r>
                </w:p>
              </w:tc>
              <w:tc>
                <w:tcPr>
                  <w:tcW w:w="516" w:type="pct"/>
                  <w:vAlign w:val="center"/>
                </w:tcPr>
                <w:p>
                  <w:pPr>
                    <w:adjustRightInd w:val="0"/>
                    <w:snapToGrid w:val="0"/>
                    <w:jc w:val="center"/>
                    <w:rPr>
                      <w:color w:val="auto"/>
                      <w:szCs w:val="21"/>
                    </w:rPr>
                  </w:pPr>
                  <w:r>
                    <w:rPr>
                      <w:color w:val="auto"/>
                      <w:szCs w:val="21"/>
                    </w:rPr>
                    <w:t>120.228518</w:t>
                  </w:r>
                </w:p>
              </w:tc>
              <w:tc>
                <w:tcPr>
                  <w:tcW w:w="429" w:type="pct"/>
                  <w:vAlign w:val="center"/>
                </w:tcPr>
                <w:p>
                  <w:pPr>
                    <w:adjustRightInd w:val="0"/>
                    <w:snapToGrid w:val="0"/>
                    <w:jc w:val="center"/>
                    <w:rPr>
                      <w:color w:val="auto"/>
                      <w:szCs w:val="21"/>
                    </w:rPr>
                  </w:pPr>
                  <w:r>
                    <w:rPr>
                      <w:color w:val="auto"/>
                      <w:szCs w:val="21"/>
                    </w:rPr>
                    <w:t>31.722108</w:t>
                  </w:r>
                </w:p>
              </w:tc>
              <w:tc>
                <w:tcPr>
                  <w:tcW w:w="515" w:type="pct"/>
                  <w:vAlign w:val="center"/>
                </w:tcPr>
                <w:p>
                  <w:pPr>
                    <w:pStyle w:val="15"/>
                    <w:adjustRightInd w:val="0"/>
                    <w:snapToGrid w:val="0"/>
                    <w:jc w:val="center"/>
                    <w:rPr>
                      <w:rFonts w:ascii="Times New Roman" w:hAnsi="Times New Roman"/>
                      <w:color w:val="auto"/>
                      <w:sz w:val="21"/>
                      <w:szCs w:val="21"/>
                    </w:rPr>
                  </w:pPr>
                  <w:r>
                    <w:rPr>
                      <w:rFonts w:ascii="Times New Roman" w:hAnsi="Times New Roman"/>
                      <w:color w:val="auto"/>
                      <w:sz w:val="21"/>
                      <w:szCs w:val="21"/>
                    </w:rPr>
                    <w:t>居住区</w:t>
                  </w:r>
                </w:p>
              </w:tc>
              <w:tc>
                <w:tcPr>
                  <w:tcW w:w="429" w:type="pct"/>
                  <w:vAlign w:val="center"/>
                </w:tcPr>
                <w:p>
                  <w:pPr>
                    <w:pStyle w:val="15"/>
                    <w:adjustRightInd w:val="0"/>
                    <w:snapToGrid w:val="0"/>
                    <w:jc w:val="center"/>
                    <w:rPr>
                      <w:rFonts w:ascii="Times New Roman" w:hAnsi="Times New Roman"/>
                      <w:color w:val="auto"/>
                      <w:sz w:val="21"/>
                      <w:szCs w:val="21"/>
                    </w:rPr>
                  </w:pPr>
                  <w:r>
                    <w:rPr>
                      <w:rFonts w:ascii="Times New Roman" w:hAnsi="Times New Roman"/>
                      <w:color w:val="auto"/>
                      <w:sz w:val="21"/>
                      <w:szCs w:val="21"/>
                    </w:rPr>
                    <w:t>人群</w:t>
                  </w:r>
                </w:p>
              </w:tc>
              <w:tc>
                <w:tcPr>
                  <w:tcW w:w="514" w:type="pct"/>
                  <w:vAlign w:val="center"/>
                </w:tcPr>
                <w:p>
                  <w:pPr>
                    <w:pStyle w:val="15"/>
                    <w:adjustRightInd w:val="0"/>
                    <w:snapToGrid w:val="0"/>
                    <w:jc w:val="center"/>
                    <w:rPr>
                      <w:rFonts w:ascii="Times New Roman" w:hAnsi="Times New Roman"/>
                      <w:color w:val="auto"/>
                      <w:sz w:val="21"/>
                      <w:szCs w:val="21"/>
                    </w:rPr>
                  </w:pPr>
                  <w:r>
                    <w:rPr>
                      <w:rFonts w:ascii="Times New Roman" w:hAnsi="Times New Roman"/>
                      <w:color w:val="auto"/>
                      <w:sz w:val="21"/>
                      <w:szCs w:val="21"/>
                    </w:rPr>
                    <w:t>二类区</w:t>
                  </w:r>
                </w:p>
              </w:tc>
              <w:tc>
                <w:tcPr>
                  <w:tcW w:w="945" w:type="pct"/>
                  <w:vAlign w:val="center"/>
                </w:tcPr>
                <w:p>
                  <w:pPr>
                    <w:widowControl/>
                    <w:adjustRightInd w:val="0"/>
                    <w:snapToGrid w:val="0"/>
                    <w:jc w:val="center"/>
                    <w:textAlignment w:val="top"/>
                    <w:rPr>
                      <w:color w:val="auto"/>
                      <w:szCs w:val="21"/>
                    </w:rPr>
                  </w:pPr>
                  <w:r>
                    <w:rPr>
                      <w:color w:val="auto"/>
                      <w:kern w:val="0"/>
                      <w:szCs w:val="21"/>
                    </w:rPr>
                    <w:t>1户/约3人</w:t>
                  </w:r>
                </w:p>
              </w:tc>
              <w:tc>
                <w:tcPr>
                  <w:tcW w:w="404" w:type="pct"/>
                  <w:vAlign w:val="center"/>
                </w:tcPr>
                <w:p>
                  <w:pPr>
                    <w:adjustRightInd w:val="0"/>
                    <w:snapToGrid w:val="0"/>
                    <w:jc w:val="center"/>
                    <w:rPr>
                      <w:color w:val="auto"/>
                      <w:szCs w:val="21"/>
                    </w:rPr>
                  </w:pPr>
                  <w:r>
                    <w:rPr>
                      <w:color w:val="auto"/>
                      <w:kern w:val="0"/>
                      <w:szCs w:val="21"/>
                    </w:rPr>
                    <w:t>NE</w:t>
                  </w:r>
                </w:p>
              </w:tc>
              <w:tc>
                <w:tcPr>
                  <w:tcW w:w="425" w:type="pct"/>
                  <w:vAlign w:val="center"/>
                </w:tcPr>
                <w:p>
                  <w:pPr>
                    <w:adjustRightInd w:val="0"/>
                    <w:snapToGrid w:val="0"/>
                    <w:jc w:val="center"/>
                    <w:rPr>
                      <w:color w:val="auto"/>
                      <w:szCs w:val="21"/>
                    </w:rPr>
                  </w:pPr>
                  <w:r>
                    <w:rPr>
                      <w:color w:val="auto"/>
                      <w:szCs w:val="21"/>
                    </w:rPr>
                    <w:t>455</w:t>
                  </w:r>
                </w:p>
              </w:tc>
            </w:tr>
          </w:tbl>
          <w:p>
            <w:pPr>
              <w:adjustRightInd w:val="0"/>
              <w:snapToGrid w:val="0"/>
              <w:spacing w:before="120" w:beforeLines="50" w:line="360" w:lineRule="auto"/>
              <w:rPr>
                <w:b/>
                <w:bCs/>
                <w:color w:val="auto"/>
                <w:sz w:val="24"/>
              </w:rPr>
            </w:pPr>
            <w:r>
              <w:rPr>
                <w:b/>
                <w:bCs/>
                <w:color w:val="auto"/>
                <w:sz w:val="24"/>
              </w:rPr>
              <w:t>2、声环境</w:t>
            </w:r>
          </w:p>
          <w:p>
            <w:pPr>
              <w:adjustRightInd w:val="0"/>
              <w:snapToGrid w:val="0"/>
              <w:spacing w:line="360" w:lineRule="auto"/>
              <w:ind w:firstLine="480" w:firstLineChars="200"/>
              <w:rPr>
                <w:color w:val="auto"/>
                <w:kern w:val="0"/>
                <w:sz w:val="24"/>
              </w:rPr>
            </w:pPr>
            <w:r>
              <w:rPr>
                <w:color w:val="auto"/>
                <w:sz w:val="24"/>
              </w:rPr>
              <w:t>本项目位于无锡惠山工业转型集聚区北洲路与邓北路交叉口西北侧，周边50米范围内无声环境</w:t>
            </w:r>
            <w:r>
              <w:rPr>
                <w:rFonts w:hint="eastAsia"/>
                <w:color w:val="auto"/>
                <w:sz w:val="24"/>
                <w:lang w:eastAsia="zh-CN"/>
              </w:rPr>
              <w:t>保护</w:t>
            </w:r>
            <w:r>
              <w:rPr>
                <w:color w:val="auto"/>
                <w:sz w:val="24"/>
              </w:rPr>
              <w:t>目标。</w:t>
            </w:r>
          </w:p>
          <w:p>
            <w:pPr>
              <w:adjustRightInd w:val="0"/>
              <w:snapToGrid w:val="0"/>
              <w:spacing w:line="360" w:lineRule="auto"/>
              <w:rPr>
                <w:b/>
                <w:bCs/>
                <w:color w:val="auto"/>
                <w:kern w:val="0"/>
                <w:sz w:val="24"/>
              </w:rPr>
            </w:pPr>
            <w:r>
              <w:rPr>
                <w:b/>
                <w:bCs/>
                <w:color w:val="auto"/>
                <w:kern w:val="0"/>
                <w:sz w:val="24"/>
              </w:rPr>
              <w:t>3、地表水环境</w:t>
            </w:r>
          </w:p>
          <w:p>
            <w:pPr>
              <w:adjustRightInd w:val="0"/>
              <w:snapToGrid w:val="0"/>
              <w:spacing w:line="360" w:lineRule="auto"/>
              <w:ind w:firstLine="480" w:firstLineChars="200"/>
              <w:rPr>
                <w:snapToGrid w:val="0"/>
                <w:color w:val="auto"/>
                <w:kern w:val="0"/>
                <w:sz w:val="24"/>
              </w:rPr>
            </w:pPr>
            <w:r>
              <w:rPr>
                <w:rFonts w:hint="eastAsia"/>
                <w:color w:val="auto"/>
                <w:sz w:val="24"/>
              </w:rPr>
              <w:t>本项目冷却排水与经化粪池预处理后的生活污水接管无锡玉祁永新污水处理有限公司集中处理，尾水排入横港。</w:t>
            </w:r>
            <w:r>
              <w:rPr>
                <w:color w:val="auto"/>
                <w:sz w:val="24"/>
                <w:lang w:val="zh-CN"/>
              </w:rPr>
              <w:t>地表水环境保护目标见表</w:t>
            </w:r>
            <w:r>
              <w:rPr>
                <w:color w:val="auto"/>
                <w:sz w:val="24"/>
              </w:rPr>
              <w:t>3-5</w:t>
            </w:r>
            <w:r>
              <w:rPr>
                <w:snapToGrid w:val="0"/>
                <w:color w:val="auto"/>
                <w:kern w:val="0"/>
                <w:sz w:val="24"/>
              </w:rPr>
              <w:t>。</w:t>
            </w:r>
          </w:p>
          <w:p>
            <w:pPr>
              <w:pStyle w:val="9"/>
              <w:jc w:val="center"/>
              <w:rPr>
                <w:b/>
                <w:bCs/>
                <w:color w:val="auto"/>
              </w:rPr>
            </w:pPr>
            <w:r>
              <w:rPr>
                <w:b/>
                <w:bCs/>
                <w:color w:val="auto"/>
              </w:rPr>
              <w:t>表3-5  地表水环境保护目标一览表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
              <w:gridCol w:w="595"/>
              <w:gridCol w:w="1596"/>
              <w:gridCol w:w="657"/>
              <w:gridCol w:w="858"/>
              <w:gridCol w:w="771"/>
              <w:gridCol w:w="700"/>
              <w:gridCol w:w="671"/>
              <w:gridCol w:w="724"/>
              <w:gridCol w:w="710"/>
              <w:gridCol w:w="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68" w:type="pct"/>
                  <w:vMerge w:val="restart"/>
                  <w:tcMar>
                    <w:top w:w="0" w:type="dxa"/>
                    <w:left w:w="6" w:type="dxa"/>
                    <w:bottom w:w="0" w:type="dxa"/>
                    <w:right w:w="6" w:type="dxa"/>
                  </w:tcMar>
                  <w:vAlign w:val="center"/>
                </w:tcPr>
                <w:p>
                  <w:pPr>
                    <w:pStyle w:val="101"/>
                    <w:adjustRightInd w:val="0"/>
                    <w:snapToGrid w:val="0"/>
                    <w:rPr>
                      <w:b/>
                      <w:color w:val="auto"/>
                    </w:rPr>
                  </w:pPr>
                  <w:r>
                    <w:rPr>
                      <w:b/>
                      <w:color w:val="auto"/>
                    </w:rPr>
                    <w:t>序号</w:t>
                  </w:r>
                </w:p>
              </w:tc>
              <w:tc>
                <w:tcPr>
                  <w:tcW w:w="360" w:type="pct"/>
                  <w:vMerge w:val="restart"/>
                  <w:tcMar>
                    <w:top w:w="0" w:type="dxa"/>
                    <w:left w:w="6" w:type="dxa"/>
                    <w:bottom w:w="0" w:type="dxa"/>
                    <w:right w:w="6" w:type="dxa"/>
                  </w:tcMar>
                  <w:vAlign w:val="center"/>
                </w:tcPr>
                <w:p>
                  <w:pPr>
                    <w:pStyle w:val="101"/>
                    <w:adjustRightInd w:val="0"/>
                    <w:snapToGrid w:val="0"/>
                    <w:rPr>
                      <w:b/>
                      <w:color w:val="auto"/>
                    </w:rPr>
                  </w:pPr>
                  <w:r>
                    <w:rPr>
                      <w:b/>
                      <w:color w:val="auto"/>
                    </w:rPr>
                    <w:t>保护对象</w:t>
                  </w:r>
                </w:p>
              </w:tc>
              <w:tc>
                <w:tcPr>
                  <w:tcW w:w="966" w:type="pct"/>
                  <w:vMerge w:val="restart"/>
                  <w:tcMar>
                    <w:top w:w="0" w:type="dxa"/>
                    <w:left w:w="6" w:type="dxa"/>
                    <w:bottom w:w="0" w:type="dxa"/>
                    <w:right w:w="6" w:type="dxa"/>
                  </w:tcMar>
                  <w:vAlign w:val="center"/>
                </w:tcPr>
                <w:p>
                  <w:pPr>
                    <w:pStyle w:val="101"/>
                    <w:adjustRightInd w:val="0"/>
                    <w:snapToGrid w:val="0"/>
                    <w:rPr>
                      <w:b/>
                      <w:color w:val="auto"/>
                    </w:rPr>
                  </w:pPr>
                  <w:r>
                    <w:rPr>
                      <w:b/>
                      <w:color w:val="auto"/>
                    </w:rPr>
                    <w:t>保护要求</w:t>
                  </w:r>
                </w:p>
              </w:tc>
              <w:tc>
                <w:tcPr>
                  <w:tcW w:w="1807" w:type="pct"/>
                  <w:gridSpan w:val="4"/>
                  <w:tcMar>
                    <w:top w:w="0" w:type="dxa"/>
                    <w:left w:w="6" w:type="dxa"/>
                    <w:bottom w:w="0" w:type="dxa"/>
                    <w:right w:w="6" w:type="dxa"/>
                  </w:tcMar>
                </w:tcPr>
                <w:p>
                  <w:pPr>
                    <w:pStyle w:val="9"/>
                    <w:adjustRightInd w:val="0"/>
                    <w:snapToGrid w:val="0"/>
                    <w:jc w:val="center"/>
                    <w:rPr>
                      <w:b/>
                      <w:bCs/>
                      <w:color w:val="auto"/>
                      <w:sz w:val="21"/>
                      <w:szCs w:val="21"/>
                    </w:rPr>
                  </w:pPr>
                  <w:r>
                    <w:rPr>
                      <w:b/>
                      <w:color w:val="auto"/>
                      <w:sz w:val="21"/>
                      <w:szCs w:val="21"/>
                    </w:rPr>
                    <w:t>相对厂界</w:t>
                  </w:r>
                </w:p>
              </w:tc>
              <w:tc>
                <w:tcPr>
                  <w:tcW w:w="1274" w:type="pct"/>
                  <w:gridSpan w:val="3"/>
                  <w:tcMar>
                    <w:top w:w="0" w:type="dxa"/>
                    <w:left w:w="6" w:type="dxa"/>
                    <w:bottom w:w="0" w:type="dxa"/>
                    <w:right w:w="6" w:type="dxa"/>
                  </w:tcMar>
                </w:tcPr>
                <w:p>
                  <w:pPr>
                    <w:pStyle w:val="9"/>
                    <w:adjustRightInd w:val="0"/>
                    <w:snapToGrid w:val="0"/>
                    <w:jc w:val="center"/>
                    <w:rPr>
                      <w:b/>
                      <w:bCs/>
                      <w:color w:val="auto"/>
                      <w:sz w:val="21"/>
                      <w:szCs w:val="21"/>
                    </w:rPr>
                  </w:pPr>
                  <w:r>
                    <w:rPr>
                      <w:b/>
                      <w:color w:val="auto"/>
                      <w:sz w:val="21"/>
                      <w:szCs w:val="21"/>
                    </w:rPr>
                    <w:t>相对排放口</w:t>
                  </w:r>
                </w:p>
              </w:tc>
              <w:tc>
                <w:tcPr>
                  <w:tcW w:w="423" w:type="pct"/>
                  <w:vMerge w:val="restart"/>
                  <w:tcMar>
                    <w:top w:w="0" w:type="dxa"/>
                    <w:left w:w="6" w:type="dxa"/>
                    <w:bottom w:w="0" w:type="dxa"/>
                    <w:right w:w="6" w:type="dxa"/>
                  </w:tcMar>
                  <w:vAlign w:val="center"/>
                </w:tcPr>
                <w:p>
                  <w:pPr>
                    <w:pStyle w:val="101"/>
                    <w:adjustRightInd w:val="0"/>
                    <w:snapToGrid w:val="0"/>
                    <w:rPr>
                      <w:b/>
                      <w:bCs/>
                      <w:color w:val="auto"/>
                    </w:rPr>
                  </w:pPr>
                  <w:r>
                    <w:rPr>
                      <w:b/>
                      <w:color w:val="auto"/>
                    </w:rPr>
                    <w:t>与本项目的水力联系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68" w:type="pct"/>
                  <w:vMerge w:val="continue"/>
                  <w:tcMar>
                    <w:top w:w="0" w:type="dxa"/>
                    <w:left w:w="6" w:type="dxa"/>
                    <w:bottom w:w="0" w:type="dxa"/>
                    <w:right w:w="6" w:type="dxa"/>
                  </w:tcMar>
                </w:tcPr>
                <w:p>
                  <w:pPr>
                    <w:pStyle w:val="9"/>
                    <w:adjustRightInd w:val="0"/>
                    <w:snapToGrid w:val="0"/>
                    <w:jc w:val="center"/>
                    <w:rPr>
                      <w:b/>
                      <w:bCs/>
                      <w:color w:val="auto"/>
                      <w:sz w:val="21"/>
                      <w:szCs w:val="21"/>
                    </w:rPr>
                  </w:pPr>
                </w:p>
              </w:tc>
              <w:tc>
                <w:tcPr>
                  <w:tcW w:w="360" w:type="pct"/>
                  <w:vMerge w:val="continue"/>
                  <w:tcMar>
                    <w:top w:w="0" w:type="dxa"/>
                    <w:left w:w="6" w:type="dxa"/>
                    <w:bottom w:w="0" w:type="dxa"/>
                    <w:right w:w="6" w:type="dxa"/>
                  </w:tcMar>
                </w:tcPr>
                <w:p>
                  <w:pPr>
                    <w:pStyle w:val="9"/>
                    <w:adjustRightInd w:val="0"/>
                    <w:snapToGrid w:val="0"/>
                    <w:jc w:val="center"/>
                    <w:rPr>
                      <w:b/>
                      <w:bCs/>
                      <w:color w:val="auto"/>
                      <w:sz w:val="21"/>
                      <w:szCs w:val="21"/>
                    </w:rPr>
                  </w:pPr>
                </w:p>
              </w:tc>
              <w:tc>
                <w:tcPr>
                  <w:tcW w:w="966" w:type="pct"/>
                  <w:vMerge w:val="continue"/>
                  <w:tcMar>
                    <w:top w:w="0" w:type="dxa"/>
                    <w:left w:w="6" w:type="dxa"/>
                    <w:bottom w:w="0" w:type="dxa"/>
                    <w:right w:w="6" w:type="dxa"/>
                  </w:tcMar>
                </w:tcPr>
                <w:p>
                  <w:pPr>
                    <w:pStyle w:val="9"/>
                    <w:adjustRightInd w:val="0"/>
                    <w:snapToGrid w:val="0"/>
                    <w:jc w:val="center"/>
                    <w:rPr>
                      <w:b/>
                      <w:bCs/>
                      <w:color w:val="auto"/>
                      <w:sz w:val="21"/>
                      <w:szCs w:val="21"/>
                    </w:rPr>
                  </w:pPr>
                </w:p>
              </w:tc>
              <w:tc>
                <w:tcPr>
                  <w:tcW w:w="397" w:type="pct"/>
                  <w:vMerge w:val="restart"/>
                  <w:tcMar>
                    <w:top w:w="0" w:type="dxa"/>
                    <w:left w:w="6" w:type="dxa"/>
                    <w:bottom w:w="0" w:type="dxa"/>
                    <w:right w:w="6" w:type="dxa"/>
                  </w:tcMar>
                  <w:vAlign w:val="center"/>
                </w:tcPr>
                <w:p>
                  <w:pPr>
                    <w:pStyle w:val="101"/>
                    <w:adjustRightInd w:val="0"/>
                    <w:snapToGrid w:val="0"/>
                    <w:rPr>
                      <w:b/>
                      <w:color w:val="auto"/>
                    </w:rPr>
                  </w:pPr>
                  <w:r>
                    <w:rPr>
                      <w:b/>
                      <w:color w:val="auto"/>
                    </w:rPr>
                    <w:t>距离</w:t>
                  </w:r>
                </w:p>
              </w:tc>
              <w:tc>
                <w:tcPr>
                  <w:tcW w:w="986" w:type="pct"/>
                  <w:gridSpan w:val="2"/>
                  <w:tcMar>
                    <w:top w:w="0" w:type="dxa"/>
                    <w:left w:w="6" w:type="dxa"/>
                    <w:bottom w:w="0" w:type="dxa"/>
                    <w:right w:w="6" w:type="dxa"/>
                  </w:tcMar>
                  <w:vAlign w:val="center"/>
                </w:tcPr>
                <w:p>
                  <w:pPr>
                    <w:pStyle w:val="101"/>
                    <w:adjustRightInd w:val="0"/>
                    <w:snapToGrid w:val="0"/>
                    <w:rPr>
                      <w:b/>
                      <w:color w:val="auto"/>
                    </w:rPr>
                  </w:pPr>
                  <w:r>
                    <w:rPr>
                      <w:b/>
                      <w:color w:val="auto"/>
                    </w:rPr>
                    <w:t>经纬度坐标</w:t>
                  </w:r>
                  <w:r>
                    <w:rPr>
                      <w:b/>
                      <w:bCs/>
                      <w:color w:val="auto"/>
                    </w:rPr>
                    <w:t>/</w:t>
                  </w:r>
                  <w:r>
                    <w:rPr>
                      <w:color w:val="auto"/>
                    </w:rPr>
                    <w:t>°</w:t>
                  </w:r>
                </w:p>
              </w:tc>
              <w:tc>
                <w:tcPr>
                  <w:tcW w:w="423" w:type="pct"/>
                  <w:vMerge w:val="restart"/>
                  <w:tcMar>
                    <w:top w:w="0" w:type="dxa"/>
                    <w:left w:w="6" w:type="dxa"/>
                    <w:bottom w:w="0" w:type="dxa"/>
                    <w:right w:w="6" w:type="dxa"/>
                  </w:tcMar>
                  <w:vAlign w:val="center"/>
                </w:tcPr>
                <w:p>
                  <w:pPr>
                    <w:pStyle w:val="101"/>
                    <w:adjustRightInd w:val="0"/>
                    <w:snapToGrid w:val="0"/>
                    <w:rPr>
                      <w:b/>
                      <w:color w:val="auto"/>
                    </w:rPr>
                  </w:pPr>
                  <w:r>
                    <w:rPr>
                      <w:b/>
                      <w:color w:val="auto"/>
                    </w:rPr>
                    <w:t>高差</w:t>
                  </w:r>
                </w:p>
              </w:tc>
              <w:tc>
                <w:tcPr>
                  <w:tcW w:w="406" w:type="pct"/>
                  <w:vMerge w:val="restart"/>
                  <w:tcMar>
                    <w:top w:w="0" w:type="dxa"/>
                    <w:left w:w="6" w:type="dxa"/>
                    <w:bottom w:w="0" w:type="dxa"/>
                    <w:right w:w="6" w:type="dxa"/>
                  </w:tcMar>
                  <w:vAlign w:val="center"/>
                </w:tcPr>
                <w:p>
                  <w:pPr>
                    <w:pStyle w:val="101"/>
                    <w:adjustRightInd w:val="0"/>
                    <w:snapToGrid w:val="0"/>
                    <w:rPr>
                      <w:b/>
                      <w:color w:val="auto"/>
                    </w:rPr>
                  </w:pPr>
                  <w:r>
                    <w:rPr>
                      <w:b/>
                      <w:color w:val="auto"/>
                    </w:rPr>
                    <w:t>距离</w:t>
                  </w:r>
                </w:p>
              </w:tc>
              <w:tc>
                <w:tcPr>
                  <w:tcW w:w="868" w:type="pct"/>
                  <w:gridSpan w:val="2"/>
                  <w:tcMar>
                    <w:top w:w="0" w:type="dxa"/>
                    <w:left w:w="6" w:type="dxa"/>
                    <w:bottom w:w="0" w:type="dxa"/>
                    <w:right w:w="6" w:type="dxa"/>
                  </w:tcMar>
                  <w:vAlign w:val="center"/>
                </w:tcPr>
                <w:p>
                  <w:pPr>
                    <w:pStyle w:val="101"/>
                    <w:adjustRightInd w:val="0"/>
                    <w:snapToGrid w:val="0"/>
                    <w:rPr>
                      <w:b/>
                      <w:color w:val="auto"/>
                    </w:rPr>
                  </w:pPr>
                  <w:r>
                    <w:rPr>
                      <w:b/>
                      <w:color w:val="auto"/>
                    </w:rPr>
                    <w:t>经纬度坐标</w:t>
                  </w:r>
                  <w:r>
                    <w:rPr>
                      <w:b/>
                      <w:bCs/>
                      <w:color w:val="auto"/>
                    </w:rPr>
                    <w:t>/</w:t>
                  </w:r>
                  <w:r>
                    <w:rPr>
                      <w:color w:val="auto"/>
                    </w:rPr>
                    <w:t>°</w:t>
                  </w:r>
                </w:p>
              </w:tc>
              <w:tc>
                <w:tcPr>
                  <w:tcW w:w="423" w:type="pct"/>
                  <w:vMerge w:val="continue"/>
                  <w:tcMar>
                    <w:top w:w="0" w:type="dxa"/>
                    <w:left w:w="6" w:type="dxa"/>
                    <w:bottom w:w="0" w:type="dxa"/>
                    <w:right w:w="6" w:type="dxa"/>
                  </w:tcMar>
                  <w:vAlign w:val="center"/>
                </w:tcPr>
                <w:p>
                  <w:pPr>
                    <w:pStyle w:val="101"/>
                    <w:adjustRightInd w:val="0"/>
                    <w:snapToGrid w:val="0"/>
                    <w:rPr>
                      <w:b/>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68" w:type="pct"/>
                  <w:vMerge w:val="continue"/>
                  <w:tcMar>
                    <w:top w:w="0" w:type="dxa"/>
                    <w:left w:w="6" w:type="dxa"/>
                    <w:bottom w:w="0" w:type="dxa"/>
                    <w:right w:w="6" w:type="dxa"/>
                  </w:tcMar>
                </w:tcPr>
                <w:p>
                  <w:pPr>
                    <w:pStyle w:val="9"/>
                    <w:adjustRightInd w:val="0"/>
                    <w:snapToGrid w:val="0"/>
                    <w:jc w:val="center"/>
                    <w:rPr>
                      <w:b/>
                      <w:bCs/>
                      <w:color w:val="auto"/>
                      <w:sz w:val="21"/>
                      <w:szCs w:val="21"/>
                    </w:rPr>
                  </w:pPr>
                </w:p>
              </w:tc>
              <w:tc>
                <w:tcPr>
                  <w:tcW w:w="360" w:type="pct"/>
                  <w:vMerge w:val="continue"/>
                  <w:tcMar>
                    <w:top w:w="0" w:type="dxa"/>
                    <w:left w:w="6" w:type="dxa"/>
                    <w:bottom w:w="0" w:type="dxa"/>
                    <w:right w:w="6" w:type="dxa"/>
                  </w:tcMar>
                </w:tcPr>
                <w:p>
                  <w:pPr>
                    <w:pStyle w:val="9"/>
                    <w:adjustRightInd w:val="0"/>
                    <w:snapToGrid w:val="0"/>
                    <w:jc w:val="center"/>
                    <w:rPr>
                      <w:b/>
                      <w:bCs/>
                      <w:color w:val="auto"/>
                      <w:sz w:val="21"/>
                      <w:szCs w:val="21"/>
                    </w:rPr>
                  </w:pPr>
                </w:p>
              </w:tc>
              <w:tc>
                <w:tcPr>
                  <w:tcW w:w="966" w:type="pct"/>
                  <w:vMerge w:val="continue"/>
                  <w:tcMar>
                    <w:top w:w="0" w:type="dxa"/>
                    <w:left w:w="6" w:type="dxa"/>
                    <w:bottom w:w="0" w:type="dxa"/>
                    <w:right w:w="6" w:type="dxa"/>
                  </w:tcMar>
                </w:tcPr>
                <w:p>
                  <w:pPr>
                    <w:pStyle w:val="9"/>
                    <w:adjustRightInd w:val="0"/>
                    <w:snapToGrid w:val="0"/>
                    <w:jc w:val="center"/>
                    <w:rPr>
                      <w:b/>
                      <w:bCs/>
                      <w:color w:val="auto"/>
                      <w:sz w:val="21"/>
                      <w:szCs w:val="21"/>
                    </w:rPr>
                  </w:pPr>
                </w:p>
              </w:tc>
              <w:tc>
                <w:tcPr>
                  <w:tcW w:w="397" w:type="pct"/>
                  <w:vMerge w:val="continue"/>
                  <w:tcMar>
                    <w:top w:w="0" w:type="dxa"/>
                    <w:left w:w="6" w:type="dxa"/>
                    <w:bottom w:w="0" w:type="dxa"/>
                    <w:right w:w="6" w:type="dxa"/>
                  </w:tcMar>
                </w:tcPr>
                <w:p>
                  <w:pPr>
                    <w:pStyle w:val="9"/>
                    <w:adjustRightInd w:val="0"/>
                    <w:snapToGrid w:val="0"/>
                    <w:jc w:val="center"/>
                    <w:rPr>
                      <w:b/>
                      <w:bCs/>
                      <w:color w:val="auto"/>
                      <w:sz w:val="21"/>
                      <w:szCs w:val="21"/>
                    </w:rPr>
                  </w:pPr>
                </w:p>
              </w:tc>
              <w:tc>
                <w:tcPr>
                  <w:tcW w:w="519" w:type="pct"/>
                  <w:tcMar>
                    <w:top w:w="0" w:type="dxa"/>
                    <w:left w:w="6" w:type="dxa"/>
                    <w:bottom w:w="0" w:type="dxa"/>
                    <w:right w:w="6" w:type="dxa"/>
                  </w:tcMar>
                  <w:vAlign w:val="center"/>
                </w:tcPr>
                <w:p>
                  <w:pPr>
                    <w:pStyle w:val="9"/>
                    <w:adjustRightInd w:val="0"/>
                    <w:snapToGrid w:val="0"/>
                    <w:jc w:val="center"/>
                    <w:rPr>
                      <w:b/>
                      <w:bCs/>
                      <w:color w:val="auto"/>
                      <w:sz w:val="21"/>
                      <w:szCs w:val="21"/>
                    </w:rPr>
                  </w:pPr>
                  <w:r>
                    <w:rPr>
                      <w:b/>
                      <w:bCs/>
                      <w:color w:val="auto"/>
                      <w:sz w:val="21"/>
                      <w:szCs w:val="21"/>
                    </w:rPr>
                    <w:t>X</w:t>
                  </w:r>
                </w:p>
              </w:tc>
              <w:tc>
                <w:tcPr>
                  <w:tcW w:w="466" w:type="pct"/>
                  <w:tcMar>
                    <w:top w:w="0" w:type="dxa"/>
                    <w:left w:w="6" w:type="dxa"/>
                    <w:bottom w:w="0" w:type="dxa"/>
                    <w:right w:w="6" w:type="dxa"/>
                  </w:tcMar>
                  <w:vAlign w:val="center"/>
                </w:tcPr>
                <w:p>
                  <w:pPr>
                    <w:pStyle w:val="9"/>
                    <w:adjustRightInd w:val="0"/>
                    <w:snapToGrid w:val="0"/>
                    <w:jc w:val="center"/>
                    <w:rPr>
                      <w:b/>
                      <w:bCs/>
                      <w:color w:val="auto"/>
                      <w:sz w:val="21"/>
                      <w:szCs w:val="21"/>
                    </w:rPr>
                  </w:pPr>
                  <w:r>
                    <w:rPr>
                      <w:b/>
                      <w:bCs/>
                      <w:color w:val="auto"/>
                      <w:sz w:val="21"/>
                      <w:szCs w:val="21"/>
                    </w:rPr>
                    <w:t>Y</w:t>
                  </w:r>
                </w:p>
              </w:tc>
              <w:tc>
                <w:tcPr>
                  <w:tcW w:w="423" w:type="pct"/>
                  <w:vMerge w:val="continue"/>
                  <w:tcMar>
                    <w:top w:w="0" w:type="dxa"/>
                    <w:left w:w="6" w:type="dxa"/>
                    <w:bottom w:w="0" w:type="dxa"/>
                    <w:right w:w="6" w:type="dxa"/>
                  </w:tcMar>
                  <w:vAlign w:val="center"/>
                </w:tcPr>
                <w:p>
                  <w:pPr>
                    <w:pStyle w:val="9"/>
                    <w:adjustRightInd w:val="0"/>
                    <w:snapToGrid w:val="0"/>
                    <w:jc w:val="center"/>
                    <w:rPr>
                      <w:b/>
                      <w:bCs/>
                      <w:color w:val="auto"/>
                      <w:sz w:val="21"/>
                      <w:szCs w:val="21"/>
                    </w:rPr>
                  </w:pPr>
                </w:p>
              </w:tc>
              <w:tc>
                <w:tcPr>
                  <w:tcW w:w="406" w:type="pct"/>
                  <w:vMerge w:val="continue"/>
                  <w:tcMar>
                    <w:top w:w="0" w:type="dxa"/>
                    <w:left w:w="6" w:type="dxa"/>
                    <w:bottom w:w="0" w:type="dxa"/>
                    <w:right w:w="6" w:type="dxa"/>
                  </w:tcMar>
                  <w:vAlign w:val="center"/>
                </w:tcPr>
                <w:p>
                  <w:pPr>
                    <w:pStyle w:val="9"/>
                    <w:adjustRightInd w:val="0"/>
                    <w:snapToGrid w:val="0"/>
                    <w:jc w:val="center"/>
                    <w:rPr>
                      <w:b/>
                      <w:bCs/>
                      <w:color w:val="auto"/>
                      <w:sz w:val="21"/>
                      <w:szCs w:val="21"/>
                    </w:rPr>
                  </w:pPr>
                </w:p>
              </w:tc>
              <w:tc>
                <w:tcPr>
                  <w:tcW w:w="438" w:type="pct"/>
                  <w:tcMar>
                    <w:top w:w="0" w:type="dxa"/>
                    <w:left w:w="6" w:type="dxa"/>
                    <w:bottom w:w="0" w:type="dxa"/>
                    <w:right w:w="6" w:type="dxa"/>
                  </w:tcMar>
                  <w:vAlign w:val="center"/>
                </w:tcPr>
                <w:p>
                  <w:pPr>
                    <w:pStyle w:val="101"/>
                    <w:adjustRightInd w:val="0"/>
                    <w:snapToGrid w:val="0"/>
                    <w:rPr>
                      <w:b/>
                      <w:color w:val="auto"/>
                    </w:rPr>
                  </w:pPr>
                  <w:r>
                    <w:rPr>
                      <w:b/>
                      <w:color w:val="auto"/>
                    </w:rPr>
                    <w:t>X</w:t>
                  </w:r>
                </w:p>
              </w:tc>
              <w:tc>
                <w:tcPr>
                  <w:tcW w:w="429" w:type="pct"/>
                  <w:tcMar>
                    <w:top w:w="0" w:type="dxa"/>
                    <w:left w:w="6" w:type="dxa"/>
                    <w:bottom w:w="0" w:type="dxa"/>
                    <w:right w:w="6" w:type="dxa"/>
                  </w:tcMar>
                  <w:vAlign w:val="center"/>
                </w:tcPr>
                <w:p>
                  <w:pPr>
                    <w:pStyle w:val="9"/>
                    <w:adjustRightInd w:val="0"/>
                    <w:snapToGrid w:val="0"/>
                    <w:jc w:val="center"/>
                    <w:rPr>
                      <w:b/>
                      <w:bCs/>
                      <w:color w:val="auto"/>
                      <w:sz w:val="21"/>
                      <w:szCs w:val="21"/>
                    </w:rPr>
                  </w:pPr>
                  <w:r>
                    <w:rPr>
                      <w:b/>
                      <w:bCs/>
                      <w:color w:val="auto"/>
                      <w:sz w:val="21"/>
                      <w:szCs w:val="21"/>
                    </w:rPr>
                    <w:t>Y</w:t>
                  </w:r>
                </w:p>
              </w:tc>
              <w:tc>
                <w:tcPr>
                  <w:tcW w:w="423" w:type="pct"/>
                  <w:vMerge w:val="continue"/>
                  <w:tcMar>
                    <w:top w:w="0" w:type="dxa"/>
                    <w:left w:w="6" w:type="dxa"/>
                    <w:bottom w:w="0" w:type="dxa"/>
                    <w:right w:w="6" w:type="dxa"/>
                  </w:tcMar>
                </w:tcPr>
                <w:p>
                  <w:pPr>
                    <w:pStyle w:val="9"/>
                    <w:adjustRightInd w:val="0"/>
                    <w:snapToGrid w:val="0"/>
                    <w:jc w:val="center"/>
                    <w:rPr>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8" w:type="pct"/>
                  <w:tcMar>
                    <w:top w:w="0" w:type="dxa"/>
                    <w:left w:w="6" w:type="dxa"/>
                    <w:bottom w:w="0" w:type="dxa"/>
                    <w:right w:w="6" w:type="dxa"/>
                  </w:tcMar>
                  <w:vAlign w:val="center"/>
                </w:tcPr>
                <w:p>
                  <w:pPr>
                    <w:pStyle w:val="101"/>
                    <w:adjustRightInd w:val="0"/>
                    <w:snapToGrid w:val="0"/>
                    <w:rPr>
                      <w:color w:val="auto"/>
                    </w:rPr>
                  </w:pPr>
                  <w:r>
                    <w:rPr>
                      <w:color w:val="auto"/>
                    </w:rPr>
                    <w:t>1</w:t>
                  </w:r>
                </w:p>
              </w:tc>
              <w:tc>
                <w:tcPr>
                  <w:tcW w:w="360" w:type="pct"/>
                  <w:tcMar>
                    <w:top w:w="0" w:type="dxa"/>
                    <w:left w:w="6" w:type="dxa"/>
                    <w:bottom w:w="0" w:type="dxa"/>
                    <w:right w:w="6" w:type="dxa"/>
                  </w:tcMar>
                  <w:vAlign w:val="center"/>
                </w:tcPr>
                <w:p>
                  <w:pPr>
                    <w:pStyle w:val="101"/>
                    <w:adjustRightInd w:val="0"/>
                    <w:snapToGrid w:val="0"/>
                    <w:rPr>
                      <w:color w:val="auto"/>
                    </w:rPr>
                  </w:pPr>
                  <w:r>
                    <w:rPr>
                      <w:bCs/>
                      <w:color w:val="auto"/>
                    </w:rPr>
                    <w:t>横港</w:t>
                  </w:r>
                </w:p>
              </w:tc>
              <w:tc>
                <w:tcPr>
                  <w:tcW w:w="966" w:type="pct"/>
                  <w:tcMar>
                    <w:top w:w="0" w:type="dxa"/>
                    <w:left w:w="6" w:type="dxa"/>
                    <w:bottom w:w="0" w:type="dxa"/>
                    <w:right w:w="6" w:type="dxa"/>
                  </w:tcMar>
                  <w:vAlign w:val="center"/>
                </w:tcPr>
                <w:p>
                  <w:pPr>
                    <w:pStyle w:val="101"/>
                    <w:adjustRightInd w:val="0"/>
                    <w:snapToGrid w:val="0"/>
                    <w:rPr>
                      <w:color w:val="auto"/>
                    </w:rPr>
                  </w:pPr>
                  <w:r>
                    <w:rPr>
                      <w:color w:val="auto"/>
                    </w:rPr>
                    <w:t>《地表水环境质量标准》（GB3838-2002）中的</w:t>
                  </w:r>
                  <w:r>
                    <w:rPr>
                      <w:rFonts w:hint="eastAsia" w:ascii="宋体" w:hAnsi="宋体" w:cs="宋体"/>
                      <w:bCs/>
                      <w:color w:val="auto"/>
                    </w:rPr>
                    <w:t>Ⅲ类</w:t>
                  </w:r>
                  <w:r>
                    <w:rPr>
                      <w:color w:val="auto"/>
                    </w:rPr>
                    <w:t>标准</w:t>
                  </w:r>
                </w:p>
              </w:tc>
              <w:tc>
                <w:tcPr>
                  <w:tcW w:w="397" w:type="pct"/>
                  <w:vAlign w:val="center"/>
                </w:tcPr>
                <w:p>
                  <w:pPr>
                    <w:pStyle w:val="9"/>
                    <w:adjustRightInd w:val="0"/>
                    <w:snapToGrid w:val="0"/>
                    <w:jc w:val="center"/>
                    <w:rPr>
                      <w:color w:val="auto"/>
                      <w:sz w:val="21"/>
                      <w:szCs w:val="21"/>
                    </w:rPr>
                  </w:pPr>
                  <w:r>
                    <w:rPr>
                      <w:color w:val="auto"/>
                      <w:sz w:val="21"/>
                      <w:szCs w:val="21"/>
                    </w:rPr>
                    <w:t>0.82</w:t>
                  </w:r>
                </w:p>
                <w:p>
                  <w:pPr>
                    <w:pStyle w:val="9"/>
                    <w:adjustRightInd w:val="0"/>
                    <w:snapToGrid w:val="0"/>
                    <w:jc w:val="center"/>
                    <w:rPr>
                      <w:color w:val="auto"/>
                      <w:sz w:val="21"/>
                      <w:szCs w:val="21"/>
                    </w:rPr>
                  </w:pPr>
                  <w:r>
                    <w:rPr>
                      <w:color w:val="auto"/>
                      <w:sz w:val="21"/>
                      <w:szCs w:val="21"/>
                    </w:rPr>
                    <w:t>km</w:t>
                  </w:r>
                </w:p>
              </w:tc>
              <w:tc>
                <w:tcPr>
                  <w:tcW w:w="519" w:type="pct"/>
                  <w:vAlign w:val="center"/>
                </w:tcPr>
                <w:p>
                  <w:pPr>
                    <w:pStyle w:val="9"/>
                    <w:adjustRightInd w:val="0"/>
                    <w:snapToGrid w:val="0"/>
                    <w:jc w:val="center"/>
                    <w:rPr>
                      <w:bCs/>
                      <w:color w:val="auto"/>
                      <w:sz w:val="21"/>
                      <w:szCs w:val="21"/>
                    </w:rPr>
                  </w:pPr>
                  <w:r>
                    <w:rPr>
                      <w:bCs/>
                      <w:color w:val="auto"/>
                      <w:sz w:val="21"/>
                      <w:szCs w:val="21"/>
                    </w:rPr>
                    <w:t>120.219675</w:t>
                  </w:r>
                </w:p>
              </w:tc>
              <w:tc>
                <w:tcPr>
                  <w:tcW w:w="466" w:type="pct"/>
                  <w:vAlign w:val="center"/>
                </w:tcPr>
                <w:p>
                  <w:pPr>
                    <w:pStyle w:val="9"/>
                    <w:adjustRightInd w:val="0"/>
                    <w:snapToGrid w:val="0"/>
                    <w:jc w:val="center"/>
                    <w:rPr>
                      <w:color w:val="auto"/>
                      <w:sz w:val="21"/>
                      <w:szCs w:val="21"/>
                    </w:rPr>
                  </w:pPr>
                  <w:r>
                    <w:rPr>
                      <w:color w:val="auto"/>
                      <w:sz w:val="21"/>
                      <w:szCs w:val="21"/>
                    </w:rPr>
                    <w:t>31.726255</w:t>
                  </w:r>
                </w:p>
              </w:tc>
              <w:tc>
                <w:tcPr>
                  <w:tcW w:w="423" w:type="pct"/>
                  <w:vAlign w:val="center"/>
                </w:tcPr>
                <w:p>
                  <w:pPr>
                    <w:pStyle w:val="9"/>
                    <w:adjustRightInd w:val="0"/>
                    <w:snapToGrid w:val="0"/>
                    <w:jc w:val="center"/>
                    <w:rPr>
                      <w:bCs/>
                      <w:color w:val="auto"/>
                      <w:sz w:val="21"/>
                      <w:szCs w:val="21"/>
                    </w:rPr>
                  </w:pPr>
                  <w:r>
                    <w:rPr>
                      <w:bCs/>
                      <w:color w:val="auto"/>
                      <w:sz w:val="21"/>
                      <w:szCs w:val="21"/>
                    </w:rPr>
                    <w:t>0</w:t>
                  </w:r>
                </w:p>
              </w:tc>
              <w:tc>
                <w:tcPr>
                  <w:tcW w:w="406" w:type="pct"/>
                  <w:tcMar>
                    <w:top w:w="0" w:type="dxa"/>
                    <w:left w:w="0" w:type="dxa"/>
                    <w:bottom w:w="0" w:type="dxa"/>
                    <w:right w:w="0" w:type="dxa"/>
                  </w:tcMar>
                  <w:vAlign w:val="center"/>
                </w:tcPr>
                <w:p>
                  <w:pPr>
                    <w:pStyle w:val="9"/>
                    <w:adjustRightInd w:val="0"/>
                    <w:snapToGrid w:val="0"/>
                    <w:jc w:val="center"/>
                    <w:rPr>
                      <w:color w:val="auto"/>
                      <w:sz w:val="21"/>
                      <w:szCs w:val="21"/>
                    </w:rPr>
                  </w:pPr>
                  <w:r>
                    <w:rPr>
                      <w:color w:val="auto"/>
                      <w:sz w:val="21"/>
                      <w:szCs w:val="21"/>
                    </w:rPr>
                    <w:t>0.82</w:t>
                  </w:r>
                </w:p>
                <w:p>
                  <w:pPr>
                    <w:pStyle w:val="9"/>
                    <w:adjustRightInd w:val="0"/>
                    <w:snapToGrid w:val="0"/>
                    <w:jc w:val="center"/>
                    <w:rPr>
                      <w:color w:val="auto"/>
                      <w:sz w:val="21"/>
                      <w:szCs w:val="21"/>
                    </w:rPr>
                  </w:pPr>
                  <w:r>
                    <w:rPr>
                      <w:color w:val="auto"/>
                      <w:sz w:val="21"/>
                      <w:szCs w:val="21"/>
                    </w:rPr>
                    <w:t>km</w:t>
                  </w:r>
                </w:p>
              </w:tc>
              <w:tc>
                <w:tcPr>
                  <w:tcW w:w="438" w:type="pct"/>
                  <w:tcMar>
                    <w:top w:w="0" w:type="dxa"/>
                    <w:left w:w="0" w:type="dxa"/>
                    <w:bottom w:w="0" w:type="dxa"/>
                    <w:right w:w="0" w:type="dxa"/>
                  </w:tcMar>
                  <w:vAlign w:val="center"/>
                </w:tcPr>
                <w:p>
                  <w:pPr>
                    <w:pStyle w:val="9"/>
                    <w:adjustRightInd w:val="0"/>
                    <w:snapToGrid w:val="0"/>
                    <w:jc w:val="center"/>
                    <w:rPr>
                      <w:bCs/>
                      <w:color w:val="auto"/>
                      <w:sz w:val="21"/>
                      <w:szCs w:val="21"/>
                    </w:rPr>
                  </w:pPr>
                  <w:r>
                    <w:rPr>
                      <w:bCs/>
                      <w:color w:val="auto"/>
                      <w:sz w:val="21"/>
                      <w:szCs w:val="21"/>
                    </w:rPr>
                    <w:t>120.219675</w:t>
                  </w:r>
                </w:p>
              </w:tc>
              <w:tc>
                <w:tcPr>
                  <w:tcW w:w="429" w:type="pct"/>
                  <w:tcMar>
                    <w:top w:w="0" w:type="dxa"/>
                    <w:left w:w="0" w:type="dxa"/>
                    <w:bottom w:w="0" w:type="dxa"/>
                    <w:right w:w="0" w:type="dxa"/>
                  </w:tcMar>
                  <w:vAlign w:val="center"/>
                </w:tcPr>
                <w:p>
                  <w:pPr>
                    <w:pStyle w:val="9"/>
                    <w:adjustRightInd w:val="0"/>
                    <w:snapToGrid w:val="0"/>
                    <w:jc w:val="center"/>
                    <w:rPr>
                      <w:color w:val="auto"/>
                      <w:sz w:val="21"/>
                      <w:szCs w:val="21"/>
                    </w:rPr>
                  </w:pPr>
                  <w:r>
                    <w:rPr>
                      <w:color w:val="auto"/>
                      <w:sz w:val="21"/>
                      <w:szCs w:val="21"/>
                    </w:rPr>
                    <w:t>31.726255</w:t>
                  </w:r>
                </w:p>
              </w:tc>
              <w:tc>
                <w:tcPr>
                  <w:tcW w:w="423" w:type="pct"/>
                  <w:tcMar>
                    <w:top w:w="0" w:type="dxa"/>
                    <w:left w:w="6" w:type="dxa"/>
                    <w:bottom w:w="0" w:type="dxa"/>
                    <w:right w:w="6" w:type="dxa"/>
                  </w:tcMar>
                  <w:vAlign w:val="center"/>
                </w:tcPr>
                <w:p>
                  <w:pPr>
                    <w:pStyle w:val="9"/>
                    <w:adjustRightInd w:val="0"/>
                    <w:snapToGrid w:val="0"/>
                    <w:jc w:val="center"/>
                    <w:rPr>
                      <w:bCs/>
                      <w:color w:val="auto"/>
                      <w:sz w:val="21"/>
                      <w:szCs w:val="21"/>
                    </w:rPr>
                  </w:pPr>
                  <w:r>
                    <w:rPr>
                      <w:color w:val="auto"/>
                      <w:sz w:val="21"/>
                      <w:szCs w:val="21"/>
                    </w:rPr>
                    <w:t>污水纳污水体</w:t>
                  </w:r>
                </w:p>
              </w:tc>
            </w:tr>
          </w:tbl>
          <w:p>
            <w:pPr>
              <w:adjustRightInd w:val="0"/>
              <w:snapToGrid w:val="0"/>
              <w:spacing w:before="120" w:beforeLines="50" w:line="360" w:lineRule="auto"/>
              <w:rPr>
                <w:b/>
                <w:bCs/>
                <w:color w:val="auto"/>
                <w:kern w:val="0"/>
                <w:sz w:val="24"/>
              </w:rPr>
            </w:pPr>
            <w:r>
              <w:rPr>
                <w:b/>
                <w:bCs/>
                <w:color w:val="auto"/>
                <w:kern w:val="0"/>
                <w:sz w:val="24"/>
              </w:rPr>
              <w:t>4、地下水、土壤环境</w:t>
            </w:r>
          </w:p>
          <w:p>
            <w:pPr>
              <w:pStyle w:val="9"/>
              <w:spacing w:line="360" w:lineRule="auto"/>
              <w:ind w:firstLine="480" w:firstLineChars="200"/>
              <w:jc w:val="both"/>
              <w:rPr>
                <w:snapToGrid w:val="0"/>
                <w:color w:val="auto"/>
                <w:szCs w:val="24"/>
              </w:rPr>
            </w:pPr>
            <w:r>
              <w:rPr>
                <w:rFonts w:hint="eastAsia"/>
                <w:color w:val="auto"/>
                <w:kern w:val="2"/>
                <w:szCs w:val="24"/>
              </w:rPr>
              <w:t>本</w:t>
            </w:r>
            <w:r>
              <w:rPr>
                <w:color w:val="auto"/>
                <w:kern w:val="2"/>
                <w:szCs w:val="24"/>
              </w:rPr>
              <w:t>项目</w:t>
            </w:r>
            <w:r>
              <w:rPr>
                <w:snapToGrid w:val="0"/>
                <w:color w:val="auto"/>
                <w:szCs w:val="24"/>
              </w:rPr>
              <w:t>厂界外500米范围内无地下水集中式饮用水水源和热水、矿泉水、温泉等特殊地下水资源和土壤环境保护目标。</w:t>
            </w:r>
          </w:p>
          <w:p>
            <w:pPr>
              <w:adjustRightInd w:val="0"/>
              <w:snapToGrid w:val="0"/>
              <w:spacing w:line="360" w:lineRule="auto"/>
              <w:rPr>
                <w:b/>
                <w:bCs/>
                <w:snapToGrid w:val="0"/>
                <w:color w:val="auto"/>
                <w:kern w:val="0"/>
                <w:sz w:val="24"/>
              </w:rPr>
            </w:pPr>
            <w:r>
              <w:rPr>
                <w:b/>
                <w:bCs/>
                <w:snapToGrid w:val="0"/>
                <w:color w:val="auto"/>
                <w:kern w:val="0"/>
                <w:sz w:val="24"/>
              </w:rPr>
              <w:t>5、生态环境</w:t>
            </w:r>
          </w:p>
          <w:p>
            <w:pPr>
              <w:spacing w:line="360" w:lineRule="auto"/>
              <w:ind w:firstLine="480" w:firstLineChars="200"/>
              <w:rPr>
                <w:snapToGrid w:val="0"/>
                <w:color w:val="auto"/>
                <w:kern w:val="0"/>
                <w:sz w:val="24"/>
              </w:rPr>
            </w:pPr>
            <w:r>
              <w:rPr>
                <w:snapToGrid w:val="0"/>
                <w:color w:val="auto"/>
                <w:kern w:val="0"/>
                <w:sz w:val="24"/>
              </w:rPr>
              <w:t>本项目</w:t>
            </w:r>
            <w:r>
              <w:rPr>
                <w:color w:val="auto"/>
                <w:sz w:val="24"/>
              </w:rPr>
              <w:t>位于无锡惠山工业转型集聚区北洲路与邓北路交叉口西北侧，</w:t>
            </w:r>
            <w:r>
              <w:rPr>
                <w:snapToGrid w:val="0"/>
                <w:color w:val="auto"/>
                <w:kern w:val="0"/>
                <w:sz w:val="24"/>
              </w:rPr>
              <w:t>位于</w:t>
            </w:r>
            <w:r>
              <w:rPr>
                <w:rFonts w:hint="eastAsia"/>
                <w:color w:val="auto"/>
                <w:sz w:val="24"/>
              </w:rPr>
              <w:t>惠山工业转型集聚区（东区）</w:t>
            </w:r>
            <w:r>
              <w:rPr>
                <w:color w:val="auto"/>
                <w:sz w:val="24"/>
              </w:rPr>
              <w:t>内</w:t>
            </w:r>
            <w:r>
              <w:rPr>
                <w:snapToGrid w:val="0"/>
                <w:color w:val="auto"/>
                <w:kern w:val="0"/>
                <w:sz w:val="24"/>
              </w:rPr>
              <w:t>，无生态环境保护目标。</w:t>
            </w:r>
          </w:p>
          <w:p>
            <w:pPr>
              <w:spacing w:line="360" w:lineRule="auto"/>
              <w:ind w:firstLine="480" w:firstLineChars="200"/>
              <w:rPr>
                <w:color w:val="auto"/>
                <w:sz w:val="24"/>
              </w:rPr>
            </w:pPr>
            <w:r>
              <w:rPr>
                <w:color w:val="auto"/>
                <w:kern w:val="0"/>
                <w:sz w:val="24"/>
                <w:lang w:val="zh-CN"/>
              </w:rPr>
              <w:t>根据《省政府关于印发江苏省国家级生态保护红线规划的通知》（苏政发[2018]74号）中《江苏省国家级生态保护红线规划》及《省政府关于印发江苏省生态空间管控区域规划的通知》（苏政发</w:t>
            </w:r>
            <w:r>
              <w:rPr>
                <w:color w:val="auto"/>
                <w:kern w:val="0"/>
                <w:sz w:val="24"/>
              </w:rPr>
              <w:t>[2</w:t>
            </w:r>
            <w:r>
              <w:rPr>
                <w:color w:val="auto"/>
                <w:kern w:val="0"/>
                <w:sz w:val="24"/>
                <w:lang w:val="zh-CN"/>
              </w:rPr>
              <w:t>020</w:t>
            </w:r>
            <w:r>
              <w:rPr>
                <w:color w:val="auto"/>
                <w:kern w:val="0"/>
                <w:sz w:val="24"/>
              </w:rPr>
              <w:t>]</w:t>
            </w:r>
            <w:r>
              <w:rPr>
                <w:color w:val="auto"/>
                <w:kern w:val="0"/>
                <w:sz w:val="24"/>
                <w:lang w:val="zh-CN"/>
              </w:rPr>
              <w:t>1号）中《江苏省生态空间管控区域规划》中“无锡市生态空间保护区域名录”，本项目距离最近的国家级生态保护红线为</w:t>
            </w:r>
            <w:r>
              <w:rPr>
                <w:color w:val="auto"/>
                <w:sz w:val="24"/>
                <w:lang w:val="zh-CN"/>
              </w:rPr>
              <w:t>惠山国家级森林公园</w:t>
            </w:r>
            <w:r>
              <w:rPr>
                <w:color w:val="auto"/>
                <w:kern w:val="0"/>
                <w:sz w:val="24"/>
                <w:lang w:val="zh-CN"/>
              </w:rPr>
              <w:t>，距离</w:t>
            </w:r>
            <w:r>
              <w:rPr>
                <w:color w:val="auto"/>
                <w:sz w:val="24"/>
              </w:rPr>
              <w:t>约13.3km</w:t>
            </w:r>
            <w:r>
              <w:rPr>
                <w:color w:val="auto"/>
                <w:kern w:val="0"/>
                <w:sz w:val="24"/>
                <w:lang w:val="zh-CN"/>
              </w:rPr>
              <w:t>，距离最近的生态空间管控区域为</w:t>
            </w:r>
            <w:r>
              <w:rPr>
                <w:rFonts w:hint="eastAsia"/>
                <w:color w:val="auto"/>
                <w:kern w:val="0"/>
                <w:sz w:val="24"/>
                <w:lang w:val="zh-CN"/>
              </w:rPr>
              <w:t>马镇河流重要湿地</w:t>
            </w:r>
            <w:r>
              <w:rPr>
                <w:color w:val="auto"/>
                <w:kern w:val="0"/>
                <w:sz w:val="24"/>
                <w:lang w:val="zh-CN"/>
              </w:rPr>
              <w:t>，距离</w:t>
            </w:r>
            <w:r>
              <w:rPr>
                <w:color w:val="auto"/>
                <w:sz w:val="24"/>
              </w:rPr>
              <w:t>约</w:t>
            </w:r>
            <w:r>
              <w:rPr>
                <w:rFonts w:hint="eastAsia"/>
                <w:color w:val="auto"/>
                <w:sz w:val="24"/>
                <w:lang w:val="en-US" w:eastAsia="zh-CN"/>
              </w:rPr>
              <w:t>4.5</w:t>
            </w:r>
            <w:r>
              <w:rPr>
                <w:color w:val="auto"/>
                <w:sz w:val="24"/>
              </w:rPr>
              <w:t>km</w:t>
            </w:r>
            <w:r>
              <w:rPr>
                <w:color w:val="auto"/>
                <w:kern w:val="0"/>
                <w:sz w:val="24"/>
                <w:lang w:val="zh-CN"/>
              </w:rPr>
              <w:t>。</w:t>
            </w:r>
          </w:p>
          <w:p>
            <w:pPr>
              <w:adjustRightInd w:val="0"/>
              <w:snapToGrid w:val="0"/>
              <w:jc w:val="center"/>
              <w:rPr>
                <w:b/>
                <w:bCs/>
                <w:color w:val="auto"/>
                <w:sz w:val="24"/>
              </w:rPr>
            </w:pPr>
            <w:r>
              <w:rPr>
                <w:b/>
                <w:bCs/>
                <w:color w:val="auto"/>
                <w:sz w:val="24"/>
              </w:rPr>
              <w:t>表3-6 主要环境</w:t>
            </w:r>
            <w:r>
              <w:rPr>
                <w:rFonts w:hint="eastAsia"/>
                <w:b/>
                <w:bCs/>
                <w:color w:val="auto"/>
                <w:sz w:val="24"/>
                <w:lang w:eastAsia="zh-CN"/>
              </w:rPr>
              <w:t>保护</w:t>
            </w:r>
            <w:r>
              <w:rPr>
                <w:b/>
                <w:bCs/>
                <w:color w:val="auto"/>
                <w:sz w:val="24"/>
              </w:rPr>
              <w:t>目标</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567"/>
              <w:gridCol w:w="709"/>
              <w:gridCol w:w="993"/>
              <w:gridCol w:w="1135"/>
              <w:gridCol w:w="27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47" w:type="pct"/>
                  <w:vAlign w:val="center"/>
                </w:tcPr>
                <w:p>
                  <w:pPr>
                    <w:autoSpaceDE w:val="0"/>
                    <w:autoSpaceDN w:val="0"/>
                    <w:adjustRightInd w:val="0"/>
                    <w:snapToGrid w:val="0"/>
                    <w:jc w:val="center"/>
                    <w:rPr>
                      <w:b/>
                      <w:color w:val="auto"/>
                    </w:rPr>
                  </w:pPr>
                  <w:r>
                    <w:rPr>
                      <w:b/>
                      <w:color w:val="auto"/>
                    </w:rPr>
                    <w:t>环境要素</w:t>
                  </w:r>
                </w:p>
              </w:tc>
              <w:tc>
                <w:tcPr>
                  <w:tcW w:w="949" w:type="pct"/>
                  <w:vAlign w:val="center"/>
                </w:tcPr>
                <w:p>
                  <w:pPr>
                    <w:autoSpaceDE w:val="0"/>
                    <w:autoSpaceDN w:val="0"/>
                    <w:adjustRightInd w:val="0"/>
                    <w:snapToGrid w:val="0"/>
                    <w:jc w:val="center"/>
                    <w:rPr>
                      <w:b/>
                      <w:color w:val="auto"/>
                    </w:rPr>
                  </w:pPr>
                  <w:r>
                    <w:rPr>
                      <w:b/>
                      <w:color w:val="auto"/>
                    </w:rPr>
                    <w:t>环境保护对象名称</w:t>
                  </w:r>
                </w:p>
              </w:tc>
              <w:tc>
                <w:tcPr>
                  <w:tcW w:w="429" w:type="pct"/>
                  <w:vAlign w:val="center"/>
                </w:tcPr>
                <w:p>
                  <w:pPr>
                    <w:autoSpaceDE w:val="0"/>
                    <w:autoSpaceDN w:val="0"/>
                    <w:adjustRightInd w:val="0"/>
                    <w:snapToGrid w:val="0"/>
                    <w:jc w:val="center"/>
                    <w:rPr>
                      <w:b/>
                      <w:color w:val="auto"/>
                    </w:rPr>
                  </w:pPr>
                  <w:r>
                    <w:rPr>
                      <w:b/>
                      <w:color w:val="auto"/>
                    </w:rPr>
                    <w:t>相对方位</w:t>
                  </w:r>
                </w:p>
              </w:tc>
              <w:tc>
                <w:tcPr>
                  <w:tcW w:w="601" w:type="pct"/>
                  <w:vAlign w:val="center"/>
                </w:tcPr>
                <w:p>
                  <w:pPr>
                    <w:autoSpaceDE w:val="0"/>
                    <w:autoSpaceDN w:val="0"/>
                    <w:adjustRightInd w:val="0"/>
                    <w:snapToGrid w:val="0"/>
                    <w:jc w:val="center"/>
                    <w:rPr>
                      <w:b/>
                      <w:color w:val="auto"/>
                    </w:rPr>
                  </w:pPr>
                  <w:r>
                    <w:rPr>
                      <w:b/>
                      <w:color w:val="auto"/>
                    </w:rPr>
                    <w:t>距离</w:t>
                  </w:r>
                </w:p>
              </w:tc>
              <w:tc>
                <w:tcPr>
                  <w:tcW w:w="687" w:type="pct"/>
                  <w:vAlign w:val="center"/>
                </w:tcPr>
                <w:p>
                  <w:pPr>
                    <w:autoSpaceDE w:val="0"/>
                    <w:autoSpaceDN w:val="0"/>
                    <w:adjustRightInd w:val="0"/>
                    <w:snapToGrid w:val="0"/>
                    <w:jc w:val="center"/>
                    <w:rPr>
                      <w:b/>
                      <w:color w:val="auto"/>
                    </w:rPr>
                  </w:pPr>
                  <w:r>
                    <w:rPr>
                      <w:b/>
                      <w:color w:val="auto"/>
                    </w:rPr>
                    <w:t>规模</w:t>
                  </w:r>
                </w:p>
              </w:tc>
              <w:tc>
                <w:tcPr>
                  <w:tcW w:w="1688" w:type="pct"/>
                  <w:tcMar>
                    <w:top w:w="0" w:type="dxa"/>
                    <w:left w:w="6" w:type="dxa"/>
                    <w:bottom w:w="0" w:type="dxa"/>
                    <w:right w:w="6" w:type="dxa"/>
                  </w:tcMar>
                  <w:vAlign w:val="center"/>
                </w:tcPr>
                <w:p>
                  <w:pPr>
                    <w:autoSpaceDE w:val="0"/>
                    <w:autoSpaceDN w:val="0"/>
                    <w:adjustRightInd w:val="0"/>
                    <w:snapToGrid w:val="0"/>
                    <w:jc w:val="center"/>
                    <w:rPr>
                      <w:b/>
                      <w:color w:val="auto"/>
                    </w:rPr>
                  </w:pPr>
                  <w:r>
                    <w:rPr>
                      <w:b/>
                      <w:color w:val="auto"/>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pct"/>
                  <w:vAlign w:val="center"/>
                </w:tcPr>
                <w:p>
                  <w:pPr>
                    <w:adjustRightInd w:val="0"/>
                    <w:snapToGrid w:val="0"/>
                    <w:jc w:val="center"/>
                    <w:rPr>
                      <w:color w:val="auto"/>
                    </w:rPr>
                  </w:pPr>
                  <w:r>
                    <w:rPr>
                      <w:color w:val="auto"/>
                    </w:rPr>
                    <w:t>声环境</w:t>
                  </w:r>
                </w:p>
              </w:tc>
              <w:tc>
                <w:tcPr>
                  <w:tcW w:w="949" w:type="pct"/>
                  <w:vAlign w:val="center"/>
                </w:tcPr>
                <w:p>
                  <w:pPr>
                    <w:adjustRightInd w:val="0"/>
                    <w:snapToGrid w:val="0"/>
                    <w:jc w:val="center"/>
                    <w:rPr>
                      <w:color w:val="auto"/>
                    </w:rPr>
                  </w:pPr>
                  <w:r>
                    <w:rPr>
                      <w:color w:val="auto"/>
                    </w:rPr>
                    <w:t>厂界</w:t>
                  </w:r>
                </w:p>
              </w:tc>
              <w:tc>
                <w:tcPr>
                  <w:tcW w:w="429" w:type="pct"/>
                  <w:vAlign w:val="center"/>
                </w:tcPr>
                <w:p>
                  <w:pPr>
                    <w:adjustRightInd w:val="0"/>
                    <w:snapToGrid w:val="0"/>
                    <w:jc w:val="center"/>
                    <w:rPr>
                      <w:color w:val="auto"/>
                    </w:rPr>
                  </w:pPr>
                  <w:r>
                    <w:rPr>
                      <w:color w:val="auto"/>
                    </w:rPr>
                    <w:t>/</w:t>
                  </w:r>
                </w:p>
              </w:tc>
              <w:tc>
                <w:tcPr>
                  <w:tcW w:w="601" w:type="pct"/>
                  <w:vAlign w:val="center"/>
                </w:tcPr>
                <w:p>
                  <w:pPr>
                    <w:adjustRightInd w:val="0"/>
                    <w:snapToGrid w:val="0"/>
                    <w:jc w:val="center"/>
                    <w:rPr>
                      <w:color w:val="auto"/>
                    </w:rPr>
                  </w:pPr>
                  <w:r>
                    <w:rPr>
                      <w:color w:val="auto"/>
                    </w:rPr>
                    <w:t>/</w:t>
                  </w:r>
                </w:p>
              </w:tc>
              <w:tc>
                <w:tcPr>
                  <w:tcW w:w="687" w:type="pct"/>
                  <w:vAlign w:val="center"/>
                </w:tcPr>
                <w:p>
                  <w:pPr>
                    <w:adjustRightInd w:val="0"/>
                    <w:snapToGrid w:val="0"/>
                    <w:jc w:val="center"/>
                    <w:rPr>
                      <w:color w:val="auto"/>
                    </w:rPr>
                  </w:pPr>
                  <w:r>
                    <w:rPr>
                      <w:color w:val="auto"/>
                    </w:rPr>
                    <w:t>/</w:t>
                  </w:r>
                </w:p>
              </w:tc>
              <w:tc>
                <w:tcPr>
                  <w:tcW w:w="1688" w:type="pct"/>
                  <w:tcMar>
                    <w:top w:w="0" w:type="dxa"/>
                    <w:left w:w="6" w:type="dxa"/>
                    <w:bottom w:w="0" w:type="dxa"/>
                    <w:right w:w="6" w:type="dxa"/>
                  </w:tcMar>
                  <w:vAlign w:val="center"/>
                </w:tcPr>
                <w:p>
                  <w:pPr>
                    <w:adjustRightInd w:val="0"/>
                    <w:snapToGrid w:val="0"/>
                    <w:jc w:val="center"/>
                    <w:rPr>
                      <w:color w:val="auto"/>
                    </w:rPr>
                  </w:pPr>
                  <w:r>
                    <w:rPr>
                      <w:color w:val="auto"/>
                    </w:rPr>
                    <w:t>《声环境质量标准》（GB3096-2008）中3类标准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3" w:hRule="atLeast"/>
                <w:jc w:val="center"/>
              </w:trPr>
              <w:tc>
                <w:tcPr>
                  <w:tcW w:w="647" w:type="pct"/>
                  <w:vMerge w:val="restart"/>
                  <w:vAlign w:val="center"/>
                </w:tcPr>
                <w:p>
                  <w:pPr>
                    <w:adjustRightInd w:val="0"/>
                    <w:snapToGrid w:val="0"/>
                    <w:jc w:val="center"/>
                    <w:rPr>
                      <w:color w:val="auto"/>
                    </w:rPr>
                  </w:pPr>
                  <w:r>
                    <w:rPr>
                      <w:bCs/>
                      <w:color w:val="auto"/>
                      <w:szCs w:val="21"/>
                    </w:rPr>
                    <w:t>生态红线区域</w:t>
                  </w:r>
                </w:p>
              </w:tc>
              <w:tc>
                <w:tcPr>
                  <w:tcW w:w="949" w:type="pct"/>
                  <w:vAlign w:val="center"/>
                </w:tcPr>
                <w:p>
                  <w:pPr>
                    <w:adjustRightInd w:val="0"/>
                    <w:snapToGrid w:val="0"/>
                    <w:jc w:val="center"/>
                    <w:rPr>
                      <w:color w:val="auto"/>
                    </w:rPr>
                  </w:pPr>
                  <w:r>
                    <w:rPr>
                      <w:color w:val="auto"/>
                      <w:lang w:val="zh-CN"/>
                    </w:rPr>
                    <w:t>惠山国家级森林公园</w:t>
                  </w:r>
                </w:p>
              </w:tc>
              <w:tc>
                <w:tcPr>
                  <w:tcW w:w="429" w:type="pct"/>
                  <w:vAlign w:val="center"/>
                </w:tcPr>
                <w:p>
                  <w:pPr>
                    <w:adjustRightInd w:val="0"/>
                    <w:snapToGrid w:val="0"/>
                    <w:jc w:val="center"/>
                    <w:rPr>
                      <w:rFonts w:hint="eastAsia" w:eastAsia="宋体"/>
                      <w:color w:val="auto"/>
                      <w:lang w:eastAsia="zh-CN"/>
                    </w:rPr>
                  </w:pPr>
                  <w:r>
                    <w:rPr>
                      <w:rFonts w:hint="eastAsia"/>
                      <w:color w:val="auto"/>
                      <w:szCs w:val="21"/>
                      <w:lang w:val="en-US" w:eastAsia="zh-CN"/>
                    </w:rPr>
                    <w:t>S</w:t>
                  </w:r>
                </w:p>
              </w:tc>
              <w:tc>
                <w:tcPr>
                  <w:tcW w:w="601" w:type="pct"/>
                  <w:vAlign w:val="center"/>
                </w:tcPr>
                <w:p>
                  <w:pPr>
                    <w:autoSpaceDE w:val="0"/>
                    <w:autoSpaceDN w:val="0"/>
                    <w:adjustRightInd w:val="0"/>
                    <w:snapToGrid w:val="0"/>
                    <w:jc w:val="center"/>
                    <w:rPr>
                      <w:color w:val="auto"/>
                    </w:rPr>
                  </w:pPr>
                  <w:r>
                    <w:rPr>
                      <w:color w:val="auto"/>
                    </w:rPr>
                    <w:t>13.3km</w:t>
                  </w:r>
                </w:p>
              </w:tc>
              <w:tc>
                <w:tcPr>
                  <w:tcW w:w="687" w:type="pct"/>
                  <w:vAlign w:val="center"/>
                </w:tcPr>
                <w:p>
                  <w:pPr>
                    <w:adjustRightInd w:val="0"/>
                    <w:snapToGrid w:val="0"/>
                    <w:jc w:val="center"/>
                    <w:rPr>
                      <w:color w:val="auto"/>
                    </w:rPr>
                  </w:pPr>
                  <w:r>
                    <w:rPr>
                      <w:color w:val="auto"/>
                      <w:szCs w:val="21"/>
                    </w:rPr>
                    <w:t>总面积9.36km</w:t>
                  </w:r>
                  <w:r>
                    <w:rPr>
                      <w:color w:val="auto"/>
                      <w:szCs w:val="21"/>
                      <w:vertAlign w:val="superscript"/>
                    </w:rPr>
                    <w:t>2</w:t>
                  </w:r>
                </w:p>
              </w:tc>
              <w:tc>
                <w:tcPr>
                  <w:tcW w:w="1688" w:type="pct"/>
                  <w:tcMar>
                    <w:top w:w="0" w:type="dxa"/>
                    <w:left w:w="6" w:type="dxa"/>
                    <w:bottom w:w="0" w:type="dxa"/>
                    <w:right w:w="6" w:type="dxa"/>
                  </w:tcMar>
                  <w:vAlign w:val="center"/>
                </w:tcPr>
                <w:p>
                  <w:pPr>
                    <w:autoSpaceDE w:val="0"/>
                    <w:autoSpaceDN w:val="0"/>
                    <w:adjustRightInd w:val="0"/>
                    <w:snapToGrid w:val="0"/>
                    <w:jc w:val="center"/>
                    <w:rPr>
                      <w:color w:val="auto"/>
                    </w:rPr>
                  </w:pPr>
                  <w:r>
                    <w:rPr>
                      <w:color w:val="auto"/>
                      <w:lang w:val="zh-CN"/>
                    </w:rPr>
                    <w:t>《江苏省国家级生态保护红线规划》</w:t>
                  </w:r>
                  <w:r>
                    <w:rPr>
                      <w:rFonts w:hint="eastAsia"/>
                      <w:color w:val="auto"/>
                      <w:szCs w:val="21"/>
                    </w:rPr>
                    <w:t>自然与人文景观保护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pct"/>
                  <w:vMerge w:val="continue"/>
                  <w:vAlign w:val="center"/>
                </w:tcPr>
                <w:p>
                  <w:pPr>
                    <w:adjustRightInd w:val="0"/>
                    <w:snapToGrid w:val="0"/>
                    <w:jc w:val="center"/>
                    <w:rPr>
                      <w:color w:val="auto"/>
                    </w:rPr>
                  </w:pPr>
                </w:p>
              </w:tc>
              <w:tc>
                <w:tcPr>
                  <w:tcW w:w="949" w:type="pct"/>
                  <w:vAlign w:val="center"/>
                </w:tcPr>
                <w:p>
                  <w:pPr>
                    <w:adjustRightInd w:val="0"/>
                    <w:snapToGrid w:val="0"/>
                    <w:jc w:val="center"/>
                    <w:rPr>
                      <w:color w:val="auto"/>
                    </w:rPr>
                  </w:pPr>
                  <w:r>
                    <w:rPr>
                      <w:rFonts w:hint="eastAsia"/>
                      <w:color w:val="auto"/>
                      <w:lang w:val="zh-CN"/>
                    </w:rPr>
                    <w:t>马镇河流重要湿地</w:t>
                  </w:r>
                </w:p>
              </w:tc>
              <w:tc>
                <w:tcPr>
                  <w:tcW w:w="429" w:type="pct"/>
                  <w:vAlign w:val="center"/>
                </w:tcPr>
                <w:p>
                  <w:pPr>
                    <w:adjustRightInd w:val="0"/>
                    <w:snapToGrid w:val="0"/>
                    <w:jc w:val="center"/>
                    <w:rPr>
                      <w:color w:val="auto"/>
                    </w:rPr>
                  </w:pPr>
                  <w:r>
                    <w:rPr>
                      <w:rFonts w:hint="eastAsia"/>
                      <w:color w:val="auto"/>
                      <w:szCs w:val="21"/>
                      <w:lang w:val="en-US" w:eastAsia="zh-CN"/>
                    </w:rPr>
                    <w:t>N</w:t>
                  </w:r>
                  <w:r>
                    <w:rPr>
                      <w:color w:val="auto"/>
                      <w:szCs w:val="21"/>
                    </w:rPr>
                    <w:t>E</w:t>
                  </w:r>
                </w:p>
              </w:tc>
              <w:tc>
                <w:tcPr>
                  <w:tcW w:w="601" w:type="pct"/>
                  <w:vAlign w:val="center"/>
                </w:tcPr>
                <w:p>
                  <w:pPr>
                    <w:autoSpaceDE w:val="0"/>
                    <w:autoSpaceDN w:val="0"/>
                    <w:adjustRightInd w:val="0"/>
                    <w:snapToGrid w:val="0"/>
                    <w:jc w:val="center"/>
                    <w:rPr>
                      <w:color w:val="auto"/>
                    </w:rPr>
                  </w:pPr>
                  <w:r>
                    <w:rPr>
                      <w:rFonts w:hint="eastAsia"/>
                      <w:color w:val="auto"/>
                      <w:lang w:val="en-US" w:eastAsia="zh-CN"/>
                    </w:rPr>
                    <w:t>4.5</w:t>
                  </w:r>
                  <w:r>
                    <w:rPr>
                      <w:color w:val="auto"/>
                    </w:rPr>
                    <w:t>km</w:t>
                  </w:r>
                </w:p>
              </w:tc>
              <w:tc>
                <w:tcPr>
                  <w:tcW w:w="687" w:type="pct"/>
                  <w:vAlign w:val="center"/>
                </w:tcPr>
                <w:p>
                  <w:pPr>
                    <w:adjustRightInd w:val="0"/>
                    <w:snapToGrid w:val="0"/>
                    <w:jc w:val="center"/>
                    <w:rPr>
                      <w:rFonts w:hint="eastAsia"/>
                      <w:bCs/>
                      <w:color w:val="auto"/>
                      <w:szCs w:val="21"/>
                    </w:rPr>
                  </w:pPr>
                  <w:r>
                    <w:rPr>
                      <w:bCs/>
                      <w:color w:val="auto"/>
                      <w:szCs w:val="21"/>
                    </w:rPr>
                    <w:t>总面积</w:t>
                  </w:r>
                  <w:r>
                    <w:rPr>
                      <w:rFonts w:hint="eastAsia"/>
                      <w:bCs/>
                      <w:color w:val="auto"/>
                      <w:szCs w:val="21"/>
                    </w:rPr>
                    <w:t>63.09974</w:t>
                  </w:r>
                </w:p>
                <w:p>
                  <w:pPr>
                    <w:adjustRightInd w:val="0"/>
                    <w:snapToGrid w:val="0"/>
                    <w:jc w:val="center"/>
                    <w:rPr>
                      <w:color w:val="auto"/>
                    </w:rPr>
                  </w:pPr>
                  <w:r>
                    <w:rPr>
                      <w:bCs/>
                      <w:color w:val="auto"/>
                      <w:szCs w:val="21"/>
                    </w:rPr>
                    <w:t>km</w:t>
                  </w:r>
                  <w:r>
                    <w:rPr>
                      <w:bCs/>
                      <w:color w:val="auto"/>
                      <w:szCs w:val="21"/>
                      <w:vertAlign w:val="superscript"/>
                    </w:rPr>
                    <w:t>2</w:t>
                  </w:r>
                </w:p>
              </w:tc>
              <w:tc>
                <w:tcPr>
                  <w:tcW w:w="1688" w:type="pct"/>
                  <w:tcMar>
                    <w:top w:w="0" w:type="dxa"/>
                    <w:left w:w="6" w:type="dxa"/>
                    <w:bottom w:w="0" w:type="dxa"/>
                    <w:right w:w="6" w:type="dxa"/>
                  </w:tcMar>
                  <w:vAlign w:val="center"/>
                </w:tcPr>
                <w:p>
                  <w:pPr>
                    <w:autoSpaceDE w:val="0"/>
                    <w:autoSpaceDN w:val="0"/>
                    <w:adjustRightInd w:val="0"/>
                    <w:snapToGrid w:val="0"/>
                    <w:jc w:val="center"/>
                    <w:rPr>
                      <w:color w:val="auto"/>
                    </w:rPr>
                  </w:pPr>
                  <w:r>
                    <w:rPr>
                      <w:color w:val="auto"/>
                      <w:lang w:val="zh-CN"/>
                    </w:rPr>
                    <w:t>《江苏省生态空间管控区域规划》</w:t>
                  </w:r>
                  <w:r>
                    <w:rPr>
                      <w:rFonts w:hint="eastAsia"/>
                      <w:color w:val="auto"/>
                      <w:szCs w:val="21"/>
                      <w:lang w:eastAsia="zh-CN"/>
                    </w:rPr>
                    <w:t>湿地生态系统保护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47" w:type="pct"/>
                  <w:vAlign w:val="center"/>
                </w:tcPr>
                <w:p>
                  <w:pPr>
                    <w:adjustRightInd w:val="0"/>
                    <w:snapToGrid w:val="0"/>
                    <w:jc w:val="center"/>
                    <w:rPr>
                      <w:color w:val="auto"/>
                    </w:rPr>
                  </w:pPr>
                  <w:r>
                    <w:rPr>
                      <w:color w:val="auto"/>
                    </w:rPr>
                    <w:t>地下水环境</w:t>
                  </w:r>
                </w:p>
              </w:tc>
              <w:tc>
                <w:tcPr>
                  <w:tcW w:w="949" w:type="pct"/>
                  <w:vAlign w:val="center"/>
                </w:tcPr>
                <w:p>
                  <w:pPr>
                    <w:tabs>
                      <w:tab w:val="left" w:pos="1384"/>
                    </w:tabs>
                    <w:autoSpaceDE w:val="0"/>
                    <w:autoSpaceDN w:val="0"/>
                    <w:adjustRightInd w:val="0"/>
                    <w:snapToGrid w:val="0"/>
                    <w:jc w:val="center"/>
                    <w:rPr>
                      <w:color w:val="auto"/>
                    </w:rPr>
                  </w:pPr>
                  <w:r>
                    <w:rPr>
                      <w:color w:val="auto"/>
                    </w:rPr>
                    <w:t>/</w:t>
                  </w:r>
                </w:p>
              </w:tc>
              <w:tc>
                <w:tcPr>
                  <w:tcW w:w="429" w:type="pct"/>
                  <w:vAlign w:val="center"/>
                </w:tcPr>
                <w:p>
                  <w:pPr>
                    <w:autoSpaceDE w:val="0"/>
                    <w:autoSpaceDN w:val="0"/>
                    <w:adjustRightInd w:val="0"/>
                    <w:snapToGrid w:val="0"/>
                    <w:jc w:val="center"/>
                    <w:rPr>
                      <w:color w:val="auto"/>
                    </w:rPr>
                  </w:pPr>
                  <w:r>
                    <w:rPr>
                      <w:color w:val="auto"/>
                    </w:rPr>
                    <w:t>/</w:t>
                  </w:r>
                </w:p>
              </w:tc>
              <w:tc>
                <w:tcPr>
                  <w:tcW w:w="601" w:type="pct"/>
                  <w:vAlign w:val="center"/>
                </w:tcPr>
                <w:p>
                  <w:pPr>
                    <w:autoSpaceDE w:val="0"/>
                    <w:autoSpaceDN w:val="0"/>
                    <w:adjustRightInd w:val="0"/>
                    <w:snapToGrid w:val="0"/>
                    <w:jc w:val="center"/>
                    <w:rPr>
                      <w:color w:val="auto"/>
                    </w:rPr>
                  </w:pPr>
                  <w:r>
                    <w:rPr>
                      <w:color w:val="auto"/>
                    </w:rPr>
                    <w:t>/</w:t>
                  </w:r>
                </w:p>
              </w:tc>
              <w:tc>
                <w:tcPr>
                  <w:tcW w:w="687" w:type="pct"/>
                  <w:vAlign w:val="center"/>
                </w:tcPr>
                <w:p>
                  <w:pPr>
                    <w:autoSpaceDE w:val="0"/>
                    <w:autoSpaceDN w:val="0"/>
                    <w:adjustRightInd w:val="0"/>
                    <w:snapToGrid w:val="0"/>
                    <w:jc w:val="center"/>
                    <w:rPr>
                      <w:color w:val="auto"/>
                    </w:rPr>
                  </w:pPr>
                  <w:r>
                    <w:rPr>
                      <w:color w:val="auto"/>
                    </w:rPr>
                    <w:t>/</w:t>
                  </w:r>
                </w:p>
              </w:tc>
              <w:tc>
                <w:tcPr>
                  <w:tcW w:w="1688" w:type="pct"/>
                  <w:tcMar>
                    <w:top w:w="0" w:type="dxa"/>
                    <w:left w:w="6" w:type="dxa"/>
                    <w:bottom w:w="0" w:type="dxa"/>
                    <w:right w:w="6" w:type="dxa"/>
                  </w:tcMar>
                  <w:vAlign w:val="center"/>
                </w:tcPr>
                <w:p>
                  <w:pPr>
                    <w:autoSpaceDE w:val="0"/>
                    <w:autoSpaceDN w:val="0"/>
                    <w:adjustRightInd w:val="0"/>
                    <w:snapToGrid w:val="0"/>
                    <w:jc w:val="center"/>
                    <w:rPr>
                      <w:color w:val="auto"/>
                    </w:rPr>
                  </w:pPr>
                  <w:r>
                    <w:rPr>
                      <w:color w:val="auto"/>
                    </w:rPr>
                    <w:t>《地下水质量标准》（GB/T14848-2017）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pct"/>
                  <w:vAlign w:val="center"/>
                </w:tcPr>
                <w:p>
                  <w:pPr>
                    <w:adjustRightInd w:val="0"/>
                    <w:snapToGrid w:val="0"/>
                    <w:jc w:val="center"/>
                    <w:rPr>
                      <w:color w:val="auto"/>
                    </w:rPr>
                  </w:pPr>
                  <w:r>
                    <w:rPr>
                      <w:color w:val="auto"/>
                    </w:rPr>
                    <w:t>土壤环境</w:t>
                  </w:r>
                </w:p>
              </w:tc>
              <w:tc>
                <w:tcPr>
                  <w:tcW w:w="949" w:type="pct"/>
                  <w:vAlign w:val="center"/>
                </w:tcPr>
                <w:p>
                  <w:pPr>
                    <w:autoSpaceDE w:val="0"/>
                    <w:autoSpaceDN w:val="0"/>
                    <w:adjustRightInd w:val="0"/>
                    <w:snapToGrid w:val="0"/>
                    <w:jc w:val="center"/>
                    <w:rPr>
                      <w:color w:val="auto"/>
                    </w:rPr>
                  </w:pPr>
                  <w:r>
                    <w:rPr>
                      <w:color w:val="auto"/>
                    </w:rPr>
                    <w:t>/</w:t>
                  </w:r>
                </w:p>
              </w:tc>
              <w:tc>
                <w:tcPr>
                  <w:tcW w:w="429" w:type="pct"/>
                  <w:vAlign w:val="center"/>
                </w:tcPr>
                <w:p>
                  <w:pPr>
                    <w:autoSpaceDE w:val="0"/>
                    <w:autoSpaceDN w:val="0"/>
                    <w:adjustRightInd w:val="0"/>
                    <w:snapToGrid w:val="0"/>
                    <w:jc w:val="center"/>
                    <w:rPr>
                      <w:color w:val="auto"/>
                    </w:rPr>
                  </w:pPr>
                  <w:r>
                    <w:rPr>
                      <w:color w:val="auto"/>
                    </w:rPr>
                    <w:t>/</w:t>
                  </w:r>
                </w:p>
              </w:tc>
              <w:tc>
                <w:tcPr>
                  <w:tcW w:w="601" w:type="pct"/>
                  <w:vAlign w:val="center"/>
                </w:tcPr>
                <w:p>
                  <w:pPr>
                    <w:autoSpaceDE w:val="0"/>
                    <w:autoSpaceDN w:val="0"/>
                    <w:adjustRightInd w:val="0"/>
                    <w:snapToGrid w:val="0"/>
                    <w:jc w:val="center"/>
                    <w:rPr>
                      <w:color w:val="auto"/>
                    </w:rPr>
                  </w:pPr>
                  <w:r>
                    <w:rPr>
                      <w:color w:val="auto"/>
                    </w:rPr>
                    <w:t>/</w:t>
                  </w:r>
                </w:p>
              </w:tc>
              <w:tc>
                <w:tcPr>
                  <w:tcW w:w="687" w:type="pct"/>
                  <w:vAlign w:val="center"/>
                </w:tcPr>
                <w:p>
                  <w:pPr>
                    <w:autoSpaceDE w:val="0"/>
                    <w:autoSpaceDN w:val="0"/>
                    <w:adjustRightInd w:val="0"/>
                    <w:snapToGrid w:val="0"/>
                    <w:jc w:val="center"/>
                    <w:rPr>
                      <w:color w:val="auto"/>
                    </w:rPr>
                  </w:pPr>
                  <w:r>
                    <w:rPr>
                      <w:color w:val="auto"/>
                    </w:rPr>
                    <w:t>/</w:t>
                  </w:r>
                </w:p>
              </w:tc>
              <w:tc>
                <w:tcPr>
                  <w:tcW w:w="1688" w:type="pct"/>
                  <w:tcMar>
                    <w:top w:w="0" w:type="dxa"/>
                    <w:left w:w="6" w:type="dxa"/>
                    <w:bottom w:w="0" w:type="dxa"/>
                    <w:right w:w="6" w:type="dxa"/>
                  </w:tcMar>
                  <w:vAlign w:val="center"/>
                </w:tcPr>
                <w:p>
                  <w:pPr>
                    <w:autoSpaceDE w:val="0"/>
                    <w:autoSpaceDN w:val="0"/>
                    <w:adjustRightInd w:val="0"/>
                    <w:snapToGrid w:val="0"/>
                    <w:jc w:val="center"/>
                    <w:rPr>
                      <w:color w:val="auto"/>
                    </w:rPr>
                  </w:pPr>
                  <w:r>
                    <w:rPr>
                      <w:color w:val="auto"/>
                    </w:rPr>
                    <w:t>《土壤环境质量 建设用地土壤污染风险管控标准（试行）》（GB36600-2018）</w:t>
                  </w:r>
                </w:p>
              </w:tc>
            </w:tr>
          </w:tbl>
          <w:p>
            <w:pPr>
              <w:adjustRightInd w:val="0"/>
              <w:snapToGrid w:val="0"/>
              <w:spacing w:line="360" w:lineRule="auto"/>
              <w:rPr>
                <w:snapToGrid w:val="0"/>
                <w:color w:val="auto"/>
                <w:kern w:val="0"/>
                <w:szCs w:val="21"/>
              </w:rPr>
            </w:pPr>
          </w:p>
          <w:p>
            <w:pPr>
              <w:pStyle w:val="18"/>
              <w:ind w:left="0" w:leftChars="0" w:firstLine="0" w:firstLineChars="0"/>
              <w:rPr>
                <w:color w:val="auto"/>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snapToGrid w:val="0"/>
                <w:color w:val="auto"/>
                <w:kern w:val="0"/>
                <w:szCs w:val="21"/>
              </w:rPr>
            </w:pPr>
          </w:p>
          <w:p>
            <w:pPr>
              <w:adjustRightInd w:val="0"/>
              <w:snapToGrid w:val="0"/>
              <w:spacing w:line="36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56" w:hRule="atLeast"/>
          <w:jc w:val="center"/>
        </w:trPr>
        <w:tc>
          <w:tcPr>
            <w:tcW w:w="507" w:type="dxa"/>
            <w:tcMar>
              <w:left w:w="28" w:type="dxa"/>
              <w:right w:w="28" w:type="dxa"/>
            </w:tcMar>
            <w:vAlign w:val="center"/>
          </w:tcPr>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Cs w:val="21"/>
              </w:rPr>
            </w:pPr>
            <w:r>
              <w:rPr>
                <w:color w:val="auto"/>
                <w:kern w:val="0"/>
                <w:sz w:val="24"/>
              </w:rPr>
              <w:t>准</w:t>
            </w:r>
          </w:p>
        </w:tc>
        <w:tc>
          <w:tcPr>
            <w:tcW w:w="8483" w:type="dxa"/>
            <w:vAlign w:val="center"/>
          </w:tcPr>
          <w:p>
            <w:pPr>
              <w:autoSpaceDE w:val="0"/>
              <w:autoSpaceDN w:val="0"/>
              <w:adjustRightInd w:val="0"/>
              <w:spacing w:line="360" w:lineRule="auto"/>
              <w:rPr>
                <w:b/>
                <w:bCs/>
                <w:color w:val="auto"/>
                <w:sz w:val="24"/>
              </w:rPr>
            </w:pPr>
            <w:r>
              <w:rPr>
                <w:b/>
                <w:bCs/>
                <w:color w:val="auto"/>
                <w:sz w:val="24"/>
              </w:rPr>
              <w:t>一、环境质量标准</w:t>
            </w:r>
          </w:p>
          <w:p>
            <w:pPr>
              <w:spacing w:line="360" w:lineRule="auto"/>
              <w:rPr>
                <w:b/>
                <w:bCs/>
                <w:color w:val="auto"/>
                <w:sz w:val="24"/>
              </w:rPr>
            </w:pPr>
            <w:r>
              <w:rPr>
                <w:b/>
                <w:bCs/>
                <w:color w:val="auto"/>
                <w:sz w:val="24"/>
              </w:rPr>
              <w:t>1、大气环境</w:t>
            </w:r>
          </w:p>
          <w:p>
            <w:pPr>
              <w:spacing w:line="360" w:lineRule="auto"/>
              <w:ind w:firstLine="480" w:firstLineChars="200"/>
              <w:rPr>
                <w:color w:val="auto"/>
                <w:sz w:val="24"/>
              </w:rPr>
            </w:pPr>
            <w:r>
              <w:rPr>
                <w:snapToGrid w:val="0"/>
                <w:color w:val="auto"/>
                <w:kern w:val="0"/>
                <w:sz w:val="24"/>
              </w:rPr>
              <w:t>根据《市政府办公室关于转发市环保局无锡市环境空气质量功能区划的通知》（锡政办[2011]300号），</w:t>
            </w:r>
            <w:r>
              <w:rPr>
                <w:color w:val="auto"/>
                <w:sz w:val="24"/>
              </w:rPr>
              <w:t>本项目所在地空气质量功能区为二类区。SO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、O</w:t>
            </w:r>
            <w:r>
              <w:rPr>
                <w:color w:val="auto"/>
                <w:sz w:val="24"/>
                <w:vertAlign w:val="subscript"/>
              </w:rPr>
              <w:t>3</w:t>
            </w:r>
            <w:r>
              <w:rPr>
                <w:color w:val="auto"/>
                <w:sz w:val="24"/>
              </w:rPr>
              <w:t>、CO执行《环境空气质量标准》（GB3095-2012）中二级标准，</w:t>
            </w:r>
            <w:r>
              <w:rPr>
                <w:rFonts w:hint="eastAsia"/>
                <w:color w:val="auto"/>
                <w:sz w:val="24"/>
              </w:rPr>
              <w:t>甲醛执行《环境影响评价技术导则 大气环境》（HJ2.2-2018）附录D中其他污染物空气质量浓度参考限值；</w:t>
            </w:r>
            <w:r>
              <w:rPr>
                <w:color w:val="auto"/>
                <w:sz w:val="24"/>
              </w:rPr>
              <w:t>非甲烷总烃执行《大气污染物综合排放标准详解》中关于非甲烷总烃的推荐值。具体数值见表3-7。</w:t>
            </w:r>
          </w:p>
          <w:p>
            <w:pPr>
              <w:jc w:val="center"/>
              <w:rPr>
                <w:b/>
                <w:bCs/>
                <w:color w:val="auto"/>
                <w:sz w:val="24"/>
              </w:rPr>
            </w:pPr>
            <w:r>
              <w:rPr>
                <w:b/>
                <w:bCs/>
                <w:color w:val="auto"/>
                <w:sz w:val="24"/>
              </w:rPr>
              <w:t>表3-7  环境空气质量标准</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2024"/>
              <w:gridCol w:w="1245"/>
              <w:gridCol w:w="1169"/>
              <w:gridCol w:w="23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Align w:val="center"/>
                </w:tcPr>
                <w:p>
                  <w:pPr>
                    <w:adjustRightInd w:val="0"/>
                    <w:snapToGrid w:val="0"/>
                    <w:jc w:val="center"/>
                    <w:rPr>
                      <w:b/>
                      <w:bCs/>
                      <w:color w:val="auto"/>
                      <w:szCs w:val="21"/>
                    </w:rPr>
                  </w:pPr>
                  <w:r>
                    <w:rPr>
                      <w:b/>
                      <w:bCs/>
                      <w:color w:val="auto"/>
                      <w:szCs w:val="21"/>
                    </w:rPr>
                    <w:t>污染物名称</w:t>
                  </w:r>
                </w:p>
              </w:tc>
              <w:tc>
                <w:tcPr>
                  <w:tcW w:w="1225" w:type="pct"/>
                  <w:vAlign w:val="center"/>
                </w:tcPr>
                <w:p>
                  <w:pPr>
                    <w:adjustRightInd w:val="0"/>
                    <w:snapToGrid w:val="0"/>
                    <w:jc w:val="center"/>
                    <w:rPr>
                      <w:b/>
                      <w:bCs/>
                      <w:color w:val="auto"/>
                      <w:szCs w:val="21"/>
                    </w:rPr>
                  </w:pPr>
                  <w:r>
                    <w:rPr>
                      <w:b/>
                      <w:bCs/>
                      <w:color w:val="auto"/>
                      <w:szCs w:val="21"/>
                    </w:rPr>
                    <w:t>取值标准</w:t>
                  </w:r>
                </w:p>
              </w:tc>
              <w:tc>
                <w:tcPr>
                  <w:tcW w:w="754" w:type="pct"/>
                  <w:vAlign w:val="center"/>
                </w:tcPr>
                <w:p>
                  <w:pPr>
                    <w:adjustRightInd w:val="0"/>
                    <w:snapToGrid w:val="0"/>
                    <w:jc w:val="center"/>
                    <w:rPr>
                      <w:b/>
                      <w:bCs/>
                      <w:color w:val="auto"/>
                      <w:szCs w:val="21"/>
                    </w:rPr>
                  </w:pPr>
                  <w:r>
                    <w:rPr>
                      <w:b/>
                      <w:bCs/>
                      <w:color w:val="auto"/>
                      <w:szCs w:val="21"/>
                    </w:rPr>
                    <w:t>浓度限值</w:t>
                  </w:r>
                </w:p>
              </w:tc>
              <w:tc>
                <w:tcPr>
                  <w:tcW w:w="708" w:type="pct"/>
                  <w:vAlign w:val="center"/>
                </w:tcPr>
                <w:p>
                  <w:pPr>
                    <w:adjustRightInd w:val="0"/>
                    <w:snapToGrid w:val="0"/>
                    <w:jc w:val="center"/>
                    <w:rPr>
                      <w:b/>
                      <w:bCs/>
                      <w:color w:val="auto"/>
                      <w:szCs w:val="21"/>
                    </w:rPr>
                  </w:pPr>
                  <w:r>
                    <w:rPr>
                      <w:b/>
                      <w:bCs/>
                      <w:color w:val="auto"/>
                      <w:szCs w:val="21"/>
                    </w:rPr>
                    <w:t>单位</w:t>
                  </w:r>
                </w:p>
              </w:tc>
              <w:tc>
                <w:tcPr>
                  <w:tcW w:w="1415" w:type="pct"/>
                  <w:vAlign w:val="center"/>
                </w:tcPr>
                <w:p>
                  <w:pPr>
                    <w:adjustRightInd w:val="0"/>
                    <w:snapToGrid w:val="0"/>
                    <w:jc w:val="center"/>
                    <w:rPr>
                      <w:b/>
                      <w:bCs/>
                      <w:color w:val="auto"/>
                      <w:szCs w:val="21"/>
                    </w:rPr>
                  </w:pPr>
                  <w:r>
                    <w:rPr>
                      <w:b/>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restart"/>
                  <w:vAlign w:val="center"/>
                </w:tcPr>
                <w:p>
                  <w:pPr>
                    <w:adjustRightInd w:val="0"/>
                    <w:snapToGrid w:val="0"/>
                    <w:jc w:val="center"/>
                    <w:rPr>
                      <w:color w:val="auto"/>
                      <w:szCs w:val="21"/>
                    </w:rPr>
                  </w:pPr>
                  <w:r>
                    <w:rPr>
                      <w:color w:val="auto"/>
                      <w:szCs w:val="21"/>
                    </w:rPr>
                    <w:t>SO</w:t>
                  </w:r>
                  <w:r>
                    <w:rPr>
                      <w:color w:val="auto"/>
                      <w:szCs w:val="21"/>
                      <w:vertAlign w:val="subscript"/>
                    </w:rPr>
                    <w:t>2</w:t>
                  </w:r>
                </w:p>
              </w:tc>
              <w:tc>
                <w:tcPr>
                  <w:tcW w:w="1225" w:type="pct"/>
                  <w:vAlign w:val="center"/>
                </w:tcPr>
                <w:p>
                  <w:pPr>
                    <w:adjustRightInd w:val="0"/>
                    <w:snapToGrid w:val="0"/>
                    <w:jc w:val="center"/>
                    <w:rPr>
                      <w:color w:val="auto"/>
                      <w:szCs w:val="21"/>
                    </w:rPr>
                  </w:pPr>
                  <w:r>
                    <w:rPr>
                      <w:color w:val="auto"/>
                      <w:szCs w:val="21"/>
                    </w:rPr>
                    <w:t>年平均</w:t>
                  </w:r>
                </w:p>
              </w:tc>
              <w:tc>
                <w:tcPr>
                  <w:tcW w:w="754" w:type="pct"/>
                  <w:vAlign w:val="center"/>
                </w:tcPr>
                <w:p>
                  <w:pPr>
                    <w:jc w:val="center"/>
                    <w:rPr>
                      <w:color w:val="auto"/>
                      <w:szCs w:val="21"/>
                    </w:rPr>
                  </w:pPr>
                  <w:r>
                    <w:rPr>
                      <w:color w:val="auto"/>
                      <w:szCs w:val="21"/>
                    </w:rPr>
                    <w:t>60</w:t>
                  </w:r>
                </w:p>
              </w:tc>
              <w:tc>
                <w:tcPr>
                  <w:tcW w:w="708" w:type="pct"/>
                  <w:vMerge w:val="restart"/>
                  <w:vAlign w:val="center"/>
                </w:tcPr>
                <w:p>
                  <w:pPr>
                    <w:adjustRightInd w:val="0"/>
                    <w:snapToGrid w:val="0"/>
                    <w:jc w:val="center"/>
                    <w:rPr>
                      <w:color w:val="auto"/>
                      <w:szCs w:val="21"/>
                    </w:rPr>
                  </w:pPr>
                  <w:r>
                    <w:rPr>
                      <w:color w:val="auto"/>
                      <w:szCs w:val="21"/>
                    </w:rPr>
                    <w:t>μg/Nm</w:t>
                  </w:r>
                  <w:r>
                    <w:rPr>
                      <w:color w:val="auto"/>
                      <w:szCs w:val="21"/>
                      <w:vertAlign w:val="superscript"/>
                    </w:rPr>
                    <w:t>3</w:t>
                  </w:r>
                </w:p>
              </w:tc>
              <w:tc>
                <w:tcPr>
                  <w:tcW w:w="1415" w:type="pct"/>
                  <w:vMerge w:val="restart"/>
                  <w:vAlign w:val="center"/>
                </w:tcPr>
                <w:p>
                  <w:pPr>
                    <w:adjustRightInd w:val="0"/>
                    <w:snapToGrid w:val="0"/>
                    <w:jc w:val="center"/>
                    <w:rPr>
                      <w:color w:val="auto"/>
                      <w:szCs w:val="21"/>
                    </w:rPr>
                  </w:pPr>
                  <w:r>
                    <w:rPr>
                      <w:color w:val="auto"/>
                      <w:szCs w:val="21"/>
                    </w:rPr>
                    <w:t>《环境空气质量标准》（GB3095-2012）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adjustRightInd w:val="0"/>
                    <w:snapToGrid w:val="0"/>
                    <w:jc w:val="center"/>
                    <w:rPr>
                      <w:color w:val="auto"/>
                      <w:szCs w:val="21"/>
                    </w:rPr>
                  </w:pPr>
                </w:p>
              </w:tc>
              <w:tc>
                <w:tcPr>
                  <w:tcW w:w="1225" w:type="pct"/>
                  <w:vAlign w:val="center"/>
                </w:tcPr>
                <w:p>
                  <w:pPr>
                    <w:adjustRightInd w:val="0"/>
                    <w:snapToGrid w:val="0"/>
                    <w:jc w:val="center"/>
                    <w:rPr>
                      <w:color w:val="auto"/>
                      <w:szCs w:val="21"/>
                    </w:rPr>
                  </w:pPr>
                  <w:r>
                    <w:rPr>
                      <w:color w:val="auto"/>
                      <w:szCs w:val="21"/>
                    </w:rPr>
                    <w:t>24小时平均</w:t>
                  </w:r>
                </w:p>
              </w:tc>
              <w:tc>
                <w:tcPr>
                  <w:tcW w:w="754" w:type="pct"/>
                  <w:vAlign w:val="center"/>
                </w:tcPr>
                <w:p>
                  <w:pPr>
                    <w:jc w:val="center"/>
                    <w:rPr>
                      <w:color w:val="auto"/>
                      <w:szCs w:val="21"/>
                    </w:rPr>
                  </w:pPr>
                  <w:r>
                    <w:rPr>
                      <w:color w:val="auto"/>
                      <w:szCs w:val="21"/>
                    </w:rPr>
                    <w:t>150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adjustRightInd w:val="0"/>
                    <w:snapToGrid w:val="0"/>
                    <w:jc w:val="center"/>
                    <w:rPr>
                      <w:color w:val="auto"/>
                      <w:szCs w:val="21"/>
                    </w:rPr>
                  </w:pPr>
                </w:p>
              </w:tc>
              <w:tc>
                <w:tcPr>
                  <w:tcW w:w="1225" w:type="pct"/>
                  <w:vAlign w:val="center"/>
                </w:tcPr>
                <w:p>
                  <w:pPr>
                    <w:adjustRightInd w:val="0"/>
                    <w:snapToGrid w:val="0"/>
                    <w:jc w:val="center"/>
                    <w:rPr>
                      <w:color w:val="auto"/>
                      <w:szCs w:val="21"/>
                    </w:rPr>
                  </w:pPr>
                  <w:r>
                    <w:rPr>
                      <w:color w:val="auto"/>
                      <w:szCs w:val="21"/>
                    </w:rPr>
                    <w:t>1小时平均</w:t>
                  </w:r>
                </w:p>
              </w:tc>
              <w:tc>
                <w:tcPr>
                  <w:tcW w:w="754" w:type="pct"/>
                  <w:vAlign w:val="center"/>
                </w:tcPr>
                <w:p>
                  <w:pPr>
                    <w:jc w:val="center"/>
                    <w:rPr>
                      <w:color w:val="auto"/>
                      <w:szCs w:val="21"/>
                    </w:rPr>
                  </w:pPr>
                  <w:r>
                    <w:rPr>
                      <w:color w:val="auto"/>
                      <w:szCs w:val="21"/>
                    </w:rPr>
                    <w:t>500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restart"/>
                  <w:vAlign w:val="center"/>
                </w:tcPr>
                <w:p>
                  <w:pPr>
                    <w:adjustRightInd w:val="0"/>
                    <w:snapToGrid w:val="0"/>
                    <w:jc w:val="center"/>
                    <w:rPr>
                      <w:color w:val="auto"/>
                      <w:szCs w:val="21"/>
                    </w:rPr>
                  </w:pPr>
                  <w:r>
                    <w:rPr>
                      <w:color w:val="auto"/>
                      <w:szCs w:val="21"/>
                    </w:rPr>
                    <w:t>NO</w:t>
                  </w:r>
                  <w:r>
                    <w:rPr>
                      <w:color w:val="auto"/>
                      <w:szCs w:val="21"/>
                      <w:vertAlign w:val="subscript"/>
                    </w:rPr>
                    <w:t>2</w:t>
                  </w:r>
                </w:p>
              </w:tc>
              <w:tc>
                <w:tcPr>
                  <w:tcW w:w="1225" w:type="pct"/>
                  <w:vAlign w:val="center"/>
                </w:tcPr>
                <w:p>
                  <w:pPr>
                    <w:adjustRightInd w:val="0"/>
                    <w:snapToGrid w:val="0"/>
                    <w:jc w:val="center"/>
                    <w:rPr>
                      <w:color w:val="auto"/>
                      <w:szCs w:val="21"/>
                    </w:rPr>
                  </w:pPr>
                  <w:r>
                    <w:rPr>
                      <w:color w:val="auto"/>
                      <w:szCs w:val="21"/>
                    </w:rPr>
                    <w:t>年平均</w:t>
                  </w:r>
                </w:p>
              </w:tc>
              <w:tc>
                <w:tcPr>
                  <w:tcW w:w="754" w:type="pct"/>
                  <w:vAlign w:val="center"/>
                </w:tcPr>
                <w:p>
                  <w:pPr>
                    <w:jc w:val="center"/>
                    <w:rPr>
                      <w:color w:val="auto"/>
                      <w:szCs w:val="21"/>
                    </w:rPr>
                  </w:pPr>
                  <w:r>
                    <w:rPr>
                      <w:color w:val="auto"/>
                      <w:szCs w:val="21"/>
                    </w:rPr>
                    <w:t>40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adjustRightInd w:val="0"/>
                    <w:snapToGrid w:val="0"/>
                    <w:jc w:val="center"/>
                    <w:rPr>
                      <w:color w:val="auto"/>
                      <w:szCs w:val="21"/>
                    </w:rPr>
                  </w:pPr>
                </w:p>
              </w:tc>
              <w:tc>
                <w:tcPr>
                  <w:tcW w:w="1225" w:type="pct"/>
                  <w:vAlign w:val="center"/>
                </w:tcPr>
                <w:p>
                  <w:pPr>
                    <w:adjustRightInd w:val="0"/>
                    <w:snapToGrid w:val="0"/>
                    <w:jc w:val="center"/>
                    <w:rPr>
                      <w:color w:val="auto"/>
                      <w:szCs w:val="21"/>
                    </w:rPr>
                  </w:pPr>
                  <w:r>
                    <w:rPr>
                      <w:color w:val="auto"/>
                      <w:szCs w:val="21"/>
                    </w:rPr>
                    <w:t>24小时平均</w:t>
                  </w:r>
                </w:p>
              </w:tc>
              <w:tc>
                <w:tcPr>
                  <w:tcW w:w="754" w:type="pct"/>
                  <w:vAlign w:val="center"/>
                </w:tcPr>
                <w:p>
                  <w:pPr>
                    <w:jc w:val="center"/>
                    <w:rPr>
                      <w:color w:val="auto"/>
                      <w:szCs w:val="21"/>
                    </w:rPr>
                  </w:pPr>
                  <w:r>
                    <w:rPr>
                      <w:color w:val="auto"/>
                      <w:szCs w:val="21"/>
                    </w:rPr>
                    <w:t>80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adjustRightInd w:val="0"/>
                    <w:snapToGrid w:val="0"/>
                    <w:jc w:val="center"/>
                    <w:rPr>
                      <w:color w:val="auto"/>
                      <w:szCs w:val="21"/>
                    </w:rPr>
                  </w:pPr>
                </w:p>
              </w:tc>
              <w:tc>
                <w:tcPr>
                  <w:tcW w:w="1225" w:type="pct"/>
                  <w:vAlign w:val="center"/>
                </w:tcPr>
                <w:p>
                  <w:pPr>
                    <w:adjustRightInd w:val="0"/>
                    <w:snapToGrid w:val="0"/>
                    <w:jc w:val="center"/>
                    <w:rPr>
                      <w:color w:val="auto"/>
                      <w:szCs w:val="21"/>
                    </w:rPr>
                  </w:pPr>
                  <w:r>
                    <w:rPr>
                      <w:color w:val="auto"/>
                      <w:szCs w:val="21"/>
                    </w:rPr>
                    <w:t>1小时平均</w:t>
                  </w:r>
                </w:p>
              </w:tc>
              <w:tc>
                <w:tcPr>
                  <w:tcW w:w="754" w:type="pct"/>
                  <w:vAlign w:val="center"/>
                </w:tcPr>
                <w:p>
                  <w:pPr>
                    <w:jc w:val="center"/>
                    <w:rPr>
                      <w:color w:val="auto"/>
                      <w:szCs w:val="21"/>
                    </w:rPr>
                  </w:pPr>
                  <w:r>
                    <w:rPr>
                      <w:color w:val="auto"/>
                      <w:szCs w:val="21"/>
                    </w:rPr>
                    <w:t>200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restart"/>
                  <w:vAlign w:val="center"/>
                </w:tcPr>
                <w:p>
                  <w:pPr>
                    <w:adjustRightInd w:val="0"/>
                    <w:snapToGrid w:val="0"/>
                    <w:jc w:val="center"/>
                    <w:rPr>
                      <w:color w:val="auto"/>
                      <w:szCs w:val="21"/>
                    </w:rPr>
                  </w:pPr>
                  <w:r>
                    <w:rPr>
                      <w:color w:val="auto"/>
                      <w:szCs w:val="21"/>
                    </w:rPr>
                    <w:t>PM</w:t>
                  </w:r>
                  <w:r>
                    <w:rPr>
                      <w:color w:val="auto"/>
                      <w:szCs w:val="21"/>
                      <w:vertAlign w:val="subscript"/>
                    </w:rPr>
                    <w:t>10</w:t>
                  </w:r>
                </w:p>
              </w:tc>
              <w:tc>
                <w:tcPr>
                  <w:tcW w:w="1225" w:type="pct"/>
                  <w:vAlign w:val="center"/>
                </w:tcPr>
                <w:p>
                  <w:pPr>
                    <w:adjustRightInd w:val="0"/>
                    <w:snapToGrid w:val="0"/>
                    <w:jc w:val="center"/>
                    <w:rPr>
                      <w:color w:val="auto"/>
                      <w:szCs w:val="21"/>
                    </w:rPr>
                  </w:pPr>
                  <w:r>
                    <w:rPr>
                      <w:color w:val="auto"/>
                      <w:szCs w:val="21"/>
                    </w:rPr>
                    <w:t>年平均</w:t>
                  </w:r>
                </w:p>
              </w:tc>
              <w:tc>
                <w:tcPr>
                  <w:tcW w:w="754" w:type="pct"/>
                  <w:vAlign w:val="center"/>
                </w:tcPr>
                <w:p>
                  <w:pPr>
                    <w:jc w:val="center"/>
                    <w:rPr>
                      <w:color w:val="auto"/>
                      <w:szCs w:val="21"/>
                    </w:rPr>
                  </w:pPr>
                  <w:r>
                    <w:rPr>
                      <w:color w:val="auto"/>
                      <w:szCs w:val="21"/>
                    </w:rPr>
                    <w:t>70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adjustRightInd w:val="0"/>
                    <w:snapToGrid w:val="0"/>
                    <w:jc w:val="center"/>
                    <w:rPr>
                      <w:color w:val="auto"/>
                      <w:szCs w:val="21"/>
                    </w:rPr>
                  </w:pPr>
                </w:p>
              </w:tc>
              <w:tc>
                <w:tcPr>
                  <w:tcW w:w="1225" w:type="pct"/>
                  <w:vAlign w:val="center"/>
                </w:tcPr>
                <w:p>
                  <w:pPr>
                    <w:adjustRightInd w:val="0"/>
                    <w:snapToGrid w:val="0"/>
                    <w:jc w:val="center"/>
                    <w:rPr>
                      <w:color w:val="auto"/>
                      <w:szCs w:val="21"/>
                    </w:rPr>
                  </w:pPr>
                  <w:r>
                    <w:rPr>
                      <w:color w:val="auto"/>
                      <w:szCs w:val="21"/>
                    </w:rPr>
                    <w:t>24小时平均</w:t>
                  </w:r>
                </w:p>
              </w:tc>
              <w:tc>
                <w:tcPr>
                  <w:tcW w:w="754" w:type="pct"/>
                  <w:vAlign w:val="center"/>
                </w:tcPr>
                <w:p>
                  <w:pPr>
                    <w:jc w:val="center"/>
                    <w:rPr>
                      <w:color w:val="auto"/>
                      <w:szCs w:val="21"/>
                    </w:rPr>
                  </w:pPr>
                  <w:r>
                    <w:rPr>
                      <w:color w:val="auto"/>
                      <w:szCs w:val="21"/>
                    </w:rPr>
                    <w:t>150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adjustRightInd w:val="0"/>
                    <w:snapToGrid w:val="0"/>
                    <w:jc w:val="center"/>
                    <w:rPr>
                      <w:color w:val="auto"/>
                      <w:szCs w:val="21"/>
                    </w:rPr>
                  </w:pPr>
                </w:p>
              </w:tc>
              <w:tc>
                <w:tcPr>
                  <w:tcW w:w="1225" w:type="pct"/>
                  <w:vAlign w:val="center"/>
                </w:tcPr>
                <w:p>
                  <w:pPr>
                    <w:adjustRightInd w:val="0"/>
                    <w:snapToGrid w:val="0"/>
                    <w:jc w:val="center"/>
                    <w:rPr>
                      <w:color w:val="auto"/>
                      <w:szCs w:val="21"/>
                    </w:rPr>
                  </w:pPr>
                  <w:r>
                    <w:rPr>
                      <w:color w:val="auto"/>
                      <w:szCs w:val="21"/>
                    </w:rPr>
                    <w:t>1小时平均*</w:t>
                  </w:r>
                </w:p>
              </w:tc>
              <w:tc>
                <w:tcPr>
                  <w:tcW w:w="754" w:type="pct"/>
                  <w:vAlign w:val="center"/>
                </w:tcPr>
                <w:p>
                  <w:pPr>
                    <w:jc w:val="center"/>
                    <w:rPr>
                      <w:color w:val="auto"/>
                      <w:szCs w:val="21"/>
                    </w:rPr>
                  </w:pPr>
                  <w:r>
                    <w:rPr>
                      <w:color w:val="auto"/>
                      <w:szCs w:val="21"/>
                    </w:rPr>
                    <w:t>450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restart"/>
                  <w:vAlign w:val="center"/>
                </w:tcPr>
                <w:p>
                  <w:pPr>
                    <w:pStyle w:val="37"/>
                    <w:spacing w:before="24" w:after="24"/>
                    <w:rPr>
                      <w:rFonts w:ascii="Times New Roman"/>
                      <w:color w:val="auto"/>
                      <w:szCs w:val="21"/>
                    </w:rPr>
                  </w:pPr>
                  <w:r>
                    <w:rPr>
                      <w:rFonts w:ascii="Times New Roman"/>
                      <w:color w:val="auto"/>
                      <w:szCs w:val="21"/>
                    </w:rPr>
                    <w:t>PM</w:t>
                  </w:r>
                  <w:r>
                    <w:rPr>
                      <w:rFonts w:ascii="Times New Roman"/>
                      <w:color w:val="auto"/>
                      <w:szCs w:val="21"/>
                      <w:vertAlign w:val="subscript"/>
                    </w:rPr>
                    <w:t>2.5</w:t>
                  </w:r>
                </w:p>
              </w:tc>
              <w:tc>
                <w:tcPr>
                  <w:tcW w:w="1225" w:type="pct"/>
                  <w:vAlign w:val="center"/>
                </w:tcPr>
                <w:p>
                  <w:pPr>
                    <w:widowControl/>
                    <w:adjustRightInd w:val="0"/>
                    <w:snapToGrid w:val="0"/>
                    <w:jc w:val="center"/>
                    <w:rPr>
                      <w:color w:val="auto"/>
                      <w:szCs w:val="21"/>
                    </w:rPr>
                  </w:pPr>
                  <w:r>
                    <w:rPr>
                      <w:bCs/>
                      <w:color w:val="auto"/>
                      <w:kern w:val="0"/>
                      <w:szCs w:val="21"/>
                    </w:rPr>
                    <w:t>年平均</w:t>
                  </w:r>
                </w:p>
              </w:tc>
              <w:tc>
                <w:tcPr>
                  <w:tcW w:w="754" w:type="pct"/>
                  <w:vAlign w:val="center"/>
                </w:tcPr>
                <w:p>
                  <w:pPr>
                    <w:jc w:val="center"/>
                    <w:rPr>
                      <w:color w:val="auto"/>
                      <w:szCs w:val="21"/>
                    </w:rPr>
                  </w:pPr>
                  <w:r>
                    <w:rPr>
                      <w:bCs/>
                      <w:color w:val="auto"/>
                      <w:szCs w:val="21"/>
                    </w:rPr>
                    <w:t>35</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pStyle w:val="37"/>
                    <w:spacing w:before="24" w:after="24"/>
                    <w:rPr>
                      <w:rFonts w:ascii="Times New Roman"/>
                      <w:color w:val="auto"/>
                      <w:szCs w:val="21"/>
                    </w:rPr>
                  </w:pPr>
                </w:p>
              </w:tc>
              <w:tc>
                <w:tcPr>
                  <w:tcW w:w="1225" w:type="pct"/>
                  <w:vAlign w:val="center"/>
                </w:tcPr>
                <w:p>
                  <w:pPr>
                    <w:widowControl/>
                    <w:adjustRightInd w:val="0"/>
                    <w:snapToGrid w:val="0"/>
                    <w:jc w:val="center"/>
                    <w:rPr>
                      <w:color w:val="auto"/>
                      <w:szCs w:val="21"/>
                    </w:rPr>
                  </w:pPr>
                  <w:r>
                    <w:rPr>
                      <w:bCs/>
                      <w:color w:val="auto"/>
                      <w:kern w:val="0"/>
                      <w:szCs w:val="21"/>
                    </w:rPr>
                    <w:t>24小时平均</w:t>
                  </w:r>
                </w:p>
              </w:tc>
              <w:tc>
                <w:tcPr>
                  <w:tcW w:w="754" w:type="pct"/>
                  <w:vAlign w:val="center"/>
                </w:tcPr>
                <w:p>
                  <w:pPr>
                    <w:jc w:val="center"/>
                    <w:rPr>
                      <w:color w:val="auto"/>
                      <w:szCs w:val="21"/>
                    </w:rPr>
                  </w:pPr>
                  <w:r>
                    <w:rPr>
                      <w:bCs/>
                      <w:color w:val="auto"/>
                      <w:szCs w:val="21"/>
                    </w:rPr>
                    <w:t>75</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restart"/>
                  <w:vAlign w:val="center"/>
                </w:tcPr>
                <w:p>
                  <w:pPr>
                    <w:widowControl/>
                    <w:adjustRightInd w:val="0"/>
                    <w:snapToGrid w:val="0"/>
                    <w:jc w:val="center"/>
                    <w:rPr>
                      <w:color w:val="auto"/>
                      <w:szCs w:val="21"/>
                    </w:rPr>
                  </w:pPr>
                  <w:r>
                    <w:rPr>
                      <w:bCs/>
                      <w:color w:val="auto"/>
                      <w:szCs w:val="21"/>
                    </w:rPr>
                    <w:t>O</w:t>
                  </w:r>
                  <w:r>
                    <w:rPr>
                      <w:bCs/>
                      <w:color w:val="auto"/>
                      <w:szCs w:val="21"/>
                      <w:vertAlign w:val="subscript"/>
                    </w:rPr>
                    <w:t>3</w:t>
                  </w:r>
                </w:p>
              </w:tc>
              <w:tc>
                <w:tcPr>
                  <w:tcW w:w="1225" w:type="pct"/>
                  <w:vAlign w:val="center"/>
                </w:tcPr>
                <w:p>
                  <w:pPr>
                    <w:widowControl/>
                    <w:adjustRightInd w:val="0"/>
                    <w:snapToGrid w:val="0"/>
                    <w:jc w:val="center"/>
                    <w:rPr>
                      <w:color w:val="auto"/>
                      <w:szCs w:val="21"/>
                    </w:rPr>
                  </w:pPr>
                  <w:r>
                    <w:rPr>
                      <w:bCs/>
                      <w:color w:val="auto"/>
                      <w:kern w:val="0"/>
                      <w:szCs w:val="21"/>
                    </w:rPr>
                    <w:t>日最大8小时平均</w:t>
                  </w:r>
                </w:p>
              </w:tc>
              <w:tc>
                <w:tcPr>
                  <w:tcW w:w="754" w:type="pct"/>
                  <w:vAlign w:val="center"/>
                </w:tcPr>
                <w:p>
                  <w:pPr>
                    <w:jc w:val="center"/>
                    <w:rPr>
                      <w:color w:val="auto"/>
                      <w:szCs w:val="21"/>
                    </w:rPr>
                  </w:pPr>
                  <w:r>
                    <w:rPr>
                      <w:color w:val="auto"/>
                      <w:szCs w:val="21"/>
                    </w:rPr>
                    <w:t>160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widowControl/>
                    <w:adjustRightInd w:val="0"/>
                    <w:snapToGrid w:val="0"/>
                    <w:jc w:val="center"/>
                    <w:rPr>
                      <w:bCs/>
                      <w:color w:val="auto"/>
                      <w:szCs w:val="21"/>
                    </w:rPr>
                  </w:pPr>
                </w:p>
              </w:tc>
              <w:tc>
                <w:tcPr>
                  <w:tcW w:w="1225" w:type="pct"/>
                  <w:vAlign w:val="center"/>
                </w:tcPr>
                <w:p>
                  <w:pPr>
                    <w:widowControl/>
                    <w:adjustRightInd w:val="0"/>
                    <w:snapToGrid w:val="0"/>
                    <w:jc w:val="center"/>
                    <w:rPr>
                      <w:bCs/>
                      <w:color w:val="auto"/>
                      <w:kern w:val="0"/>
                      <w:szCs w:val="21"/>
                    </w:rPr>
                  </w:pPr>
                  <w:r>
                    <w:rPr>
                      <w:bCs/>
                      <w:color w:val="auto"/>
                      <w:kern w:val="0"/>
                      <w:szCs w:val="21"/>
                    </w:rPr>
                    <w:t>1小时平均</w:t>
                  </w:r>
                </w:p>
              </w:tc>
              <w:tc>
                <w:tcPr>
                  <w:tcW w:w="754" w:type="pct"/>
                  <w:vAlign w:val="center"/>
                </w:tcPr>
                <w:p>
                  <w:pPr>
                    <w:jc w:val="center"/>
                    <w:rPr>
                      <w:bCs/>
                      <w:color w:val="auto"/>
                      <w:szCs w:val="21"/>
                    </w:rPr>
                  </w:pPr>
                  <w:r>
                    <w:rPr>
                      <w:bCs/>
                      <w:color w:val="auto"/>
                      <w:szCs w:val="21"/>
                    </w:rPr>
                    <w:t>200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restart"/>
                  <w:vAlign w:val="center"/>
                </w:tcPr>
                <w:p>
                  <w:pPr>
                    <w:widowControl/>
                    <w:adjustRightInd w:val="0"/>
                    <w:snapToGrid w:val="0"/>
                    <w:jc w:val="center"/>
                    <w:rPr>
                      <w:color w:val="auto"/>
                      <w:szCs w:val="21"/>
                    </w:rPr>
                  </w:pPr>
                  <w:r>
                    <w:rPr>
                      <w:bCs/>
                      <w:color w:val="auto"/>
                      <w:szCs w:val="21"/>
                    </w:rPr>
                    <w:t>CO</w:t>
                  </w:r>
                </w:p>
              </w:tc>
              <w:tc>
                <w:tcPr>
                  <w:tcW w:w="1225" w:type="pct"/>
                  <w:vAlign w:val="center"/>
                </w:tcPr>
                <w:p>
                  <w:pPr>
                    <w:widowControl/>
                    <w:adjustRightInd w:val="0"/>
                    <w:snapToGrid w:val="0"/>
                    <w:jc w:val="center"/>
                    <w:rPr>
                      <w:color w:val="auto"/>
                      <w:szCs w:val="21"/>
                    </w:rPr>
                  </w:pPr>
                  <w:r>
                    <w:rPr>
                      <w:bCs/>
                      <w:color w:val="auto"/>
                      <w:kern w:val="0"/>
                      <w:szCs w:val="21"/>
                    </w:rPr>
                    <w:t>24小时平均</w:t>
                  </w:r>
                </w:p>
              </w:tc>
              <w:tc>
                <w:tcPr>
                  <w:tcW w:w="754" w:type="pct"/>
                  <w:vAlign w:val="center"/>
                </w:tcPr>
                <w:p>
                  <w:pPr>
                    <w:jc w:val="center"/>
                    <w:rPr>
                      <w:color w:val="auto"/>
                      <w:szCs w:val="21"/>
                    </w:rPr>
                  </w:pPr>
                  <w:r>
                    <w:rPr>
                      <w:bCs/>
                      <w:color w:val="auto"/>
                      <w:szCs w:val="21"/>
                    </w:rPr>
                    <w:t>4</w:t>
                  </w:r>
                </w:p>
              </w:tc>
              <w:tc>
                <w:tcPr>
                  <w:tcW w:w="708" w:type="pct"/>
                  <w:vMerge w:val="restart"/>
                  <w:vAlign w:val="center"/>
                </w:tcPr>
                <w:p>
                  <w:pPr>
                    <w:adjustRightInd w:val="0"/>
                    <w:snapToGrid w:val="0"/>
                    <w:jc w:val="center"/>
                    <w:rPr>
                      <w:color w:val="auto"/>
                      <w:szCs w:val="21"/>
                    </w:rPr>
                  </w:pPr>
                  <w:r>
                    <w:rPr>
                      <w:color w:val="auto"/>
                      <w:szCs w:val="21"/>
                    </w:rPr>
                    <w:t>mg/m</w:t>
                  </w:r>
                  <w:r>
                    <w:rPr>
                      <w:color w:val="auto"/>
                      <w:szCs w:val="21"/>
                      <w:vertAlign w:val="superscript"/>
                    </w:rPr>
                    <w:t>3</w:t>
                  </w: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widowControl/>
                    <w:adjustRightInd w:val="0"/>
                    <w:snapToGrid w:val="0"/>
                    <w:jc w:val="center"/>
                    <w:rPr>
                      <w:bCs/>
                      <w:color w:val="auto"/>
                      <w:szCs w:val="21"/>
                    </w:rPr>
                  </w:pPr>
                </w:p>
              </w:tc>
              <w:tc>
                <w:tcPr>
                  <w:tcW w:w="1225" w:type="pct"/>
                  <w:vAlign w:val="center"/>
                </w:tcPr>
                <w:p>
                  <w:pPr>
                    <w:widowControl/>
                    <w:adjustRightInd w:val="0"/>
                    <w:snapToGrid w:val="0"/>
                    <w:jc w:val="center"/>
                    <w:rPr>
                      <w:bCs/>
                      <w:color w:val="auto"/>
                      <w:kern w:val="0"/>
                      <w:szCs w:val="21"/>
                    </w:rPr>
                  </w:pPr>
                  <w:r>
                    <w:rPr>
                      <w:bCs/>
                      <w:color w:val="auto"/>
                      <w:kern w:val="0"/>
                      <w:szCs w:val="21"/>
                    </w:rPr>
                    <w:t>1小时平均</w:t>
                  </w:r>
                </w:p>
              </w:tc>
              <w:tc>
                <w:tcPr>
                  <w:tcW w:w="754" w:type="pct"/>
                  <w:vAlign w:val="center"/>
                </w:tcPr>
                <w:p>
                  <w:pPr>
                    <w:jc w:val="center"/>
                    <w:rPr>
                      <w:bCs/>
                      <w:color w:val="auto"/>
                      <w:szCs w:val="21"/>
                    </w:rPr>
                  </w:pPr>
                  <w:r>
                    <w:rPr>
                      <w:bCs/>
                      <w:color w:val="auto"/>
                      <w:szCs w:val="21"/>
                    </w:rPr>
                    <w:t>10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restart"/>
                  <w:vAlign w:val="center"/>
                </w:tcPr>
                <w:p>
                  <w:pPr>
                    <w:widowControl/>
                    <w:adjustRightInd w:val="0"/>
                    <w:snapToGrid w:val="0"/>
                    <w:jc w:val="center"/>
                    <w:rPr>
                      <w:bCs/>
                      <w:color w:val="auto"/>
                      <w:szCs w:val="21"/>
                    </w:rPr>
                  </w:pPr>
                  <w:r>
                    <w:rPr>
                      <w:color w:val="auto"/>
                      <w:szCs w:val="18"/>
                    </w:rPr>
                    <w:t>NOx</w:t>
                  </w:r>
                </w:p>
              </w:tc>
              <w:tc>
                <w:tcPr>
                  <w:tcW w:w="1225" w:type="pct"/>
                  <w:vAlign w:val="center"/>
                </w:tcPr>
                <w:p>
                  <w:pPr>
                    <w:widowControl/>
                    <w:adjustRightInd w:val="0"/>
                    <w:snapToGrid w:val="0"/>
                    <w:jc w:val="center"/>
                    <w:rPr>
                      <w:bCs/>
                      <w:color w:val="auto"/>
                      <w:kern w:val="0"/>
                      <w:szCs w:val="21"/>
                    </w:rPr>
                  </w:pPr>
                  <w:r>
                    <w:rPr>
                      <w:color w:val="auto"/>
                      <w:szCs w:val="18"/>
                    </w:rPr>
                    <w:t>年平均</w:t>
                  </w:r>
                </w:p>
              </w:tc>
              <w:tc>
                <w:tcPr>
                  <w:tcW w:w="754" w:type="pct"/>
                  <w:vAlign w:val="center"/>
                </w:tcPr>
                <w:p>
                  <w:pPr>
                    <w:jc w:val="center"/>
                    <w:rPr>
                      <w:bCs/>
                      <w:color w:val="auto"/>
                      <w:szCs w:val="21"/>
                    </w:rPr>
                  </w:pPr>
                  <w:r>
                    <w:rPr>
                      <w:bCs/>
                      <w:color w:val="auto"/>
                      <w:szCs w:val="18"/>
                    </w:rPr>
                    <w:t>50</w:t>
                  </w:r>
                </w:p>
              </w:tc>
              <w:tc>
                <w:tcPr>
                  <w:tcW w:w="708" w:type="pct"/>
                  <w:vMerge w:val="restart"/>
                  <w:vAlign w:val="center"/>
                </w:tcPr>
                <w:p>
                  <w:pPr>
                    <w:adjustRightInd w:val="0"/>
                    <w:snapToGrid w:val="0"/>
                    <w:jc w:val="center"/>
                    <w:rPr>
                      <w:color w:val="auto"/>
                      <w:szCs w:val="21"/>
                    </w:rPr>
                  </w:pPr>
                  <w:r>
                    <w:rPr>
                      <w:color w:val="auto"/>
                      <w:szCs w:val="21"/>
                    </w:rPr>
                    <w:t>μg/m</w:t>
                  </w:r>
                  <w:r>
                    <w:rPr>
                      <w:color w:val="auto"/>
                      <w:szCs w:val="21"/>
                      <w:vertAlign w:val="superscript"/>
                    </w:rPr>
                    <w:t>3</w:t>
                  </w: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widowControl/>
                    <w:adjustRightInd w:val="0"/>
                    <w:snapToGrid w:val="0"/>
                    <w:jc w:val="center"/>
                    <w:rPr>
                      <w:bCs/>
                      <w:color w:val="auto"/>
                      <w:szCs w:val="21"/>
                    </w:rPr>
                  </w:pPr>
                </w:p>
              </w:tc>
              <w:tc>
                <w:tcPr>
                  <w:tcW w:w="1225" w:type="pct"/>
                  <w:vAlign w:val="center"/>
                </w:tcPr>
                <w:p>
                  <w:pPr>
                    <w:widowControl/>
                    <w:adjustRightInd w:val="0"/>
                    <w:snapToGrid w:val="0"/>
                    <w:jc w:val="center"/>
                    <w:rPr>
                      <w:bCs/>
                      <w:color w:val="auto"/>
                      <w:kern w:val="0"/>
                      <w:szCs w:val="21"/>
                    </w:rPr>
                  </w:pPr>
                  <w:r>
                    <w:rPr>
                      <w:color w:val="auto"/>
                      <w:szCs w:val="18"/>
                    </w:rPr>
                    <w:t>24小时平均</w:t>
                  </w:r>
                </w:p>
              </w:tc>
              <w:tc>
                <w:tcPr>
                  <w:tcW w:w="754" w:type="pct"/>
                  <w:vAlign w:val="center"/>
                </w:tcPr>
                <w:p>
                  <w:pPr>
                    <w:jc w:val="center"/>
                    <w:rPr>
                      <w:bCs/>
                      <w:color w:val="auto"/>
                      <w:szCs w:val="21"/>
                    </w:rPr>
                  </w:pPr>
                  <w:r>
                    <w:rPr>
                      <w:bCs/>
                      <w:color w:val="auto"/>
                      <w:szCs w:val="18"/>
                    </w:rPr>
                    <w:t>100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Merge w:val="continue"/>
                  <w:vAlign w:val="center"/>
                </w:tcPr>
                <w:p>
                  <w:pPr>
                    <w:widowControl/>
                    <w:adjustRightInd w:val="0"/>
                    <w:snapToGrid w:val="0"/>
                    <w:jc w:val="center"/>
                    <w:rPr>
                      <w:bCs/>
                      <w:color w:val="auto"/>
                      <w:szCs w:val="21"/>
                    </w:rPr>
                  </w:pPr>
                </w:p>
              </w:tc>
              <w:tc>
                <w:tcPr>
                  <w:tcW w:w="1225" w:type="pct"/>
                  <w:vAlign w:val="center"/>
                </w:tcPr>
                <w:p>
                  <w:pPr>
                    <w:widowControl/>
                    <w:adjustRightInd w:val="0"/>
                    <w:snapToGrid w:val="0"/>
                    <w:jc w:val="center"/>
                    <w:rPr>
                      <w:bCs/>
                      <w:color w:val="auto"/>
                      <w:kern w:val="0"/>
                      <w:szCs w:val="21"/>
                    </w:rPr>
                  </w:pPr>
                  <w:r>
                    <w:rPr>
                      <w:color w:val="auto"/>
                      <w:szCs w:val="18"/>
                    </w:rPr>
                    <w:t>1小时平均</w:t>
                  </w:r>
                </w:p>
              </w:tc>
              <w:tc>
                <w:tcPr>
                  <w:tcW w:w="754" w:type="pct"/>
                  <w:vAlign w:val="center"/>
                </w:tcPr>
                <w:p>
                  <w:pPr>
                    <w:jc w:val="center"/>
                    <w:rPr>
                      <w:bCs/>
                      <w:color w:val="auto"/>
                      <w:szCs w:val="21"/>
                    </w:rPr>
                  </w:pPr>
                  <w:r>
                    <w:rPr>
                      <w:bCs/>
                      <w:color w:val="auto"/>
                      <w:szCs w:val="18"/>
                    </w:rPr>
                    <w:t>250</w:t>
                  </w:r>
                </w:p>
              </w:tc>
              <w:tc>
                <w:tcPr>
                  <w:tcW w:w="708" w:type="pct"/>
                  <w:vMerge w:val="continue"/>
                  <w:vAlign w:val="center"/>
                </w:tcPr>
                <w:p>
                  <w:pPr>
                    <w:adjustRightInd w:val="0"/>
                    <w:snapToGrid w:val="0"/>
                    <w:jc w:val="center"/>
                    <w:rPr>
                      <w:color w:val="auto"/>
                      <w:szCs w:val="21"/>
                    </w:rPr>
                  </w:pPr>
                </w:p>
              </w:tc>
              <w:tc>
                <w:tcPr>
                  <w:tcW w:w="141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Align w:val="center"/>
                </w:tcPr>
                <w:p>
                  <w:pPr>
                    <w:widowControl/>
                    <w:adjustRightInd w:val="0"/>
                    <w:snapToGrid w:val="0"/>
                    <w:jc w:val="center"/>
                    <w:rPr>
                      <w:bCs/>
                      <w:color w:val="auto"/>
                      <w:szCs w:val="21"/>
                    </w:rPr>
                  </w:pPr>
                  <w:r>
                    <w:rPr>
                      <w:rFonts w:hint="eastAsia"/>
                      <w:bCs/>
                      <w:color w:val="auto"/>
                      <w:szCs w:val="21"/>
                    </w:rPr>
                    <w:t>甲醛</w:t>
                  </w:r>
                </w:p>
              </w:tc>
              <w:tc>
                <w:tcPr>
                  <w:tcW w:w="1225" w:type="pct"/>
                  <w:vAlign w:val="center"/>
                </w:tcPr>
                <w:p>
                  <w:pPr>
                    <w:widowControl/>
                    <w:adjustRightInd w:val="0"/>
                    <w:snapToGrid w:val="0"/>
                    <w:jc w:val="center"/>
                    <w:rPr>
                      <w:color w:val="auto"/>
                      <w:szCs w:val="18"/>
                    </w:rPr>
                  </w:pPr>
                  <w:r>
                    <w:rPr>
                      <w:color w:val="auto"/>
                      <w:szCs w:val="21"/>
                    </w:rPr>
                    <w:t>1小时平均</w:t>
                  </w:r>
                </w:p>
              </w:tc>
              <w:tc>
                <w:tcPr>
                  <w:tcW w:w="754" w:type="pct"/>
                  <w:vAlign w:val="center"/>
                </w:tcPr>
                <w:p>
                  <w:pPr>
                    <w:jc w:val="center"/>
                    <w:rPr>
                      <w:bCs/>
                      <w:color w:val="auto"/>
                      <w:szCs w:val="18"/>
                    </w:rPr>
                  </w:pPr>
                  <w:r>
                    <w:rPr>
                      <w:rFonts w:hint="eastAsia"/>
                      <w:bCs/>
                      <w:color w:val="auto"/>
                      <w:szCs w:val="18"/>
                    </w:rPr>
                    <w:t>50</w:t>
                  </w:r>
                </w:p>
              </w:tc>
              <w:tc>
                <w:tcPr>
                  <w:tcW w:w="708" w:type="pct"/>
                  <w:vAlign w:val="center"/>
                </w:tcPr>
                <w:p>
                  <w:pPr>
                    <w:adjustRightInd w:val="0"/>
                    <w:snapToGrid w:val="0"/>
                    <w:jc w:val="center"/>
                    <w:rPr>
                      <w:color w:val="auto"/>
                      <w:szCs w:val="21"/>
                    </w:rPr>
                  </w:pPr>
                  <w:r>
                    <w:rPr>
                      <w:color w:val="auto"/>
                      <w:szCs w:val="21"/>
                    </w:rPr>
                    <w:t>μg/m</w:t>
                  </w:r>
                  <w:r>
                    <w:rPr>
                      <w:color w:val="auto"/>
                      <w:szCs w:val="21"/>
                      <w:vertAlign w:val="superscript"/>
                    </w:rPr>
                    <w:t>3</w:t>
                  </w:r>
                </w:p>
              </w:tc>
              <w:tc>
                <w:tcPr>
                  <w:tcW w:w="1415" w:type="pct"/>
                  <w:vAlign w:val="center"/>
                </w:tcPr>
                <w:p>
                  <w:pPr>
                    <w:adjustRightInd w:val="0"/>
                    <w:snapToGrid w:val="0"/>
                    <w:jc w:val="center"/>
                    <w:rPr>
                      <w:color w:val="auto"/>
                      <w:szCs w:val="21"/>
                    </w:rPr>
                  </w:pPr>
                  <w:r>
                    <w:rPr>
                      <w:rFonts w:hint="eastAsia"/>
                      <w:color w:val="auto"/>
                      <w:szCs w:val="21"/>
                    </w:rPr>
                    <w:t>《环境影响评价技术导则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pct"/>
                  <w:vAlign w:val="center"/>
                </w:tcPr>
                <w:p>
                  <w:pPr>
                    <w:widowControl/>
                    <w:adjustRightInd w:val="0"/>
                    <w:snapToGrid w:val="0"/>
                    <w:jc w:val="center"/>
                    <w:rPr>
                      <w:bCs/>
                      <w:color w:val="auto"/>
                      <w:szCs w:val="21"/>
                    </w:rPr>
                  </w:pPr>
                  <w:r>
                    <w:rPr>
                      <w:color w:val="auto"/>
                      <w:szCs w:val="21"/>
                    </w:rPr>
                    <w:t>非甲烷总烃</w:t>
                  </w:r>
                </w:p>
              </w:tc>
              <w:tc>
                <w:tcPr>
                  <w:tcW w:w="1225" w:type="pct"/>
                  <w:vAlign w:val="center"/>
                </w:tcPr>
                <w:p>
                  <w:pPr>
                    <w:widowControl/>
                    <w:adjustRightInd w:val="0"/>
                    <w:snapToGrid w:val="0"/>
                    <w:jc w:val="center"/>
                    <w:rPr>
                      <w:bCs/>
                      <w:color w:val="auto"/>
                      <w:kern w:val="0"/>
                      <w:szCs w:val="21"/>
                    </w:rPr>
                  </w:pPr>
                  <w:r>
                    <w:rPr>
                      <w:color w:val="auto"/>
                      <w:szCs w:val="21"/>
                    </w:rPr>
                    <w:t>1小时平均</w:t>
                  </w:r>
                </w:p>
              </w:tc>
              <w:tc>
                <w:tcPr>
                  <w:tcW w:w="754" w:type="pct"/>
                  <w:vAlign w:val="center"/>
                </w:tcPr>
                <w:p>
                  <w:pPr>
                    <w:jc w:val="center"/>
                    <w:rPr>
                      <w:bCs/>
                      <w:color w:val="auto"/>
                      <w:szCs w:val="21"/>
                    </w:rPr>
                  </w:pPr>
                  <w:r>
                    <w:rPr>
                      <w:color w:val="auto"/>
                      <w:kern w:val="0"/>
                      <w:szCs w:val="21"/>
                    </w:rPr>
                    <w:t>2.0</w:t>
                  </w:r>
                </w:p>
              </w:tc>
              <w:tc>
                <w:tcPr>
                  <w:tcW w:w="708" w:type="pct"/>
                  <w:vAlign w:val="center"/>
                </w:tcPr>
                <w:p>
                  <w:pPr>
                    <w:adjustRightInd w:val="0"/>
                    <w:snapToGrid w:val="0"/>
                    <w:jc w:val="center"/>
                    <w:rPr>
                      <w:color w:val="auto"/>
                      <w:szCs w:val="21"/>
                    </w:rPr>
                  </w:pPr>
                  <w:r>
                    <w:rPr>
                      <w:color w:val="auto"/>
                      <w:szCs w:val="21"/>
                    </w:rPr>
                    <w:t>mg/m</w:t>
                  </w:r>
                  <w:r>
                    <w:rPr>
                      <w:color w:val="auto"/>
                      <w:szCs w:val="21"/>
                      <w:vertAlign w:val="superscript"/>
                    </w:rPr>
                    <w:t>3</w:t>
                  </w:r>
                </w:p>
              </w:tc>
              <w:tc>
                <w:tcPr>
                  <w:tcW w:w="1415" w:type="pct"/>
                  <w:vAlign w:val="center"/>
                </w:tcPr>
                <w:p>
                  <w:pPr>
                    <w:adjustRightInd w:val="0"/>
                    <w:snapToGrid w:val="0"/>
                    <w:jc w:val="center"/>
                    <w:rPr>
                      <w:color w:val="auto"/>
                      <w:szCs w:val="21"/>
                    </w:rPr>
                  </w:pPr>
                  <w:r>
                    <w:rPr>
                      <w:color w:val="auto"/>
                      <w:spacing w:val="-10"/>
                      <w:szCs w:val="21"/>
                    </w:rPr>
                    <w:t>《大气污染物综合排放标准详解》</w:t>
                  </w:r>
                </w:p>
              </w:tc>
            </w:tr>
          </w:tbl>
          <w:p>
            <w:pPr>
              <w:adjustRightInd w:val="0"/>
              <w:snapToGrid w:val="0"/>
              <w:rPr>
                <w:b/>
                <w:color w:val="auto"/>
                <w:szCs w:val="21"/>
              </w:rPr>
            </w:pPr>
            <w:r>
              <w:rPr>
                <w:b/>
                <w:color w:val="auto"/>
                <w:szCs w:val="21"/>
              </w:rPr>
              <w:t>*注：根据《环境影响评价技术导则 大气环境》（HJ2.2-2018），对8小时平均浓度、24小时平均浓度的，分别按2倍、3倍折算为1小时平均浓度</w:t>
            </w:r>
            <w:r>
              <w:rPr>
                <w:b/>
                <w:snapToGrid w:val="0"/>
                <w:color w:val="auto"/>
                <w:kern w:val="0"/>
                <w:szCs w:val="21"/>
              </w:rPr>
              <w:t>。</w:t>
            </w:r>
          </w:p>
          <w:p>
            <w:pPr>
              <w:adjustRightInd w:val="0"/>
              <w:snapToGrid w:val="0"/>
              <w:spacing w:before="120" w:beforeLines="50" w:line="360" w:lineRule="auto"/>
              <w:rPr>
                <w:b/>
                <w:bCs/>
                <w:color w:val="auto"/>
                <w:sz w:val="24"/>
              </w:rPr>
            </w:pPr>
            <w:r>
              <w:rPr>
                <w:b/>
                <w:bCs/>
                <w:color w:val="auto"/>
                <w:sz w:val="24"/>
              </w:rPr>
              <w:t>2、地表水</w:t>
            </w:r>
          </w:p>
          <w:p>
            <w:pPr>
              <w:spacing w:line="360" w:lineRule="auto"/>
              <w:ind w:firstLine="480" w:firstLineChars="200"/>
              <w:rPr>
                <w:color w:val="auto"/>
                <w:sz w:val="24"/>
              </w:rPr>
            </w:pPr>
            <w:r>
              <w:rPr>
                <w:color w:val="auto"/>
                <w:sz w:val="24"/>
              </w:rPr>
              <w:t>本项目</w:t>
            </w:r>
            <w:r>
              <w:rPr>
                <w:rFonts w:hint="eastAsia"/>
                <w:color w:val="auto"/>
                <w:sz w:val="24"/>
              </w:rPr>
              <w:t>冷却排水与经化粪池预处理后的生活污水接管无锡玉祁永新污水处理有限公司集中处理，尾水排入横港。</w:t>
            </w:r>
            <w:r>
              <w:rPr>
                <w:color w:val="auto"/>
                <w:spacing w:val="6"/>
                <w:sz w:val="24"/>
              </w:rPr>
              <w:t>根据《江苏省地表水（环境）功能区划（2021-2030年）》，</w:t>
            </w:r>
            <w:r>
              <w:rPr>
                <w:color w:val="auto"/>
                <w:sz w:val="24"/>
              </w:rPr>
              <w:t>横港</w:t>
            </w:r>
            <w:r>
              <w:rPr>
                <w:color w:val="auto"/>
                <w:spacing w:val="6"/>
                <w:sz w:val="24"/>
              </w:rPr>
              <w:t>2030年水质目标为</w:t>
            </w:r>
            <w:r>
              <w:rPr>
                <w:rFonts w:hint="eastAsia" w:ascii="宋体" w:hAnsi="宋体" w:cs="宋体"/>
                <w:color w:val="auto"/>
                <w:sz w:val="24"/>
              </w:rPr>
              <w:t>Ⅲ类</w:t>
            </w:r>
            <w:r>
              <w:rPr>
                <w:color w:val="auto"/>
                <w:spacing w:val="6"/>
                <w:sz w:val="24"/>
              </w:rPr>
              <w:t>。</w:t>
            </w:r>
            <w:r>
              <w:rPr>
                <w:color w:val="auto"/>
                <w:sz w:val="24"/>
              </w:rPr>
              <w:t>横港</w:t>
            </w:r>
            <w:r>
              <w:rPr>
                <w:snapToGrid w:val="0"/>
                <w:color w:val="auto"/>
                <w:kern w:val="0"/>
                <w:sz w:val="24"/>
              </w:rPr>
              <w:t>水域环境质量执行《地表水环境质量标准》（GB3838-2002）中的</w:t>
            </w:r>
            <w:r>
              <w:rPr>
                <w:rFonts w:hint="eastAsia" w:ascii="宋体" w:hAnsi="宋体" w:cs="宋体"/>
                <w:color w:val="auto"/>
                <w:sz w:val="24"/>
              </w:rPr>
              <w:t>Ⅲ类</w:t>
            </w:r>
            <w:r>
              <w:rPr>
                <w:snapToGrid w:val="0"/>
                <w:color w:val="auto"/>
                <w:kern w:val="0"/>
                <w:sz w:val="24"/>
              </w:rPr>
              <w:t>水质标准</w:t>
            </w:r>
            <w:r>
              <w:rPr>
                <w:color w:val="auto"/>
                <w:sz w:val="24"/>
              </w:rPr>
              <w:t>，</w:t>
            </w:r>
            <w:r>
              <w:rPr>
                <w:snapToGrid w:val="0"/>
                <w:color w:val="auto"/>
                <w:kern w:val="0"/>
                <w:sz w:val="24"/>
              </w:rPr>
              <w:t>具体数值见表详见表3-8。</w:t>
            </w:r>
          </w:p>
          <w:p>
            <w:pPr>
              <w:jc w:val="center"/>
              <w:rPr>
                <w:b/>
                <w:bCs/>
                <w:color w:val="auto"/>
                <w:sz w:val="24"/>
              </w:rPr>
            </w:pPr>
            <w:r>
              <w:rPr>
                <w:b/>
                <w:bCs/>
                <w:color w:val="auto"/>
                <w:sz w:val="24"/>
              </w:rPr>
              <w:t>表3-8 地表水环境质量标准   单位：mg/L</w:t>
            </w:r>
          </w:p>
          <w:tbl>
            <w:tblPr>
              <w:tblStyle w:val="28"/>
              <w:tblW w:w="82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43"/>
              <w:gridCol w:w="1095"/>
              <w:gridCol w:w="1095"/>
              <w:gridCol w:w="1496"/>
              <w:gridCol w:w="962"/>
              <w:gridCol w:w="962"/>
              <w:gridCol w:w="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43" w:type="dxa"/>
                  <w:tcBorders>
                    <w:top w:val="single" w:color="auto" w:sz="12" w:space="0"/>
                    <w:bottom w:val="single" w:color="auto" w:sz="4" w:space="0"/>
                    <w:right w:val="single" w:color="auto" w:sz="4" w:space="0"/>
                  </w:tcBorders>
                  <w:vAlign w:val="center"/>
                </w:tcPr>
                <w:p>
                  <w:pPr>
                    <w:adjustRightInd w:val="0"/>
                    <w:snapToGrid w:val="0"/>
                    <w:jc w:val="center"/>
                    <w:rPr>
                      <w:color w:val="auto"/>
                      <w:szCs w:val="21"/>
                    </w:rPr>
                  </w:pPr>
                  <w:r>
                    <w:rPr>
                      <w:b/>
                      <w:bCs/>
                      <w:color w:val="auto"/>
                      <w:szCs w:val="21"/>
                    </w:rPr>
                    <w:t>类别</w:t>
                  </w:r>
                </w:p>
              </w:tc>
              <w:tc>
                <w:tcPr>
                  <w:tcW w:w="1095"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
                      <w:bCs/>
                      <w:color w:val="auto"/>
                      <w:szCs w:val="21"/>
                    </w:rPr>
                  </w:pPr>
                  <w:r>
                    <w:rPr>
                      <w:b/>
                      <w:bCs/>
                      <w:color w:val="auto"/>
                      <w:szCs w:val="21"/>
                    </w:rPr>
                    <w:t>pH</w:t>
                  </w:r>
                </w:p>
              </w:tc>
              <w:tc>
                <w:tcPr>
                  <w:tcW w:w="1095"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
                      <w:bCs/>
                      <w:snapToGrid w:val="0"/>
                      <w:color w:val="auto"/>
                      <w:szCs w:val="21"/>
                    </w:rPr>
                  </w:pPr>
                  <w:r>
                    <w:rPr>
                      <w:b/>
                      <w:bCs/>
                      <w:snapToGrid w:val="0"/>
                      <w:color w:val="auto"/>
                      <w:szCs w:val="21"/>
                    </w:rPr>
                    <w:t>COD</w:t>
                  </w:r>
                  <w:r>
                    <w:rPr>
                      <w:b/>
                      <w:bCs/>
                      <w:snapToGrid w:val="0"/>
                      <w:color w:val="auto"/>
                      <w:szCs w:val="21"/>
                      <w:vertAlign w:val="subscript"/>
                    </w:rPr>
                    <w:t>Cr</w:t>
                  </w:r>
                </w:p>
              </w:tc>
              <w:tc>
                <w:tcPr>
                  <w:tcW w:w="1496"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
                      <w:bCs/>
                      <w:snapToGrid w:val="0"/>
                      <w:color w:val="auto"/>
                      <w:szCs w:val="21"/>
                    </w:rPr>
                  </w:pPr>
                  <w:r>
                    <w:rPr>
                      <w:b/>
                      <w:bCs/>
                      <w:snapToGrid w:val="0"/>
                      <w:color w:val="auto"/>
                      <w:szCs w:val="21"/>
                    </w:rPr>
                    <w:t>五日生化需氧量</w:t>
                  </w:r>
                </w:p>
              </w:tc>
              <w:tc>
                <w:tcPr>
                  <w:tcW w:w="96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
                      <w:bCs/>
                      <w:color w:val="auto"/>
                      <w:szCs w:val="21"/>
                    </w:rPr>
                  </w:pPr>
                  <w:r>
                    <w:rPr>
                      <w:b/>
                      <w:bCs/>
                      <w:snapToGrid w:val="0"/>
                      <w:color w:val="auto"/>
                      <w:szCs w:val="21"/>
                    </w:rPr>
                    <w:t>NH</w:t>
                  </w:r>
                  <w:r>
                    <w:rPr>
                      <w:b/>
                      <w:bCs/>
                      <w:snapToGrid w:val="0"/>
                      <w:color w:val="auto"/>
                      <w:szCs w:val="21"/>
                      <w:vertAlign w:val="subscript"/>
                    </w:rPr>
                    <w:t>3</w:t>
                  </w:r>
                  <w:r>
                    <w:rPr>
                      <w:b/>
                      <w:bCs/>
                      <w:snapToGrid w:val="0"/>
                      <w:color w:val="auto"/>
                      <w:szCs w:val="21"/>
                    </w:rPr>
                    <w:t>-N</w:t>
                  </w:r>
                </w:p>
              </w:tc>
              <w:tc>
                <w:tcPr>
                  <w:tcW w:w="96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
                      <w:bCs/>
                      <w:color w:val="auto"/>
                      <w:szCs w:val="21"/>
                    </w:rPr>
                  </w:pPr>
                  <w:r>
                    <w:rPr>
                      <w:b/>
                      <w:bCs/>
                      <w:snapToGrid w:val="0"/>
                      <w:color w:val="auto"/>
                      <w:szCs w:val="21"/>
                    </w:rPr>
                    <w:t>TP</w:t>
                  </w:r>
                </w:p>
              </w:tc>
              <w:tc>
                <w:tcPr>
                  <w:tcW w:w="962" w:type="dxa"/>
                  <w:tcBorders>
                    <w:top w:val="single" w:color="auto" w:sz="12" w:space="0"/>
                    <w:left w:val="single" w:color="auto" w:sz="4" w:space="0"/>
                    <w:bottom w:val="single" w:color="auto" w:sz="4" w:space="0"/>
                  </w:tcBorders>
                  <w:vAlign w:val="center"/>
                </w:tcPr>
                <w:p>
                  <w:pPr>
                    <w:adjustRightInd w:val="0"/>
                    <w:snapToGrid w:val="0"/>
                    <w:jc w:val="center"/>
                    <w:rPr>
                      <w:b/>
                      <w:bCs/>
                      <w:snapToGrid w:val="0"/>
                      <w:color w:val="auto"/>
                      <w:szCs w:val="21"/>
                    </w:rPr>
                  </w:pPr>
                  <w:r>
                    <w:rPr>
                      <w:b/>
                      <w:bCs/>
                      <w:snapToGrid w:val="0"/>
                      <w:color w:val="auto"/>
                      <w:szCs w:val="21"/>
                    </w:rPr>
                    <w:t>DO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43" w:type="dxa"/>
                  <w:tcBorders>
                    <w:top w:val="single" w:color="auto" w:sz="4" w:space="0"/>
                    <w:bottom w:val="single" w:color="auto" w:sz="12" w:space="0"/>
                    <w:right w:val="single" w:color="auto" w:sz="4" w:space="0"/>
                  </w:tcBorders>
                  <w:vAlign w:val="center"/>
                </w:tcPr>
                <w:p>
                  <w:pPr>
                    <w:adjustRightInd w:val="0"/>
                    <w:snapToGrid w:val="0"/>
                    <w:jc w:val="center"/>
                    <w:rPr>
                      <w:color w:val="auto"/>
                      <w:kern w:val="4"/>
                      <w:szCs w:val="21"/>
                    </w:rPr>
                  </w:pPr>
                  <w:r>
                    <w:rPr>
                      <w:rFonts w:hint="eastAsia" w:ascii="宋体" w:hAnsi="宋体" w:cs="宋体"/>
                      <w:bCs/>
                      <w:color w:val="auto"/>
                      <w:szCs w:val="21"/>
                    </w:rPr>
                    <w:t>Ⅲ</w:t>
                  </w:r>
                  <w:r>
                    <w:rPr>
                      <w:rFonts w:hint="eastAsia" w:ascii="宋体" w:hAnsi="宋体" w:cs="宋体"/>
                      <w:color w:val="auto"/>
                      <w:szCs w:val="21"/>
                    </w:rPr>
                    <w:t>类</w:t>
                  </w:r>
                  <w:r>
                    <w:rPr>
                      <w:color w:val="auto"/>
                      <w:spacing w:val="-20"/>
                      <w:szCs w:val="21"/>
                    </w:rPr>
                    <w:t>功能水域标准</w:t>
                  </w:r>
                </w:p>
              </w:tc>
              <w:tc>
                <w:tcPr>
                  <w:tcW w:w="10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szCs w:val="21"/>
                    </w:rPr>
                  </w:pPr>
                  <w:r>
                    <w:rPr>
                      <w:color w:val="auto"/>
                      <w:szCs w:val="21"/>
                    </w:rPr>
                    <w:t>6～9</w:t>
                  </w:r>
                </w:p>
              </w:tc>
              <w:tc>
                <w:tcPr>
                  <w:tcW w:w="10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hint="default" w:eastAsia="宋体"/>
                      <w:color w:val="auto"/>
                      <w:szCs w:val="21"/>
                      <w:lang w:val="en-US" w:eastAsia="zh-CN"/>
                    </w:rPr>
                  </w:pPr>
                  <w:r>
                    <w:rPr>
                      <w:color w:val="auto"/>
                      <w:szCs w:val="21"/>
                    </w:rPr>
                    <w:t>≤</w:t>
                  </w:r>
                  <w:r>
                    <w:rPr>
                      <w:rFonts w:hint="eastAsia"/>
                      <w:color w:val="auto"/>
                      <w:szCs w:val="21"/>
                      <w:lang w:val="en-US" w:eastAsia="zh-CN"/>
                    </w:rPr>
                    <w:t>20</w:t>
                  </w:r>
                </w:p>
              </w:tc>
              <w:tc>
                <w:tcPr>
                  <w:tcW w:w="149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hint="eastAsia" w:eastAsia="宋体"/>
                      <w:color w:val="auto"/>
                      <w:szCs w:val="21"/>
                      <w:lang w:eastAsia="zh-CN"/>
                    </w:rPr>
                  </w:pPr>
                  <w:r>
                    <w:rPr>
                      <w:color w:val="auto"/>
                      <w:szCs w:val="21"/>
                    </w:rPr>
                    <w:t>≤</w:t>
                  </w:r>
                  <w:r>
                    <w:rPr>
                      <w:rFonts w:hint="eastAsia"/>
                      <w:color w:val="auto"/>
                      <w:szCs w:val="21"/>
                      <w:lang w:val="en-US" w:eastAsia="zh-CN"/>
                    </w:rPr>
                    <w:t>4</w:t>
                  </w:r>
                </w:p>
              </w:tc>
              <w:tc>
                <w:tcPr>
                  <w:tcW w:w="96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hint="eastAsia" w:eastAsia="宋体"/>
                      <w:color w:val="auto"/>
                      <w:szCs w:val="21"/>
                      <w:lang w:eastAsia="zh-CN"/>
                    </w:rPr>
                  </w:pPr>
                  <w:r>
                    <w:rPr>
                      <w:color w:val="auto"/>
                      <w:szCs w:val="21"/>
                    </w:rPr>
                    <w:t>≤1.</w:t>
                  </w:r>
                  <w:r>
                    <w:rPr>
                      <w:rFonts w:hint="eastAsia"/>
                      <w:color w:val="auto"/>
                      <w:szCs w:val="21"/>
                      <w:lang w:val="en-US" w:eastAsia="zh-CN"/>
                    </w:rPr>
                    <w:t>0</w:t>
                  </w:r>
                </w:p>
              </w:tc>
              <w:tc>
                <w:tcPr>
                  <w:tcW w:w="962" w:type="dxa"/>
                  <w:tcBorders>
                    <w:top w:val="single" w:color="auto" w:sz="4" w:space="0"/>
                    <w:left w:val="single" w:color="auto" w:sz="4" w:space="0"/>
                    <w:bottom w:val="single" w:color="auto" w:sz="12" w:space="0"/>
                    <w:right w:val="single" w:color="auto" w:sz="4" w:space="0"/>
                  </w:tcBorders>
                  <w:vAlign w:val="center"/>
                </w:tcPr>
                <w:p>
                  <w:pPr>
                    <w:pStyle w:val="110"/>
                    <w:adjustRightInd w:val="0"/>
                    <w:snapToGrid w:val="0"/>
                    <w:rPr>
                      <w:rFonts w:hint="eastAsia" w:eastAsia="宋体"/>
                      <w:color w:val="auto"/>
                      <w:szCs w:val="15"/>
                      <w:lang w:eastAsia="zh-CN"/>
                    </w:rPr>
                  </w:pPr>
                  <w:r>
                    <w:rPr>
                      <w:color w:val="auto"/>
                      <w:szCs w:val="15"/>
                    </w:rPr>
                    <w:t>≤0.</w:t>
                  </w:r>
                  <w:r>
                    <w:rPr>
                      <w:rFonts w:hint="eastAsia"/>
                      <w:color w:val="auto"/>
                      <w:szCs w:val="15"/>
                      <w:lang w:val="en-US" w:eastAsia="zh-CN"/>
                    </w:rPr>
                    <w:t>2</w:t>
                  </w:r>
                </w:p>
              </w:tc>
              <w:tc>
                <w:tcPr>
                  <w:tcW w:w="962" w:type="dxa"/>
                  <w:tcBorders>
                    <w:top w:val="single" w:color="auto" w:sz="4" w:space="0"/>
                    <w:left w:val="single" w:color="auto" w:sz="4" w:space="0"/>
                    <w:bottom w:val="single" w:color="auto" w:sz="12" w:space="0"/>
                  </w:tcBorders>
                  <w:vAlign w:val="center"/>
                </w:tcPr>
                <w:p>
                  <w:pPr>
                    <w:adjustRightInd w:val="0"/>
                    <w:snapToGrid w:val="0"/>
                    <w:jc w:val="center"/>
                    <w:rPr>
                      <w:rFonts w:hint="eastAsia" w:eastAsia="宋体"/>
                      <w:color w:val="auto"/>
                      <w:szCs w:val="21"/>
                      <w:lang w:eastAsia="zh-CN"/>
                    </w:rPr>
                  </w:pPr>
                  <w:r>
                    <w:rPr>
                      <w:color w:val="auto"/>
                      <w:szCs w:val="21"/>
                    </w:rPr>
                    <w:t>≥</w:t>
                  </w:r>
                  <w:r>
                    <w:rPr>
                      <w:rFonts w:hint="eastAsia"/>
                      <w:color w:val="auto"/>
                      <w:szCs w:val="21"/>
                      <w:lang w:val="en-US" w:eastAsia="zh-CN"/>
                    </w:rPr>
                    <w:t>5</w:t>
                  </w:r>
                </w:p>
              </w:tc>
            </w:tr>
          </w:tbl>
          <w:p>
            <w:pPr>
              <w:adjustRightInd w:val="0"/>
              <w:snapToGrid w:val="0"/>
              <w:spacing w:before="120" w:beforeLines="50" w:line="360" w:lineRule="auto"/>
              <w:rPr>
                <w:b/>
                <w:bCs/>
                <w:color w:val="auto"/>
                <w:sz w:val="24"/>
              </w:rPr>
            </w:pPr>
            <w:r>
              <w:rPr>
                <w:b/>
                <w:bCs/>
                <w:color w:val="auto"/>
                <w:sz w:val="24"/>
              </w:rPr>
              <w:t>3、声环境</w:t>
            </w:r>
          </w:p>
          <w:p>
            <w:pPr>
              <w:adjustRightInd w:val="0"/>
              <w:snapToGrid w:val="0"/>
              <w:spacing w:line="360" w:lineRule="auto"/>
              <w:ind w:firstLine="480" w:firstLineChars="200"/>
              <w:rPr>
                <w:b/>
                <w:color w:val="auto"/>
                <w:sz w:val="24"/>
                <w:szCs w:val="22"/>
              </w:rPr>
            </w:pPr>
            <w:r>
              <w:rPr>
                <w:color w:val="auto"/>
                <w:sz w:val="24"/>
                <w:szCs w:val="30"/>
              </w:rPr>
              <w:t>根据《市政府办公室关于印发无锡市区声环境功能区划分调整方案的通知》（锡政办发[2018]157号）</w:t>
            </w:r>
            <w:r>
              <w:rPr>
                <w:color w:val="auto"/>
                <w:sz w:val="24"/>
              </w:rPr>
              <w:t>，</w:t>
            </w:r>
            <w:r>
              <w:rPr>
                <w:color w:val="auto"/>
                <w:sz w:val="24"/>
                <w:lang w:val="zh-CN"/>
              </w:rPr>
              <w:t>该区域为3类声功能区，故项目所在地环境噪声</w:t>
            </w:r>
            <w:r>
              <w:rPr>
                <w:bCs/>
                <w:snapToGrid w:val="0"/>
                <w:color w:val="auto"/>
                <w:kern w:val="0"/>
                <w:sz w:val="24"/>
              </w:rPr>
              <w:t>执行《声环境质量标准》</w:t>
            </w:r>
            <w:r>
              <w:rPr>
                <w:rFonts w:hint="eastAsia"/>
                <w:bCs/>
                <w:snapToGrid w:val="0"/>
                <w:color w:val="auto"/>
                <w:kern w:val="0"/>
                <w:sz w:val="24"/>
              </w:rPr>
              <w:t>（</w:t>
            </w:r>
            <w:r>
              <w:rPr>
                <w:bCs/>
                <w:snapToGrid w:val="0"/>
                <w:color w:val="auto"/>
                <w:kern w:val="0"/>
                <w:sz w:val="24"/>
              </w:rPr>
              <w:t>GB 3096-2008</w:t>
            </w:r>
            <w:r>
              <w:rPr>
                <w:rFonts w:hint="eastAsia"/>
                <w:bCs/>
                <w:snapToGrid w:val="0"/>
                <w:color w:val="auto"/>
                <w:kern w:val="0"/>
                <w:sz w:val="24"/>
              </w:rPr>
              <w:t>）</w:t>
            </w:r>
            <w:r>
              <w:rPr>
                <w:bCs/>
                <w:snapToGrid w:val="0"/>
                <w:color w:val="auto"/>
                <w:kern w:val="0"/>
                <w:sz w:val="24"/>
              </w:rPr>
              <w:t>3类声环境功能区环境噪声限值，详见表3-9。</w:t>
            </w:r>
          </w:p>
          <w:p>
            <w:pPr>
              <w:jc w:val="center"/>
              <w:rPr>
                <w:b/>
                <w:color w:val="auto"/>
                <w:sz w:val="24"/>
                <w:szCs w:val="22"/>
              </w:rPr>
            </w:pPr>
            <w:r>
              <w:rPr>
                <w:b/>
                <w:color w:val="auto"/>
                <w:sz w:val="24"/>
                <w:szCs w:val="22"/>
              </w:rPr>
              <w:t>表3-9  环境噪声限值    单位：dB(A)</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6"/>
              <w:gridCol w:w="2469"/>
              <w:gridCol w:w="2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pct"/>
                  <w:vAlign w:val="center"/>
                </w:tcPr>
                <w:p>
                  <w:pPr>
                    <w:jc w:val="center"/>
                    <w:rPr>
                      <w:b/>
                      <w:color w:val="auto"/>
                    </w:rPr>
                  </w:pPr>
                  <w:r>
                    <w:rPr>
                      <w:b/>
                      <w:color w:val="auto"/>
                    </w:rPr>
                    <w:t>声环境功能区类别</w:t>
                  </w:r>
                </w:p>
              </w:tc>
              <w:tc>
                <w:tcPr>
                  <w:tcW w:w="1493" w:type="pct"/>
                  <w:vAlign w:val="center"/>
                </w:tcPr>
                <w:p>
                  <w:pPr>
                    <w:jc w:val="center"/>
                    <w:rPr>
                      <w:b/>
                      <w:color w:val="auto"/>
                    </w:rPr>
                  </w:pPr>
                  <w:r>
                    <w:rPr>
                      <w:b/>
                      <w:color w:val="auto"/>
                    </w:rPr>
                    <w:t>昼间</w:t>
                  </w:r>
                </w:p>
              </w:tc>
              <w:tc>
                <w:tcPr>
                  <w:tcW w:w="1675" w:type="pct"/>
                  <w:vAlign w:val="center"/>
                </w:tcPr>
                <w:p>
                  <w:pPr>
                    <w:jc w:val="center"/>
                    <w:rPr>
                      <w:b/>
                      <w:color w:val="auto"/>
                    </w:rPr>
                  </w:pPr>
                  <w:r>
                    <w:rPr>
                      <w:b/>
                      <w:color w:val="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pct"/>
                  <w:vAlign w:val="center"/>
                </w:tcPr>
                <w:p>
                  <w:pPr>
                    <w:jc w:val="center"/>
                    <w:rPr>
                      <w:color w:val="auto"/>
                    </w:rPr>
                  </w:pPr>
                  <w:r>
                    <w:rPr>
                      <w:color w:val="auto"/>
                    </w:rPr>
                    <w:t>3类功能区</w:t>
                  </w:r>
                </w:p>
              </w:tc>
              <w:tc>
                <w:tcPr>
                  <w:tcW w:w="1493" w:type="pct"/>
                  <w:vAlign w:val="center"/>
                </w:tcPr>
                <w:p>
                  <w:pPr>
                    <w:jc w:val="center"/>
                    <w:rPr>
                      <w:color w:val="auto"/>
                    </w:rPr>
                  </w:pPr>
                  <w:r>
                    <w:rPr>
                      <w:color w:val="auto"/>
                    </w:rPr>
                    <w:t>65</w:t>
                  </w:r>
                </w:p>
              </w:tc>
              <w:tc>
                <w:tcPr>
                  <w:tcW w:w="1675" w:type="pct"/>
                  <w:vAlign w:val="center"/>
                </w:tcPr>
                <w:p>
                  <w:pPr>
                    <w:jc w:val="center"/>
                    <w:rPr>
                      <w:color w:val="auto"/>
                    </w:rPr>
                  </w:pPr>
                  <w:r>
                    <w:rPr>
                      <w:color w:val="auto"/>
                    </w:rPr>
                    <w:t>55</w:t>
                  </w:r>
                </w:p>
              </w:tc>
            </w:tr>
          </w:tbl>
          <w:p>
            <w:pPr>
              <w:tabs>
                <w:tab w:val="left" w:pos="5142"/>
              </w:tabs>
              <w:adjustRightInd w:val="0"/>
              <w:snapToGrid w:val="0"/>
              <w:spacing w:before="120" w:beforeLines="50" w:line="360" w:lineRule="auto"/>
              <w:rPr>
                <w:b/>
                <w:snapToGrid w:val="0"/>
                <w:color w:val="auto"/>
                <w:kern w:val="0"/>
                <w:sz w:val="24"/>
              </w:rPr>
            </w:pPr>
            <w:r>
              <w:rPr>
                <w:b/>
                <w:bCs/>
                <w:color w:val="auto"/>
                <w:sz w:val="24"/>
              </w:rPr>
              <w:t>二、污染物排放标准</w:t>
            </w:r>
          </w:p>
          <w:p>
            <w:pPr>
              <w:tabs>
                <w:tab w:val="left" w:pos="5142"/>
              </w:tabs>
              <w:adjustRightInd w:val="0"/>
              <w:snapToGrid w:val="0"/>
              <w:spacing w:line="360" w:lineRule="auto"/>
              <w:rPr>
                <w:b/>
                <w:snapToGrid w:val="0"/>
                <w:color w:val="auto"/>
                <w:kern w:val="0"/>
                <w:sz w:val="24"/>
              </w:rPr>
            </w:pPr>
            <w:r>
              <w:rPr>
                <w:b/>
                <w:snapToGrid w:val="0"/>
                <w:color w:val="auto"/>
                <w:kern w:val="0"/>
                <w:sz w:val="24"/>
              </w:rPr>
              <w:t>1、大气污染物排放标准</w:t>
            </w:r>
          </w:p>
          <w:p>
            <w:pPr>
              <w:tabs>
                <w:tab w:val="left" w:pos="5142"/>
              </w:tabs>
              <w:adjustRightInd w:val="0"/>
              <w:snapToGrid w:val="0"/>
              <w:spacing w:line="360" w:lineRule="auto"/>
              <w:ind w:firstLine="482"/>
              <w:rPr>
                <w:color w:val="auto"/>
                <w:sz w:val="24"/>
              </w:rPr>
            </w:pPr>
            <w:r>
              <w:rPr>
                <w:rFonts w:hint="eastAsia"/>
                <w:bCs/>
                <w:color w:val="auto"/>
                <w:sz w:val="24"/>
                <w:lang w:val="en-US" w:eastAsia="zh-CN"/>
              </w:rPr>
              <w:t>本项目使用的浸胶纸，不属于胶粘剂，但考虑到</w:t>
            </w:r>
            <w:r>
              <w:rPr>
                <w:rFonts w:hint="eastAsia"/>
                <w:color w:val="auto"/>
                <w:sz w:val="24"/>
              </w:rPr>
              <w:t>浸胶纸中</w:t>
            </w:r>
            <w:r>
              <w:rPr>
                <w:color w:val="auto"/>
                <w:sz w:val="24"/>
              </w:rPr>
              <w:t>含三聚氰胺树脂胶，</w:t>
            </w:r>
            <w:r>
              <w:rPr>
                <w:rFonts w:hint="eastAsia"/>
                <w:color w:val="auto"/>
                <w:sz w:val="24"/>
                <w:lang w:val="en-US" w:eastAsia="zh-CN"/>
              </w:rPr>
              <w:t>因此本项目排放的非甲烷总烃和甲醛执行</w:t>
            </w:r>
            <w:r>
              <w:rPr>
                <w:color w:val="auto"/>
                <w:sz w:val="24"/>
              </w:rPr>
              <w:t>江苏省地方标准《</w:t>
            </w:r>
            <w:r>
              <w:rPr>
                <w:rFonts w:hint="eastAsia"/>
                <w:color w:val="auto"/>
                <w:sz w:val="24"/>
              </w:rPr>
              <w:t>木材加工</w:t>
            </w:r>
            <w:r>
              <w:rPr>
                <w:color w:val="auto"/>
                <w:sz w:val="24"/>
              </w:rPr>
              <w:t>行业大气污染物排放标准》（DB32/4436-2022）</w:t>
            </w:r>
            <w:r>
              <w:rPr>
                <w:rFonts w:hint="eastAsia"/>
                <w:color w:val="auto"/>
                <w:sz w:val="24"/>
                <w:lang w:eastAsia="zh-CN"/>
              </w:rPr>
              <w:t>中表</w:t>
            </w:r>
            <w:r>
              <w:rPr>
                <w:rFonts w:hint="eastAsia"/>
                <w:color w:val="auto"/>
                <w:sz w:val="24"/>
                <w:lang w:val="en-US" w:eastAsia="zh-CN"/>
              </w:rPr>
              <w:t>1、表3</w:t>
            </w:r>
            <w:r>
              <w:rPr>
                <w:rFonts w:hint="eastAsia"/>
                <w:color w:val="auto"/>
                <w:sz w:val="24"/>
              </w:rPr>
              <w:t>及表4</w:t>
            </w:r>
            <w:r>
              <w:rPr>
                <w:rFonts w:hint="eastAsia"/>
                <w:color w:val="auto"/>
                <w:sz w:val="24"/>
                <w:lang w:val="en-US" w:eastAsia="zh-CN"/>
              </w:rPr>
              <w:t>标准</w:t>
            </w:r>
            <w:r>
              <w:rPr>
                <w:rFonts w:hint="eastAsia"/>
                <w:color w:val="auto"/>
                <w:sz w:val="24"/>
              </w:rPr>
              <w:t>；</w:t>
            </w:r>
            <w:r>
              <w:rPr>
                <w:bCs/>
                <w:color w:val="auto"/>
                <w:sz w:val="24"/>
              </w:rPr>
              <w:t>颗粒物、二氧化硫、氮氧化物执行</w:t>
            </w:r>
            <w:r>
              <w:rPr>
                <w:color w:val="auto"/>
                <w:sz w:val="24"/>
              </w:rPr>
              <w:t>江苏省地方标准《</w:t>
            </w:r>
            <w:r>
              <w:rPr>
                <w:rFonts w:hint="eastAsia"/>
                <w:color w:val="auto"/>
                <w:sz w:val="24"/>
              </w:rPr>
              <w:t>锅炉大气污染物排放标准</w:t>
            </w:r>
            <w:r>
              <w:rPr>
                <w:color w:val="auto"/>
                <w:sz w:val="24"/>
              </w:rPr>
              <w:t>》（DB32/4385-2022）</w:t>
            </w:r>
            <w:r>
              <w:rPr>
                <w:rFonts w:hint="eastAsia"/>
                <w:color w:val="auto"/>
                <w:sz w:val="24"/>
              </w:rPr>
              <w:t>表1燃气锅炉</w:t>
            </w:r>
            <w:r>
              <w:rPr>
                <w:color w:val="auto"/>
                <w:sz w:val="24"/>
              </w:rPr>
              <w:t>标准</w:t>
            </w:r>
            <w:r>
              <w:rPr>
                <w:rFonts w:hint="eastAsia"/>
                <w:color w:val="auto"/>
                <w:sz w:val="24"/>
              </w:rPr>
              <w:t>及表5标准。</w:t>
            </w:r>
            <w:r>
              <w:rPr>
                <w:bCs/>
                <w:color w:val="auto"/>
                <w:sz w:val="24"/>
              </w:rPr>
              <w:t>具体</w:t>
            </w:r>
            <w:r>
              <w:rPr>
                <w:color w:val="auto"/>
                <w:sz w:val="24"/>
              </w:rPr>
              <w:t>废气排放标准见表3-10~表3-11。</w:t>
            </w:r>
          </w:p>
          <w:p>
            <w:pPr>
              <w:pStyle w:val="7"/>
              <w:snapToGrid w:val="0"/>
              <w:ind w:firstLine="0" w:firstLineChars="0"/>
              <w:jc w:val="center"/>
              <w:rPr>
                <w:b/>
                <w:color w:val="auto"/>
                <w:sz w:val="24"/>
                <w:szCs w:val="24"/>
              </w:rPr>
            </w:pPr>
          </w:p>
          <w:p>
            <w:pPr>
              <w:pStyle w:val="7"/>
              <w:snapToGrid w:val="0"/>
              <w:ind w:firstLine="0" w:firstLineChars="0"/>
              <w:jc w:val="center"/>
              <w:rPr>
                <w:b/>
                <w:color w:val="auto"/>
                <w:sz w:val="24"/>
                <w:szCs w:val="24"/>
              </w:rPr>
            </w:pPr>
          </w:p>
          <w:p>
            <w:pPr>
              <w:pStyle w:val="7"/>
              <w:snapToGrid w:val="0"/>
              <w:ind w:firstLine="0" w:firstLineChars="0"/>
              <w:jc w:val="center"/>
              <w:rPr>
                <w:b/>
                <w:color w:val="auto"/>
                <w:sz w:val="24"/>
                <w:szCs w:val="24"/>
              </w:rPr>
            </w:pPr>
          </w:p>
          <w:p>
            <w:pPr>
              <w:pStyle w:val="7"/>
              <w:snapToGrid w:val="0"/>
              <w:ind w:firstLine="0" w:firstLineChars="0"/>
              <w:jc w:val="center"/>
              <w:rPr>
                <w:b/>
                <w:color w:val="auto"/>
                <w:sz w:val="24"/>
                <w:szCs w:val="24"/>
              </w:rPr>
            </w:pPr>
          </w:p>
          <w:p>
            <w:pPr>
              <w:pStyle w:val="7"/>
              <w:snapToGrid w:val="0"/>
              <w:ind w:firstLine="0" w:firstLineChars="0"/>
              <w:jc w:val="center"/>
              <w:rPr>
                <w:b/>
                <w:color w:val="auto"/>
                <w:sz w:val="24"/>
                <w:szCs w:val="24"/>
              </w:rPr>
            </w:pPr>
          </w:p>
          <w:p>
            <w:pPr>
              <w:pStyle w:val="7"/>
              <w:snapToGrid w:val="0"/>
              <w:ind w:firstLine="0" w:firstLineChars="0"/>
              <w:jc w:val="center"/>
              <w:rPr>
                <w:b/>
                <w:color w:val="auto"/>
                <w:sz w:val="24"/>
                <w:szCs w:val="24"/>
              </w:rPr>
            </w:pPr>
            <w:r>
              <w:rPr>
                <w:b/>
                <w:color w:val="auto"/>
                <w:sz w:val="24"/>
                <w:szCs w:val="24"/>
              </w:rPr>
              <w:t>表3-10  废气排放标准限值</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19"/>
              <w:gridCol w:w="1299"/>
              <w:gridCol w:w="1743"/>
              <w:gridCol w:w="1129"/>
              <w:gridCol w:w="596"/>
              <w:gridCol w:w="258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55" w:type="pct"/>
                  <w:vAlign w:val="center"/>
                </w:tcPr>
                <w:p>
                  <w:pPr>
                    <w:snapToGrid w:val="0"/>
                    <w:jc w:val="center"/>
                    <w:rPr>
                      <w:b/>
                      <w:bCs/>
                      <w:color w:val="auto"/>
                      <w:szCs w:val="21"/>
                    </w:rPr>
                  </w:pPr>
                  <w:r>
                    <w:rPr>
                      <w:b/>
                      <w:bCs/>
                      <w:color w:val="auto"/>
                      <w:szCs w:val="21"/>
                    </w:rPr>
                    <w:t>产污</w:t>
                  </w:r>
                </w:p>
                <w:p>
                  <w:pPr>
                    <w:snapToGrid w:val="0"/>
                    <w:jc w:val="center"/>
                    <w:rPr>
                      <w:b/>
                      <w:bCs/>
                      <w:color w:val="auto"/>
                      <w:szCs w:val="21"/>
                    </w:rPr>
                  </w:pPr>
                  <w:r>
                    <w:rPr>
                      <w:b/>
                      <w:bCs/>
                      <w:color w:val="auto"/>
                      <w:szCs w:val="21"/>
                    </w:rPr>
                    <w:t>工段</w:t>
                  </w:r>
                </w:p>
              </w:tc>
              <w:tc>
                <w:tcPr>
                  <w:tcW w:w="785" w:type="pct"/>
                  <w:vAlign w:val="center"/>
                </w:tcPr>
                <w:p>
                  <w:pPr>
                    <w:snapToGrid w:val="0"/>
                    <w:jc w:val="center"/>
                    <w:rPr>
                      <w:b/>
                      <w:bCs/>
                      <w:color w:val="auto"/>
                      <w:szCs w:val="21"/>
                    </w:rPr>
                  </w:pPr>
                  <w:r>
                    <w:rPr>
                      <w:b/>
                      <w:bCs/>
                      <w:color w:val="auto"/>
                      <w:szCs w:val="21"/>
                    </w:rPr>
                    <w:t>污染物名称</w:t>
                  </w:r>
                </w:p>
              </w:tc>
              <w:tc>
                <w:tcPr>
                  <w:tcW w:w="1054" w:type="pct"/>
                  <w:vAlign w:val="center"/>
                </w:tcPr>
                <w:p>
                  <w:pPr>
                    <w:snapToGrid w:val="0"/>
                    <w:jc w:val="center"/>
                    <w:rPr>
                      <w:b/>
                      <w:bCs/>
                      <w:color w:val="auto"/>
                      <w:szCs w:val="21"/>
                    </w:rPr>
                  </w:pPr>
                  <w:r>
                    <w:rPr>
                      <w:b/>
                      <w:bCs/>
                      <w:color w:val="auto"/>
                      <w:szCs w:val="21"/>
                    </w:rPr>
                    <w:t>有组织排放限值(mg/m</w:t>
                  </w:r>
                  <w:r>
                    <w:rPr>
                      <w:b/>
                      <w:bCs/>
                      <w:color w:val="auto"/>
                      <w:szCs w:val="21"/>
                      <w:vertAlign w:val="superscript"/>
                    </w:rPr>
                    <w:t>3</w:t>
                  </w:r>
                  <w:r>
                    <w:rPr>
                      <w:b/>
                      <w:bCs/>
                      <w:color w:val="auto"/>
                      <w:szCs w:val="21"/>
                    </w:rPr>
                    <w:t>)</w:t>
                  </w:r>
                </w:p>
              </w:tc>
              <w:tc>
                <w:tcPr>
                  <w:tcW w:w="1043" w:type="pct"/>
                  <w:gridSpan w:val="2"/>
                  <w:vAlign w:val="center"/>
                </w:tcPr>
                <w:p>
                  <w:pPr>
                    <w:snapToGrid w:val="0"/>
                    <w:jc w:val="center"/>
                    <w:rPr>
                      <w:b/>
                      <w:bCs/>
                      <w:color w:val="auto"/>
                      <w:szCs w:val="21"/>
                    </w:rPr>
                  </w:pPr>
                  <w:r>
                    <w:rPr>
                      <w:b/>
                      <w:bCs/>
                      <w:color w:val="auto"/>
                      <w:szCs w:val="21"/>
                    </w:rPr>
                    <w:t>无组织排放监控浓度限值(mg/m</w:t>
                  </w:r>
                  <w:r>
                    <w:rPr>
                      <w:b/>
                      <w:bCs/>
                      <w:color w:val="auto"/>
                      <w:szCs w:val="21"/>
                      <w:vertAlign w:val="superscript"/>
                    </w:rPr>
                    <w:t>3</w:t>
                  </w:r>
                  <w:r>
                    <w:rPr>
                      <w:b/>
                      <w:bCs/>
                      <w:color w:val="auto"/>
                      <w:szCs w:val="21"/>
                    </w:rPr>
                    <w:t>)</w:t>
                  </w:r>
                </w:p>
              </w:tc>
              <w:tc>
                <w:tcPr>
                  <w:tcW w:w="1561" w:type="pct"/>
                  <w:vAlign w:val="center"/>
                </w:tcPr>
                <w:p>
                  <w:pPr>
                    <w:snapToGrid w:val="0"/>
                    <w:jc w:val="center"/>
                    <w:rPr>
                      <w:b/>
                      <w:bCs/>
                      <w:color w:val="auto"/>
                      <w:szCs w:val="21"/>
                    </w:rPr>
                  </w:pPr>
                  <w:r>
                    <w:rPr>
                      <w:b/>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52" w:hRule="atLeast"/>
                <w:jc w:val="center"/>
              </w:trPr>
              <w:tc>
                <w:tcPr>
                  <w:tcW w:w="555" w:type="pct"/>
                  <w:vMerge w:val="restart"/>
                  <w:vAlign w:val="center"/>
                </w:tcPr>
                <w:p>
                  <w:pPr>
                    <w:snapToGrid w:val="0"/>
                    <w:jc w:val="center"/>
                    <w:rPr>
                      <w:color w:val="auto"/>
                      <w:szCs w:val="21"/>
                    </w:rPr>
                  </w:pPr>
                  <w:r>
                    <w:rPr>
                      <w:rFonts w:hint="eastAsia"/>
                      <w:color w:val="auto"/>
                      <w:szCs w:val="21"/>
                    </w:rPr>
                    <w:t>热压贴面</w:t>
                  </w:r>
                </w:p>
              </w:tc>
              <w:tc>
                <w:tcPr>
                  <w:tcW w:w="785" w:type="pct"/>
                  <w:vAlign w:val="center"/>
                </w:tcPr>
                <w:p>
                  <w:pPr>
                    <w:snapToGrid w:val="0"/>
                    <w:jc w:val="center"/>
                    <w:rPr>
                      <w:color w:val="auto"/>
                      <w:szCs w:val="21"/>
                    </w:rPr>
                  </w:pPr>
                  <w:r>
                    <w:rPr>
                      <w:color w:val="auto"/>
                      <w:szCs w:val="21"/>
                    </w:rPr>
                    <w:t>非甲烷总烃</w:t>
                  </w:r>
                </w:p>
              </w:tc>
              <w:tc>
                <w:tcPr>
                  <w:tcW w:w="1054" w:type="pct"/>
                  <w:vAlign w:val="center"/>
                </w:tcPr>
                <w:p>
                  <w:pPr>
                    <w:snapToGrid w:val="0"/>
                    <w:jc w:val="center"/>
                    <w:rPr>
                      <w:color w:val="auto"/>
                      <w:szCs w:val="21"/>
                    </w:rPr>
                  </w:pPr>
                  <w:r>
                    <w:rPr>
                      <w:color w:val="auto"/>
                      <w:szCs w:val="21"/>
                    </w:rPr>
                    <w:t>40</w:t>
                  </w:r>
                </w:p>
              </w:tc>
              <w:tc>
                <w:tcPr>
                  <w:tcW w:w="682" w:type="pct"/>
                  <w:vMerge w:val="restart"/>
                  <w:vAlign w:val="center"/>
                </w:tcPr>
                <w:p>
                  <w:pPr>
                    <w:snapToGrid w:val="0"/>
                    <w:jc w:val="center"/>
                    <w:rPr>
                      <w:color w:val="auto"/>
                      <w:szCs w:val="21"/>
                    </w:rPr>
                  </w:pPr>
                  <w:r>
                    <w:rPr>
                      <w:rFonts w:hint="eastAsia"/>
                      <w:color w:val="auto"/>
                      <w:szCs w:val="21"/>
                    </w:rPr>
                    <w:t>在</w:t>
                  </w:r>
                  <w:r>
                    <w:rPr>
                      <w:color w:val="auto"/>
                      <w:szCs w:val="21"/>
                    </w:rPr>
                    <w:t>企业边界设置监控点</w:t>
                  </w:r>
                </w:p>
              </w:tc>
              <w:tc>
                <w:tcPr>
                  <w:tcW w:w="360" w:type="pct"/>
                  <w:vAlign w:val="center"/>
                </w:tcPr>
                <w:p>
                  <w:pPr>
                    <w:snapToGrid w:val="0"/>
                    <w:jc w:val="center"/>
                    <w:rPr>
                      <w:color w:val="auto"/>
                      <w:szCs w:val="21"/>
                    </w:rPr>
                  </w:pPr>
                  <w:r>
                    <w:rPr>
                      <w:color w:val="auto"/>
                      <w:szCs w:val="21"/>
                    </w:rPr>
                    <w:t>4</w:t>
                  </w:r>
                </w:p>
              </w:tc>
              <w:tc>
                <w:tcPr>
                  <w:tcW w:w="1561" w:type="pct"/>
                  <w:vMerge w:val="restart"/>
                  <w:vAlign w:val="center"/>
                </w:tcPr>
                <w:p>
                  <w:pPr>
                    <w:snapToGrid w:val="0"/>
                    <w:jc w:val="center"/>
                    <w:rPr>
                      <w:color w:val="auto"/>
                      <w:szCs w:val="21"/>
                    </w:rPr>
                  </w:pPr>
                  <w:r>
                    <w:rPr>
                      <w:color w:val="auto"/>
                    </w:rPr>
                    <w:t>江苏省地方标准</w:t>
                  </w:r>
                  <w:r>
                    <w:rPr>
                      <w:rFonts w:hint="eastAsia"/>
                      <w:color w:val="auto"/>
                    </w:rPr>
                    <w:t>《木材加工行业大气污染物排放标准》（DB32/4436-2022）中表1及表4标准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55" w:type="pct"/>
                  <w:vMerge w:val="continue"/>
                  <w:vAlign w:val="center"/>
                </w:tcPr>
                <w:p>
                  <w:pPr>
                    <w:snapToGrid w:val="0"/>
                    <w:jc w:val="center"/>
                    <w:rPr>
                      <w:color w:val="auto"/>
                      <w:szCs w:val="21"/>
                    </w:rPr>
                  </w:pPr>
                </w:p>
              </w:tc>
              <w:tc>
                <w:tcPr>
                  <w:tcW w:w="785" w:type="pct"/>
                  <w:vAlign w:val="center"/>
                </w:tcPr>
                <w:p>
                  <w:pPr>
                    <w:snapToGrid w:val="0"/>
                    <w:jc w:val="center"/>
                    <w:rPr>
                      <w:color w:val="auto"/>
                      <w:szCs w:val="21"/>
                    </w:rPr>
                  </w:pPr>
                  <w:r>
                    <w:rPr>
                      <w:rFonts w:hint="eastAsia"/>
                      <w:color w:val="auto"/>
                      <w:szCs w:val="21"/>
                    </w:rPr>
                    <w:t>甲醛</w:t>
                  </w:r>
                </w:p>
              </w:tc>
              <w:tc>
                <w:tcPr>
                  <w:tcW w:w="1054" w:type="pct"/>
                  <w:vAlign w:val="center"/>
                </w:tcPr>
                <w:p>
                  <w:pPr>
                    <w:snapToGrid w:val="0"/>
                    <w:jc w:val="center"/>
                    <w:rPr>
                      <w:color w:val="auto"/>
                      <w:szCs w:val="21"/>
                    </w:rPr>
                  </w:pPr>
                  <w:r>
                    <w:rPr>
                      <w:color w:val="auto"/>
                      <w:szCs w:val="21"/>
                    </w:rPr>
                    <w:t>4</w:t>
                  </w:r>
                </w:p>
              </w:tc>
              <w:tc>
                <w:tcPr>
                  <w:tcW w:w="682" w:type="pct"/>
                  <w:vMerge w:val="continue"/>
                  <w:vAlign w:val="center"/>
                </w:tcPr>
                <w:p>
                  <w:pPr>
                    <w:snapToGrid w:val="0"/>
                    <w:jc w:val="center"/>
                    <w:rPr>
                      <w:color w:val="auto"/>
                    </w:rPr>
                  </w:pPr>
                </w:p>
              </w:tc>
              <w:tc>
                <w:tcPr>
                  <w:tcW w:w="360" w:type="pct"/>
                  <w:vAlign w:val="center"/>
                </w:tcPr>
                <w:p>
                  <w:pPr>
                    <w:snapToGrid w:val="0"/>
                    <w:jc w:val="center"/>
                    <w:rPr>
                      <w:color w:val="auto"/>
                      <w:szCs w:val="21"/>
                    </w:rPr>
                  </w:pPr>
                  <w:r>
                    <w:rPr>
                      <w:rFonts w:hint="eastAsia"/>
                      <w:color w:val="auto"/>
                      <w:szCs w:val="21"/>
                    </w:rPr>
                    <w:t>0.05</w:t>
                  </w:r>
                </w:p>
              </w:tc>
              <w:tc>
                <w:tcPr>
                  <w:tcW w:w="1561" w:type="pct"/>
                  <w:vMerge w:val="continue"/>
                  <w:vAlign w:val="center"/>
                </w:tcPr>
                <w:p>
                  <w:pPr>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55" w:type="pct"/>
                  <w:vMerge w:val="restart"/>
                  <w:vAlign w:val="center"/>
                </w:tcPr>
                <w:p>
                  <w:pPr>
                    <w:snapToGrid w:val="0"/>
                    <w:jc w:val="center"/>
                    <w:rPr>
                      <w:color w:val="auto"/>
                      <w:szCs w:val="21"/>
                    </w:rPr>
                  </w:pPr>
                  <w:r>
                    <w:rPr>
                      <w:color w:val="auto"/>
                      <w:szCs w:val="21"/>
                    </w:rPr>
                    <w:t>天然气燃烧</w:t>
                  </w:r>
                </w:p>
              </w:tc>
              <w:tc>
                <w:tcPr>
                  <w:tcW w:w="785" w:type="pct"/>
                  <w:vAlign w:val="center"/>
                </w:tcPr>
                <w:p>
                  <w:pPr>
                    <w:snapToGrid w:val="0"/>
                    <w:jc w:val="center"/>
                    <w:rPr>
                      <w:color w:val="auto"/>
                      <w:szCs w:val="21"/>
                    </w:rPr>
                  </w:pPr>
                  <w:r>
                    <w:rPr>
                      <w:color w:val="auto"/>
                      <w:szCs w:val="21"/>
                    </w:rPr>
                    <w:t>颗粒物</w:t>
                  </w:r>
                </w:p>
              </w:tc>
              <w:tc>
                <w:tcPr>
                  <w:tcW w:w="1054" w:type="pct"/>
                  <w:vAlign w:val="center"/>
                </w:tcPr>
                <w:p>
                  <w:pPr>
                    <w:snapToGrid w:val="0"/>
                    <w:jc w:val="center"/>
                    <w:rPr>
                      <w:color w:val="auto"/>
                      <w:szCs w:val="21"/>
                    </w:rPr>
                  </w:pPr>
                  <w:r>
                    <w:rPr>
                      <w:color w:val="auto"/>
                      <w:szCs w:val="21"/>
                    </w:rPr>
                    <w:t>10</w:t>
                  </w:r>
                </w:p>
              </w:tc>
              <w:tc>
                <w:tcPr>
                  <w:tcW w:w="1043" w:type="pct"/>
                  <w:gridSpan w:val="2"/>
                  <w:vMerge w:val="restart"/>
                  <w:vAlign w:val="center"/>
                </w:tcPr>
                <w:p>
                  <w:pPr>
                    <w:snapToGrid w:val="0"/>
                    <w:jc w:val="center"/>
                    <w:rPr>
                      <w:color w:val="auto"/>
                      <w:szCs w:val="21"/>
                    </w:rPr>
                  </w:pPr>
                  <w:r>
                    <w:rPr>
                      <w:rFonts w:hint="eastAsia"/>
                      <w:color w:val="auto"/>
                    </w:rPr>
                    <w:t>/</w:t>
                  </w:r>
                </w:p>
              </w:tc>
              <w:tc>
                <w:tcPr>
                  <w:tcW w:w="1561" w:type="pct"/>
                  <w:vMerge w:val="restart"/>
                  <w:vAlign w:val="center"/>
                </w:tcPr>
                <w:p>
                  <w:pPr>
                    <w:snapToGrid w:val="0"/>
                    <w:jc w:val="center"/>
                    <w:rPr>
                      <w:rFonts w:hint="default" w:eastAsia="宋体"/>
                      <w:color w:val="auto"/>
                      <w:lang w:val="en-US" w:eastAsia="zh-CN"/>
                    </w:rPr>
                  </w:pPr>
                  <w:r>
                    <w:rPr>
                      <w:color w:val="auto"/>
                    </w:rPr>
                    <w:t>江苏省地方标准</w:t>
                  </w:r>
                  <w:r>
                    <w:rPr>
                      <w:rFonts w:hint="eastAsia"/>
                      <w:color w:val="auto"/>
                    </w:rPr>
                    <w:t>《锅炉大气污染物排放标准》（DB32/4385-2022）表1中燃气锅炉标准</w:t>
                  </w:r>
                  <w:r>
                    <w:rPr>
                      <w:rFonts w:hint="eastAsia"/>
                      <w:color w:val="auto"/>
                      <w:lang w:eastAsia="zh-CN"/>
                    </w:rPr>
                    <w:t>及表</w:t>
                  </w:r>
                  <w:r>
                    <w:rPr>
                      <w:rFonts w:hint="eastAsia"/>
                      <w:color w:val="auto"/>
                      <w:lang w:val="en-US" w:eastAsia="zh-CN"/>
                    </w:rPr>
                    <w:t>5标准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40" w:hRule="atLeast"/>
                <w:jc w:val="center"/>
              </w:trPr>
              <w:tc>
                <w:tcPr>
                  <w:tcW w:w="555" w:type="pct"/>
                  <w:vMerge w:val="continue"/>
                  <w:vAlign w:val="center"/>
                </w:tcPr>
                <w:p>
                  <w:pPr>
                    <w:snapToGrid w:val="0"/>
                    <w:jc w:val="center"/>
                    <w:rPr>
                      <w:color w:val="auto"/>
                      <w:szCs w:val="21"/>
                    </w:rPr>
                  </w:pPr>
                </w:p>
              </w:tc>
              <w:tc>
                <w:tcPr>
                  <w:tcW w:w="785" w:type="pct"/>
                  <w:vAlign w:val="center"/>
                </w:tcPr>
                <w:p>
                  <w:pPr>
                    <w:snapToGrid w:val="0"/>
                    <w:jc w:val="center"/>
                    <w:rPr>
                      <w:color w:val="auto"/>
                      <w:szCs w:val="21"/>
                    </w:rPr>
                  </w:pPr>
                  <w:r>
                    <w:rPr>
                      <w:color w:val="auto"/>
                      <w:szCs w:val="21"/>
                    </w:rPr>
                    <w:t>二氧化硫</w:t>
                  </w:r>
                </w:p>
              </w:tc>
              <w:tc>
                <w:tcPr>
                  <w:tcW w:w="1054" w:type="pct"/>
                  <w:vAlign w:val="center"/>
                </w:tcPr>
                <w:p>
                  <w:pPr>
                    <w:snapToGrid w:val="0"/>
                    <w:jc w:val="center"/>
                    <w:rPr>
                      <w:color w:val="auto"/>
                      <w:szCs w:val="21"/>
                    </w:rPr>
                  </w:pPr>
                  <w:r>
                    <w:rPr>
                      <w:color w:val="auto"/>
                      <w:szCs w:val="21"/>
                    </w:rPr>
                    <w:t>35</w:t>
                  </w:r>
                </w:p>
              </w:tc>
              <w:tc>
                <w:tcPr>
                  <w:tcW w:w="1043" w:type="pct"/>
                  <w:gridSpan w:val="2"/>
                  <w:vMerge w:val="continue"/>
                  <w:vAlign w:val="center"/>
                </w:tcPr>
                <w:p>
                  <w:pPr>
                    <w:snapToGrid w:val="0"/>
                    <w:jc w:val="center"/>
                    <w:rPr>
                      <w:color w:val="auto"/>
                      <w:szCs w:val="21"/>
                    </w:rPr>
                  </w:pPr>
                </w:p>
              </w:tc>
              <w:tc>
                <w:tcPr>
                  <w:tcW w:w="1561" w:type="pct"/>
                  <w:vMerge w:val="continue"/>
                  <w:vAlign w:val="center"/>
                </w:tcPr>
                <w:p>
                  <w:pPr>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55" w:type="pct"/>
                  <w:vMerge w:val="continue"/>
                  <w:vAlign w:val="center"/>
                </w:tcPr>
                <w:p>
                  <w:pPr>
                    <w:snapToGrid w:val="0"/>
                    <w:jc w:val="center"/>
                    <w:rPr>
                      <w:color w:val="auto"/>
                      <w:szCs w:val="21"/>
                    </w:rPr>
                  </w:pPr>
                </w:p>
              </w:tc>
              <w:tc>
                <w:tcPr>
                  <w:tcW w:w="785" w:type="pct"/>
                  <w:vAlign w:val="center"/>
                </w:tcPr>
                <w:p>
                  <w:pPr>
                    <w:snapToGrid w:val="0"/>
                    <w:jc w:val="center"/>
                    <w:rPr>
                      <w:color w:val="auto"/>
                      <w:szCs w:val="21"/>
                    </w:rPr>
                  </w:pPr>
                  <w:r>
                    <w:rPr>
                      <w:color w:val="auto"/>
                      <w:szCs w:val="21"/>
                    </w:rPr>
                    <w:t>氮氧化物</w:t>
                  </w:r>
                </w:p>
              </w:tc>
              <w:tc>
                <w:tcPr>
                  <w:tcW w:w="1054" w:type="pct"/>
                  <w:vAlign w:val="center"/>
                </w:tcPr>
                <w:p>
                  <w:pPr>
                    <w:snapToGrid w:val="0"/>
                    <w:jc w:val="center"/>
                    <w:rPr>
                      <w:color w:val="auto"/>
                      <w:szCs w:val="21"/>
                    </w:rPr>
                  </w:pPr>
                  <w:r>
                    <w:rPr>
                      <w:color w:val="auto"/>
                      <w:szCs w:val="21"/>
                    </w:rPr>
                    <w:t>50</w:t>
                  </w:r>
                </w:p>
              </w:tc>
              <w:tc>
                <w:tcPr>
                  <w:tcW w:w="1043" w:type="pct"/>
                  <w:gridSpan w:val="2"/>
                  <w:vMerge w:val="continue"/>
                  <w:vAlign w:val="center"/>
                </w:tcPr>
                <w:p>
                  <w:pPr>
                    <w:snapToGrid w:val="0"/>
                    <w:jc w:val="center"/>
                    <w:rPr>
                      <w:color w:val="auto"/>
                      <w:szCs w:val="21"/>
                    </w:rPr>
                  </w:pPr>
                </w:p>
              </w:tc>
              <w:tc>
                <w:tcPr>
                  <w:tcW w:w="1561" w:type="pct"/>
                  <w:vMerge w:val="continue"/>
                  <w:vAlign w:val="center"/>
                </w:tcPr>
                <w:p>
                  <w:pPr>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55" w:type="pct"/>
                  <w:vMerge w:val="continue"/>
                  <w:vAlign w:val="center"/>
                </w:tcPr>
                <w:p>
                  <w:pPr>
                    <w:snapToGrid w:val="0"/>
                    <w:jc w:val="center"/>
                    <w:rPr>
                      <w:color w:val="auto"/>
                      <w:szCs w:val="21"/>
                    </w:rPr>
                  </w:pPr>
                </w:p>
              </w:tc>
              <w:tc>
                <w:tcPr>
                  <w:tcW w:w="785" w:type="pct"/>
                  <w:vAlign w:val="center"/>
                </w:tcPr>
                <w:p>
                  <w:pPr>
                    <w:snapToGrid w:val="0"/>
                    <w:jc w:val="center"/>
                    <w:rPr>
                      <w:color w:val="auto"/>
                      <w:szCs w:val="21"/>
                    </w:rPr>
                  </w:pPr>
                  <w:r>
                    <w:rPr>
                      <w:rFonts w:hint="eastAsia"/>
                      <w:color w:val="auto"/>
                      <w:szCs w:val="21"/>
                    </w:rPr>
                    <w:t>烟气黑度</w:t>
                  </w:r>
                </w:p>
              </w:tc>
              <w:tc>
                <w:tcPr>
                  <w:tcW w:w="1054" w:type="pct"/>
                  <w:vAlign w:val="center"/>
                </w:tcPr>
                <w:p>
                  <w:pPr>
                    <w:snapToGrid w:val="0"/>
                    <w:jc w:val="center"/>
                    <w:rPr>
                      <w:color w:val="auto"/>
                      <w:szCs w:val="21"/>
                    </w:rPr>
                  </w:pPr>
                  <w:r>
                    <w:rPr>
                      <w:rFonts w:hint="eastAsia"/>
                      <w:color w:val="auto"/>
                      <w:szCs w:val="21"/>
                    </w:rPr>
                    <w:t>林格曼黑度1级</w:t>
                  </w:r>
                </w:p>
              </w:tc>
              <w:tc>
                <w:tcPr>
                  <w:tcW w:w="1043" w:type="pct"/>
                  <w:gridSpan w:val="2"/>
                  <w:vMerge w:val="continue"/>
                  <w:vAlign w:val="center"/>
                </w:tcPr>
                <w:p>
                  <w:pPr>
                    <w:snapToGrid w:val="0"/>
                    <w:jc w:val="center"/>
                    <w:rPr>
                      <w:color w:val="auto"/>
                      <w:szCs w:val="21"/>
                    </w:rPr>
                  </w:pPr>
                </w:p>
              </w:tc>
              <w:tc>
                <w:tcPr>
                  <w:tcW w:w="1561" w:type="pct"/>
                  <w:vMerge w:val="continue"/>
                  <w:vAlign w:val="center"/>
                </w:tcPr>
                <w:p>
                  <w:pPr>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55" w:type="pct"/>
                  <w:vMerge w:val="continue"/>
                  <w:vAlign w:val="center"/>
                </w:tcPr>
                <w:p>
                  <w:pPr>
                    <w:snapToGrid w:val="0"/>
                    <w:jc w:val="center"/>
                    <w:rPr>
                      <w:color w:val="auto"/>
                      <w:szCs w:val="21"/>
                    </w:rPr>
                  </w:pPr>
                </w:p>
              </w:tc>
              <w:tc>
                <w:tcPr>
                  <w:tcW w:w="785" w:type="pct"/>
                  <w:vAlign w:val="center"/>
                </w:tcPr>
                <w:p>
                  <w:pPr>
                    <w:snapToGrid w:val="0"/>
                    <w:jc w:val="center"/>
                    <w:rPr>
                      <w:rFonts w:hint="eastAsia" w:eastAsia="宋体"/>
                      <w:color w:val="auto"/>
                      <w:szCs w:val="21"/>
                      <w:lang w:eastAsia="zh-CN"/>
                    </w:rPr>
                  </w:pPr>
                  <w:r>
                    <w:rPr>
                      <w:rFonts w:hint="eastAsia"/>
                      <w:color w:val="auto"/>
                      <w:szCs w:val="21"/>
                      <w:lang w:eastAsia="zh-CN"/>
                    </w:rPr>
                    <w:t>基准氧含量</w:t>
                  </w:r>
                </w:p>
              </w:tc>
              <w:tc>
                <w:tcPr>
                  <w:tcW w:w="1054" w:type="pct"/>
                  <w:vAlign w:val="center"/>
                </w:tcPr>
                <w:p>
                  <w:pPr>
                    <w:snapToGrid w:val="0"/>
                    <w:jc w:val="center"/>
                    <w:rPr>
                      <w:rFonts w:hint="default" w:eastAsia="宋体"/>
                      <w:color w:val="auto"/>
                      <w:szCs w:val="21"/>
                      <w:lang w:val="en-US" w:eastAsia="zh-CN"/>
                    </w:rPr>
                  </w:pPr>
                  <w:r>
                    <w:rPr>
                      <w:rFonts w:hint="eastAsia"/>
                      <w:color w:val="auto"/>
                      <w:szCs w:val="21"/>
                      <w:lang w:val="en-US" w:eastAsia="zh-CN"/>
                    </w:rPr>
                    <w:t>3.5%</w:t>
                  </w:r>
                </w:p>
              </w:tc>
              <w:tc>
                <w:tcPr>
                  <w:tcW w:w="1043" w:type="pct"/>
                  <w:gridSpan w:val="2"/>
                  <w:vMerge w:val="continue"/>
                  <w:vAlign w:val="center"/>
                </w:tcPr>
                <w:p>
                  <w:pPr>
                    <w:snapToGrid w:val="0"/>
                    <w:jc w:val="center"/>
                    <w:rPr>
                      <w:color w:val="auto"/>
                      <w:szCs w:val="21"/>
                    </w:rPr>
                  </w:pPr>
                </w:p>
              </w:tc>
              <w:tc>
                <w:tcPr>
                  <w:tcW w:w="1561" w:type="pct"/>
                  <w:vMerge w:val="continue"/>
                  <w:vAlign w:val="center"/>
                </w:tcPr>
                <w:p>
                  <w:pPr>
                    <w:snapToGrid w:val="0"/>
                    <w:jc w:val="center"/>
                    <w:rPr>
                      <w:color w:val="auto"/>
                    </w:rPr>
                  </w:pPr>
                </w:p>
              </w:tc>
            </w:tr>
          </w:tbl>
          <w:p>
            <w:pPr>
              <w:pStyle w:val="7"/>
              <w:adjustRightInd w:val="0"/>
              <w:snapToGrid w:val="0"/>
              <w:spacing w:before="120" w:beforeLines="50"/>
              <w:ind w:firstLine="0" w:firstLineChars="0"/>
              <w:jc w:val="center"/>
              <w:rPr>
                <w:color w:val="auto"/>
                <w:sz w:val="24"/>
                <w:szCs w:val="24"/>
              </w:rPr>
            </w:pPr>
            <w:r>
              <w:rPr>
                <w:b/>
                <w:color w:val="auto"/>
                <w:sz w:val="24"/>
                <w:szCs w:val="24"/>
              </w:rPr>
              <w:t>表3-11  厂区内</w:t>
            </w:r>
            <w:r>
              <w:rPr>
                <w:rFonts w:hint="eastAsia"/>
                <w:b/>
                <w:color w:val="auto"/>
                <w:sz w:val="24"/>
                <w:szCs w:val="24"/>
                <w:lang w:val="en-US" w:eastAsia="zh-CN"/>
              </w:rPr>
              <w:t>大气污染物</w:t>
            </w:r>
            <w:r>
              <w:rPr>
                <w:b/>
                <w:color w:val="auto"/>
                <w:sz w:val="24"/>
                <w:szCs w:val="24"/>
              </w:rPr>
              <w:t>无组织排放限值</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215"/>
              <w:gridCol w:w="2421"/>
              <w:gridCol w:w="1185"/>
              <w:gridCol w:w="2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tcMar>
                    <w:left w:w="0" w:type="dxa"/>
                    <w:right w:w="0" w:type="dxa"/>
                  </w:tcMar>
                  <w:vAlign w:val="center"/>
                </w:tcPr>
                <w:p>
                  <w:pPr>
                    <w:tabs>
                      <w:tab w:val="left" w:pos="5142"/>
                    </w:tabs>
                    <w:snapToGrid w:val="0"/>
                    <w:jc w:val="center"/>
                    <w:rPr>
                      <w:b/>
                      <w:color w:val="auto"/>
                      <w:szCs w:val="21"/>
                    </w:rPr>
                  </w:pPr>
                  <w:r>
                    <w:rPr>
                      <w:b/>
                      <w:color w:val="auto"/>
                      <w:szCs w:val="21"/>
                    </w:rPr>
                    <w:t>污染物</w:t>
                  </w:r>
                </w:p>
              </w:tc>
              <w:tc>
                <w:tcPr>
                  <w:tcW w:w="735" w:type="pct"/>
                  <w:tcMar>
                    <w:left w:w="0" w:type="dxa"/>
                    <w:right w:w="0" w:type="dxa"/>
                  </w:tcMar>
                  <w:vAlign w:val="center"/>
                </w:tcPr>
                <w:p>
                  <w:pPr>
                    <w:tabs>
                      <w:tab w:val="left" w:pos="5142"/>
                    </w:tabs>
                    <w:snapToGrid w:val="0"/>
                    <w:jc w:val="center"/>
                    <w:rPr>
                      <w:b/>
                      <w:color w:val="auto"/>
                      <w:szCs w:val="21"/>
                    </w:rPr>
                  </w:pPr>
                  <w:r>
                    <w:rPr>
                      <w:b/>
                      <w:color w:val="auto"/>
                      <w:szCs w:val="21"/>
                    </w:rPr>
                    <w:t>排放限值(mg/m</w:t>
                  </w:r>
                  <w:r>
                    <w:rPr>
                      <w:b/>
                      <w:color w:val="auto"/>
                      <w:szCs w:val="21"/>
                      <w:vertAlign w:val="superscript"/>
                    </w:rPr>
                    <w:t>3</w:t>
                  </w:r>
                  <w:r>
                    <w:rPr>
                      <w:b/>
                      <w:color w:val="auto"/>
                      <w:szCs w:val="21"/>
                    </w:rPr>
                    <w:t>)</w:t>
                  </w:r>
                </w:p>
              </w:tc>
              <w:tc>
                <w:tcPr>
                  <w:tcW w:w="1465" w:type="pct"/>
                  <w:tcMar>
                    <w:left w:w="0" w:type="dxa"/>
                    <w:right w:w="0" w:type="dxa"/>
                  </w:tcMar>
                  <w:vAlign w:val="center"/>
                </w:tcPr>
                <w:p>
                  <w:pPr>
                    <w:tabs>
                      <w:tab w:val="left" w:pos="5142"/>
                    </w:tabs>
                    <w:snapToGrid w:val="0"/>
                    <w:jc w:val="center"/>
                    <w:rPr>
                      <w:b/>
                      <w:color w:val="auto"/>
                      <w:szCs w:val="21"/>
                    </w:rPr>
                  </w:pPr>
                  <w:r>
                    <w:rPr>
                      <w:b/>
                      <w:color w:val="auto"/>
                      <w:szCs w:val="21"/>
                    </w:rPr>
                    <w:t>限值含义</w:t>
                  </w:r>
                </w:p>
              </w:tc>
              <w:tc>
                <w:tcPr>
                  <w:tcW w:w="717" w:type="pct"/>
                  <w:tcMar>
                    <w:left w:w="0" w:type="dxa"/>
                    <w:right w:w="0" w:type="dxa"/>
                  </w:tcMar>
                  <w:vAlign w:val="center"/>
                </w:tcPr>
                <w:p>
                  <w:pPr>
                    <w:tabs>
                      <w:tab w:val="left" w:pos="5142"/>
                    </w:tabs>
                    <w:snapToGrid w:val="0"/>
                    <w:jc w:val="center"/>
                    <w:rPr>
                      <w:b/>
                      <w:color w:val="auto"/>
                      <w:szCs w:val="21"/>
                    </w:rPr>
                  </w:pPr>
                  <w:r>
                    <w:rPr>
                      <w:b/>
                      <w:color w:val="auto"/>
                      <w:szCs w:val="21"/>
                    </w:rPr>
                    <w:t>无组织排放监控位置</w:t>
                  </w:r>
                </w:p>
              </w:tc>
              <w:tc>
                <w:tcPr>
                  <w:tcW w:w="1551" w:type="pct"/>
                  <w:tcMar>
                    <w:left w:w="0" w:type="dxa"/>
                    <w:right w:w="0" w:type="dxa"/>
                  </w:tcMar>
                  <w:vAlign w:val="center"/>
                </w:tcPr>
                <w:p>
                  <w:pPr>
                    <w:tabs>
                      <w:tab w:val="left" w:pos="5142"/>
                    </w:tabs>
                    <w:snapToGrid w:val="0"/>
                    <w:jc w:val="center"/>
                    <w:rPr>
                      <w:b/>
                      <w:color w:val="auto"/>
                      <w:szCs w:val="21"/>
                    </w:rPr>
                  </w:pPr>
                  <w:r>
                    <w:rPr>
                      <w:b/>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tcMar>
                    <w:left w:w="0" w:type="dxa"/>
                    <w:right w:w="0" w:type="dxa"/>
                  </w:tcMar>
                  <w:vAlign w:val="center"/>
                </w:tcPr>
                <w:p>
                  <w:pPr>
                    <w:tabs>
                      <w:tab w:val="left" w:pos="5142"/>
                    </w:tabs>
                    <w:snapToGrid w:val="0"/>
                    <w:jc w:val="center"/>
                    <w:rPr>
                      <w:color w:val="auto"/>
                      <w:szCs w:val="21"/>
                    </w:rPr>
                  </w:pPr>
                  <w:r>
                    <w:rPr>
                      <w:rFonts w:hint="eastAsia"/>
                      <w:color w:val="auto"/>
                      <w:szCs w:val="21"/>
                    </w:rPr>
                    <w:t>甲醛</w:t>
                  </w:r>
                </w:p>
              </w:tc>
              <w:tc>
                <w:tcPr>
                  <w:tcW w:w="735" w:type="pct"/>
                  <w:tcMar>
                    <w:left w:w="0" w:type="dxa"/>
                    <w:right w:w="0" w:type="dxa"/>
                  </w:tcMar>
                  <w:vAlign w:val="center"/>
                </w:tcPr>
                <w:p>
                  <w:pPr>
                    <w:tabs>
                      <w:tab w:val="left" w:pos="5142"/>
                    </w:tabs>
                    <w:snapToGrid w:val="0"/>
                    <w:jc w:val="center"/>
                    <w:rPr>
                      <w:color w:val="auto"/>
                      <w:szCs w:val="21"/>
                    </w:rPr>
                  </w:pPr>
                  <w:r>
                    <w:rPr>
                      <w:rFonts w:hint="eastAsia"/>
                      <w:color w:val="auto"/>
                      <w:szCs w:val="21"/>
                    </w:rPr>
                    <w:t>0.4</w:t>
                  </w:r>
                </w:p>
              </w:tc>
              <w:tc>
                <w:tcPr>
                  <w:tcW w:w="1465" w:type="pct"/>
                  <w:vMerge w:val="restart"/>
                  <w:tcMar>
                    <w:left w:w="0" w:type="dxa"/>
                    <w:right w:w="0" w:type="dxa"/>
                  </w:tcMar>
                  <w:vAlign w:val="center"/>
                </w:tcPr>
                <w:p>
                  <w:pPr>
                    <w:jc w:val="center"/>
                    <w:rPr>
                      <w:color w:val="auto"/>
                      <w:szCs w:val="21"/>
                    </w:rPr>
                  </w:pPr>
                  <w:r>
                    <w:rPr>
                      <w:color w:val="auto"/>
                      <w:szCs w:val="21"/>
                    </w:rPr>
                    <w:t>监控点处1h平均浓度值</w:t>
                  </w:r>
                </w:p>
              </w:tc>
              <w:tc>
                <w:tcPr>
                  <w:tcW w:w="717" w:type="pct"/>
                  <w:vMerge w:val="restart"/>
                  <w:tcMar>
                    <w:left w:w="0" w:type="dxa"/>
                    <w:right w:w="0" w:type="dxa"/>
                  </w:tcMar>
                  <w:vAlign w:val="center"/>
                </w:tcPr>
                <w:p>
                  <w:pPr>
                    <w:jc w:val="center"/>
                    <w:rPr>
                      <w:color w:val="auto"/>
                      <w:szCs w:val="21"/>
                    </w:rPr>
                  </w:pPr>
                  <w:r>
                    <w:rPr>
                      <w:color w:val="auto"/>
                      <w:szCs w:val="21"/>
                    </w:rPr>
                    <w:t>在厂房外设置监控点</w:t>
                  </w:r>
                </w:p>
              </w:tc>
              <w:tc>
                <w:tcPr>
                  <w:tcW w:w="1551" w:type="pct"/>
                  <w:vMerge w:val="restart"/>
                  <w:tcMar>
                    <w:left w:w="0" w:type="dxa"/>
                    <w:right w:w="0" w:type="dxa"/>
                  </w:tcMar>
                  <w:vAlign w:val="center"/>
                </w:tcPr>
                <w:p>
                  <w:pPr>
                    <w:wordWrap w:val="0"/>
                    <w:jc w:val="center"/>
                    <w:rPr>
                      <w:color w:val="auto"/>
                      <w:szCs w:val="21"/>
                    </w:rPr>
                  </w:pPr>
                  <w:r>
                    <w:rPr>
                      <w:color w:val="auto"/>
                    </w:rPr>
                    <w:t>江苏省地方标准</w:t>
                  </w:r>
                  <w:r>
                    <w:rPr>
                      <w:rFonts w:hint="eastAsia"/>
                      <w:color w:val="auto"/>
                    </w:rPr>
                    <w:t>《木材加工行业大气污染物排放标准》（DB32/4436-2022）中表3标准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restart"/>
                  <w:tcMar>
                    <w:left w:w="0" w:type="dxa"/>
                    <w:right w:w="0" w:type="dxa"/>
                  </w:tcMar>
                  <w:vAlign w:val="center"/>
                </w:tcPr>
                <w:p>
                  <w:pPr>
                    <w:ind w:firstLine="105" w:firstLineChars="50"/>
                    <w:jc w:val="center"/>
                    <w:rPr>
                      <w:rFonts w:hint="default" w:eastAsia="宋体"/>
                      <w:color w:val="auto"/>
                      <w:szCs w:val="21"/>
                      <w:lang w:val="en-US" w:eastAsia="zh-CN"/>
                    </w:rPr>
                  </w:pPr>
                  <w:r>
                    <w:rPr>
                      <w:rFonts w:hint="eastAsia"/>
                      <w:color w:val="auto"/>
                      <w:szCs w:val="21"/>
                      <w:lang w:val="en-US" w:eastAsia="zh-CN"/>
                    </w:rPr>
                    <w:t>非甲烷总烃</w:t>
                  </w:r>
                </w:p>
              </w:tc>
              <w:tc>
                <w:tcPr>
                  <w:tcW w:w="735" w:type="pct"/>
                  <w:tcMar>
                    <w:left w:w="0" w:type="dxa"/>
                    <w:right w:w="0" w:type="dxa"/>
                  </w:tcMar>
                  <w:vAlign w:val="center"/>
                </w:tcPr>
                <w:p>
                  <w:pPr>
                    <w:jc w:val="center"/>
                    <w:rPr>
                      <w:color w:val="auto"/>
                      <w:szCs w:val="21"/>
                    </w:rPr>
                  </w:pPr>
                  <w:r>
                    <w:rPr>
                      <w:color w:val="auto"/>
                      <w:szCs w:val="21"/>
                    </w:rPr>
                    <w:t>6</w:t>
                  </w:r>
                </w:p>
              </w:tc>
              <w:tc>
                <w:tcPr>
                  <w:tcW w:w="1465" w:type="pct"/>
                  <w:vMerge w:val="continue"/>
                  <w:tcMar>
                    <w:left w:w="0" w:type="dxa"/>
                    <w:right w:w="0" w:type="dxa"/>
                  </w:tcMar>
                  <w:vAlign w:val="center"/>
                </w:tcPr>
                <w:p>
                  <w:pPr>
                    <w:jc w:val="center"/>
                    <w:rPr>
                      <w:color w:val="auto"/>
                      <w:szCs w:val="21"/>
                    </w:rPr>
                  </w:pPr>
                </w:p>
              </w:tc>
              <w:tc>
                <w:tcPr>
                  <w:tcW w:w="717" w:type="pct"/>
                  <w:vMerge w:val="continue"/>
                  <w:tcMar>
                    <w:left w:w="0" w:type="dxa"/>
                    <w:right w:w="0" w:type="dxa"/>
                  </w:tcMar>
                  <w:vAlign w:val="center"/>
                </w:tcPr>
                <w:p>
                  <w:pPr>
                    <w:jc w:val="center"/>
                    <w:rPr>
                      <w:color w:val="auto"/>
                      <w:szCs w:val="21"/>
                    </w:rPr>
                  </w:pPr>
                </w:p>
              </w:tc>
              <w:tc>
                <w:tcPr>
                  <w:tcW w:w="1551" w:type="pct"/>
                  <w:vMerge w:val="continue"/>
                  <w:tcMar>
                    <w:left w:w="0" w:type="dxa"/>
                    <w:right w:w="0" w:type="dxa"/>
                  </w:tcMar>
                  <w:vAlign w:val="center"/>
                </w:tcPr>
                <w:p>
                  <w:pPr>
                    <w:wordWrap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vMerge w:val="continue"/>
                  <w:tcMar>
                    <w:left w:w="0" w:type="dxa"/>
                    <w:right w:w="0" w:type="dxa"/>
                  </w:tcMar>
                  <w:vAlign w:val="center"/>
                </w:tcPr>
                <w:p>
                  <w:pPr>
                    <w:ind w:firstLine="105" w:firstLineChars="50"/>
                    <w:jc w:val="center"/>
                    <w:rPr>
                      <w:color w:val="auto"/>
                      <w:szCs w:val="21"/>
                    </w:rPr>
                  </w:pPr>
                </w:p>
              </w:tc>
              <w:tc>
                <w:tcPr>
                  <w:tcW w:w="735" w:type="pct"/>
                  <w:tcMar>
                    <w:left w:w="0" w:type="dxa"/>
                    <w:right w:w="0" w:type="dxa"/>
                  </w:tcMar>
                  <w:vAlign w:val="center"/>
                </w:tcPr>
                <w:p>
                  <w:pPr>
                    <w:jc w:val="center"/>
                    <w:rPr>
                      <w:color w:val="auto"/>
                      <w:szCs w:val="21"/>
                    </w:rPr>
                  </w:pPr>
                  <w:r>
                    <w:rPr>
                      <w:color w:val="auto"/>
                      <w:szCs w:val="21"/>
                    </w:rPr>
                    <w:t>20</w:t>
                  </w:r>
                </w:p>
              </w:tc>
              <w:tc>
                <w:tcPr>
                  <w:tcW w:w="1465" w:type="pct"/>
                  <w:tcMar>
                    <w:left w:w="0" w:type="dxa"/>
                    <w:right w:w="0" w:type="dxa"/>
                  </w:tcMar>
                  <w:vAlign w:val="center"/>
                </w:tcPr>
                <w:p>
                  <w:pPr>
                    <w:jc w:val="center"/>
                    <w:rPr>
                      <w:color w:val="auto"/>
                      <w:szCs w:val="21"/>
                    </w:rPr>
                  </w:pPr>
                  <w:r>
                    <w:rPr>
                      <w:color w:val="auto"/>
                      <w:szCs w:val="21"/>
                    </w:rPr>
                    <w:t>监控点处任意一次浓度值</w:t>
                  </w:r>
                </w:p>
              </w:tc>
              <w:tc>
                <w:tcPr>
                  <w:tcW w:w="717" w:type="pct"/>
                  <w:vMerge w:val="continue"/>
                  <w:tcMar>
                    <w:left w:w="0" w:type="dxa"/>
                    <w:right w:w="0" w:type="dxa"/>
                  </w:tcMar>
                  <w:vAlign w:val="center"/>
                </w:tcPr>
                <w:p>
                  <w:pPr>
                    <w:jc w:val="center"/>
                    <w:rPr>
                      <w:color w:val="auto"/>
                      <w:szCs w:val="21"/>
                    </w:rPr>
                  </w:pPr>
                </w:p>
              </w:tc>
              <w:tc>
                <w:tcPr>
                  <w:tcW w:w="1551" w:type="pct"/>
                  <w:vMerge w:val="continue"/>
                  <w:tcMar>
                    <w:left w:w="0" w:type="dxa"/>
                    <w:right w:w="0" w:type="dxa"/>
                  </w:tcMar>
                  <w:vAlign w:val="center"/>
                </w:tcPr>
                <w:p>
                  <w:pPr>
                    <w:jc w:val="center"/>
                    <w:rPr>
                      <w:bCs/>
                      <w:color w:val="auto"/>
                      <w:szCs w:val="21"/>
                    </w:rPr>
                  </w:pPr>
                </w:p>
              </w:tc>
            </w:tr>
          </w:tbl>
          <w:p>
            <w:pPr>
              <w:tabs>
                <w:tab w:val="left" w:pos="5142"/>
              </w:tabs>
              <w:adjustRightInd w:val="0"/>
              <w:snapToGrid w:val="0"/>
              <w:spacing w:before="120" w:beforeLines="50" w:line="360" w:lineRule="auto"/>
              <w:rPr>
                <w:b/>
                <w:bCs/>
                <w:snapToGrid w:val="0"/>
                <w:color w:val="auto"/>
                <w:kern w:val="0"/>
                <w:sz w:val="24"/>
              </w:rPr>
            </w:pPr>
            <w:r>
              <w:rPr>
                <w:b/>
                <w:bCs/>
                <w:snapToGrid w:val="0"/>
                <w:color w:val="auto"/>
                <w:kern w:val="0"/>
                <w:sz w:val="24"/>
              </w:rPr>
              <w:t>2、废水排放标准</w:t>
            </w:r>
          </w:p>
          <w:p>
            <w:pPr>
              <w:spacing w:line="360" w:lineRule="auto"/>
              <w:ind w:firstLine="480" w:firstLineChars="200"/>
              <w:rPr>
                <w:color w:val="auto"/>
                <w:sz w:val="24"/>
              </w:rPr>
            </w:pPr>
            <w:r>
              <w:rPr>
                <w:color w:val="auto"/>
                <w:sz w:val="24"/>
              </w:rPr>
              <w:t>本项目产生的</w:t>
            </w:r>
            <w:r>
              <w:rPr>
                <w:rFonts w:hint="eastAsia"/>
                <w:color w:val="auto"/>
                <w:sz w:val="24"/>
              </w:rPr>
              <w:t>冷却排水</w:t>
            </w:r>
            <w:r>
              <w:rPr>
                <w:color w:val="auto"/>
                <w:sz w:val="24"/>
              </w:rPr>
              <w:t>和经化粪池预处理后</w:t>
            </w:r>
            <w:r>
              <w:rPr>
                <w:rFonts w:hint="eastAsia"/>
                <w:color w:val="auto"/>
                <w:sz w:val="24"/>
              </w:rPr>
              <w:t>的</w:t>
            </w:r>
            <w:r>
              <w:rPr>
                <w:color w:val="auto"/>
                <w:sz w:val="24"/>
              </w:rPr>
              <w:t>生活污水</w:t>
            </w:r>
            <w:r>
              <w:rPr>
                <w:rFonts w:hint="eastAsia"/>
                <w:color w:val="auto"/>
                <w:sz w:val="24"/>
              </w:rPr>
              <w:t>一同</w:t>
            </w:r>
            <w:r>
              <w:rPr>
                <w:color w:val="auto"/>
                <w:sz w:val="24"/>
              </w:rPr>
              <w:t>接管</w:t>
            </w:r>
            <w:r>
              <w:rPr>
                <w:rFonts w:hint="eastAsia"/>
                <w:color w:val="auto"/>
                <w:sz w:val="24"/>
              </w:rPr>
              <w:t>至</w:t>
            </w:r>
            <w:r>
              <w:rPr>
                <w:color w:val="auto"/>
                <w:sz w:val="24"/>
              </w:rPr>
              <w:t>无锡玉祁永新污水处理有限公司集中处理，</w:t>
            </w:r>
            <w:r>
              <w:rPr>
                <w:rFonts w:hint="eastAsia"/>
                <w:color w:val="auto"/>
                <w:sz w:val="24"/>
              </w:rPr>
              <w:t>尾水排入横港。</w:t>
            </w:r>
            <w:r>
              <w:rPr>
                <w:color w:val="auto"/>
                <w:sz w:val="24"/>
              </w:rPr>
              <w:t>污水中COD、SS执行《污水综合排放标准》（GB8978-1996）表4中三级标准，氨氮、TN、TP等参照执行《污水排入城镇下水道水质标准》（GB/T 31962-2015）表1中标准。</w:t>
            </w:r>
          </w:p>
          <w:p>
            <w:pPr>
              <w:spacing w:line="360" w:lineRule="auto"/>
              <w:ind w:firstLine="480" w:firstLineChars="200"/>
              <w:rPr>
                <w:snapToGrid w:val="0"/>
                <w:color w:val="auto"/>
                <w:spacing w:val="-8"/>
                <w:sz w:val="24"/>
              </w:rPr>
            </w:pPr>
            <w:r>
              <w:rPr>
                <w:color w:val="auto"/>
                <w:sz w:val="24"/>
              </w:rPr>
              <w:t>无锡玉祁永新污水处理有限公司尾水中COD、NH</w:t>
            </w:r>
            <w:r>
              <w:rPr>
                <w:color w:val="auto"/>
                <w:sz w:val="24"/>
                <w:vertAlign w:val="subscript"/>
              </w:rPr>
              <w:t>3</w:t>
            </w:r>
            <w:r>
              <w:rPr>
                <w:color w:val="auto"/>
                <w:sz w:val="24"/>
              </w:rPr>
              <w:t>-N、TP排放浓度优于《太湖地区城镇污水处理厂及重点工业行业主要水污染物排放限值》（DB32/1072-2018）中表2标准，达到《地表水环境质量标准》（GB3838-2002）中</w:t>
            </w:r>
            <w:r>
              <w:rPr>
                <w:rFonts w:hint="default" w:ascii="Times New Roman" w:hAnsi="Times New Roman" w:cs="Times New Roman"/>
                <w:color w:val="auto"/>
                <w:sz w:val="24"/>
              </w:rPr>
              <w:t>Ⅳ</w:t>
            </w:r>
            <w:r>
              <w:rPr>
                <w:color w:val="auto"/>
                <w:sz w:val="24"/>
              </w:rPr>
              <w:t>类标准，总氮≤10mg/L</w:t>
            </w:r>
            <w:r>
              <w:rPr>
                <w:rFonts w:hint="eastAsia"/>
                <w:color w:val="auto"/>
                <w:sz w:val="24"/>
              </w:rPr>
              <w:t>，</w:t>
            </w:r>
            <w:r>
              <w:rPr>
                <w:color w:val="auto"/>
                <w:sz w:val="24"/>
              </w:rPr>
              <w:t>其他指标执行《城镇污水处理厂污染物排放标准》（GB18918-2002）表1中一级标准A标准。具体标准值见下表。</w:t>
            </w:r>
          </w:p>
          <w:p>
            <w:pPr>
              <w:pStyle w:val="2"/>
              <w:adjustRightInd w:val="0"/>
              <w:spacing w:before="0" w:after="0" w:line="240" w:lineRule="auto"/>
              <w:ind w:right="0"/>
              <w:jc w:val="center"/>
              <w:rPr>
                <w:b/>
                <w:bCs/>
                <w:color w:val="auto"/>
                <w:sz w:val="24"/>
                <w:szCs w:val="24"/>
              </w:rPr>
            </w:pPr>
          </w:p>
          <w:p>
            <w:pPr>
              <w:pStyle w:val="2"/>
              <w:adjustRightInd w:val="0"/>
              <w:spacing w:before="0" w:after="0" w:line="240" w:lineRule="auto"/>
              <w:ind w:right="0"/>
              <w:jc w:val="center"/>
              <w:rPr>
                <w:b/>
                <w:bCs/>
                <w:color w:val="auto"/>
                <w:sz w:val="24"/>
                <w:szCs w:val="24"/>
              </w:rPr>
            </w:pPr>
          </w:p>
          <w:p>
            <w:pPr>
              <w:pStyle w:val="2"/>
              <w:adjustRightInd w:val="0"/>
              <w:spacing w:before="0" w:after="0" w:line="240" w:lineRule="auto"/>
              <w:ind w:right="0"/>
              <w:jc w:val="center"/>
              <w:rPr>
                <w:b/>
                <w:bCs/>
                <w:color w:val="auto"/>
                <w:sz w:val="24"/>
                <w:szCs w:val="24"/>
              </w:rPr>
            </w:pPr>
          </w:p>
          <w:p>
            <w:pPr>
              <w:pStyle w:val="2"/>
              <w:adjustRightInd w:val="0"/>
              <w:spacing w:before="0" w:after="0" w:line="240" w:lineRule="auto"/>
              <w:ind w:right="0"/>
              <w:jc w:val="center"/>
              <w:rPr>
                <w:b/>
                <w:bCs/>
                <w:color w:val="auto"/>
                <w:sz w:val="24"/>
                <w:szCs w:val="24"/>
              </w:rPr>
            </w:pPr>
          </w:p>
          <w:p>
            <w:pPr>
              <w:pStyle w:val="2"/>
              <w:adjustRightInd w:val="0"/>
              <w:spacing w:before="0" w:after="0" w:line="240" w:lineRule="auto"/>
              <w:ind w:right="0"/>
              <w:jc w:val="center"/>
              <w:rPr>
                <w:b/>
                <w:bCs/>
                <w:color w:val="auto"/>
                <w:sz w:val="24"/>
                <w:szCs w:val="24"/>
              </w:rPr>
            </w:pPr>
          </w:p>
          <w:p>
            <w:pPr>
              <w:pStyle w:val="2"/>
              <w:adjustRightInd w:val="0"/>
              <w:spacing w:before="0" w:after="0" w:line="240" w:lineRule="auto"/>
              <w:ind w:right="0"/>
              <w:jc w:val="center"/>
              <w:rPr>
                <w:b/>
                <w:bCs/>
                <w:color w:val="auto"/>
                <w:sz w:val="24"/>
                <w:szCs w:val="24"/>
              </w:rPr>
            </w:pPr>
          </w:p>
          <w:p>
            <w:pPr>
              <w:pStyle w:val="2"/>
              <w:adjustRightInd w:val="0"/>
              <w:spacing w:before="0" w:after="0" w:line="240" w:lineRule="auto"/>
              <w:ind w:right="0"/>
              <w:jc w:val="center"/>
              <w:rPr>
                <w:b/>
                <w:bCs/>
                <w:color w:val="auto"/>
                <w:sz w:val="24"/>
                <w:szCs w:val="24"/>
              </w:rPr>
            </w:pPr>
          </w:p>
          <w:p>
            <w:pPr>
              <w:pStyle w:val="2"/>
              <w:adjustRightInd w:val="0"/>
              <w:spacing w:before="0" w:after="0" w:line="240" w:lineRule="auto"/>
              <w:ind w:right="0"/>
              <w:jc w:val="center"/>
              <w:rPr>
                <w:color w:val="auto"/>
                <w:sz w:val="24"/>
                <w:szCs w:val="24"/>
              </w:rPr>
            </w:pPr>
            <w:r>
              <w:rPr>
                <w:b/>
                <w:bCs/>
                <w:color w:val="auto"/>
                <w:sz w:val="24"/>
                <w:szCs w:val="24"/>
              </w:rPr>
              <w:t>表3-12  废水污染物排放执行标准表（接管标准）</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3"/>
              <w:gridCol w:w="939"/>
              <w:gridCol w:w="1064"/>
              <w:gridCol w:w="2635"/>
              <w:gridCol w:w="2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8" w:type="pct"/>
                  <w:vMerge w:val="restart"/>
                  <w:vAlign w:val="center"/>
                </w:tcPr>
                <w:p>
                  <w:pPr>
                    <w:adjustRightInd w:val="0"/>
                    <w:snapToGrid w:val="0"/>
                    <w:jc w:val="center"/>
                    <w:rPr>
                      <w:b/>
                      <w:color w:val="auto"/>
                      <w:szCs w:val="21"/>
                    </w:rPr>
                  </w:pPr>
                  <w:r>
                    <w:rPr>
                      <w:b/>
                      <w:color w:val="auto"/>
                      <w:szCs w:val="21"/>
                    </w:rPr>
                    <w:t>序号</w:t>
                  </w:r>
                </w:p>
              </w:tc>
              <w:tc>
                <w:tcPr>
                  <w:tcW w:w="568" w:type="pct"/>
                  <w:vMerge w:val="restart"/>
                  <w:vAlign w:val="center"/>
                </w:tcPr>
                <w:p>
                  <w:pPr>
                    <w:adjustRightInd w:val="0"/>
                    <w:snapToGrid w:val="0"/>
                    <w:jc w:val="center"/>
                    <w:rPr>
                      <w:b/>
                      <w:color w:val="auto"/>
                      <w:szCs w:val="21"/>
                    </w:rPr>
                  </w:pPr>
                  <w:r>
                    <w:rPr>
                      <w:b/>
                      <w:color w:val="auto"/>
                      <w:szCs w:val="21"/>
                    </w:rPr>
                    <w:t>排放口编号</w:t>
                  </w:r>
                </w:p>
              </w:tc>
              <w:tc>
                <w:tcPr>
                  <w:tcW w:w="644" w:type="pct"/>
                  <w:vMerge w:val="restart"/>
                  <w:vAlign w:val="center"/>
                </w:tcPr>
                <w:p>
                  <w:pPr>
                    <w:adjustRightInd w:val="0"/>
                    <w:snapToGrid w:val="0"/>
                    <w:jc w:val="center"/>
                    <w:rPr>
                      <w:b/>
                      <w:color w:val="auto"/>
                      <w:szCs w:val="21"/>
                    </w:rPr>
                  </w:pPr>
                  <w:r>
                    <w:rPr>
                      <w:b/>
                      <w:color w:val="auto"/>
                      <w:szCs w:val="21"/>
                    </w:rPr>
                    <w:t>污染物种类</w:t>
                  </w:r>
                </w:p>
              </w:tc>
              <w:tc>
                <w:tcPr>
                  <w:tcW w:w="3320" w:type="pct"/>
                  <w:gridSpan w:val="2"/>
                  <w:vAlign w:val="center"/>
                </w:tcPr>
                <w:p>
                  <w:pPr>
                    <w:adjustRightInd w:val="0"/>
                    <w:snapToGrid w:val="0"/>
                    <w:jc w:val="center"/>
                    <w:rPr>
                      <w:b/>
                      <w:color w:val="auto"/>
                      <w:szCs w:val="21"/>
                    </w:rPr>
                  </w:pPr>
                  <w:r>
                    <w:rPr>
                      <w:b/>
                      <w:color w:val="auto"/>
                      <w:szCs w:val="21"/>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continue"/>
                  <w:vAlign w:val="center"/>
                </w:tcPr>
                <w:p>
                  <w:pPr>
                    <w:adjustRightInd w:val="0"/>
                    <w:snapToGrid w:val="0"/>
                    <w:jc w:val="center"/>
                    <w:rPr>
                      <w:b/>
                      <w:color w:val="auto"/>
                      <w:szCs w:val="21"/>
                    </w:rPr>
                  </w:pPr>
                </w:p>
              </w:tc>
              <w:tc>
                <w:tcPr>
                  <w:tcW w:w="568" w:type="pct"/>
                  <w:vMerge w:val="continue"/>
                  <w:vAlign w:val="center"/>
                </w:tcPr>
                <w:p>
                  <w:pPr>
                    <w:adjustRightInd w:val="0"/>
                    <w:snapToGrid w:val="0"/>
                    <w:jc w:val="center"/>
                    <w:rPr>
                      <w:b/>
                      <w:color w:val="auto"/>
                      <w:szCs w:val="21"/>
                    </w:rPr>
                  </w:pPr>
                </w:p>
              </w:tc>
              <w:tc>
                <w:tcPr>
                  <w:tcW w:w="644" w:type="pct"/>
                  <w:vMerge w:val="continue"/>
                  <w:vAlign w:val="center"/>
                </w:tcPr>
                <w:p>
                  <w:pPr>
                    <w:adjustRightInd w:val="0"/>
                    <w:snapToGrid w:val="0"/>
                    <w:jc w:val="center"/>
                    <w:rPr>
                      <w:b/>
                      <w:color w:val="auto"/>
                      <w:szCs w:val="21"/>
                    </w:rPr>
                  </w:pPr>
                </w:p>
              </w:tc>
              <w:tc>
                <w:tcPr>
                  <w:tcW w:w="1594" w:type="pct"/>
                  <w:vAlign w:val="center"/>
                </w:tcPr>
                <w:p>
                  <w:pPr>
                    <w:adjustRightInd w:val="0"/>
                    <w:snapToGrid w:val="0"/>
                    <w:jc w:val="center"/>
                    <w:rPr>
                      <w:b/>
                      <w:color w:val="auto"/>
                      <w:szCs w:val="21"/>
                    </w:rPr>
                  </w:pPr>
                  <w:r>
                    <w:rPr>
                      <w:b/>
                      <w:color w:val="auto"/>
                      <w:szCs w:val="21"/>
                    </w:rPr>
                    <w:t>名称</w:t>
                  </w:r>
                </w:p>
              </w:tc>
              <w:tc>
                <w:tcPr>
                  <w:tcW w:w="1726" w:type="pct"/>
                  <w:vAlign w:val="center"/>
                </w:tcPr>
                <w:p>
                  <w:pPr>
                    <w:adjustRightInd w:val="0"/>
                    <w:snapToGrid w:val="0"/>
                    <w:jc w:val="center"/>
                    <w:rPr>
                      <w:b/>
                      <w:color w:val="auto"/>
                      <w:szCs w:val="21"/>
                    </w:rPr>
                  </w:pPr>
                  <w:r>
                    <w:rPr>
                      <w:b/>
                      <w:color w:val="auto"/>
                      <w:szCs w:val="21"/>
                    </w:rPr>
                    <w:t>浓度限值（mg/L，pH无量纲）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Align w:val="center"/>
                </w:tcPr>
                <w:p>
                  <w:pPr>
                    <w:adjustRightInd w:val="0"/>
                    <w:snapToGrid w:val="0"/>
                    <w:jc w:val="center"/>
                    <w:rPr>
                      <w:color w:val="auto"/>
                      <w:szCs w:val="21"/>
                    </w:rPr>
                  </w:pPr>
                  <w:r>
                    <w:rPr>
                      <w:color w:val="auto"/>
                      <w:szCs w:val="21"/>
                    </w:rPr>
                    <w:t>1</w:t>
                  </w:r>
                </w:p>
              </w:tc>
              <w:tc>
                <w:tcPr>
                  <w:tcW w:w="568" w:type="pct"/>
                  <w:vMerge w:val="restart"/>
                  <w:vAlign w:val="center"/>
                </w:tcPr>
                <w:p>
                  <w:pPr>
                    <w:adjustRightInd w:val="0"/>
                    <w:snapToGrid w:val="0"/>
                    <w:jc w:val="center"/>
                    <w:rPr>
                      <w:color w:val="auto"/>
                      <w:szCs w:val="21"/>
                    </w:rPr>
                  </w:pPr>
                  <w:r>
                    <w:rPr>
                      <w:color w:val="auto"/>
                      <w:szCs w:val="21"/>
                    </w:rPr>
                    <w:t>DW001</w:t>
                  </w:r>
                </w:p>
              </w:tc>
              <w:tc>
                <w:tcPr>
                  <w:tcW w:w="644" w:type="pct"/>
                  <w:vAlign w:val="center"/>
                </w:tcPr>
                <w:p>
                  <w:pPr>
                    <w:pStyle w:val="37"/>
                    <w:spacing w:before="24" w:after="24"/>
                    <w:rPr>
                      <w:rFonts w:ascii="Times New Roman"/>
                      <w:color w:val="auto"/>
                      <w:szCs w:val="21"/>
                    </w:rPr>
                  </w:pPr>
                  <w:r>
                    <w:rPr>
                      <w:rFonts w:ascii="Times New Roman"/>
                      <w:color w:val="auto"/>
                      <w:szCs w:val="21"/>
                    </w:rPr>
                    <w:t>pH</w:t>
                  </w:r>
                </w:p>
              </w:tc>
              <w:tc>
                <w:tcPr>
                  <w:tcW w:w="1594" w:type="pct"/>
                  <w:vMerge w:val="restart"/>
                  <w:vAlign w:val="center"/>
                </w:tcPr>
                <w:p>
                  <w:pPr>
                    <w:adjustRightInd w:val="0"/>
                    <w:snapToGrid w:val="0"/>
                    <w:jc w:val="center"/>
                    <w:rPr>
                      <w:color w:val="auto"/>
                      <w:szCs w:val="21"/>
                    </w:rPr>
                  </w:pPr>
                  <w:r>
                    <w:rPr>
                      <w:color w:val="auto"/>
                      <w:szCs w:val="21"/>
                    </w:rPr>
                    <w:t>《污水综合排放标准》（GB8978-1996）表4中三级标准</w:t>
                  </w:r>
                </w:p>
              </w:tc>
              <w:tc>
                <w:tcPr>
                  <w:tcW w:w="1726" w:type="pct"/>
                  <w:vAlign w:val="center"/>
                </w:tcPr>
                <w:p>
                  <w:pPr>
                    <w:pStyle w:val="37"/>
                    <w:spacing w:before="24" w:after="24"/>
                    <w:rPr>
                      <w:rFonts w:ascii="Times New Roman"/>
                      <w:color w:val="auto"/>
                      <w:szCs w:val="21"/>
                      <w:highlight w:val="yellow"/>
                    </w:rPr>
                  </w:pPr>
                  <w:r>
                    <w:rPr>
                      <w:rFonts w:ascii="Times New Roman"/>
                      <w:color w:val="auto"/>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Align w:val="center"/>
                </w:tcPr>
                <w:p>
                  <w:pPr>
                    <w:adjustRightInd w:val="0"/>
                    <w:snapToGrid w:val="0"/>
                    <w:jc w:val="center"/>
                    <w:rPr>
                      <w:color w:val="auto"/>
                      <w:szCs w:val="21"/>
                    </w:rPr>
                  </w:pPr>
                  <w:r>
                    <w:rPr>
                      <w:color w:val="auto"/>
                      <w:szCs w:val="21"/>
                    </w:rPr>
                    <w:t>2</w:t>
                  </w:r>
                </w:p>
              </w:tc>
              <w:tc>
                <w:tcPr>
                  <w:tcW w:w="568" w:type="pct"/>
                  <w:vMerge w:val="continue"/>
                  <w:vAlign w:val="center"/>
                </w:tcPr>
                <w:p>
                  <w:pPr>
                    <w:adjustRightInd w:val="0"/>
                    <w:snapToGrid w:val="0"/>
                    <w:jc w:val="center"/>
                    <w:rPr>
                      <w:color w:val="auto"/>
                      <w:szCs w:val="21"/>
                    </w:rPr>
                  </w:pPr>
                </w:p>
              </w:tc>
              <w:tc>
                <w:tcPr>
                  <w:tcW w:w="644" w:type="pct"/>
                  <w:vAlign w:val="center"/>
                </w:tcPr>
                <w:p>
                  <w:pPr>
                    <w:pStyle w:val="37"/>
                    <w:spacing w:before="24" w:after="24"/>
                    <w:rPr>
                      <w:rFonts w:ascii="Times New Roman"/>
                      <w:color w:val="auto"/>
                      <w:szCs w:val="21"/>
                    </w:rPr>
                  </w:pPr>
                  <w:r>
                    <w:rPr>
                      <w:rFonts w:ascii="Times New Roman"/>
                      <w:color w:val="auto"/>
                      <w:szCs w:val="21"/>
                    </w:rPr>
                    <w:t>COD</w:t>
                  </w:r>
                </w:p>
              </w:tc>
              <w:tc>
                <w:tcPr>
                  <w:tcW w:w="1594" w:type="pct"/>
                  <w:vMerge w:val="continue"/>
                  <w:vAlign w:val="center"/>
                </w:tcPr>
                <w:p>
                  <w:pPr>
                    <w:adjustRightInd w:val="0"/>
                    <w:snapToGrid w:val="0"/>
                    <w:jc w:val="center"/>
                    <w:rPr>
                      <w:color w:val="auto"/>
                      <w:szCs w:val="21"/>
                    </w:rPr>
                  </w:pPr>
                </w:p>
              </w:tc>
              <w:tc>
                <w:tcPr>
                  <w:tcW w:w="1726" w:type="pct"/>
                  <w:vAlign w:val="center"/>
                </w:tcPr>
                <w:p>
                  <w:pPr>
                    <w:pStyle w:val="37"/>
                    <w:spacing w:before="24" w:after="24"/>
                    <w:rPr>
                      <w:rFonts w:ascii="Times New Roman"/>
                      <w:color w:val="auto"/>
                      <w:kern w:val="2"/>
                      <w:szCs w:val="21"/>
                      <w:highlight w:val="yellow"/>
                    </w:rPr>
                  </w:pPr>
                  <w:r>
                    <w:rPr>
                      <w:rFonts w:ascii="Times New Roman"/>
                      <w:color w:val="auto"/>
                      <w:kern w:val="2"/>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Align w:val="center"/>
                </w:tcPr>
                <w:p>
                  <w:pPr>
                    <w:adjustRightInd w:val="0"/>
                    <w:snapToGrid w:val="0"/>
                    <w:jc w:val="center"/>
                    <w:rPr>
                      <w:color w:val="auto"/>
                      <w:szCs w:val="21"/>
                    </w:rPr>
                  </w:pPr>
                  <w:r>
                    <w:rPr>
                      <w:color w:val="auto"/>
                      <w:szCs w:val="21"/>
                    </w:rPr>
                    <w:t>3</w:t>
                  </w:r>
                </w:p>
              </w:tc>
              <w:tc>
                <w:tcPr>
                  <w:tcW w:w="568" w:type="pct"/>
                  <w:vMerge w:val="continue"/>
                  <w:vAlign w:val="center"/>
                </w:tcPr>
                <w:p>
                  <w:pPr>
                    <w:adjustRightInd w:val="0"/>
                    <w:snapToGrid w:val="0"/>
                    <w:jc w:val="center"/>
                    <w:rPr>
                      <w:color w:val="auto"/>
                      <w:szCs w:val="21"/>
                    </w:rPr>
                  </w:pPr>
                </w:p>
              </w:tc>
              <w:tc>
                <w:tcPr>
                  <w:tcW w:w="644" w:type="pct"/>
                  <w:vAlign w:val="center"/>
                </w:tcPr>
                <w:p>
                  <w:pPr>
                    <w:pStyle w:val="37"/>
                    <w:spacing w:before="24" w:after="24"/>
                    <w:rPr>
                      <w:rFonts w:ascii="Times New Roman"/>
                      <w:color w:val="auto"/>
                      <w:szCs w:val="21"/>
                    </w:rPr>
                  </w:pPr>
                  <w:r>
                    <w:rPr>
                      <w:rFonts w:ascii="Times New Roman"/>
                      <w:color w:val="auto"/>
                      <w:szCs w:val="21"/>
                    </w:rPr>
                    <w:t>SS</w:t>
                  </w:r>
                </w:p>
              </w:tc>
              <w:tc>
                <w:tcPr>
                  <w:tcW w:w="1594" w:type="pct"/>
                  <w:vMerge w:val="continue"/>
                  <w:vAlign w:val="center"/>
                </w:tcPr>
                <w:p>
                  <w:pPr>
                    <w:adjustRightInd w:val="0"/>
                    <w:snapToGrid w:val="0"/>
                    <w:jc w:val="center"/>
                    <w:rPr>
                      <w:color w:val="auto"/>
                      <w:szCs w:val="21"/>
                    </w:rPr>
                  </w:pPr>
                </w:p>
              </w:tc>
              <w:tc>
                <w:tcPr>
                  <w:tcW w:w="1726" w:type="pct"/>
                  <w:vAlign w:val="center"/>
                </w:tcPr>
                <w:p>
                  <w:pPr>
                    <w:pStyle w:val="37"/>
                    <w:spacing w:before="24" w:after="24"/>
                    <w:rPr>
                      <w:rFonts w:ascii="Times New Roman"/>
                      <w:color w:val="auto"/>
                      <w:kern w:val="2"/>
                      <w:szCs w:val="21"/>
                      <w:highlight w:val="yellow"/>
                    </w:rPr>
                  </w:pPr>
                  <w:r>
                    <w:rPr>
                      <w:rFonts w:ascii="Times New Roman"/>
                      <w:color w:val="auto"/>
                      <w:kern w:val="2"/>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Align w:val="center"/>
                </w:tcPr>
                <w:p>
                  <w:pPr>
                    <w:adjustRightInd w:val="0"/>
                    <w:snapToGrid w:val="0"/>
                    <w:jc w:val="center"/>
                    <w:rPr>
                      <w:color w:val="auto"/>
                      <w:szCs w:val="21"/>
                    </w:rPr>
                  </w:pPr>
                  <w:r>
                    <w:rPr>
                      <w:color w:val="auto"/>
                      <w:szCs w:val="21"/>
                    </w:rPr>
                    <w:t>4</w:t>
                  </w:r>
                </w:p>
              </w:tc>
              <w:tc>
                <w:tcPr>
                  <w:tcW w:w="568" w:type="pct"/>
                  <w:vMerge w:val="continue"/>
                  <w:vAlign w:val="center"/>
                </w:tcPr>
                <w:p>
                  <w:pPr>
                    <w:adjustRightInd w:val="0"/>
                    <w:snapToGrid w:val="0"/>
                    <w:jc w:val="center"/>
                    <w:rPr>
                      <w:color w:val="auto"/>
                      <w:szCs w:val="21"/>
                    </w:rPr>
                  </w:pPr>
                </w:p>
              </w:tc>
              <w:tc>
                <w:tcPr>
                  <w:tcW w:w="644" w:type="pct"/>
                  <w:vAlign w:val="center"/>
                </w:tcPr>
                <w:p>
                  <w:pPr>
                    <w:pStyle w:val="37"/>
                    <w:spacing w:before="24" w:after="24"/>
                    <w:rPr>
                      <w:rFonts w:ascii="Times New Roman"/>
                      <w:color w:val="auto"/>
                      <w:szCs w:val="21"/>
                    </w:rPr>
                  </w:pPr>
                  <w:r>
                    <w:rPr>
                      <w:rFonts w:ascii="Times New Roman"/>
                      <w:color w:val="auto"/>
                      <w:szCs w:val="21"/>
                    </w:rPr>
                    <w:t>NH</w:t>
                  </w:r>
                  <w:r>
                    <w:rPr>
                      <w:rFonts w:ascii="Times New Roman"/>
                      <w:color w:val="auto"/>
                      <w:szCs w:val="21"/>
                      <w:vertAlign w:val="subscript"/>
                    </w:rPr>
                    <w:t>3</w:t>
                  </w:r>
                  <w:r>
                    <w:rPr>
                      <w:rFonts w:ascii="Times New Roman"/>
                      <w:color w:val="auto"/>
                      <w:szCs w:val="21"/>
                    </w:rPr>
                    <w:t>-N</w:t>
                  </w:r>
                </w:p>
              </w:tc>
              <w:tc>
                <w:tcPr>
                  <w:tcW w:w="1594" w:type="pct"/>
                  <w:vMerge w:val="restart"/>
                  <w:vAlign w:val="center"/>
                </w:tcPr>
                <w:p>
                  <w:pPr>
                    <w:adjustRightInd w:val="0"/>
                    <w:snapToGrid w:val="0"/>
                    <w:jc w:val="center"/>
                    <w:rPr>
                      <w:color w:val="auto"/>
                      <w:szCs w:val="21"/>
                    </w:rPr>
                  </w:pPr>
                  <w:r>
                    <w:rPr>
                      <w:color w:val="auto"/>
                      <w:szCs w:val="21"/>
                    </w:rPr>
                    <w:t>《污水排入城镇下水道水质标准》（GB/T31962-2015）表1中标准</w:t>
                  </w:r>
                </w:p>
              </w:tc>
              <w:tc>
                <w:tcPr>
                  <w:tcW w:w="1726" w:type="pct"/>
                  <w:vAlign w:val="center"/>
                </w:tcPr>
                <w:p>
                  <w:pPr>
                    <w:adjustRightInd w:val="0"/>
                    <w:snapToGrid w:val="0"/>
                    <w:jc w:val="center"/>
                    <w:rPr>
                      <w:color w:val="auto"/>
                      <w:szCs w:val="21"/>
                      <w:highlight w:val="yellow"/>
                    </w:rPr>
                  </w:pPr>
                  <w:r>
                    <w:rPr>
                      <w:color w:val="auto"/>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Align w:val="center"/>
                </w:tcPr>
                <w:p>
                  <w:pPr>
                    <w:adjustRightInd w:val="0"/>
                    <w:snapToGrid w:val="0"/>
                    <w:jc w:val="center"/>
                    <w:rPr>
                      <w:color w:val="auto"/>
                      <w:szCs w:val="21"/>
                    </w:rPr>
                  </w:pPr>
                  <w:r>
                    <w:rPr>
                      <w:color w:val="auto"/>
                      <w:szCs w:val="21"/>
                    </w:rPr>
                    <w:t>5</w:t>
                  </w:r>
                </w:p>
              </w:tc>
              <w:tc>
                <w:tcPr>
                  <w:tcW w:w="568" w:type="pct"/>
                  <w:vMerge w:val="continue"/>
                  <w:vAlign w:val="center"/>
                </w:tcPr>
                <w:p>
                  <w:pPr>
                    <w:adjustRightInd w:val="0"/>
                    <w:snapToGrid w:val="0"/>
                    <w:jc w:val="center"/>
                    <w:rPr>
                      <w:color w:val="auto"/>
                      <w:szCs w:val="21"/>
                    </w:rPr>
                  </w:pPr>
                </w:p>
              </w:tc>
              <w:tc>
                <w:tcPr>
                  <w:tcW w:w="644" w:type="pct"/>
                  <w:vAlign w:val="center"/>
                </w:tcPr>
                <w:p>
                  <w:pPr>
                    <w:pStyle w:val="37"/>
                    <w:spacing w:before="24" w:after="24"/>
                    <w:rPr>
                      <w:rFonts w:ascii="Times New Roman"/>
                      <w:color w:val="auto"/>
                      <w:szCs w:val="21"/>
                    </w:rPr>
                  </w:pPr>
                  <w:r>
                    <w:rPr>
                      <w:rFonts w:ascii="Times New Roman"/>
                      <w:color w:val="auto"/>
                      <w:szCs w:val="21"/>
                    </w:rPr>
                    <w:t>TN</w:t>
                  </w:r>
                </w:p>
              </w:tc>
              <w:tc>
                <w:tcPr>
                  <w:tcW w:w="1594" w:type="pct"/>
                  <w:vMerge w:val="continue"/>
                  <w:vAlign w:val="center"/>
                </w:tcPr>
                <w:p>
                  <w:pPr>
                    <w:adjustRightInd w:val="0"/>
                    <w:snapToGrid w:val="0"/>
                    <w:jc w:val="center"/>
                    <w:rPr>
                      <w:color w:val="auto"/>
                      <w:szCs w:val="21"/>
                    </w:rPr>
                  </w:pPr>
                </w:p>
              </w:tc>
              <w:tc>
                <w:tcPr>
                  <w:tcW w:w="1726" w:type="pct"/>
                  <w:vAlign w:val="center"/>
                </w:tcPr>
                <w:p>
                  <w:pPr>
                    <w:adjustRightInd w:val="0"/>
                    <w:snapToGrid w:val="0"/>
                    <w:jc w:val="center"/>
                    <w:rPr>
                      <w:color w:val="auto"/>
                      <w:szCs w:val="21"/>
                      <w:highlight w:val="yellow"/>
                    </w:rPr>
                  </w:pPr>
                  <w:r>
                    <w:rPr>
                      <w:color w:val="auto"/>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Align w:val="center"/>
                </w:tcPr>
                <w:p>
                  <w:pPr>
                    <w:adjustRightInd w:val="0"/>
                    <w:snapToGrid w:val="0"/>
                    <w:jc w:val="center"/>
                    <w:rPr>
                      <w:color w:val="auto"/>
                      <w:szCs w:val="21"/>
                    </w:rPr>
                  </w:pPr>
                  <w:r>
                    <w:rPr>
                      <w:color w:val="auto"/>
                      <w:szCs w:val="21"/>
                    </w:rPr>
                    <w:t>6</w:t>
                  </w:r>
                </w:p>
              </w:tc>
              <w:tc>
                <w:tcPr>
                  <w:tcW w:w="568" w:type="pct"/>
                  <w:vMerge w:val="continue"/>
                </w:tcPr>
                <w:p>
                  <w:pPr>
                    <w:adjustRightInd w:val="0"/>
                    <w:snapToGrid w:val="0"/>
                    <w:jc w:val="center"/>
                    <w:rPr>
                      <w:color w:val="auto"/>
                      <w:szCs w:val="21"/>
                    </w:rPr>
                  </w:pPr>
                </w:p>
              </w:tc>
              <w:tc>
                <w:tcPr>
                  <w:tcW w:w="644" w:type="pct"/>
                  <w:vAlign w:val="center"/>
                </w:tcPr>
                <w:p>
                  <w:pPr>
                    <w:pStyle w:val="37"/>
                    <w:spacing w:before="24" w:after="24"/>
                    <w:rPr>
                      <w:rFonts w:ascii="Times New Roman"/>
                      <w:color w:val="auto"/>
                      <w:szCs w:val="21"/>
                    </w:rPr>
                  </w:pPr>
                  <w:r>
                    <w:rPr>
                      <w:rFonts w:ascii="Times New Roman"/>
                      <w:color w:val="auto"/>
                      <w:szCs w:val="21"/>
                    </w:rPr>
                    <w:t>TP</w:t>
                  </w:r>
                </w:p>
              </w:tc>
              <w:tc>
                <w:tcPr>
                  <w:tcW w:w="1594" w:type="pct"/>
                  <w:vMerge w:val="continue"/>
                </w:tcPr>
                <w:p>
                  <w:pPr>
                    <w:adjustRightInd w:val="0"/>
                    <w:snapToGrid w:val="0"/>
                    <w:jc w:val="center"/>
                    <w:rPr>
                      <w:color w:val="auto"/>
                      <w:szCs w:val="21"/>
                    </w:rPr>
                  </w:pPr>
                </w:p>
              </w:tc>
              <w:tc>
                <w:tcPr>
                  <w:tcW w:w="1726" w:type="pct"/>
                  <w:vAlign w:val="center"/>
                </w:tcPr>
                <w:p>
                  <w:pPr>
                    <w:adjustRightInd w:val="0"/>
                    <w:snapToGrid w:val="0"/>
                    <w:jc w:val="center"/>
                    <w:rPr>
                      <w:color w:val="auto"/>
                      <w:szCs w:val="21"/>
                      <w:highlight w:val="yellow"/>
                    </w:rPr>
                  </w:pPr>
                  <w:r>
                    <w:rPr>
                      <w:color w:val="auto"/>
                      <w:szCs w:val="21"/>
                    </w:rPr>
                    <w:t>≤8</w:t>
                  </w:r>
                </w:p>
              </w:tc>
            </w:tr>
          </w:tbl>
          <w:p>
            <w:pPr>
              <w:adjustRightInd w:val="0"/>
              <w:snapToGrid w:val="0"/>
              <w:spacing w:before="120" w:beforeLines="50"/>
              <w:jc w:val="center"/>
              <w:rPr>
                <w:b/>
                <w:bCs/>
                <w:color w:val="auto"/>
                <w:sz w:val="24"/>
              </w:rPr>
            </w:pPr>
            <w:r>
              <w:rPr>
                <w:b/>
                <w:bCs/>
                <w:color w:val="auto"/>
                <w:sz w:val="24"/>
              </w:rPr>
              <w:t>表3-13  污水处理厂尾水排放标准表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984"/>
              <w:gridCol w:w="3663"/>
              <w:gridCol w:w="1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93" w:type="dxa"/>
                  <w:vMerge w:val="restart"/>
                  <w:vAlign w:val="center"/>
                </w:tcPr>
                <w:p>
                  <w:pPr>
                    <w:adjustRightInd w:val="0"/>
                    <w:snapToGrid w:val="0"/>
                    <w:jc w:val="center"/>
                    <w:rPr>
                      <w:b/>
                      <w:color w:val="auto"/>
                      <w:szCs w:val="18"/>
                    </w:rPr>
                  </w:pPr>
                  <w:r>
                    <w:rPr>
                      <w:b/>
                      <w:color w:val="auto"/>
                      <w:szCs w:val="18"/>
                    </w:rPr>
                    <w:t>序号</w:t>
                  </w:r>
                </w:p>
              </w:tc>
              <w:tc>
                <w:tcPr>
                  <w:tcW w:w="1984" w:type="dxa"/>
                  <w:vMerge w:val="restart"/>
                  <w:vAlign w:val="center"/>
                </w:tcPr>
                <w:p>
                  <w:pPr>
                    <w:adjustRightInd w:val="0"/>
                    <w:snapToGrid w:val="0"/>
                    <w:jc w:val="center"/>
                    <w:rPr>
                      <w:b/>
                      <w:color w:val="auto"/>
                      <w:szCs w:val="18"/>
                    </w:rPr>
                  </w:pPr>
                  <w:r>
                    <w:rPr>
                      <w:b/>
                      <w:color w:val="auto"/>
                      <w:szCs w:val="18"/>
                    </w:rPr>
                    <w:t>污染物种类</w:t>
                  </w:r>
                </w:p>
              </w:tc>
              <w:tc>
                <w:tcPr>
                  <w:tcW w:w="5490" w:type="dxa"/>
                  <w:gridSpan w:val="2"/>
                  <w:tcMar>
                    <w:top w:w="0" w:type="dxa"/>
                    <w:left w:w="0" w:type="dxa"/>
                    <w:bottom w:w="0" w:type="dxa"/>
                    <w:right w:w="0" w:type="dxa"/>
                  </w:tcMar>
                  <w:vAlign w:val="center"/>
                </w:tcPr>
                <w:p>
                  <w:pPr>
                    <w:adjustRightInd w:val="0"/>
                    <w:snapToGrid w:val="0"/>
                    <w:jc w:val="center"/>
                    <w:rPr>
                      <w:b/>
                      <w:color w:val="auto"/>
                      <w:szCs w:val="18"/>
                    </w:rPr>
                  </w:pPr>
                  <w:r>
                    <w:rPr>
                      <w:b/>
                      <w:color w:val="auto"/>
                      <w:szCs w:val="18"/>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vMerge w:val="continue"/>
                  <w:vAlign w:val="center"/>
                </w:tcPr>
                <w:p>
                  <w:pPr>
                    <w:adjustRightInd w:val="0"/>
                    <w:snapToGrid w:val="0"/>
                    <w:jc w:val="center"/>
                    <w:rPr>
                      <w:b/>
                      <w:color w:val="auto"/>
                      <w:szCs w:val="18"/>
                    </w:rPr>
                  </w:pPr>
                </w:p>
              </w:tc>
              <w:tc>
                <w:tcPr>
                  <w:tcW w:w="1984" w:type="dxa"/>
                  <w:vMerge w:val="continue"/>
                  <w:vAlign w:val="center"/>
                </w:tcPr>
                <w:p>
                  <w:pPr>
                    <w:adjustRightInd w:val="0"/>
                    <w:snapToGrid w:val="0"/>
                    <w:jc w:val="center"/>
                    <w:rPr>
                      <w:b/>
                      <w:color w:val="auto"/>
                      <w:szCs w:val="18"/>
                    </w:rPr>
                  </w:pPr>
                </w:p>
              </w:tc>
              <w:tc>
                <w:tcPr>
                  <w:tcW w:w="3663" w:type="dxa"/>
                  <w:vAlign w:val="center"/>
                </w:tcPr>
                <w:p>
                  <w:pPr>
                    <w:adjustRightInd w:val="0"/>
                    <w:snapToGrid w:val="0"/>
                    <w:jc w:val="center"/>
                    <w:rPr>
                      <w:b/>
                      <w:color w:val="auto"/>
                      <w:szCs w:val="18"/>
                    </w:rPr>
                  </w:pPr>
                  <w:r>
                    <w:rPr>
                      <w:b/>
                      <w:color w:val="auto"/>
                      <w:szCs w:val="18"/>
                    </w:rPr>
                    <w:t>名称</w:t>
                  </w:r>
                </w:p>
              </w:tc>
              <w:tc>
                <w:tcPr>
                  <w:tcW w:w="1827" w:type="dxa"/>
                  <w:tcMar>
                    <w:top w:w="0" w:type="dxa"/>
                    <w:left w:w="0" w:type="dxa"/>
                    <w:bottom w:w="0" w:type="dxa"/>
                    <w:right w:w="0" w:type="dxa"/>
                  </w:tcMar>
                  <w:vAlign w:val="center"/>
                </w:tcPr>
                <w:p>
                  <w:pPr>
                    <w:adjustRightInd w:val="0"/>
                    <w:snapToGrid w:val="0"/>
                    <w:jc w:val="center"/>
                    <w:rPr>
                      <w:b/>
                      <w:color w:val="auto"/>
                      <w:szCs w:val="18"/>
                    </w:rPr>
                  </w:pPr>
                  <w:r>
                    <w:rPr>
                      <w:b/>
                      <w:color w:val="auto"/>
                      <w:szCs w:val="18"/>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93" w:type="dxa"/>
                  <w:vAlign w:val="center"/>
                </w:tcPr>
                <w:p>
                  <w:pPr>
                    <w:adjustRightInd w:val="0"/>
                    <w:snapToGrid w:val="0"/>
                    <w:jc w:val="center"/>
                    <w:rPr>
                      <w:color w:val="auto"/>
                      <w:szCs w:val="18"/>
                    </w:rPr>
                  </w:pPr>
                  <w:r>
                    <w:rPr>
                      <w:color w:val="auto"/>
                      <w:szCs w:val="18"/>
                    </w:rPr>
                    <w:t>1</w:t>
                  </w:r>
                </w:p>
              </w:tc>
              <w:tc>
                <w:tcPr>
                  <w:tcW w:w="1984" w:type="dxa"/>
                  <w:tcMar>
                    <w:top w:w="0" w:type="dxa"/>
                    <w:left w:w="0" w:type="dxa"/>
                    <w:bottom w:w="0" w:type="dxa"/>
                    <w:right w:w="0" w:type="dxa"/>
                  </w:tcMar>
                  <w:vAlign w:val="center"/>
                </w:tcPr>
                <w:p>
                  <w:pPr>
                    <w:adjustRightInd w:val="0"/>
                    <w:snapToGrid w:val="0"/>
                    <w:jc w:val="center"/>
                    <w:rPr>
                      <w:color w:val="auto"/>
                      <w:szCs w:val="18"/>
                    </w:rPr>
                  </w:pPr>
                  <w:r>
                    <w:rPr>
                      <w:color w:val="auto"/>
                      <w:szCs w:val="18"/>
                    </w:rPr>
                    <w:t>pH（无量纲）</w:t>
                  </w:r>
                </w:p>
              </w:tc>
              <w:tc>
                <w:tcPr>
                  <w:tcW w:w="3663" w:type="dxa"/>
                  <w:vMerge w:val="restart"/>
                  <w:vAlign w:val="center"/>
                </w:tcPr>
                <w:p>
                  <w:pPr>
                    <w:adjustRightInd w:val="0"/>
                    <w:snapToGrid w:val="0"/>
                    <w:jc w:val="center"/>
                    <w:rPr>
                      <w:color w:val="auto"/>
                      <w:szCs w:val="18"/>
                    </w:rPr>
                  </w:pPr>
                  <w:r>
                    <w:rPr>
                      <w:color w:val="auto"/>
                      <w:szCs w:val="18"/>
                    </w:rPr>
                    <w:t>《城镇污水处理厂污染物排放标准》（GB18918-2002）表1中的一级标准A标准</w:t>
                  </w:r>
                </w:p>
              </w:tc>
              <w:tc>
                <w:tcPr>
                  <w:tcW w:w="1827" w:type="dxa"/>
                  <w:vAlign w:val="center"/>
                </w:tcPr>
                <w:p>
                  <w:pPr>
                    <w:adjustRightInd w:val="0"/>
                    <w:snapToGrid w:val="0"/>
                    <w:jc w:val="center"/>
                    <w:rPr>
                      <w:color w:val="auto"/>
                      <w:szCs w:val="18"/>
                    </w:rPr>
                  </w:pPr>
                  <w:r>
                    <w:rPr>
                      <w:color w:val="auto"/>
                      <w:szCs w:val="18"/>
                    </w:rPr>
                    <w:t>6</w:t>
                  </w:r>
                  <w:r>
                    <w:rPr>
                      <w:rFonts w:hint="eastAsia"/>
                      <w:color w:val="auto"/>
                      <w:szCs w:val="18"/>
                    </w:rPr>
                    <w:t>-</w:t>
                  </w:r>
                  <w:r>
                    <w:rPr>
                      <w:color w:val="auto"/>
                      <w:szCs w:val="18"/>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93" w:type="dxa"/>
                  <w:vAlign w:val="center"/>
                </w:tcPr>
                <w:p>
                  <w:pPr>
                    <w:adjustRightInd w:val="0"/>
                    <w:snapToGrid w:val="0"/>
                    <w:jc w:val="center"/>
                    <w:rPr>
                      <w:color w:val="auto"/>
                      <w:szCs w:val="18"/>
                    </w:rPr>
                  </w:pPr>
                  <w:r>
                    <w:rPr>
                      <w:color w:val="auto"/>
                      <w:szCs w:val="18"/>
                    </w:rPr>
                    <w:t>2</w:t>
                  </w:r>
                </w:p>
              </w:tc>
              <w:tc>
                <w:tcPr>
                  <w:tcW w:w="1984" w:type="dxa"/>
                  <w:vAlign w:val="center"/>
                </w:tcPr>
                <w:p>
                  <w:pPr>
                    <w:adjustRightInd w:val="0"/>
                    <w:snapToGrid w:val="0"/>
                    <w:jc w:val="center"/>
                    <w:rPr>
                      <w:color w:val="auto"/>
                      <w:szCs w:val="18"/>
                    </w:rPr>
                  </w:pPr>
                  <w:r>
                    <w:rPr>
                      <w:color w:val="auto"/>
                      <w:szCs w:val="18"/>
                    </w:rPr>
                    <w:t>SS</w:t>
                  </w:r>
                </w:p>
              </w:tc>
              <w:tc>
                <w:tcPr>
                  <w:tcW w:w="3663" w:type="dxa"/>
                  <w:vMerge w:val="continue"/>
                  <w:vAlign w:val="center"/>
                </w:tcPr>
                <w:p>
                  <w:pPr>
                    <w:adjustRightInd w:val="0"/>
                    <w:snapToGrid w:val="0"/>
                    <w:jc w:val="center"/>
                    <w:rPr>
                      <w:color w:val="auto"/>
                      <w:szCs w:val="18"/>
                    </w:rPr>
                  </w:pPr>
                </w:p>
              </w:tc>
              <w:tc>
                <w:tcPr>
                  <w:tcW w:w="1827" w:type="dxa"/>
                  <w:vAlign w:val="center"/>
                </w:tcPr>
                <w:p>
                  <w:pPr>
                    <w:adjustRightInd w:val="0"/>
                    <w:snapToGrid w:val="0"/>
                    <w:jc w:val="center"/>
                    <w:rPr>
                      <w:color w:val="auto"/>
                      <w:szCs w:val="18"/>
                    </w:rPr>
                  </w:pPr>
                  <w:r>
                    <w:rPr>
                      <w:color w:val="auto"/>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93" w:type="dxa"/>
                  <w:vAlign w:val="center"/>
                </w:tcPr>
                <w:p>
                  <w:pPr>
                    <w:adjustRightInd w:val="0"/>
                    <w:snapToGrid w:val="0"/>
                    <w:jc w:val="center"/>
                    <w:rPr>
                      <w:color w:val="auto"/>
                      <w:szCs w:val="18"/>
                    </w:rPr>
                  </w:pPr>
                  <w:r>
                    <w:rPr>
                      <w:rFonts w:hint="eastAsia"/>
                      <w:color w:val="auto"/>
                      <w:szCs w:val="18"/>
                    </w:rPr>
                    <w:t>3</w:t>
                  </w:r>
                </w:p>
              </w:tc>
              <w:tc>
                <w:tcPr>
                  <w:tcW w:w="1984" w:type="dxa"/>
                  <w:vAlign w:val="center"/>
                </w:tcPr>
                <w:p>
                  <w:pPr>
                    <w:adjustRightInd w:val="0"/>
                    <w:snapToGrid w:val="0"/>
                    <w:jc w:val="center"/>
                    <w:rPr>
                      <w:color w:val="auto"/>
                      <w:szCs w:val="18"/>
                    </w:rPr>
                  </w:pPr>
                  <w:r>
                    <w:rPr>
                      <w:color w:val="auto"/>
                      <w:szCs w:val="18"/>
                    </w:rPr>
                    <w:t>COD</w:t>
                  </w:r>
                </w:p>
              </w:tc>
              <w:tc>
                <w:tcPr>
                  <w:tcW w:w="3663" w:type="dxa"/>
                  <w:vMerge w:val="restart"/>
                  <w:tcMar>
                    <w:top w:w="0" w:type="dxa"/>
                    <w:left w:w="0" w:type="dxa"/>
                    <w:bottom w:w="0" w:type="dxa"/>
                    <w:right w:w="0" w:type="dxa"/>
                  </w:tcMar>
                  <w:vAlign w:val="center"/>
                </w:tcPr>
                <w:p>
                  <w:pPr>
                    <w:adjustRightInd w:val="0"/>
                    <w:snapToGrid w:val="0"/>
                    <w:jc w:val="center"/>
                    <w:rPr>
                      <w:color w:val="auto"/>
                      <w:szCs w:val="18"/>
                    </w:rPr>
                  </w:pPr>
                  <w:r>
                    <w:rPr>
                      <w:color w:val="auto"/>
                      <w:szCs w:val="18"/>
                    </w:rPr>
                    <w:t>优于《太湖地区城镇污水处理厂及重点工业行业主要水污染物排放限值》（DB32/1072-2018）表2标准</w:t>
                  </w:r>
                </w:p>
              </w:tc>
              <w:tc>
                <w:tcPr>
                  <w:tcW w:w="1827" w:type="dxa"/>
                  <w:vAlign w:val="center"/>
                </w:tcPr>
                <w:p>
                  <w:pPr>
                    <w:adjustRightInd w:val="0"/>
                    <w:snapToGrid w:val="0"/>
                    <w:jc w:val="center"/>
                    <w:rPr>
                      <w:color w:val="auto"/>
                      <w:szCs w:val="18"/>
                    </w:rPr>
                  </w:pPr>
                  <w:r>
                    <w:rPr>
                      <w:color w:val="auto"/>
                      <w:szCs w:val="18"/>
                    </w:rPr>
                    <w:t>≤</w:t>
                  </w:r>
                  <w:r>
                    <w:rPr>
                      <w:rFonts w:hint="eastAsia"/>
                      <w:color w:val="auto"/>
                      <w:szCs w:val="18"/>
                    </w:rPr>
                    <w:t>3</w:t>
                  </w:r>
                  <w:r>
                    <w:rPr>
                      <w:color w:val="auto"/>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93" w:type="dxa"/>
                  <w:vAlign w:val="center"/>
                </w:tcPr>
                <w:p>
                  <w:pPr>
                    <w:adjustRightInd w:val="0"/>
                    <w:snapToGrid w:val="0"/>
                    <w:jc w:val="center"/>
                    <w:rPr>
                      <w:color w:val="auto"/>
                      <w:szCs w:val="18"/>
                    </w:rPr>
                  </w:pPr>
                  <w:r>
                    <w:rPr>
                      <w:rFonts w:hint="eastAsia"/>
                      <w:color w:val="auto"/>
                      <w:szCs w:val="18"/>
                    </w:rPr>
                    <w:t>4</w:t>
                  </w:r>
                </w:p>
              </w:tc>
              <w:tc>
                <w:tcPr>
                  <w:tcW w:w="1984" w:type="dxa"/>
                  <w:vAlign w:val="center"/>
                </w:tcPr>
                <w:p>
                  <w:pPr>
                    <w:adjustRightInd w:val="0"/>
                    <w:snapToGrid w:val="0"/>
                    <w:jc w:val="center"/>
                    <w:rPr>
                      <w:color w:val="auto"/>
                      <w:szCs w:val="18"/>
                    </w:rPr>
                  </w:pPr>
                  <w:r>
                    <w:rPr>
                      <w:color w:val="auto"/>
                      <w:szCs w:val="18"/>
                    </w:rPr>
                    <w:t>NH</w:t>
                  </w:r>
                  <w:r>
                    <w:rPr>
                      <w:color w:val="auto"/>
                      <w:szCs w:val="18"/>
                      <w:vertAlign w:val="subscript"/>
                    </w:rPr>
                    <w:t>3</w:t>
                  </w:r>
                  <w:r>
                    <w:rPr>
                      <w:color w:val="auto"/>
                      <w:szCs w:val="18"/>
                    </w:rPr>
                    <w:t>-N</w:t>
                  </w:r>
                </w:p>
              </w:tc>
              <w:tc>
                <w:tcPr>
                  <w:tcW w:w="3663" w:type="dxa"/>
                  <w:vMerge w:val="continue"/>
                  <w:vAlign w:val="center"/>
                </w:tcPr>
                <w:p>
                  <w:pPr>
                    <w:adjustRightInd w:val="0"/>
                    <w:snapToGrid w:val="0"/>
                    <w:jc w:val="center"/>
                    <w:rPr>
                      <w:color w:val="auto"/>
                      <w:szCs w:val="18"/>
                    </w:rPr>
                  </w:pPr>
                </w:p>
              </w:tc>
              <w:tc>
                <w:tcPr>
                  <w:tcW w:w="1827" w:type="dxa"/>
                  <w:vAlign w:val="center"/>
                </w:tcPr>
                <w:p>
                  <w:pPr>
                    <w:adjustRightInd w:val="0"/>
                    <w:snapToGrid w:val="0"/>
                    <w:jc w:val="center"/>
                    <w:rPr>
                      <w:color w:val="auto"/>
                      <w:szCs w:val="18"/>
                    </w:rPr>
                  </w:pPr>
                  <w:r>
                    <w:rPr>
                      <w:color w:val="auto"/>
                      <w:szCs w:val="18"/>
                    </w:rPr>
                    <w:t>≤</w:t>
                  </w:r>
                  <w:r>
                    <w:rPr>
                      <w:rFonts w:hint="eastAsia"/>
                      <w:color w:val="auto"/>
                      <w:szCs w:val="18"/>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93" w:type="dxa"/>
                  <w:vAlign w:val="center"/>
                </w:tcPr>
                <w:p>
                  <w:pPr>
                    <w:adjustRightInd w:val="0"/>
                    <w:snapToGrid w:val="0"/>
                    <w:jc w:val="center"/>
                    <w:rPr>
                      <w:color w:val="auto"/>
                      <w:szCs w:val="18"/>
                    </w:rPr>
                  </w:pPr>
                  <w:r>
                    <w:rPr>
                      <w:rFonts w:hint="eastAsia"/>
                      <w:color w:val="auto"/>
                      <w:szCs w:val="18"/>
                    </w:rPr>
                    <w:t>5</w:t>
                  </w:r>
                </w:p>
              </w:tc>
              <w:tc>
                <w:tcPr>
                  <w:tcW w:w="1984" w:type="dxa"/>
                  <w:vAlign w:val="center"/>
                </w:tcPr>
                <w:p>
                  <w:pPr>
                    <w:adjustRightInd w:val="0"/>
                    <w:snapToGrid w:val="0"/>
                    <w:jc w:val="center"/>
                    <w:rPr>
                      <w:color w:val="auto"/>
                      <w:szCs w:val="18"/>
                    </w:rPr>
                  </w:pPr>
                  <w:r>
                    <w:rPr>
                      <w:color w:val="auto"/>
                      <w:szCs w:val="18"/>
                    </w:rPr>
                    <w:t>TP</w:t>
                  </w:r>
                </w:p>
              </w:tc>
              <w:tc>
                <w:tcPr>
                  <w:tcW w:w="3663" w:type="dxa"/>
                  <w:vMerge w:val="continue"/>
                  <w:vAlign w:val="center"/>
                </w:tcPr>
                <w:p>
                  <w:pPr>
                    <w:adjustRightInd w:val="0"/>
                    <w:snapToGrid w:val="0"/>
                    <w:jc w:val="center"/>
                    <w:rPr>
                      <w:color w:val="auto"/>
                      <w:szCs w:val="18"/>
                    </w:rPr>
                  </w:pPr>
                </w:p>
              </w:tc>
              <w:tc>
                <w:tcPr>
                  <w:tcW w:w="1827" w:type="dxa"/>
                  <w:vAlign w:val="center"/>
                </w:tcPr>
                <w:p>
                  <w:pPr>
                    <w:adjustRightInd w:val="0"/>
                    <w:snapToGrid w:val="0"/>
                    <w:jc w:val="center"/>
                    <w:rPr>
                      <w:color w:val="auto"/>
                      <w:szCs w:val="18"/>
                    </w:rPr>
                  </w:pPr>
                  <w:r>
                    <w:rPr>
                      <w:color w:val="auto"/>
                      <w:szCs w:val="18"/>
                    </w:rPr>
                    <w:t>≤0.</w:t>
                  </w:r>
                  <w:r>
                    <w:rPr>
                      <w:rFonts w:hint="eastAsia"/>
                      <w:color w:val="auto"/>
                      <w:szCs w:val="18"/>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93" w:type="dxa"/>
                  <w:vAlign w:val="center"/>
                </w:tcPr>
                <w:p>
                  <w:pPr>
                    <w:adjustRightInd w:val="0"/>
                    <w:snapToGrid w:val="0"/>
                    <w:jc w:val="center"/>
                    <w:rPr>
                      <w:color w:val="auto"/>
                      <w:szCs w:val="18"/>
                    </w:rPr>
                  </w:pPr>
                  <w:r>
                    <w:rPr>
                      <w:rFonts w:hint="eastAsia"/>
                      <w:color w:val="auto"/>
                      <w:szCs w:val="18"/>
                    </w:rPr>
                    <w:t>6</w:t>
                  </w:r>
                </w:p>
              </w:tc>
              <w:tc>
                <w:tcPr>
                  <w:tcW w:w="1984" w:type="dxa"/>
                  <w:vAlign w:val="center"/>
                </w:tcPr>
                <w:p>
                  <w:pPr>
                    <w:adjustRightInd w:val="0"/>
                    <w:snapToGrid w:val="0"/>
                    <w:jc w:val="center"/>
                    <w:rPr>
                      <w:color w:val="auto"/>
                      <w:szCs w:val="18"/>
                    </w:rPr>
                  </w:pPr>
                  <w:r>
                    <w:rPr>
                      <w:color w:val="auto"/>
                      <w:szCs w:val="18"/>
                    </w:rPr>
                    <w:t>TN</w:t>
                  </w:r>
                </w:p>
              </w:tc>
              <w:tc>
                <w:tcPr>
                  <w:tcW w:w="3663" w:type="dxa"/>
                  <w:vAlign w:val="center"/>
                </w:tcPr>
                <w:p>
                  <w:pPr>
                    <w:adjustRightInd w:val="0"/>
                    <w:snapToGrid w:val="0"/>
                    <w:jc w:val="center"/>
                    <w:rPr>
                      <w:color w:val="auto"/>
                      <w:szCs w:val="18"/>
                    </w:rPr>
                  </w:pPr>
                  <w:r>
                    <w:rPr>
                      <w:color w:val="auto"/>
                      <w:szCs w:val="18"/>
                    </w:rPr>
                    <w:t>/</w:t>
                  </w:r>
                </w:p>
              </w:tc>
              <w:tc>
                <w:tcPr>
                  <w:tcW w:w="1827" w:type="dxa"/>
                  <w:vAlign w:val="center"/>
                </w:tcPr>
                <w:p>
                  <w:pPr>
                    <w:adjustRightInd w:val="0"/>
                    <w:snapToGrid w:val="0"/>
                    <w:jc w:val="center"/>
                    <w:rPr>
                      <w:color w:val="auto"/>
                      <w:szCs w:val="18"/>
                    </w:rPr>
                  </w:pPr>
                  <w:r>
                    <w:rPr>
                      <w:color w:val="auto"/>
                      <w:szCs w:val="18"/>
                    </w:rPr>
                    <w:t>≤10</w:t>
                  </w:r>
                </w:p>
              </w:tc>
            </w:tr>
          </w:tbl>
          <w:p>
            <w:pPr>
              <w:tabs>
                <w:tab w:val="left" w:pos="5142"/>
              </w:tabs>
              <w:adjustRightInd w:val="0"/>
              <w:snapToGrid w:val="0"/>
              <w:spacing w:before="120" w:beforeLines="50" w:line="360" w:lineRule="auto"/>
              <w:rPr>
                <w:b/>
                <w:bCs/>
                <w:snapToGrid w:val="0"/>
                <w:color w:val="auto"/>
                <w:kern w:val="0"/>
                <w:sz w:val="24"/>
              </w:rPr>
            </w:pPr>
            <w:r>
              <w:rPr>
                <w:b/>
                <w:bCs/>
                <w:snapToGrid w:val="0"/>
                <w:color w:val="auto"/>
                <w:kern w:val="0"/>
                <w:sz w:val="24"/>
              </w:rPr>
              <w:t>3、厂界噪声排放标准</w:t>
            </w:r>
          </w:p>
          <w:p>
            <w:pPr>
              <w:autoSpaceDE w:val="0"/>
              <w:autoSpaceDN w:val="0"/>
              <w:adjustRightInd w:val="0"/>
              <w:spacing w:line="360" w:lineRule="auto"/>
              <w:ind w:firstLine="480" w:firstLineChars="200"/>
              <w:rPr>
                <w:b/>
                <w:bCs/>
                <w:color w:val="auto"/>
                <w:sz w:val="24"/>
              </w:rPr>
            </w:pPr>
            <w:r>
              <w:rPr>
                <w:color w:val="auto"/>
                <w:sz w:val="24"/>
              </w:rPr>
              <w:t>厂界噪声执行《工业企业厂界环境噪声排放标准》（GB12348-2008）中的3类标准，</w:t>
            </w:r>
            <w:r>
              <w:rPr>
                <w:rFonts w:hint="eastAsia"/>
                <w:color w:val="auto"/>
                <w:sz w:val="24"/>
              </w:rPr>
              <w:t>具体标准限值</w:t>
            </w:r>
            <w:r>
              <w:rPr>
                <w:color w:val="auto"/>
                <w:sz w:val="24"/>
              </w:rPr>
              <w:t>见表3-14。</w:t>
            </w:r>
          </w:p>
          <w:p>
            <w:pPr>
              <w:tabs>
                <w:tab w:val="left" w:pos="752"/>
              </w:tabs>
              <w:jc w:val="center"/>
              <w:rPr>
                <w:b/>
                <w:bCs/>
                <w:color w:val="auto"/>
                <w:sz w:val="24"/>
              </w:rPr>
            </w:pPr>
            <w:r>
              <w:rPr>
                <w:b/>
                <w:bCs/>
                <w:color w:val="auto"/>
                <w:sz w:val="24"/>
              </w:rPr>
              <w:t xml:space="preserve">表3-14  </w:t>
            </w:r>
            <w:r>
              <w:rPr>
                <w:b/>
                <w:bCs/>
                <w:color w:val="auto"/>
                <w:spacing w:val="-6"/>
                <w:sz w:val="24"/>
              </w:rPr>
              <w:t>厂界噪声排放限值</w:t>
            </w:r>
          </w:p>
          <w:tbl>
            <w:tblPr>
              <w:tblStyle w:val="28"/>
              <w:tblW w:w="83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22"/>
              <w:gridCol w:w="2379"/>
              <w:gridCol w:w="2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22" w:type="dxa"/>
                  <w:tcBorders>
                    <w:top w:val="single" w:color="auto" w:sz="12" w:space="0"/>
                    <w:bottom w:val="single" w:color="auto" w:sz="4" w:space="0"/>
                    <w:right w:val="single" w:color="auto" w:sz="4" w:space="0"/>
                  </w:tcBorders>
                  <w:vAlign w:val="center"/>
                </w:tcPr>
                <w:p>
                  <w:pPr>
                    <w:spacing w:line="240" w:lineRule="atLeast"/>
                    <w:jc w:val="center"/>
                    <w:rPr>
                      <w:b/>
                      <w:bCs/>
                      <w:color w:val="auto"/>
                      <w:szCs w:val="21"/>
                    </w:rPr>
                  </w:pPr>
                  <w:r>
                    <w:rPr>
                      <w:b/>
                      <w:bCs/>
                      <w:color w:val="auto"/>
                      <w:szCs w:val="21"/>
                    </w:rPr>
                    <w:t>类别</w:t>
                  </w:r>
                </w:p>
              </w:tc>
              <w:tc>
                <w:tcPr>
                  <w:tcW w:w="2379" w:type="dxa"/>
                  <w:tcBorders>
                    <w:top w:val="single" w:color="auto" w:sz="12" w:space="0"/>
                    <w:left w:val="single" w:color="auto" w:sz="4" w:space="0"/>
                    <w:bottom w:val="single" w:color="auto" w:sz="4" w:space="0"/>
                    <w:right w:val="single" w:color="auto" w:sz="4" w:space="0"/>
                  </w:tcBorders>
                  <w:vAlign w:val="center"/>
                </w:tcPr>
                <w:p>
                  <w:pPr>
                    <w:spacing w:line="240" w:lineRule="atLeast"/>
                    <w:jc w:val="center"/>
                    <w:rPr>
                      <w:b/>
                      <w:bCs/>
                      <w:color w:val="auto"/>
                      <w:szCs w:val="21"/>
                    </w:rPr>
                  </w:pPr>
                  <w:r>
                    <w:rPr>
                      <w:b/>
                      <w:bCs/>
                      <w:color w:val="auto"/>
                      <w:szCs w:val="21"/>
                    </w:rPr>
                    <w:t>昼间（</w:t>
                  </w:r>
                  <w:r>
                    <w:rPr>
                      <w:b/>
                      <w:color w:val="auto"/>
                      <w:szCs w:val="21"/>
                    </w:rPr>
                    <w:t>dB（A）</w:t>
                  </w:r>
                  <w:r>
                    <w:rPr>
                      <w:b/>
                      <w:bCs/>
                      <w:color w:val="auto"/>
                      <w:szCs w:val="21"/>
                    </w:rPr>
                    <w:t>）</w:t>
                  </w:r>
                </w:p>
              </w:tc>
              <w:tc>
                <w:tcPr>
                  <w:tcW w:w="2858" w:type="dxa"/>
                  <w:tcBorders>
                    <w:top w:val="single" w:color="auto" w:sz="12" w:space="0"/>
                    <w:left w:val="single" w:color="auto" w:sz="4" w:space="0"/>
                    <w:bottom w:val="single" w:color="auto" w:sz="4" w:space="0"/>
                  </w:tcBorders>
                  <w:vAlign w:val="center"/>
                </w:tcPr>
                <w:p>
                  <w:pPr>
                    <w:spacing w:line="240" w:lineRule="atLeast"/>
                    <w:jc w:val="center"/>
                    <w:rPr>
                      <w:b/>
                      <w:bCs/>
                      <w:color w:val="auto"/>
                      <w:szCs w:val="21"/>
                    </w:rPr>
                  </w:pPr>
                  <w:r>
                    <w:rPr>
                      <w:b/>
                      <w:bCs/>
                      <w:color w:val="auto"/>
                      <w:szCs w:val="21"/>
                    </w:rPr>
                    <w:t>夜间（</w:t>
                  </w:r>
                  <w:r>
                    <w:rPr>
                      <w:b/>
                      <w:color w:val="auto"/>
                      <w:szCs w:val="21"/>
                    </w:rPr>
                    <w:t>dB（A）</w:t>
                  </w:r>
                  <w:r>
                    <w:rPr>
                      <w:b/>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2" w:type="dxa"/>
                  <w:tcBorders>
                    <w:top w:val="single" w:color="auto" w:sz="4" w:space="0"/>
                    <w:bottom w:val="single" w:color="auto" w:sz="12" w:space="0"/>
                    <w:right w:val="single" w:color="auto" w:sz="4" w:space="0"/>
                  </w:tcBorders>
                  <w:vAlign w:val="center"/>
                </w:tcPr>
                <w:p>
                  <w:pPr>
                    <w:spacing w:line="240" w:lineRule="atLeast"/>
                    <w:jc w:val="center"/>
                    <w:rPr>
                      <w:color w:val="auto"/>
                      <w:szCs w:val="21"/>
                    </w:rPr>
                  </w:pPr>
                  <w:r>
                    <w:rPr>
                      <w:color w:val="auto"/>
                      <w:szCs w:val="21"/>
                    </w:rPr>
                    <w:t>3类</w:t>
                  </w:r>
                </w:p>
              </w:tc>
              <w:tc>
                <w:tcPr>
                  <w:tcW w:w="2379"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color w:val="auto"/>
                      <w:szCs w:val="21"/>
                    </w:rPr>
                    <w:t>65</w:t>
                  </w:r>
                </w:p>
              </w:tc>
              <w:tc>
                <w:tcPr>
                  <w:tcW w:w="2858" w:type="dxa"/>
                  <w:tcBorders>
                    <w:top w:val="single" w:color="auto" w:sz="4" w:space="0"/>
                    <w:left w:val="single" w:color="auto" w:sz="4" w:space="0"/>
                    <w:bottom w:val="single" w:color="auto" w:sz="12" w:space="0"/>
                  </w:tcBorders>
                  <w:vAlign w:val="center"/>
                </w:tcPr>
                <w:p>
                  <w:pPr>
                    <w:jc w:val="center"/>
                    <w:rPr>
                      <w:color w:val="auto"/>
                      <w:szCs w:val="21"/>
                    </w:rPr>
                  </w:pPr>
                  <w:r>
                    <w:rPr>
                      <w:color w:val="auto"/>
                      <w:szCs w:val="21"/>
                    </w:rPr>
                    <w:t>55</w:t>
                  </w:r>
                </w:p>
              </w:tc>
            </w:tr>
          </w:tbl>
          <w:p>
            <w:pPr>
              <w:tabs>
                <w:tab w:val="left" w:pos="5142"/>
              </w:tabs>
              <w:adjustRightInd w:val="0"/>
              <w:snapToGrid w:val="0"/>
              <w:spacing w:before="120" w:beforeLines="50" w:line="360" w:lineRule="auto"/>
              <w:rPr>
                <w:b/>
                <w:bCs/>
                <w:snapToGrid w:val="0"/>
                <w:color w:val="auto"/>
                <w:kern w:val="0"/>
                <w:sz w:val="24"/>
              </w:rPr>
            </w:pPr>
            <w:r>
              <w:rPr>
                <w:b/>
                <w:bCs/>
                <w:snapToGrid w:val="0"/>
                <w:color w:val="auto"/>
                <w:kern w:val="0"/>
                <w:sz w:val="24"/>
              </w:rPr>
              <w:t>4、固废控制标准</w:t>
            </w:r>
          </w:p>
          <w:p>
            <w:pPr>
              <w:tabs>
                <w:tab w:val="left" w:pos="5142"/>
              </w:tabs>
              <w:adjustRightInd w:val="0"/>
              <w:snapToGrid w:val="0"/>
              <w:spacing w:line="360" w:lineRule="auto"/>
              <w:ind w:firstLine="480" w:firstLineChars="200"/>
              <w:rPr>
                <w:color w:val="auto"/>
                <w:kern w:val="0"/>
                <w:szCs w:val="21"/>
              </w:rPr>
            </w:pPr>
            <w:r>
              <w:rPr>
                <w:color w:val="auto"/>
                <w:sz w:val="24"/>
              </w:rPr>
              <w:t>生活垃圾贮存、处置执行建设部2007年第157号令《城市生活垃圾管理办法》；</w:t>
            </w:r>
            <w:r>
              <w:rPr>
                <w:color w:val="auto"/>
                <w:kern w:val="0"/>
                <w:sz w:val="24"/>
              </w:rPr>
              <w:t>一般工业固废执行</w:t>
            </w:r>
            <w:r>
              <w:rPr>
                <w:color w:val="auto"/>
                <w:sz w:val="24"/>
              </w:rPr>
              <w:t>《一般工业固体废物贮存和填埋污染控制标准》（GB18599-2020）</w:t>
            </w:r>
            <w:r>
              <w:rPr>
                <w:color w:val="auto"/>
                <w:kern w:val="0"/>
                <w:sz w:val="24"/>
              </w:rPr>
              <w:t>；危险废物执行</w:t>
            </w:r>
            <w:r>
              <w:rPr>
                <w:rFonts w:hint="eastAsia"/>
                <w:color w:val="auto"/>
                <w:kern w:val="0"/>
                <w:sz w:val="24"/>
              </w:rPr>
              <w:t>《危险废物贮存污染控制标准》（GB18597-2023）</w:t>
            </w:r>
            <w:r>
              <w:rPr>
                <w:rFonts w:hint="eastAsia"/>
                <w:color w:val="auto"/>
                <w:sz w:val="24"/>
                <w:szCs w:val="32"/>
              </w:rPr>
              <w:t>和《省生态环境厅关于进一步加强危险废物污染防治工作的实施意见》（苏环办[2019]327号）</w:t>
            </w:r>
            <w:r>
              <w:rPr>
                <w:color w:val="auto"/>
                <w:kern w:val="0"/>
                <w:sz w:val="24"/>
              </w:rPr>
              <w:t>。</w:t>
            </w:r>
          </w:p>
        </w:tc>
      </w:tr>
    </w:tbl>
    <w:p>
      <w:pPr>
        <w:pStyle w:val="26"/>
        <w:jc w:val="center"/>
        <w:outlineLvl w:val="0"/>
        <w:rPr>
          <w:rFonts w:ascii="Times New Roman" w:hAnsi="Times New Roman"/>
          <w:snapToGrid w:val="0"/>
          <w:color w:val="auto"/>
          <w:sz w:val="30"/>
          <w:szCs w:val="30"/>
        </w:rPr>
        <w:sectPr>
          <w:pgSz w:w="11907" w:h="16840"/>
          <w:pgMar w:top="1701" w:right="1531" w:bottom="2127" w:left="1531" w:header="851" w:footer="851" w:gutter="0"/>
          <w:cols w:space="720" w:num="1"/>
          <w:docGrid w:linePitch="312" w:charSpace="0"/>
        </w:sectPr>
      </w:pPr>
    </w:p>
    <w:tbl>
      <w:tblPr>
        <w:tblStyle w:val="2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jc w:val="center"/>
        </w:trPr>
        <w:tc>
          <w:tcPr>
            <w:tcW w:w="562" w:type="dxa"/>
            <w:vAlign w:val="center"/>
          </w:tcPr>
          <w:p>
            <w:pPr>
              <w:pStyle w:val="26"/>
              <w:jc w:val="center"/>
              <w:outlineLvl w:val="0"/>
              <w:rPr>
                <w:rFonts w:ascii="Times New Roman" w:hAnsi="Times New Roman"/>
                <w:snapToGrid w:val="0"/>
                <w:color w:val="auto"/>
                <w:sz w:val="30"/>
                <w:szCs w:val="30"/>
              </w:rPr>
            </w:pPr>
            <w:bookmarkStart w:id="7" w:name="_Toc14870"/>
            <w:r>
              <w:rPr>
                <w:rFonts w:ascii="Times New Roman" w:hAnsi="Times New Roman"/>
                <w:snapToGrid w:val="0"/>
                <w:color w:val="auto"/>
                <w:szCs w:val="24"/>
              </w:rPr>
              <w:t>总量控制指标</w:t>
            </w:r>
            <w:bookmarkEnd w:id="7"/>
          </w:p>
        </w:tc>
        <w:tc>
          <w:tcPr>
            <w:tcW w:w="8477" w:type="dxa"/>
          </w:tcPr>
          <w:p>
            <w:pPr>
              <w:spacing w:line="360" w:lineRule="auto"/>
              <w:ind w:firstLine="480" w:firstLineChars="200"/>
              <w:rPr>
                <w:color w:val="auto"/>
                <w:sz w:val="24"/>
              </w:rPr>
            </w:pPr>
            <w:r>
              <w:rPr>
                <w:snapToGrid w:val="0"/>
                <w:color w:val="auto"/>
                <w:kern w:val="0"/>
                <w:sz w:val="24"/>
              </w:rPr>
              <w:t>本项目建议接管考核量及废气排入大气环境总量控制指标见下表</w:t>
            </w:r>
            <w:r>
              <w:rPr>
                <w:color w:val="auto"/>
                <w:sz w:val="24"/>
              </w:rPr>
              <w:t>。</w:t>
            </w:r>
          </w:p>
          <w:p>
            <w:pPr>
              <w:adjustRightInd w:val="0"/>
              <w:snapToGrid w:val="0"/>
              <w:jc w:val="center"/>
              <w:rPr>
                <w:b/>
                <w:bCs/>
                <w:color w:val="auto"/>
                <w:sz w:val="24"/>
              </w:rPr>
            </w:pPr>
            <w:r>
              <w:rPr>
                <w:b/>
                <w:bCs/>
                <w:color w:val="auto"/>
                <w:sz w:val="24"/>
              </w:rPr>
              <w:t>表3-15  污染物排放量汇总表  单位：t/a</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09"/>
              <w:gridCol w:w="870"/>
              <w:gridCol w:w="1232"/>
              <w:gridCol w:w="1276"/>
              <w:gridCol w:w="1275"/>
              <w:gridCol w:w="1276"/>
              <w:gridCol w:w="14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jc w:val="center"/>
              </w:trPr>
              <w:tc>
                <w:tcPr>
                  <w:tcW w:w="909" w:type="dxa"/>
                  <w:tcMar>
                    <w:top w:w="15" w:type="dxa"/>
                    <w:left w:w="15" w:type="dxa"/>
                    <w:right w:w="15" w:type="dxa"/>
                  </w:tcMar>
                  <w:vAlign w:val="center"/>
                </w:tcPr>
                <w:p>
                  <w:pPr>
                    <w:widowControl/>
                    <w:jc w:val="center"/>
                    <w:textAlignment w:val="center"/>
                    <w:rPr>
                      <w:b/>
                      <w:color w:val="auto"/>
                      <w:sz w:val="21"/>
                      <w:szCs w:val="21"/>
                    </w:rPr>
                  </w:pPr>
                  <w:r>
                    <w:rPr>
                      <w:b/>
                      <w:color w:val="auto"/>
                      <w:kern w:val="0"/>
                      <w:sz w:val="21"/>
                      <w:szCs w:val="21"/>
                      <w:lang w:bidi="ar"/>
                    </w:rPr>
                    <w:t>类别</w:t>
                  </w:r>
                </w:p>
              </w:tc>
              <w:tc>
                <w:tcPr>
                  <w:tcW w:w="2102" w:type="dxa"/>
                  <w:gridSpan w:val="2"/>
                  <w:tcMar>
                    <w:top w:w="15" w:type="dxa"/>
                    <w:left w:w="15" w:type="dxa"/>
                    <w:right w:w="15" w:type="dxa"/>
                  </w:tcMar>
                  <w:vAlign w:val="center"/>
                </w:tcPr>
                <w:p>
                  <w:pPr>
                    <w:widowControl/>
                    <w:jc w:val="center"/>
                    <w:textAlignment w:val="center"/>
                    <w:rPr>
                      <w:b/>
                      <w:color w:val="auto"/>
                      <w:sz w:val="21"/>
                      <w:szCs w:val="21"/>
                    </w:rPr>
                  </w:pPr>
                  <w:r>
                    <w:rPr>
                      <w:b/>
                      <w:color w:val="auto"/>
                      <w:kern w:val="0"/>
                      <w:sz w:val="21"/>
                      <w:szCs w:val="21"/>
                      <w:lang w:bidi="ar"/>
                    </w:rPr>
                    <w:t>污染物名称</w:t>
                  </w:r>
                </w:p>
              </w:tc>
              <w:tc>
                <w:tcPr>
                  <w:tcW w:w="1276" w:type="dxa"/>
                  <w:tcMar>
                    <w:top w:w="15" w:type="dxa"/>
                    <w:left w:w="15" w:type="dxa"/>
                    <w:right w:w="15" w:type="dxa"/>
                  </w:tcMar>
                  <w:vAlign w:val="center"/>
                </w:tcPr>
                <w:p>
                  <w:pPr>
                    <w:widowControl/>
                    <w:jc w:val="center"/>
                    <w:textAlignment w:val="center"/>
                    <w:rPr>
                      <w:b/>
                      <w:color w:val="auto"/>
                      <w:sz w:val="21"/>
                      <w:szCs w:val="21"/>
                    </w:rPr>
                  </w:pPr>
                  <w:r>
                    <w:rPr>
                      <w:b/>
                      <w:color w:val="auto"/>
                      <w:kern w:val="0"/>
                      <w:sz w:val="21"/>
                      <w:szCs w:val="21"/>
                      <w:lang w:bidi="ar"/>
                    </w:rPr>
                    <w:t>产生量</w:t>
                  </w:r>
                </w:p>
              </w:tc>
              <w:tc>
                <w:tcPr>
                  <w:tcW w:w="1275" w:type="dxa"/>
                  <w:vAlign w:val="center"/>
                </w:tcPr>
                <w:p>
                  <w:pPr>
                    <w:widowControl/>
                    <w:jc w:val="center"/>
                    <w:textAlignment w:val="center"/>
                    <w:rPr>
                      <w:b/>
                      <w:color w:val="auto"/>
                      <w:sz w:val="21"/>
                      <w:szCs w:val="21"/>
                    </w:rPr>
                  </w:pPr>
                  <w:r>
                    <w:rPr>
                      <w:b/>
                      <w:color w:val="auto"/>
                      <w:kern w:val="0"/>
                      <w:sz w:val="21"/>
                      <w:szCs w:val="21"/>
                      <w:lang w:bidi="ar"/>
                    </w:rPr>
                    <w:t>削减量</w:t>
                  </w:r>
                </w:p>
              </w:tc>
              <w:tc>
                <w:tcPr>
                  <w:tcW w:w="1276" w:type="dxa"/>
                  <w:vAlign w:val="center"/>
                </w:tcPr>
                <w:p>
                  <w:pPr>
                    <w:widowControl/>
                    <w:jc w:val="center"/>
                    <w:textAlignment w:val="center"/>
                    <w:rPr>
                      <w:b/>
                      <w:color w:val="auto"/>
                      <w:sz w:val="21"/>
                      <w:szCs w:val="21"/>
                    </w:rPr>
                  </w:pPr>
                  <w:r>
                    <w:rPr>
                      <w:b/>
                      <w:color w:val="auto"/>
                      <w:kern w:val="0"/>
                      <w:sz w:val="21"/>
                      <w:szCs w:val="21"/>
                      <w:lang w:bidi="ar"/>
                    </w:rPr>
                    <w:t>排放量</w:t>
                  </w:r>
                </w:p>
              </w:tc>
              <w:tc>
                <w:tcPr>
                  <w:tcW w:w="1423" w:type="dxa"/>
                  <w:tcMar>
                    <w:top w:w="15" w:type="dxa"/>
                    <w:left w:w="15" w:type="dxa"/>
                    <w:right w:w="15" w:type="dxa"/>
                  </w:tcMar>
                  <w:vAlign w:val="center"/>
                </w:tcPr>
                <w:p>
                  <w:pPr>
                    <w:widowControl/>
                    <w:jc w:val="center"/>
                    <w:textAlignment w:val="center"/>
                    <w:rPr>
                      <w:b/>
                      <w:color w:val="auto"/>
                      <w:sz w:val="21"/>
                      <w:szCs w:val="21"/>
                    </w:rPr>
                  </w:pPr>
                  <w:r>
                    <w:rPr>
                      <w:rFonts w:hint="eastAsia"/>
                      <w:b/>
                      <w:color w:val="auto"/>
                      <w:kern w:val="0"/>
                      <w:sz w:val="21"/>
                      <w:szCs w:val="21"/>
                      <w:lang w:bidi="ar"/>
                    </w:rPr>
                    <w:t>排入外环境量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restart"/>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 w:val="21"/>
                      <w:szCs w:val="21"/>
                      <w:lang w:bidi="ar"/>
                    </w:rPr>
                    <w:t>生活污水</w:t>
                  </w: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废水量</w:t>
                  </w:r>
                </w:p>
              </w:tc>
              <w:tc>
                <w:tcPr>
                  <w:tcW w:w="1276" w:type="dxa"/>
                  <w:tcMar>
                    <w:top w:w="15" w:type="dxa"/>
                    <w:left w:w="15" w:type="dxa"/>
                    <w:right w:w="15" w:type="dxa"/>
                  </w:tcMar>
                  <w:vAlign w:val="center"/>
                </w:tcPr>
                <w:p>
                  <w:pPr>
                    <w:widowControl/>
                    <w:jc w:val="center"/>
                    <w:rPr>
                      <w:rFonts w:ascii="Times New Roman" w:hAnsi="Times New Roman" w:eastAsia="宋体" w:cs="Times New Roman"/>
                      <w:color w:val="auto"/>
                      <w:kern w:val="0"/>
                      <w:sz w:val="21"/>
                      <w:szCs w:val="21"/>
                      <w:lang w:val="en-US" w:eastAsia="zh-CN" w:bidi="ar-SA"/>
                    </w:rPr>
                  </w:pPr>
                  <w:r>
                    <w:rPr>
                      <w:color w:val="auto"/>
                      <w:sz w:val="21"/>
                      <w:szCs w:val="21"/>
                    </w:rPr>
                    <w:t>900</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900</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900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COD</w:t>
                  </w:r>
                </w:p>
              </w:tc>
              <w:tc>
                <w:tcPr>
                  <w:tcW w:w="1276" w:type="dxa"/>
                  <w:tcMar>
                    <w:top w:w="15" w:type="dxa"/>
                    <w:left w:w="15" w:type="dxa"/>
                    <w:right w:w="15" w:type="dxa"/>
                  </w:tcMar>
                  <w:vAlign w:val="center"/>
                </w:tcPr>
                <w:p>
                  <w:pPr>
                    <w:widowControl/>
                    <w:jc w:val="center"/>
                    <w:rPr>
                      <w:rFonts w:ascii="Times New Roman" w:hAnsi="Times New Roman" w:eastAsia="宋体" w:cs="Times New Roman"/>
                      <w:color w:val="auto"/>
                      <w:kern w:val="0"/>
                      <w:sz w:val="21"/>
                      <w:szCs w:val="21"/>
                      <w:lang w:val="en-US" w:eastAsia="zh-CN" w:bidi="ar-SA"/>
                    </w:rPr>
                  </w:pPr>
                  <w:r>
                    <w:rPr>
                      <w:color w:val="auto"/>
                      <w:sz w:val="21"/>
                      <w:szCs w:val="21"/>
                    </w:rPr>
                    <w:t xml:space="preserve">0.4500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0.0900</w:t>
                  </w:r>
                </w:p>
              </w:tc>
              <w:tc>
                <w:tcPr>
                  <w:tcW w:w="1276" w:type="dxa"/>
                  <w:vAlign w:val="center"/>
                </w:tcPr>
                <w:p>
                  <w:pPr>
                    <w:widowControl/>
                    <w:jc w:val="center"/>
                    <w:rPr>
                      <w:rFonts w:ascii="Times New Roman" w:hAnsi="Times New Roman" w:eastAsia="宋体" w:cs="Times New Roman"/>
                      <w:color w:val="auto"/>
                      <w:kern w:val="0"/>
                      <w:sz w:val="21"/>
                      <w:szCs w:val="21"/>
                      <w:lang w:val="en-US" w:eastAsia="zh-CN" w:bidi="ar-SA"/>
                    </w:rPr>
                  </w:pPr>
                  <w:r>
                    <w:rPr>
                      <w:color w:val="auto"/>
                      <w:sz w:val="21"/>
                      <w:szCs w:val="21"/>
                    </w:rPr>
                    <w:t xml:space="preserve">0.3600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 xml:space="preserve">0.0270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SS</w:t>
                  </w:r>
                </w:p>
              </w:tc>
              <w:tc>
                <w:tcPr>
                  <w:tcW w:w="1276" w:type="dxa"/>
                  <w:tcMar>
                    <w:top w:w="15" w:type="dxa"/>
                    <w:left w:w="15" w:type="dxa"/>
                    <w:right w:w="15" w:type="dxa"/>
                  </w:tcMar>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 xml:space="preserve">0.3600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0.0900</w:t>
                  </w:r>
                </w:p>
              </w:tc>
              <w:tc>
                <w:tcPr>
                  <w:tcW w:w="1276"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 xml:space="preserve">0.2700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 xml:space="preserve">0.0090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NH</w:t>
                  </w:r>
                  <w:r>
                    <w:rPr>
                      <w:color w:val="auto"/>
                      <w:kern w:val="0"/>
                      <w:sz w:val="21"/>
                      <w:szCs w:val="21"/>
                      <w:vertAlign w:val="subscript"/>
                      <w:lang w:bidi="ar"/>
                    </w:rPr>
                    <w:t>3</w:t>
                  </w:r>
                  <w:r>
                    <w:rPr>
                      <w:color w:val="auto"/>
                      <w:kern w:val="0"/>
                      <w:sz w:val="21"/>
                      <w:szCs w:val="21"/>
                      <w:lang w:bidi="ar"/>
                    </w:rPr>
                    <w:t>-N</w:t>
                  </w:r>
                </w:p>
              </w:tc>
              <w:tc>
                <w:tcPr>
                  <w:tcW w:w="1276" w:type="dxa"/>
                  <w:tcMar>
                    <w:top w:w="15" w:type="dxa"/>
                    <w:left w:w="15" w:type="dxa"/>
                    <w:right w:w="15" w:type="dxa"/>
                  </w:tcMar>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 xml:space="preserve">0.0270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 xml:space="preserve">0.0270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 xml:space="preserve">0.0014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TN</w:t>
                  </w:r>
                </w:p>
              </w:tc>
              <w:tc>
                <w:tcPr>
                  <w:tcW w:w="1276" w:type="dxa"/>
                  <w:tcMar>
                    <w:top w:w="15" w:type="dxa"/>
                    <w:left w:w="15" w:type="dxa"/>
                    <w:right w:w="15" w:type="dxa"/>
                  </w:tcMar>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 xml:space="preserve">0.0360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 xml:space="preserve">0.0360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 xml:space="preserve">0.0090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TP</w:t>
                  </w:r>
                </w:p>
              </w:tc>
              <w:tc>
                <w:tcPr>
                  <w:tcW w:w="1276" w:type="dxa"/>
                  <w:tcMar>
                    <w:top w:w="15" w:type="dxa"/>
                    <w:left w:w="15" w:type="dxa"/>
                    <w:right w:w="15" w:type="dxa"/>
                  </w:tcMar>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 xml:space="preserve">0.0045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 xml:space="preserve">0.0045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 xml:space="preserve">0.0003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restart"/>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 w:val="21"/>
                      <w:szCs w:val="21"/>
                      <w:lang w:bidi="ar"/>
                    </w:rPr>
                    <w:t>冷却排水</w:t>
                  </w: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废水量</w:t>
                  </w:r>
                </w:p>
              </w:tc>
              <w:tc>
                <w:tcPr>
                  <w:tcW w:w="1276" w:type="dxa"/>
                  <w:tcMar>
                    <w:top w:w="15" w:type="dxa"/>
                    <w:left w:w="15" w:type="dxa"/>
                    <w:right w:w="15"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77</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77</w:t>
                  </w:r>
                </w:p>
              </w:tc>
              <w:tc>
                <w:tcPr>
                  <w:tcW w:w="1423" w:type="dxa"/>
                  <w:tcMar>
                    <w:top w:w="15" w:type="dxa"/>
                    <w:left w:w="15" w:type="dxa"/>
                    <w:right w:w="15"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COD</w:t>
                  </w:r>
                </w:p>
              </w:tc>
              <w:tc>
                <w:tcPr>
                  <w:tcW w:w="1276" w:type="dxa"/>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0.0154</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0.0154</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0.00</w:t>
                  </w:r>
                  <w:r>
                    <w:rPr>
                      <w:rFonts w:hint="eastAsia"/>
                      <w:color w:val="auto"/>
                      <w:sz w:val="21"/>
                      <w:szCs w:val="21"/>
                      <w:lang w:val="en-US" w:eastAsia="zh-CN"/>
                    </w:rPr>
                    <w:t>23</w:t>
                  </w:r>
                  <w:r>
                    <w:rPr>
                      <w:color w:val="auto"/>
                      <w:sz w:val="21"/>
                      <w:szCs w:val="21"/>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SS</w:t>
                  </w:r>
                </w:p>
              </w:tc>
              <w:tc>
                <w:tcPr>
                  <w:tcW w:w="1276" w:type="dxa"/>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0.0077</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0.0077</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0.000</w:t>
                  </w:r>
                  <w:r>
                    <w:rPr>
                      <w:rFonts w:hint="eastAsia"/>
                      <w:color w:val="auto"/>
                      <w:sz w:val="21"/>
                      <w:szCs w:val="21"/>
                      <w:lang w:val="en-US" w:eastAsia="zh-CN"/>
                    </w:rPr>
                    <w:t>8</w:t>
                  </w:r>
                  <w:r>
                    <w:rPr>
                      <w:color w:val="auto"/>
                      <w:sz w:val="21"/>
                      <w:szCs w:val="21"/>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restart"/>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bidi="ar"/>
                    </w:rPr>
                    <w:t>接管废水</w:t>
                  </w:r>
                  <w:r>
                    <w:rPr>
                      <w:rFonts w:hint="eastAsia"/>
                      <w:color w:val="auto"/>
                      <w:kern w:val="0"/>
                      <w:sz w:val="21"/>
                      <w:szCs w:val="21"/>
                      <w:lang w:eastAsia="zh-CN" w:bidi="ar"/>
                    </w:rPr>
                    <w:t>（</w:t>
                  </w:r>
                  <w:r>
                    <w:rPr>
                      <w:rFonts w:hint="eastAsia"/>
                      <w:color w:val="auto"/>
                      <w:kern w:val="0"/>
                      <w:sz w:val="21"/>
                      <w:szCs w:val="21"/>
                      <w:lang w:bidi="ar"/>
                    </w:rPr>
                    <w:t>生活污水</w:t>
                  </w:r>
                  <w:r>
                    <w:rPr>
                      <w:rFonts w:hint="eastAsia"/>
                      <w:color w:val="auto"/>
                      <w:kern w:val="0"/>
                      <w:sz w:val="21"/>
                      <w:szCs w:val="21"/>
                      <w:lang w:val="en-US" w:eastAsia="zh-CN" w:bidi="ar"/>
                    </w:rPr>
                    <w:t>+</w:t>
                  </w:r>
                  <w:r>
                    <w:rPr>
                      <w:rFonts w:hint="eastAsia"/>
                      <w:color w:val="auto"/>
                      <w:kern w:val="0"/>
                      <w:sz w:val="21"/>
                      <w:szCs w:val="21"/>
                      <w:lang w:bidi="ar"/>
                    </w:rPr>
                    <w:t>冷却排水</w:t>
                  </w:r>
                  <w:r>
                    <w:rPr>
                      <w:rFonts w:hint="eastAsia"/>
                      <w:color w:val="auto"/>
                      <w:kern w:val="0"/>
                      <w:sz w:val="21"/>
                      <w:szCs w:val="21"/>
                      <w:lang w:eastAsia="zh-CN" w:bidi="ar"/>
                    </w:rPr>
                    <w:t>）</w:t>
                  </w: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废水量</w:t>
                  </w:r>
                </w:p>
              </w:tc>
              <w:tc>
                <w:tcPr>
                  <w:tcW w:w="1276" w:type="dxa"/>
                  <w:tcMar>
                    <w:top w:w="15" w:type="dxa"/>
                    <w:left w:w="15" w:type="dxa"/>
                    <w:right w:w="15"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977</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977</w:t>
                  </w:r>
                </w:p>
              </w:tc>
              <w:tc>
                <w:tcPr>
                  <w:tcW w:w="1423" w:type="dxa"/>
                  <w:tcMar>
                    <w:top w:w="15" w:type="dxa"/>
                    <w:left w:w="15" w:type="dxa"/>
                    <w:right w:w="15"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COD</w:t>
                  </w:r>
                </w:p>
              </w:tc>
              <w:tc>
                <w:tcPr>
                  <w:tcW w:w="1276" w:type="dxa"/>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0.4654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0.0900</w:t>
                  </w:r>
                </w:p>
              </w:tc>
              <w:tc>
                <w:tcPr>
                  <w:tcW w:w="127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0.3754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0.02</w:t>
                  </w:r>
                  <w:r>
                    <w:rPr>
                      <w:rFonts w:hint="eastAsia"/>
                      <w:color w:val="auto"/>
                      <w:sz w:val="21"/>
                      <w:szCs w:val="21"/>
                      <w:lang w:val="en-US" w:eastAsia="zh-CN"/>
                    </w:rPr>
                    <w:t>93</w:t>
                  </w:r>
                  <w:r>
                    <w:rPr>
                      <w:color w:val="auto"/>
                      <w:sz w:val="21"/>
                      <w:szCs w:val="21"/>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SS</w:t>
                  </w:r>
                </w:p>
              </w:tc>
              <w:tc>
                <w:tcPr>
                  <w:tcW w:w="1276" w:type="dxa"/>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0.3677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0.0900</w:t>
                  </w:r>
                </w:p>
              </w:tc>
              <w:tc>
                <w:tcPr>
                  <w:tcW w:w="127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0.2777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0.009</w:t>
                  </w:r>
                  <w:r>
                    <w:rPr>
                      <w:rFonts w:hint="eastAsia"/>
                      <w:color w:val="auto"/>
                      <w:sz w:val="21"/>
                      <w:szCs w:val="21"/>
                      <w:lang w:val="en-US" w:eastAsia="zh-CN"/>
                    </w:rPr>
                    <w:t>8</w:t>
                  </w:r>
                  <w:r>
                    <w:rPr>
                      <w:color w:val="auto"/>
                      <w:sz w:val="21"/>
                      <w:szCs w:val="21"/>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NH</w:t>
                  </w:r>
                  <w:r>
                    <w:rPr>
                      <w:color w:val="auto"/>
                      <w:kern w:val="0"/>
                      <w:sz w:val="21"/>
                      <w:szCs w:val="21"/>
                      <w:vertAlign w:val="subscript"/>
                      <w:lang w:bidi="ar"/>
                    </w:rPr>
                    <w:t>3</w:t>
                  </w:r>
                  <w:r>
                    <w:rPr>
                      <w:color w:val="auto"/>
                      <w:kern w:val="0"/>
                      <w:sz w:val="21"/>
                      <w:szCs w:val="21"/>
                      <w:lang w:bidi="ar"/>
                    </w:rPr>
                    <w:t>-N</w:t>
                  </w:r>
                </w:p>
              </w:tc>
              <w:tc>
                <w:tcPr>
                  <w:tcW w:w="1276" w:type="dxa"/>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0.0270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0.0270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 xml:space="preserve">0.0014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TN</w:t>
                  </w:r>
                </w:p>
              </w:tc>
              <w:tc>
                <w:tcPr>
                  <w:tcW w:w="1276" w:type="dxa"/>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0.0360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0.0360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0.009</w:t>
                  </w:r>
                  <w:r>
                    <w:rPr>
                      <w:rFonts w:hint="eastAsia"/>
                      <w:color w:val="auto"/>
                      <w:sz w:val="21"/>
                      <w:szCs w:val="21"/>
                      <w:lang w:val="en-US" w:eastAsia="zh-CN"/>
                    </w:rPr>
                    <w:t>0</w:t>
                  </w:r>
                  <w:r>
                    <w:rPr>
                      <w:color w:val="auto"/>
                      <w:sz w:val="21"/>
                      <w:szCs w:val="21"/>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widowControl/>
                    <w:jc w:val="center"/>
                    <w:textAlignment w:val="center"/>
                    <w:rPr>
                      <w:b/>
                      <w:color w:val="auto"/>
                      <w:kern w:val="0"/>
                      <w:sz w:val="21"/>
                      <w:szCs w:val="21"/>
                      <w:lang w:bidi="ar"/>
                    </w:rPr>
                  </w:pPr>
                </w:p>
              </w:tc>
              <w:tc>
                <w:tcPr>
                  <w:tcW w:w="2102" w:type="dxa"/>
                  <w:gridSpan w:val="2"/>
                  <w:tcMar>
                    <w:top w:w="15" w:type="dxa"/>
                    <w:left w:w="15" w:type="dxa"/>
                    <w:right w:w="15" w:type="dxa"/>
                  </w:tcMar>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 w:val="21"/>
                      <w:szCs w:val="21"/>
                      <w:lang w:bidi="ar"/>
                    </w:rPr>
                    <w:t>TP</w:t>
                  </w:r>
                </w:p>
              </w:tc>
              <w:tc>
                <w:tcPr>
                  <w:tcW w:w="1276" w:type="dxa"/>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0.0045 </w:t>
                  </w:r>
                </w:p>
              </w:tc>
              <w:tc>
                <w:tcPr>
                  <w:tcW w:w="1275" w:type="dxa"/>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0</w:t>
                  </w:r>
                </w:p>
              </w:tc>
              <w:tc>
                <w:tcPr>
                  <w:tcW w:w="127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0.0045 </w:t>
                  </w:r>
                </w:p>
              </w:tc>
              <w:tc>
                <w:tcPr>
                  <w:tcW w:w="1423" w:type="dxa"/>
                  <w:tcMar>
                    <w:top w:w="15" w:type="dxa"/>
                    <w:left w:w="15" w:type="dxa"/>
                    <w:right w:w="15"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 xml:space="preserve">0.0003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restart"/>
                  <w:tcMar>
                    <w:top w:w="15" w:type="dxa"/>
                    <w:left w:w="15" w:type="dxa"/>
                    <w:right w:w="15" w:type="dxa"/>
                  </w:tcMar>
                  <w:vAlign w:val="center"/>
                </w:tcPr>
                <w:p>
                  <w:pPr>
                    <w:jc w:val="center"/>
                    <w:rPr>
                      <w:color w:val="auto"/>
                      <w:sz w:val="21"/>
                      <w:szCs w:val="21"/>
                    </w:rPr>
                  </w:pPr>
                  <w:r>
                    <w:rPr>
                      <w:rFonts w:hint="eastAsia"/>
                      <w:color w:val="auto"/>
                      <w:sz w:val="21"/>
                      <w:szCs w:val="21"/>
                    </w:rPr>
                    <w:t>废气</w:t>
                  </w:r>
                </w:p>
              </w:tc>
              <w:tc>
                <w:tcPr>
                  <w:tcW w:w="870" w:type="dxa"/>
                  <w:vMerge w:val="restart"/>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有组织</w:t>
                  </w:r>
                </w:p>
              </w:tc>
              <w:tc>
                <w:tcPr>
                  <w:tcW w:w="1232" w:type="dxa"/>
                  <w:tcMar>
                    <w:top w:w="15" w:type="dxa"/>
                    <w:left w:w="15" w:type="dxa"/>
                    <w:right w:w="15" w:type="dxa"/>
                  </w:tcMar>
                  <w:vAlign w:val="center"/>
                </w:tcPr>
                <w:p>
                  <w:pPr>
                    <w:widowControl/>
                    <w:adjustRightInd w:val="0"/>
                    <w:snapToGrid w:val="0"/>
                    <w:jc w:val="center"/>
                    <w:textAlignment w:val="center"/>
                    <w:rPr>
                      <w:rFonts w:hint="eastAsia" w:eastAsia="宋体"/>
                      <w:color w:val="auto"/>
                      <w:sz w:val="21"/>
                      <w:szCs w:val="21"/>
                      <w:lang w:val="en-US" w:eastAsia="zh-CN"/>
                    </w:rPr>
                  </w:pPr>
                  <w:r>
                    <w:rPr>
                      <w:rFonts w:hint="eastAsia"/>
                      <w:color w:val="auto"/>
                      <w:sz w:val="21"/>
                      <w:szCs w:val="21"/>
                    </w:rPr>
                    <w:t>非甲烷总烃</w:t>
                  </w:r>
                  <w:r>
                    <w:rPr>
                      <w:rFonts w:hint="eastAsia"/>
                      <w:color w:val="auto"/>
                      <w:sz w:val="21"/>
                      <w:szCs w:val="21"/>
                      <w:lang w:val="en-US" w:eastAsia="zh-CN"/>
                    </w:rPr>
                    <w:t>*</w:t>
                  </w:r>
                </w:p>
              </w:tc>
              <w:tc>
                <w:tcPr>
                  <w:tcW w:w="1276" w:type="dxa"/>
                  <w:tcMar>
                    <w:top w:w="15" w:type="dxa"/>
                    <w:left w:w="15" w:type="dxa"/>
                    <w:right w:w="15" w:type="dxa"/>
                  </w:tcMar>
                  <w:vAlign w:val="center"/>
                </w:tcPr>
                <w:p>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1.0932 </w:t>
                  </w:r>
                </w:p>
              </w:tc>
              <w:tc>
                <w:tcPr>
                  <w:tcW w:w="1275" w:type="dxa"/>
                  <w:tcMar>
                    <w:top w:w="15" w:type="dxa"/>
                    <w:left w:w="15" w:type="dxa"/>
                    <w:right w:w="15" w:type="dxa"/>
                  </w:tcMar>
                  <w:vAlign w:val="center"/>
                </w:tcPr>
                <w:p>
                  <w:pPr>
                    <w:jc w:val="center"/>
                    <w:rPr>
                      <w:rFonts w:hint="default" w:eastAsia="宋体"/>
                      <w:color w:val="auto"/>
                      <w:sz w:val="21"/>
                      <w:szCs w:val="21"/>
                      <w:lang w:val="en-US" w:eastAsia="zh-CN"/>
                    </w:rPr>
                  </w:pPr>
                  <w:r>
                    <w:rPr>
                      <w:rFonts w:hint="eastAsia"/>
                      <w:color w:val="auto"/>
                      <w:sz w:val="21"/>
                      <w:szCs w:val="21"/>
                      <w:lang w:val="en-US" w:eastAsia="zh-CN"/>
                    </w:rPr>
                    <w:t>0.9839</w:t>
                  </w:r>
                </w:p>
              </w:tc>
              <w:tc>
                <w:tcPr>
                  <w:tcW w:w="1276" w:type="dxa"/>
                  <w:tcMar>
                    <w:top w:w="15" w:type="dxa"/>
                    <w:left w:w="15" w:type="dxa"/>
                    <w:right w:w="15" w:type="dxa"/>
                  </w:tcMar>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0.1093 </w:t>
                  </w:r>
                </w:p>
              </w:tc>
              <w:tc>
                <w:tcPr>
                  <w:tcW w:w="1423" w:type="dxa"/>
                  <w:tcMar>
                    <w:top w:w="15" w:type="dxa"/>
                    <w:left w:w="15" w:type="dxa"/>
                    <w:right w:w="15" w:type="dxa"/>
                  </w:tcMar>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0.1093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jc w:val="center"/>
                    <w:rPr>
                      <w:color w:val="auto"/>
                      <w:sz w:val="21"/>
                      <w:szCs w:val="21"/>
                    </w:rPr>
                  </w:pPr>
                </w:p>
              </w:tc>
              <w:tc>
                <w:tcPr>
                  <w:tcW w:w="870" w:type="dxa"/>
                  <w:vMerge w:val="continue"/>
                  <w:tcMar>
                    <w:top w:w="15" w:type="dxa"/>
                    <w:left w:w="15" w:type="dxa"/>
                    <w:right w:w="15" w:type="dxa"/>
                  </w:tcMar>
                  <w:vAlign w:val="center"/>
                </w:tcPr>
                <w:p>
                  <w:pPr>
                    <w:widowControl/>
                    <w:jc w:val="center"/>
                    <w:textAlignment w:val="center"/>
                    <w:rPr>
                      <w:color w:val="auto"/>
                      <w:sz w:val="21"/>
                      <w:szCs w:val="21"/>
                    </w:rPr>
                  </w:pPr>
                </w:p>
              </w:tc>
              <w:tc>
                <w:tcPr>
                  <w:tcW w:w="1232" w:type="dxa"/>
                  <w:tcMar>
                    <w:top w:w="15" w:type="dxa"/>
                    <w:left w:w="15" w:type="dxa"/>
                    <w:right w:w="15" w:type="dxa"/>
                  </w:tcMar>
                  <w:vAlign w:val="center"/>
                </w:tcPr>
                <w:p>
                  <w:pPr>
                    <w:widowControl/>
                    <w:adjustRightInd w:val="0"/>
                    <w:snapToGrid w:val="0"/>
                    <w:jc w:val="center"/>
                    <w:textAlignment w:val="center"/>
                    <w:rPr>
                      <w:color w:val="auto"/>
                      <w:sz w:val="21"/>
                      <w:szCs w:val="21"/>
                    </w:rPr>
                  </w:pPr>
                  <w:r>
                    <w:rPr>
                      <w:rFonts w:hint="eastAsia"/>
                      <w:color w:val="auto"/>
                      <w:sz w:val="21"/>
                      <w:szCs w:val="21"/>
                    </w:rPr>
                    <w:t>甲醛</w:t>
                  </w:r>
                </w:p>
              </w:tc>
              <w:tc>
                <w:tcPr>
                  <w:tcW w:w="1276" w:type="dxa"/>
                  <w:tcMar>
                    <w:top w:w="15" w:type="dxa"/>
                    <w:left w:w="15" w:type="dxa"/>
                    <w:right w:w="15" w:type="dxa"/>
                  </w:tcMar>
                  <w:vAlign w:val="center"/>
                </w:tcPr>
                <w:p>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0.0834 </w:t>
                  </w:r>
                </w:p>
              </w:tc>
              <w:tc>
                <w:tcPr>
                  <w:tcW w:w="1275" w:type="dxa"/>
                  <w:tcMar>
                    <w:top w:w="15" w:type="dxa"/>
                    <w:left w:w="15" w:type="dxa"/>
                    <w:right w:w="15" w:type="dxa"/>
                  </w:tcMar>
                  <w:vAlign w:val="center"/>
                </w:tcPr>
                <w:p>
                  <w:pPr>
                    <w:jc w:val="center"/>
                    <w:rPr>
                      <w:rFonts w:hint="default" w:eastAsia="宋体"/>
                      <w:color w:val="auto"/>
                      <w:sz w:val="21"/>
                      <w:szCs w:val="21"/>
                      <w:lang w:val="en-US" w:eastAsia="zh-CN"/>
                    </w:rPr>
                  </w:pPr>
                  <w:r>
                    <w:rPr>
                      <w:rFonts w:hint="eastAsia"/>
                      <w:color w:val="auto"/>
                      <w:sz w:val="21"/>
                      <w:szCs w:val="21"/>
                      <w:lang w:val="en-US" w:eastAsia="zh-CN"/>
                    </w:rPr>
                    <w:t>0.0751</w:t>
                  </w:r>
                </w:p>
              </w:tc>
              <w:tc>
                <w:tcPr>
                  <w:tcW w:w="1276" w:type="dxa"/>
                  <w:tcMar>
                    <w:top w:w="15" w:type="dxa"/>
                    <w:left w:w="15" w:type="dxa"/>
                    <w:right w:w="15" w:type="dxa"/>
                  </w:tcMar>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0.0083 </w:t>
                  </w:r>
                </w:p>
              </w:tc>
              <w:tc>
                <w:tcPr>
                  <w:tcW w:w="1423" w:type="dxa"/>
                  <w:tcMar>
                    <w:top w:w="15" w:type="dxa"/>
                    <w:left w:w="15" w:type="dxa"/>
                    <w:right w:w="15" w:type="dxa"/>
                  </w:tcMar>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jc w:val="center"/>
                    <w:rPr>
                      <w:color w:val="auto"/>
                      <w:sz w:val="21"/>
                      <w:szCs w:val="21"/>
                    </w:rPr>
                  </w:pPr>
                </w:p>
              </w:tc>
              <w:tc>
                <w:tcPr>
                  <w:tcW w:w="870" w:type="dxa"/>
                  <w:vMerge w:val="continue"/>
                  <w:tcMar>
                    <w:top w:w="15" w:type="dxa"/>
                    <w:left w:w="15" w:type="dxa"/>
                    <w:right w:w="15" w:type="dxa"/>
                  </w:tcMar>
                  <w:vAlign w:val="center"/>
                </w:tcPr>
                <w:p>
                  <w:pPr>
                    <w:widowControl/>
                    <w:jc w:val="center"/>
                    <w:textAlignment w:val="center"/>
                    <w:rPr>
                      <w:color w:val="auto"/>
                      <w:sz w:val="21"/>
                      <w:szCs w:val="21"/>
                    </w:rPr>
                  </w:pPr>
                </w:p>
              </w:tc>
              <w:tc>
                <w:tcPr>
                  <w:tcW w:w="1232" w:type="dxa"/>
                  <w:tcMar>
                    <w:top w:w="15" w:type="dxa"/>
                    <w:left w:w="15" w:type="dxa"/>
                    <w:right w:w="15" w:type="dxa"/>
                  </w:tcMar>
                  <w:vAlign w:val="center"/>
                </w:tcPr>
                <w:p>
                  <w:pPr>
                    <w:widowControl/>
                    <w:jc w:val="center"/>
                    <w:textAlignment w:val="center"/>
                    <w:rPr>
                      <w:color w:val="auto"/>
                      <w:kern w:val="0"/>
                      <w:sz w:val="21"/>
                      <w:szCs w:val="21"/>
                    </w:rPr>
                  </w:pPr>
                  <w:r>
                    <w:rPr>
                      <w:color w:val="auto"/>
                      <w:sz w:val="21"/>
                      <w:szCs w:val="21"/>
                    </w:rPr>
                    <w:t>颗粒物</w:t>
                  </w:r>
                </w:p>
              </w:tc>
              <w:tc>
                <w:tcPr>
                  <w:tcW w:w="1276" w:type="dxa"/>
                  <w:tcMar>
                    <w:top w:w="15" w:type="dxa"/>
                    <w:left w:w="15" w:type="dxa"/>
                    <w:right w:w="15" w:type="dxa"/>
                  </w:tcMar>
                  <w:vAlign w:val="center"/>
                </w:tcPr>
                <w:p>
                  <w:pPr>
                    <w:adjustRightInd w:val="0"/>
                    <w:snapToGrid w:val="0"/>
                    <w:jc w:val="center"/>
                    <w:rPr>
                      <w:color w:val="auto"/>
                      <w:sz w:val="21"/>
                      <w:szCs w:val="21"/>
                    </w:rPr>
                  </w:pPr>
                  <w:r>
                    <w:rPr>
                      <w:color w:val="auto"/>
                      <w:sz w:val="21"/>
                      <w:szCs w:val="21"/>
                    </w:rPr>
                    <w:t>0.0686</w:t>
                  </w:r>
                </w:p>
              </w:tc>
              <w:tc>
                <w:tcPr>
                  <w:tcW w:w="1275" w:type="dxa"/>
                  <w:tcMar>
                    <w:top w:w="15" w:type="dxa"/>
                    <w:left w:w="15" w:type="dxa"/>
                    <w:right w:w="15" w:type="dxa"/>
                  </w:tcMar>
                  <w:vAlign w:val="center"/>
                </w:tcPr>
                <w:p>
                  <w:pPr>
                    <w:jc w:val="center"/>
                    <w:rPr>
                      <w:color w:val="auto"/>
                      <w:sz w:val="21"/>
                      <w:szCs w:val="21"/>
                    </w:rPr>
                  </w:pPr>
                  <w:r>
                    <w:rPr>
                      <w:color w:val="auto"/>
                      <w:sz w:val="21"/>
                      <w:szCs w:val="21"/>
                    </w:rPr>
                    <w:t>0</w:t>
                  </w:r>
                </w:p>
              </w:tc>
              <w:tc>
                <w:tcPr>
                  <w:tcW w:w="1276" w:type="dxa"/>
                  <w:tcMar>
                    <w:top w:w="15" w:type="dxa"/>
                    <w:left w:w="15" w:type="dxa"/>
                    <w:right w:w="15" w:type="dxa"/>
                  </w:tcMar>
                  <w:vAlign w:val="center"/>
                </w:tcPr>
                <w:p>
                  <w:pPr>
                    <w:adjustRightInd w:val="0"/>
                    <w:snapToGrid w:val="0"/>
                    <w:jc w:val="center"/>
                    <w:rPr>
                      <w:color w:val="auto"/>
                      <w:sz w:val="21"/>
                      <w:szCs w:val="21"/>
                    </w:rPr>
                  </w:pPr>
                  <w:r>
                    <w:rPr>
                      <w:color w:val="auto"/>
                      <w:sz w:val="21"/>
                      <w:szCs w:val="21"/>
                    </w:rPr>
                    <w:t>0.0686</w:t>
                  </w:r>
                </w:p>
              </w:tc>
              <w:tc>
                <w:tcPr>
                  <w:tcW w:w="1423" w:type="dxa"/>
                  <w:tcMar>
                    <w:top w:w="15" w:type="dxa"/>
                    <w:left w:w="15" w:type="dxa"/>
                    <w:right w:w="15" w:type="dxa"/>
                  </w:tcMar>
                  <w:vAlign w:val="center"/>
                </w:tcPr>
                <w:p>
                  <w:pPr>
                    <w:adjustRightInd w:val="0"/>
                    <w:snapToGrid w:val="0"/>
                    <w:jc w:val="center"/>
                    <w:rPr>
                      <w:color w:val="auto"/>
                      <w:sz w:val="21"/>
                      <w:szCs w:val="21"/>
                    </w:rPr>
                  </w:pPr>
                  <w:r>
                    <w:rPr>
                      <w:color w:val="auto"/>
                      <w:sz w:val="21"/>
                      <w:szCs w:val="21"/>
                    </w:rPr>
                    <w:t>0.0686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jc w:val="center"/>
                    <w:rPr>
                      <w:color w:val="auto"/>
                      <w:sz w:val="21"/>
                      <w:szCs w:val="21"/>
                    </w:rPr>
                  </w:pPr>
                </w:p>
              </w:tc>
              <w:tc>
                <w:tcPr>
                  <w:tcW w:w="870" w:type="dxa"/>
                  <w:vMerge w:val="continue"/>
                  <w:tcMar>
                    <w:top w:w="15" w:type="dxa"/>
                    <w:left w:w="15" w:type="dxa"/>
                    <w:right w:w="15" w:type="dxa"/>
                  </w:tcMar>
                  <w:vAlign w:val="center"/>
                </w:tcPr>
                <w:p>
                  <w:pPr>
                    <w:widowControl/>
                    <w:jc w:val="center"/>
                    <w:textAlignment w:val="center"/>
                    <w:rPr>
                      <w:color w:val="auto"/>
                      <w:sz w:val="21"/>
                      <w:szCs w:val="21"/>
                    </w:rPr>
                  </w:pPr>
                </w:p>
              </w:tc>
              <w:tc>
                <w:tcPr>
                  <w:tcW w:w="1232" w:type="dxa"/>
                  <w:tcMar>
                    <w:top w:w="15" w:type="dxa"/>
                    <w:left w:w="15" w:type="dxa"/>
                    <w:right w:w="15" w:type="dxa"/>
                  </w:tcMar>
                  <w:vAlign w:val="center"/>
                </w:tcPr>
                <w:p>
                  <w:pPr>
                    <w:widowControl/>
                    <w:jc w:val="center"/>
                    <w:textAlignment w:val="center"/>
                    <w:rPr>
                      <w:color w:val="auto"/>
                      <w:kern w:val="0"/>
                      <w:sz w:val="21"/>
                      <w:szCs w:val="21"/>
                    </w:rPr>
                  </w:pPr>
                  <w:r>
                    <w:rPr>
                      <w:color w:val="auto"/>
                      <w:sz w:val="21"/>
                      <w:szCs w:val="21"/>
                    </w:rPr>
                    <w:t>二氧化硫</w:t>
                  </w:r>
                </w:p>
              </w:tc>
              <w:tc>
                <w:tcPr>
                  <w:tcW w:w="1276" w:type="dxa"/>
                  <w:tcMar>
                    <w:top w:w="15" w:type="dxa"/>
                    <w:left w:w="15" w:type="dxa"/>
                    <w:right w:w="15" w:type="dxa"/>
                  </w:tcMar>
                  <w:vAlign w:val="center"/>
                </w:tcPr>
                <w:p>
                  <w:pPr>
                    <w:adjustRightInd w:val="0"/>
                    <w:snapToGrid w:val="0"/>
                    <w:jc w:val="center"/>
                    <w:rPr>
                      <w:color w:val="auto"/>
                      <w:sz w:val="21"/>
                      <w:szCs w:val="21"/>
                    </w:rPr>
                  </w:pPr>
                  <w:r>
                    <w:rPr>
                      <w:color w:val="auto"/>
                      <w:sz w:val="21"/>
                      <w:szCs w:val="21"/>
                    </w:rPr>
                    <w:t>0.0096</w:t>
                  </w:r>
                </w:p>
              </w:tc>
              <w:tc>
                <w:tcPr>
                  <w:tcW w:w="1275" w:type="dxa"/>
                  <w:tcMar>
                    <w:top w:w="15" w:type="dxa"/>
                    <w:left w:w="15" w:type="dxa"/>
                    <w:right w:w="15" w:type="dxa"/>
                  </w:tcMar>
                  <w:vAlign w:val="center"/>
                </w:tcPr>
                <w:p>
                  <w:pPr>
                    <w:jc w:val="center"/>
                    <w:rPr>
                      <w:color w:val="auto"/>
                      <w:sz w:val="21"/>
                      <w:szCs w:val="21"/>
                    </w:rPr>
                  </w:pPr>
                  <w:r>
                    <w:rPr>
                      <w:color w:val="auto"/>
                      <w:sz w:val="21"/>
                      <w:szCs w:val="21"/>
                    </w:rPr>
                    <w:t>0</w:t>
                  </w:r>
                </w:p>
              </w:tc>
              <w:tc>
                <w:tcPr>
                  <w:tcW w:w="1276" w:type="dxa"/>
                  <w:tcMar>
                    <w:top w:w="15" w:type="dxa"/>
                    <w:left w:w="15" w:type="dxa"/>
                    <w:right w:w="15" w:type="dxa"/>
                  </w:tcMar>
                  <w:vAlign w:val="center"/>
                </w:tcPr>
                <w:p>
                  <w:pPr>
                    <w:adjustRightInd w:val="0"/>
                    <w:snapToGrid w:val="0"/>
                    <w:jc w:val="center"/>
                    <w:rPr>
                      <w:color w:val="auto"/>
                      <w:sz w:val="21"/>
                      <w:szCs w:val="21"/>
                    </w:rPr>
                  </w:pPr>
                  <w:r>
                    <w:rPr>
                      <w:color w:val="auto"/>
                      <w:sz w:val="21"/>
                      <w:szCs w:val="21"/>
                    </w:rPr>
                    <w:t>0.0096</w:t>
                  </w:r>
                </w:p>
              </w:tc>
              <w:tc>
                <w:tcPr>
                  <w:tcW w:w="1423" w:type="dxa"/>
                  <w:tcMar>
                    <w:top w:w="15" w:type="dxa"/>
                    <w:left w:w="15" w:type="dxa"/>
                    <w:right w:w="15" w:type="dxa"/>
                  </w:tcMar>
                  <w:vAlign w:val="center"/>
                </w:tcPr>
                <w:p>
                  <w:pPr>
                    <w:adjustRightInd w:val="0"/>
                    <w:snapToGrid w:val="0"/>
                    <w:jc w:val="center"/>
                    <w:rPr>
                      <w:color w:val="auto"/>
                      <w:sz w:val="21"/>
                      <w:szCs w:val="21"/>
                    </w:rPr>
                  </w:pPr>
                  <w:r>
                    <w:rPr>
                      <w:color w:val="auto"/>
                      <w:sz w:val="21"/>
                      <w:szCs w:val="21"/>
                    </w:rPr>
                    <w:t>0.0096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jc w:val="center"/>
                    <w:rPr>
                      <w:color w:val="auto"/>
                      <w:sz w:val="21"/>
                      <w:szCs w:val="21"/>
                    </w:rPr>
                  </w:pPr>
                </w:p>
              </w:tc>
              <w:tc>
                <w:tcPr>
                  <w:tcW w:w="870" w:type="dxa"/>
                  <w:vMerge w:val="continue"/>
                  <w:tcMar>
                    <w:top w:w="15" w:type="dxa"/>
                    <w:left w:w="15" w:type="dxa"/>
                    <w:right w:w="15" w:type="dxa"/>
                  </w:tcMar>
                  <w:vAlign w:val="center"/>
                </w:tcPr>
                <w:p>
                  <w:pPr>
                    <w:widowControl/>
                    <w:jc w:val="center"/>
                    <w:textAlignment w:val="center"/>
                    <w:rPr>
                      <w:color w:val="auto"/>
                      <w:sz w:val="21"/>
                      <w:szCs w:val="21"/>
                    </w:rPr>
                  </w:pPr>
                </w:p>
              </w:tc>
              <w:tc>
                <w:tcPr>
                  <w:tcW w:w="1232" w:type="dxa"/>
                  <w:tcMar>
                    <w:top w:w="15" w:type="dxa"/>
                    <w:left w:w="15" w:type="dxa"/>
                    <w:right w:w="15" w:type="dxa"/>
                  </w:tcMar>
                  <w:vAlign w:val="center"/>
                </w:tcPr>
                <w:p>
                  <w:pPr>
                    <w:widowControl/>
                    <w:jc w:val="center"/>
                    <w:textAlignment w:val="center"/>
                    <w:rPr>
                      <w:color w:val="auto"/>
                      <w:kern w:val="0"/>
                      <w:sz w:val="21"/>
                      <w:szCs w:val="21"/>
                    </w:rPr>
                  </w:pPr>
                  <w:r>
                    <w:rPr>
                      <w:color w:val="auto"/>
                      <w:sz w:val="21"/>
                      <w:szCs w:val="21"/>
                    </w:rPr>
                    <w:t>氮氧化物</w:t>
                  </w:r>
                </w:p>
              </w:tc>
              <w:tc>
                <w:tcPr>
                  <w:tcW w:w="1276" w:type="dxa"/>
                  <w:tcMar>
                    <w:top w:w="15" w:type="dxa"/>
                    <w:left w:w="15" w:type="dxa"/>
                    <w:right w:w="15" w:type="dxa"/>
                  </w:tcMar>
                  <w:vAlign w:val="center"/>
                </w:tcPr>
                <w:p>
                  <w:pPr>
                    <w:adjustRightInd w:val="0"/>
                    <w:snapToGrid w:val="0"/>
                    <w:jc w:val="center"/>
                    <w:rPr>
                      <w:color w:val="auto"/>
                      <w:sz w:val="21"/>
                      <w:szCs w:val="21"/>
                    </w:rPr>
                  </w:pPr>
                  <w:r>
                    <w:rPr>
                      <w:color w:val="auto"/>
                      <w:sz w:val="21"/>
                      <w:szCs w:val="21"/>
                    </w:rPr>
                    <w:t>0.3809</w:t>
                  </w:r>
                </w:p>
              </w:tc>
              <w:tc>
                <w:tcPr>
                  <w:tcW w:w="1275" w:type="dxa"/>
                  <w:tcMar>
                    <w:top w:w="15" w:type="dxa"/>
                    <w:left w:w="15" w:type="dxa"/>
                    <w:right w:w="15" w:type="dxa"/>
                  </w:tcMar>
                  <w:vAlign w:val="center"/>
                </w:tcPr>
                <w:p>
                  <w:pPr>
                    <w:jc w:val="center"/>
                    <w:rPr>
                      <w:color w:val="auto"/>
                      <w:sz w:val="21"/>
                      <w:szCs w:val="21"/>
                    </w:rPr>
                  </w:pPr>
                  <w:r>
                    <w:rPr>
                      <w:color w:val="auto"/>
                      <w:sz w:val="21"/>
                      <w:szCs w:val="21"/>
                    </w:rPr>
                    <w:t>0</w:t>
                  </w:r>
                </w:p>
              </w:tc>
              <w:tc>
                <w:tcPr>
                  <w:tcW w:w="1276" w:type="dxa"/>
                  <w:tcMar>
                    <w:top w:w="15" w:type="dxa"/>
                    <w:left w:w="15" w:type="dxa"/>
                    <w:right w:w="15" w:type="dxa"/>
                  </w:tcMar>
                  <w:vAlign w:val="center"/>
                </w:tcPr>
                <w:p>
                  <w:pPr>
                    <w:adjustRightInd w:val="0"/>
                    <w:snapToGrid w:val="0"/>
                    <w:jc w:val="center"/>
                    <w:rPr>
                      <w:color w:val="auto"/>
                      <w:sz w:val="21"/>
                      <w:szCs w:val="21"/>
                    </w:rPr>
                  </w:pPr>
                  <w:r>
                    <w:rPr>
                      <w:color w:val="auto"/>
                      <w:sz w:val="21"/>
                      <w:szCs w:val="21"/>
                    </w:rPr>
                    <w:t>0.3809</w:t>
                  </w:r>
                </w:p>
              </w:tc>
              <w:tc>
                <w:tcPr>
                  <w:tcW w:w="1423" w:type="dxa"/>
                  <w:tcMar>
                    <w:top w:w="15" w:type="dxa"/>
                    <w:left w:w="15" w:type="dxa"/>
                    <w:right w:w="15" w:type="dxa"/>
                  </w:tcMar>
                  <w:vAlign w:val="center"/>
                </w:tcPr>
                <w:p>
                  <w:pPr>
                    <w:adjustRightInd w:val="0"/>
                    <w:snapToGrid w:val="0"/>
                    <w:jc w:val="center"/>
                    <w:rPr>
                      <w:color w:val="auto"/>
                      <w:sz w:val="21"/>
                      <w:szCs w:val="21"/>
                    </w:rPr>
                  </w:pPr>
                  <w:r>
                    <w:rPr>
                      <w:color w:val="auto"/>
                      <w:sz w:val="21"/>
                      <w:szCs w:val="21"/>
                    </w:rPr>
                    <w:t>0.3809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jc w:val="center"/>
                    <w:rPr>
                      <w:color w:val="auto"/>
                      <w:sz w:val="21"/>
                      <w:szCs w:val="21"/>
                    </w:rPr>
                  </w:pPr>
                </w:p>
              </w:tc>
              <w:tc>
                <w:tcPr>
                  <w:tcW w:w="870" w:type="dxa"/>
                  <w:vMerge w:val="restart"/>
                  <w:tcMar>
                    <w:top w:w="15" w:type="dxa"/>
                    <w:left w:w="15" w:type="dxa"/>
                    <w:right w:w="15" w:type="dxa"/>
                  </w:tcMar>
                  <w:vAlign w:val="center"/>
                </w:tcPr>
                <w:p>
                  <w:pPr>
                    <w:jc w:val="center"/>
                    <w:textAlignment w:val="center"/>
                    <w:rPr>
                      <w:color w:val="auto"/>
                      <w:sz w:val="21"/>
                      <w:szCs w:val="21"/>
                    </w:rPr>
                  </w:pPr>
                  <w:r>
                    <w:rPr>
                      <w:color w:val="auto"/>
                      <w:sz w:val="21"/>
                      <w:szCs w:val="21"/>
                    </w:rPr>
                    <w:t>无组织</w:t>
                  </w:r>
                </w:p>
              </w:tc>
              <w:tc>
                <w:tcPr>
                  <w:tcW w:w="1232" w:type="dxa"/>
                  <w:tcMar>
                    <w:top w:w="15" w:type="dxa"/>
                    <w:left w:w="15" w:type="dxa"/>
                    <w:right w:w="15" w:type="dxa"/>
                  </w:tcMar>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rPr>
                    <w:t>非甲烷总烃</w:t>
                  </w:r>
                  <w:r>
                    <w:rPr>
                      <w:rFonts w:hint="eastAsia"/>
                      <w:color w:val="auto"/>
                      <w:sz w:val="21"/>
                      <w:szCs w:val="21"/>
                      <w:lang w:val="en-US" w:eastAsia="zh-CN"/>
                    </w:rPr>
                    <w:t>*</w:t>
                  </w:r>
                </w:p>
              </w:tc>
              <w:tc>
                <w:tcPr>
                  <w:tcW w:w="127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0.0575 </w:t>
                  </w:r>
                </w:p>
              </w:tc>
              <w:tc>
                <w:tcPr>
                  <w:tcW w:w="1275" w:type="dxa"/>
                  <w:shd w:val="clear" w:color="auto" w:fill="auto"/>
                  <w:tcMar>
                    <w:top w:w="15" w:type="dxa"/>
                    <w:left w:w="15" w:type="dxa"/>
                    <w:right w:w="15" w:type="dxa"/>
                  </w:tcMar>
                  <w:vAlign w:val="center"/>
                </w:tcPr>
                <w:p>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1276" w:type="dxa"/>
                  <w:shd w:val="clear" w:color="auto" w:fill="auto"/>
                  <w:tcMar>
                    <w:top w:w="15" w:type="dxa"/>
                    <w:left w:w="15" w:type="dxa"/>
                    <w:right w:w="15" w:type="dxa"/>
                  </w:tcMar>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0.0575 </w:t>
                  </w:r>
                </w:p>
              </w:tc>
              <w:tc>
                <w:tcPr>
                  <w:tcW w:w="1423" w:type="dxa"/>
                  <w:tcMar>
                    <w:top w:w="15" w:type="dxa"/>
                    <w:left w:w="15" w:type="dxa"/>
                    <w:right w:w="15" w:type="dxa"/>
                  </w:tcMar>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0.0575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jc w:val="center"/>
                    <w:rPr>
                      <w:color w:val="auto"/>
                      <w:sz w:val="21"/>
                      <w:szCs w:val="21"/>
                    </w:rPr>
                  </w:pPr>
                </w:p>
              </w:tc>
              <w:tc>
                <w:tcPr>
                  <w:tcW w:w="870" w:type="dxa"/>
                  <w:vMerge w:val="continue"/>
                  <w:tcMar>
                    <w:top w:w="15" w:type="dxa"/>
                    <w:left w:w="15" w:type="dxa"/>
                    <w:right w:w="15" w:type="dxa"/>
                  </w:tcMar>
                  <w:vAlign w:val="center"/>
                </w:tcPr>
                <w:p>
                  <w:pPr>
                    <w:jc w:val="center"/>
                    <w:textAlignment w:val="center"/>
                    <w:rPr>
                      <w:color w:val="auto"/>
                      <w:sz w:val="21"/>
                      <w:szCs w:val="21"/>
                    </w:rPr>
                  </w:pPr>
                </w:p>
              </w:tc>
              <w:tc>
                <w:tcPr>
                  <w:tcW w:w="1232" w:type="dxa"/>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甲醛</w:t>
                  </w:r>
                </w:p>
              </w:tc>
              <w:tc>
                <w:tcPr>
                  <w:tcW w:w="127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c>
                <w:tcPr>
                  <w:tcW w:w="1275" w:type="dxa"/>
                  <w:shd w:val="clear" w:color="auto" w:fill="auto"/>
                  <w:tcMar>
                    <w:top w:w="15" w:type="dxa"/>
                    <w:left w:w="15" w:type="dxa"/>
                    <w:right w:w="15" w:type="dxa"/>
                  </w:tcMar>
                  <w:vAlign w:val="center"/>
                </w:tcPr>
                <w:p>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1276" w:type="dxa"/>
                  <w:shd w:val="clear" w:color="auto" w:fill="auto"/>
                  <w:tcMar>
                    <w:top w:w="15" w:type="dxa"/>
                    <w:left w:w="15" w:type="dxa"/>
                    <w:right w:w="15" w:type="dxa"/>
                  </w:tcMar>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c>
                <w:tcPr>
                  <w:tcW w:w="1423" w:type="dxa"/>
                  <w:tcMar>
                    <w:top w:w="15" w:type="dxa"/>
                    <w:left w:w="15" w:type="dxa"/>
                    <w:right w:w="15" w:type="dxa"/>
                  </w:tcMar>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restart"/>
                  <w:tcMar>
                    <w:top w:w="15" w:type="dxa"/>
                    <w:left w:w="15" w:type="dxa"/>
                    <w:right w:w="15" w:type="dxa"/>
                  </w:tcMar>
                  <w:vAlign w:val="center"/>
                </w:tcPr>
                <w:p>
                  <w:pPr>
                    <w:widowControl/>
                    <w:jc w:val="center"/>
                    <w:textAlignment w:val="center"/>
                    <w:rPr>
                      <w:color w:val="auto"/>
                      <w:sz w:val="21"/>
                      <w:szCs w:val="21"/>
                    </w:rPr>
                  </w:pPr>
                  <w:r>
                    <w:rPr>
                      <w:color w:val="auto"/>
                      <w:kern w:val="0"/>
                      <w:sz w:val="21"/>
                      <w:szCs w:val="21"/>
                      <w:lang w:bidi="ar"/>
                    </w:rPr>
                    <w:t>固废</w:t>
                  </w:r>
                </w:p>
              </w:tc>
              <w:tc>
                <w:tcPr>
                  <w:tcW w:w="2102" w:type="dxa"/>
                  <w:gridSpan w:val="2"/>
                  <w:tcMar>
                    <w:top w:w="15" w:type="dxa"/>
                    <w:left w:w="15" w:type="dxa"/>
                    <w:right w:w="15" w:type="dxa"/>
                  </w:tcMar>
                  <w:vAlign w:val="center"/>
                </w:tcPr>
                <w:p>
                  <w:pPr>
                    <w:widowControl/>
                    <w:jc w:val="center"/>
                    <w:textAlignment w:val="center"/>
                    <w:rPr>
                      <w:color w:val="auto"/>
                      <w:sz w:val="21"/>
                      <w:szCs w:val="21"/>
                    </w:rPr>
                  </w:pPr>
                  <w:r>
                    <w:rPr>
                      <w:color w:val="auto"/>
                      <w:kern w:val="0"/>
                      <w:sz w:val="21"/>
                      <w:szCs w:val="21"/>
                      <w:lang w:bidi="ar"/>
                    </w:rPr>
                    <w:t>一般工业固废</w:t>
                  </w:r>
                </w:p>
              </w:tc>
              <w:tc>
                <w:tcPr>
                  <w:tcW w:w="1276" w:type="dxa"/>
                  <w:tcMar>
                    <w:top w:w="15" w:type="dxa"/>
                    <w:left w:w="15" w:type="dxa"/>
                    <w:right w:w="15" w:type="dxa"/>
                  </w:tcMar>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15.5</w:t>
                  </w:r>
                </w:p>
              </w:tc>
              <w:tc>
                <w:tcPr>
                  <w:tcW w:w="1275" w:type="dxa"/>
                  <w:tcMar>
                    <w:top w:w="15" w:type="dxa"/>
                    <w:left w:w="15" w:type="dxa"/>
                    <w:right w:w="15" w:type="dxa"/>
                  </w:tcMar>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15.5</w:t>
                  </w:r>
                </w:p>
              </w:tc>
              <w:tc>
                <w:tcPr>
                  <w:tcW w:w="1276" w:type="dxa"/>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0</w:t>
                  </w:r>
                </w:p>
              </w:tc>
              <w:tc>
                <w:tcPr>
                  <w:tcW w:w="1423" w:type="dxa"/>
                  <w:tcMar>
                    <w:top w:w="15" w:type="dxa"/>
                    <w:left w:w="15" w:type="dxa"/>
                    <w:right w:w="15" w:type="dxa"/>
                  </w:tcMar>
                  <w:vAlign w:val="center"/>
                </w:tcPr>
                <w:p>
                  <w:pPr>
                    <w:widowControl/>
                    <w:jc w:val="center"/>
                    <w:textAlignment w:val="center"/>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jc w:val="center"/>
                    <w:rPr>
                      <w:color w:val="auto"/>
                      <w:sz w:val="21"/>
                      <w:szCs w:val="21"/>
                    </w:rPr>
                  </w:pPr>
                </w:p>
              </w:tc>
              <w:tc>
                <w:tcPr>
                  <w:tcW w:w="2102" w:type="dxa"/>
                  <w:gridSpan w:val="2"/>
                  <w:tcMar>
                    <w:top w:w="15" w:type="dxa"/>
                    <w:left w:w="15" w:type="dxa"/>
                    <w:right w:w="15" w:type="dxa"/>
                  </w:tcMar>
                  <w:vAlign w:val="center"/>
                </w:tcPr>
                <w:p>
                  <w:pPr>
                    <w:widowControl/>
                    <w:jc w:val="center"/>
                    <w:textAlignment w:val="center"/>
                    <w:rPr>
                      <w:color w:val="auto"/>
                      <w:sz w:val="21"/>
                      <w:szCs w:val="21"/>
                    </w:rPr>
                  </w:pPr>
                  <w:r>
                    <w:rPr>
                      <w:color w:val="auto"/>
                      <w:kern w:val="0"/>
                      <w:sz w:val="21"/>
                      <w:szCs w:val="21"/>
                      <w:lang w:bidi="ar"/>
                    </w:rPr>
                    <w:t>危险工业废物</w:t>
                  </w:r>
                </w:p>
              </w:tc>
              <w:tc>
                <w:tcPr>
                  <w:tcW w:w="1276" w:type="dxa"/>
                  <w:tcMar>
                    <w:top w:w="15" w:type="dxa"/>
                    <w:left w:w="15" w:type="dxa"/>
                    <w:right w:w="15" w:type="dxa"/>
                  </w:tcMar>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23.91</w:t>
                  </w:r>
                </w:p>
              </w:tc>
              <w:tc>
                <w:tcPr>
                  <w:tcW w:w="1275" w:type="dxa"/>
                  <w:tcMar>
                    <w:top w:w="15" w:type="dxa"/>
                    <w:left w:w="15" w:type="dxa"/>
                    <w:right w:w="15" w:type="dxa"/>
                  </w:tcMar>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23.91</w:t>
                  </w:r>
                </w:p>
              </w:tc>
              <w:tc>
                <w:tcPr>
                  <w:tcW w:w="1276" w:type="dxa"/>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0</w:t>
                  </w:r>
                </w:p>
              </w:tc>
              <w:tc>
                <w:tcPr>
                  <w:tcW w:w="1423" w:type="dxa"/>
                  <w:tcMar>
                    <w:top w:w="15" w:type="dxa"/>
                    <w:left w:w="15" w:type="dxa"/>
                    <w:right w:w="15" w:type="dxa"/>
                  </w:tcMar>
                  <w:vAlign w:val="center"/>
                </w:tcPr>
                <w:p>
                  <w:pPr>
                    <w:widowControl/>
                    <w:jc w:val="center"/>
                    <w:textAlignment w:val="center"/>
                    <w:rPr>
                      <w:color w:val="auto"/>
                      <w:sz w:val="21"/>
                      <w:szCs w:val="21"/>
                    </w:rPr>
                  </w:pPr>
                  <w:r>
                    <w:rPr>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09" w:type="dxa"/>
                  <w:vMerge w:val="continue"/>
                  <w:tcMar>
                    <w:top w:w="15" w:type="dxa"/>
                    <w:left w:w="15" w:type="dxa"/>
                    <w:right w:w="15" w:type="dxa"/>
                  </w:tcMar>
                  <w:vAlign w:val="center"/>
                </w:tcPr>
                <w:p>
                  <w:pPr>
                    <w:jc w:val="center"/>
                    <w:rPr>
                      <w:color w:val="auto"/>
                      <w:sz w:val="21"/>
                      <w:szCs w:val="21"/>
                    </w:rPr>
                  </w:pPr>
                </w:p>
              </w:tc>
              <w:tc>
                <w:tcPr>
                  <w:tcW w:w="2102" w:type="dxa"/>
                  <w:gridSpan w:val="2"/>
                  <w:tcMar>
                    <w:top w:w="15" w:type="dxa"/>
                    <w:left w:w="15" w:type="dxa"/>
                    <w:right w:w="15" w:type="dxa"/>
                  </w:tcMar>
                  <w:vAlign w:val="center"/>
                </w:tcPr>
                <w:p>
                  <w:pPr>
                    <w:widowControl/>
                    <w:jc w:val="center"/>
                    <w:textAlignment w:val="center"/>
                    <w:rPr>
                      <w:color w:val="auto"/>
                      <w:sz w:val="21"/>
                      <w:szCs w:val="21"/>
                    </w:rPr>
                  </w:pPr>
                  <w:r>
                    <w:rPr>
                      <w:color w:val="auto"/>
                      <w:kern w:val="0"/>
                      <w:sz w:val="21"/>
                      <w:szCs w:val="21"/>
                      <w:lang w:bidi="ar"/>
                    </w:rPr>
                    <w:t>生活垃圾</w:t>
                  </w:r>
                </w:p>
              </w:tc>
              <w:tc>
                <w:tcPr>
                  <w:tcW w:w="1276" w:type="dxa"/>
                  <w:tcMar>
                    <w:top w:w="15" w:type="dxa"/>
                    <w:left w:w="15" w:type="dxa"/>
                    <w:right w:w="15" w:type="dxa"/>
                  </w:tcMar>
                  <w:vAlign w:val="center"/>
                </w:tcPr>
                <w:p>
                  <w:pPr>
                    <w:widowControl/>
                    <w:jc w:val="center"/>
                    <w:textAlignment w:val="center"/>
                    <w:rPr>
                      <w:rFonts w:hint="default" w:eastAsia="宋体"/>
                      <w:color w:val="auto"/>
                      <w:sz w:val="21"/>
                      <w:szCs w:val="21"/>
                      <w:lang w:val="en-US" w:eastAsia="zh-CN"/>
                    </w:rPr>
                  </w:pPr>
                  <w:r>
                    <w:rPr>
                      <w:color w:val="auto"/>
                      <w:sz w:val="21"/>
                      <w:szCs w:val="21"/>
                    </w:rPr>
                    <w:t>8</w:t>
                  </w:r>
                  <w:r>
                    <w:rPr>
                      <w:rFonts w:hint="eastAsia"/>
                      <w:color w:val="auto"/>
                      <w:sz w:val="21"/>
                      <w:szCs w:val="21"/>
                      <w:lang w:val="en-US" w:eastAsia="zh-CN"/>
                    </w:rPr>
                    <w:t>.16</w:t>
                  </w:r>
                </w:p>
              </w:tc>
              <w:tc>
                <w:tcPr>
                  <w:tcW w:w="1275" w:type="dxa"/>
                  <w:tcMar>
                    <w:top w:w="15" w:type="dxa"/>
                    <w:left w:w="15" w:type="dxa"/>
                    <w:right w:w="15" w:type="dxa"/>
                  </w:tcMar>
                  <w:vAlign w:val="center"/>
                </w:tcPr>
                <w:p>
                  <w:pPr>
                    <w:widowControl/>
                    <w:jc w:val="center"/>
                    <w:textAlignment w:val="center"/>
                    <w:rPr>
                      <w:rFonts w:hint="default" w:eastAsia="宋体"/>
                      <w:color w:val="auto"/>
                      <w:sz w:val="21"/>
                      <w:szCs w:val="21"/>
                      <w:lang w:val="en-US" w:eastAsia="zh-CN"/>
                    </w:rPr>
                  </w:pPr>
                  <w:r>
                    <w:rPr>
                      <w:color w:val="auto"/>
                      <w:sz w:val="21"/>
                      <w:szCs w:val="21"/>
                    </w:rPr>
                    <w:t>8</w:t>
                  </w:r>
                  <w:r>
                    <w:rPr>
                      <w:rFonts w:hint="eastAsia"/>
                      <w:color w:val="auto"/>
                      <w:sz w:val="21"/>
                      <w:szCs w:val="21"/>
                      <w:lang w:val="en-US" w:eastAsia="zh-CN"/>
                    </w:rPr>
                    <w:t>.16</w:t>
                  </w:r>
                </w:p>
              </w:tc>
              <w:tc>
                <w:tcPr>
                  <w:tcW w:w="1276" w:type="dxa"/>
                  <w:tcMar>
                    <w:top w:w="15" w:type="dxa"/>
                    <w:left w:w="15" w:type="dxa"/>
                    <w:right w:w="15" w:type="dxa"/>
                  </w:tcMar>
                  <w:vAlign w:val="center"/>
                </w:tcPr>
                <w:p>
                  <w:pPr>
                    <w:widowControl/>
                    <w:jc w:val="center"/>
                    <w:textAlignment w:val="center"/>
                    <w:rPr>
                      <w:color w:val="auto"/>
                      <w:sz w:val="21"/>
                      <w:szCs w:val="21"/>
                    </w:rPr>
                  </w:pPr>
                  <w:r>
                    <w:rPr>
                      <w:rFonts w:hint="eastAsia"/>
                      <w:color w:val="auto"/>
                      <w:sz w:val="21"/>
                      <w:szCs w:val="21"/>
                    </w:rPr>
                    <w:t>0</w:t>
                  </w:r>
                </w:p>
              </w:tc>
              <w:tc>
                <w:tcPr>
                  <w:tcW w:w="1423" w:type="dxa"/>
                  <w:tcMar>
                    <w:top w:w="15" w:type="dxa"/>
                    <w:left w:w="15" w:type="dxa"/>
                    <w:right w:w="15" w:type="dxa"/>
                  </w:tcMar>
                  <w:vAlign w:val="center"/>
                </w:tcPr>
                <w:p>
                  <w:pPr>
                    <w:widowControl/>
                    <w:jc w:val="center"/>
                    <w:textAlignment w:val="center"/>
                    <w:rPr>
                      <w:color w:val="auto"/>
                      <w:sz w:val="21"/>
                      <w:szCs w:val="21"/>
                    </w:rPr>
                  </w:pPr>
                  <w:r>
                    <w:rPr>
                      <w:color w:val="auto"/>
                      <w:sz w:val="21"/>
                      <w:szCs w:val="21"/>
                    </w:rPr>
                    <w:t>/</w:t>
                  </w:r>
                </w:p>
              </w:tc>
            </w:tr>
          </w:tbl>
          <w:p>
            <w:pPr>
              <w:tabs>
                <w:tab w:val="left" w:pos="420"/>
              </w:tabs>
              <w:adjustRightInd w:val="0"/>
              <w:snapToGrid w:val="0"/>
              <w:spacing w:line="360" w:lineRule="auto"/>
              <w:ind w:firstLine="0" w:firstLineChars="0"/>
              <w:rPr>
                <w:rFonts w:hint="default"/>
                <w:color w:val="auto"/>
                <w:sz w:val="24"/>
                <w:lang w:val="en-US" w:eastAsia="zh-CN"/>
              </w:rPr>
            </w:pPr>
            <w:r>
              <w:rPr>
                <w:rFonts w:hint="eastAsia"/>
                <w:b/>
                <w:bCs/>
                <w:color w:val="auto"/>
                <w:sz w:val="21"/>
                <w:szCs w:val="21"/>
              </w:rPr>
              <w:t>注：本项目非甲烷总烃包含甲醛。</w:t>
            </w:r>
          </w:p>
          <w:p>
            <w:pPr>
              <w:tabs>
                <w:tab w:val="left" w:pos="420"/>
              </w:tabs>
              <w:adjustRightInd w:val="0"/>
              <w:snapToGrid w:val="0"/>
              <w:spacing w:line="360" w:lineRule="auto"/>
              <w:ind w:firstLine="480" w:firstLineChars="200"/>
              <w:rPr>
                <w:rFonts w:hint="eastAsia"/>
                <w:color w:val="auto"/>
                <w:sz w:val="24"/>
              </w:rPr>
            </w:pPr>
            <w:r>
              <w:rPr>
                <w:rFonts w:hint="eastAsia"/>
                <w:color w:val="auto"/>
                <w:sz w:val="24"/>
              </w:rPr>
              <w:t>本项目产生的废气在惠山区范围内进行平衡；</w:t>
            </w:r>
          </w:p>
          <w:p>
            <w:pPr>
              <w:tabs>
                <w:tab w:val="left" w:pos="420"/>
              </w:tabs>
              <w:adjustRightInd w:val="0"/>
              <w:snapToGrid w:val="0"/>
              <w:spacing w:line="360" w:lineRule="auto"/>
              <w:ind w:firstLine="480" w:firstLineChars="200"/>
              <w:rPr>
                <w:color w:val="auto"/>
                <w:sz w:val="24"/>
              </w:rPr>
            </w:pPr>
            <w:r>
              <w:rPr>
                <w:rFonts w:hint="eastAsia"/>
                <w:color w:val="auto"/>
                <w:sz w:val="24"/>
              </w:rPr>
              <w:t>本</w:t>
            </w:r>
            <w:r>
              <w:rPr>
                <w:color w:val="auto"/>
                <w:sz w:val="24"/>
              </w:rPr>
              <w:t>项目产生的水污染物纳入无锡玉祁永新污水处理有限公司的排污总量，可以在无锡玉祁永新污水处理有限公司的污染物排放总量控制指标内进行平衡；</w:t>
            </w:r>
          </w:p>
          <w:p>
            <w:pPr>
              <w:adjustRightInd w:val="0"/>
              <w:snapToGrid w:val="0"/>
              <w:spacing w:line="360" w:lineRule="auto"/>
              <w:ind w:firstLine="480" w:firstLineChars="200"/>
              <w:jc w:val="left"/>
              <w:rPr>
                <w:color w:val="auto"/>
                <w:sz w:val="24"/>
              </w:rPr>
            </w:pPr>
            <w:r>
              <w:rPr>
                <w:color w:val="auto"/>
                <w:sz w:val="24"/>
              </w:rPr>
              <w:t>固废：零排放。</w:t>
            </w:r>
          </w:p>
        </w:tc>
      </w:tr>
    </w:tbl>
    <w:p>
      <w:pPr>
        <w:pStyle w:val="26"/>
        <w:jc w:val="center"/>
        <w:outlineLvl w:val="0"/>
        <w:rPr>
          <w:rFonts w:ascii="Times New Roman" w:hAnsi="Times New Roman"/>
          <w:snapToGrid w:val="0"/>
          <w:color w:val="auto"/>
          <w:sz w:val="30"/>
          <w:szCs w:val="30"/>
        </w:rPr>
        <w:sectPr>
          <w:pgSz w:w="11907" w:h="16840"/>
          <w:pgMar w:top="1701" w:right="1531" w:bottom="2127" w:left="1531" w:header="851" w:footer="851" w:gutter="0"/>
          <w:cols w:space="720" w:num="1"/>
          <w:docGrid w:linePitch="312" w:charSpace="0"/>
        </w:sectPr>
      </w:pPr>
    </w:p>
    <w:p>
      <w:pPr>
        <w:pStyle w:val="26"/>
        <w:adjustRightInd w:val="0"/>
        <w:snapToGrid w:val="0"/>
        <w:spacing w:before="0" w:beforeAutospacing="0" w:after="0" w:afterAutospacing="0"/>
        <w:jc w:val="center"/>
        <w:outlineLvl w:val="0"/>
        <w:rPr>
          <w:rFonts w:ascii="Times New Roman" w:hAnsi="Times New Roman"/>
          <w:b/>
          <w:bCs/>
          <w:snapToGrid w:val="0"/>
          <w:color w:val="auto"/>
          <w:sz w:val="30"/>
          <w:szCs w:val="30"/>
        </w:rPr>
      </w:pPr>
      <w:bookmarkStart w:id="8" w:name="_Toc8387"/>
      <w:r>
        <w:rPr>
          <w:rFonts w:ascii="Times New Roman" w:hAnsi="Times New Roman"/>
          <w:b/>
          <w:bCs/>
          <w:snapToGrid w:val="0"/>
          <w:color w:val="auto"/>
          <w:sz w:val="30"/>
          <w:szCs w:val="30"/>
        </w:rPr>
        <w:t>四、主要环境影响和保护措施</w:t>
      </w:r>
      <w:bookmarkEnd w:id="8"/>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5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8" w:hRule="atLeast"/>
          <w:jc w:val="center"/>
        </w:trPr>
        <w:tc>
          <w:tcPr>
            <w:tcW w:w="466" w:type="dxa"/>
            <w:tcMar>
              <w:left w:w="28" w:type="dxa"/>
              <w:right w:w="28" w:type="dxa"/>
            </w:tcMar>
            <w:vAlign w:val="center"/>
          </w:tcPr>
          <w:p>
            <w:pPr>
              <w:pStyle w:val="2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pPr>
              <w:pStyle w:val="2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pPr>
              <w:pStyle w:val="2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pPr>
              <w:pStyle w:val="26"/>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pPr>
              <w:pStyle w:val="26"/>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515" w:type="dxa"/>
          </w:tcPr>
          <w:p>
            <w:pPr>
              <w:adjustRightInd w:val="0"/>
              <w:snapToGrid w:val="0"/>
              <w:spacing w:line="360" w:lineRule="auto"/>
              <w:ind w:firstLine="480" w:firstLineChars="200"/>
              <w:rPr>
                <w:color w:val="auto"/>
                <w:kern w:val="0"/>
                <w:sz w:val="24"/>
              </w:rPr>
            </w:pPr>
            <w:r>
              <w:rPr>
                <w:color w:val="auto"/>
                <w:kern w:val="0"/>
                <w:sz w:val="24"/>
              </w:rPr>
              <w:t>本</w:t>
            </w:r>
            <w:r>
              <w:rPr>
                <w:rFonts w:hint="eastAsia"/>
                <w:color w:val="auto"/>
                <w:kern w:val="0"/>
                <w:sz w:val="24"/>
              </w:rPr>
              <w:t>项目利用自有已建厂房进行建设，不新建建筑以及不再对车间进行装修，在施工期对周围环境产生的影响主要是安装和调试期间产生的废气和噪声。废气主要来源于运输车辆所排放的废气及少量扬尘；噪声主要是运输机械和安装设备产生的噪声；固体废弃物主要为设备包装箱等。</w:t>
            </w:r>
          </w:p>
          <w:p>
            <w:pPr>
              <w:adjustRightInd w:val="0"/>
              <w:snapToGrid w:val="0"/>
              <w:spacing w:line="360" w:lineRule="auto"/>
              <w:ind w:firstLine="480" w:firstLineChars="200"/>
              <w:rPr>
                <w:color w:val="auto"/>
                <w:kern w:val="0"/>
                <w:sz w:val="24"/>
              </w:rPr>
            </w:pPr>
            <w:r>
              <w:rPr>
                <w:color w:val="auto"/>
                <w:kern w:val="0"/>
                <w:sz w:val="24"/>
              </w:rPr>
              <w:t>在施工期对周围环境产生的影响主要是安装和调试期间产生的废气和噪声。废气主要来源于运输车辆所排放的废气及少量扬尘；噪声主要是运输机械和安装设备产生的噪声；固体废弃物主要为设备包装箱等。</w:t>
            </w:r>
          </w:p>
          <w:p>
            <w:pPr>
              <w:adjustRightInd w:val="0"/>
              <w:snapToGrid w:val="0"/>
              <w:spacing w:line="360" w:lineRule="auto"/>
              <w:ind w:firstLine="480" w:firstLineChars="200"/>
              <w:rPr>
                <w:color w:val="auto"/>
                <w:kern w:val="0"/>
                <w:sz w:val="24"/>
              </w:rPr>
            </w:pPr>
            <w:r>
              <w:rPr>
                <w:color w:val="auto"/>
                <w:kern w:val="0"/>
                <w:sz w:val="24"/>
              </w:rPr>
              <w:t>为防止建设项目在建设期间发生上述环境污染的现象，使建设项目在建设期间对周围环境的影响尽可能小，建议采取以下的污染防治措施：</w:t>
            </w:r>
          </w:p>
          <w:p>
            <w:pPr>
              <w:adjustRightInd w:val="0"/>
              <w:snapToGrid w:val="0"/>
              <w:spacing w:line="360" w:lineRule="auto"/>
              <w:ind w:firstLine="480" w:firstLineChars="200"/>
              <w:rPr>
                <w:color w:val="auto"/>
                <w:kern w:val="0"/>
                <w:sz w:val="24"/>
              </w:rPr>
            </w:pPr>
            <w:r>
              <w:rPr>
                <w:color w:val="auto"/>
                <w:kern w:val="0"/>
                <w:sz w:val="24"/>
              </w:rPr>
              <w:t>1、合理安排设施的使用，减少噪声设备的使用时间。</w:t>
            </w:r>
          </w:p>
          <w:p>
            <w:pPr>
              <w:adjustRightInd w:val="0"/>
              <w:snapToGrid w:val="0"/>
              <w:spacing w:line="360" w:lineRule="auto"/>
              <w:ind w:firstLine="480" w:firstLineChars="200"/>
              <w:rPr>
                <w:color w:val="auto"/>
                <w:kern w:val="0"/>
                <w:sz w:val="24"/>
              </w:rPr>
            </w:pPr>
            <w:r>
              <w:rPr>
                <w:color w:val="auto"/>
                <w:kern w:val="0"/>
                <w:sz w:val="24"/>
              </w:rPr>
              <w:t>2、对施工产生的固体废物，应尽可能利用或及时运走。</w:t>
            </w:r>
          </w:p>
          <w:p>
            <w:pPr>
              <w:adjustRightInd w:val="0"/>
              <w:snapToGrid w:val="0"/>
              <w:spacing w:line="360" w:lineRule="auto"/>
              <w:ind w:firstLine="480" w:firstLineChars="200"/>
              <w:rPr>
                <w:color w:val="auto"/>
                <w:kern w:val="0"/>
                <w:sz w:val="24"/>
              </w:rPr>
            </w:pPr>
            <w:r>
              <w:rPr>
                <w:color w:val="auto"/>
                <w:kern w:val="0"/>
                <w:sz w:val="24"/>
              </w:rPr>
              <w:t>3、注意清洁运输，防止在装卸、运输过程中的撒漏、扬尘及噪声。</w:t>
            </w:r>
          </w:p>
          <w:p>
            <w:pPr>
              <w:adjustRightInd w:val="0"/>
              <w:snapToGrid w:val="0"/>
              <w:spacing w:line="360" w:lineRule="auto"/>
              <w:ind w:firstLine="480" w:firstLineChars="200"/>
              <w:rPr>
                <w:color w:val="auto"/>
                <w:kern w:val="0"/>
                <w:sz w:val="24"/>
              </w:rPr>
            </w:pPr>
            <w:r>
              <w:rPr>
                <w:color w:val="auto"/>
                <w:kern w:val="0"/>
                <w:sz w:val="24"/>
              </w:rPr>
              <w:t>4、建设单位应做好施工期管理工作，以减小对周围环境的影响。</w:t>
            </w:r>
          </w:p>
          <w:p>
            <w:pPr>
              <w:adjustRightInd w:val="0"/>
              <w:snapToGrid w:val="0"/>
              <w:spacing w:line="360" w:lineRule="auto"/>
              <w:ind w:firstLine="480" w:firstLineChars="200"/>
              <w:rPr>
                <w:color w:val="auto"/>
                <w:kern w:val="0"/>
                <w:sz w:val="24"/>
              </w:rPr>
            </w:pPr>
          </w:p>
        </w:tc>
      </w:tr>
    </w:tbl>
    <w:p>
      <w:pPr>
        <w:adjustRightInd w:val="0"/>
        <w:snapToGrid w:val="0"/>
        <w:jc w:val="center"/>
        <w:rPr>
          <w:bCs/>
          <w:color w:val="auto"/>
          <w:sz w:val="24"/>
        </w:rPr>
        <w:sectPr>
          <w:pgSz w:w="11906" w:h="16838"/>
          <w:pgMar w:top="1701" w:right="1531" w:bottom="1701" w:left="1531" w:header="851" w:footer="851" w:gutter="0"/>
          <w:cols w:space="720" w:num="1"/>
          <w:docGrid w:linePitch="312" w:charSpace="0"/>
        </w:sectPr>
      </w:pP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5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43" w:hRule="atLeast"/>
          <w:jc w:val="center"/>
        </w:trPr>
        <w:tc>
          <w:tcPr>
            <w:tcW w:w="466" w:type="dxa"/>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Cs w:val="21"/>
              </w:rPr>
            </w:pPr>
            <w:r>
              <w:rPr>
                <w:bCs/>
                <w:color w:val="auto"/>
                <w:sz w:val="24"/>
              </w:rPr>
              <w:t>措施</w:t>
            </w:r>
          </w:p>
        </w:tc>
        <w:tc>
          <w:tcPr>
            <w:tcW w:w="8515" w:type="dxa"/>
          </w:tcPr>
          <w:p>
            <w:pPr>
              <w:adjustRightInd w:val="0"/>
              <w:snapToGrid w:val="0"/>
              <w:spacing w:line="360" w:lineRule="auto"/>
              <w:rPr>
                <w:color w:val="auto"/>
                <w:kern w:val="0"/>
                <w:szCs w:val="21"/>
              </w:rPr>
            </w:pPr>
            <w:r>
              <w:rPr>
                <w:b/>
                <w:bCs/>
                <w:color w:val="auto"/>
                <w:kern w:val="0"/>
                <w:sz w:val="24"/>
              </w:rPr>
              <w:t>1、废气</w:t>
            </w:r>
          </w:p>
          <w:p>
            <w:pPr>
              <w:adjustRightInd w:val="0"/>
              <w:snapToGrid w:val="0"/>
              <w:spacing w:line="360" w:lineRule="auto"/>
              <w:ind w:firstLine="482" w:firstLineChars="200"/>
              <w:rPr>
                <w:b/>
                <w:bCs/>
                <w:color w:val="auto"/>
                <w:sz w:val="24"/>
              </w:rPr>
            </w:pPr>
            <w:r>
              <w:rPr>
                <w:b/>
                <w:bCs/>
                <w:color w:val="auto"/>
                <w:kern w:val="0"/>
                <w:sz w:val="24"/>
              </w:rPr>
              <w:t>（1）废气产生、治理、排放情况</w:t>
            </w:r>
          </w:p>
          <w:p>
            <w:pPr>
              <w:spacing w:line="360" w:lineRule="auto"/>
              <w:ind w:firstLine="480" w:firstLineChars="200"/>
              <w:rPr>
                <w:color w:val="auto"/>
                <w:sz w:val="24"/>
              </w:rPr>
            </w:pPr>
            <w:r>
              <w:rPr>
                <w:color w:val="auto"/>
                <w:sz w:val="24"/>
              </w:rPr>
              <w:t>本项目产生的废气污染物主要为</w:t>
            </w:r>
            <w:r>
              <w:rPr>
                <w:rFonts w:hint="eastAsia"/>
                <w:color w:val="auto"/>
                <w:sz w:val="24"/>
              </w:rPr>
              <w:t>热压贴面</w:t>
            </w:r>
            <w:r>
              <w:rPr>
                <w:color w:val="auto"/>
                <w:sz w:val="24"/>
              </w:rPr>
              <w:t>产生的</w:t>
            </w:r>
            <w:r>
              <w:rPr>
                <w:rFonts w:hint="eastAsia"/>
                <w:color w:val="auto"/>
                <w:sz w:val="24"/>
              </w:rPr>
              <w:t>热压</w:t>
            </w:r>
            <w:r>
              <w:rPr>
                <w:color w:val="auto"/>
                <w:sz w:val="24"/>
              </w:rPr>
              <w:t>废气</w:t>
            </w:r>
            <w:r>
              <w:rPr>
                <w:rFonts w:hint="eastAsia"/>
                <w:color w:val="auto"/>
                <w:sz w:val="24"/>
              </w:rPr>
              <w:t>以及</w:t>
            </w:r>
            <w:r>
              <w:rPr>
                <w:color w:val="auto"/>
                <w:sz w:val="24"/>
              </w:rPr>
              <w:t>天然气燃烧产生的颗粒物、二氧化硫、氮氧化物。</w:t>
            </w:r>
          </w:p>
          <w:p>
            <w:pPr>
              <w:pStyle w:val="26"/>
              <w:adjustRightInd w:val="0"/>
              <w:snapToGrid w:val="0"/>
              <w:spacing w:before="0" w:beforeAutospacing="0" w:after="0" w:afterAutospacing="0" w:line="360" w:lineRule="auto"/>
              <w:ind w:firstLine="480" w:firstLineChars="200"/>
              <w:jc w:val="both"/>
              <w:rPr>
                <w:rFonts w:ascii="Times New Roman" w:hAnsi="Times New Roman"/>
                <w:color w:val="auto"/>
                <w:szCs w:val="24"/>
              </w:rPr>
            </w:pPr>
            <w:r>
              <w:rPr>
                <w:rFonts w:hint="eastAsia" w:ascii="Times New Roman" w:hAnsi="Times New Roman"/>
                <w:color w:val="auto"/>
                <w:szCs w:val="24"/>
              </w:rPr>
              <w:t>①热压</w:t>
            </w:r>
            <w:r>
              <w:rPr>
                <w:rFonts w:ascii="Times New Roman" w:hAnsi="Times New Roman"/>
                <w:color w:val="auto"/>
                <w:szCs w:val="24"/>
              </w:rPr>
              <w:t>废气G1</w:t>
            </w:r>
          </w:p>
          <w:p>
            <w:pPr>
              <w:pStyle w:val="26"/>
              <w:adjustRightInd w:val="0"/>
              <w:snapToGrid w:val="0"/>
              <w:spacing w:before="0" w:beforeAutospacing="0" w:after="0" w:afterAutospacing="0" w:line="360" w:lineRule="auto"/>
              <w:ind w:firstLine="480" w:firstLineChars="200"/>
              <w:rPr>
                <w:rFonts w:hint="default" w:ascii="Times New Roman" w:hAnsi="Times New Roman" w:eastAsia="宋体"/>
                <w:color w:val="auto"/>
                <w:szCs w:val="21"/>
                <w:lang w:val="en-US" w:eastAsia="zh-CN"/>
              </w:rPr>
            </w:pPr>
            <w:r>
              <w:rPr>
                <w:rFonts w:hint="eastAsia" w:ascii="Times New Roman" w:hAnsi="Times New Roman"/>
                <w:color w:val="auto"/>
                <w:szCs w:val="21"/>
              </w:rPr>
              <w:t>本项目在进行热压贴面工序时，首先将浸胶纸</w:t>
            </w:r>
            <w:r>
              <w:rPr>
                <w:rFonts w:hint="eastAsia" w:ascii="Times New Roman" w:hAnsi="Times New Roman"/>
                <w:color w:val="auto"/>
                <w:szCs w:val="21"/>
                <w:lang w:val="en-US" w:eastAsia="zh-CN"/>
              </w:rPr>
              <w:t>压</w:t>
            </w:r>
            <w:r>
              <w:rPr>
                <w:rFonts w:hint="eastAsia" w:ascii="Times New Roman" w:hAnsi="Times New Roman"/>
                <w:color w:val="auto"/>
                <w:szCs w:val="21"/>
              </w:rPr>
              <w:t>在木材表面，再经热压机进行压贴</w:t>
            </w:r>
            <w:r>
              <w:rPr>
                <w:rFonts w:hint="eastAsia" w:ascii="Times New Roman" w:hAnsi="Times New Roman"/>
                <w:color w:val="auto"/>
                <w:szCs w:val="21"/>
                <w:lang w:eastAsia="zh-CN"/>
              </w:rPr>
              <w:t>，</w:t>
            </w:r>
            <w:r>
              <w:rPr>
                <w:rFonts w:hint="eastAsia" w:ascii="Times New Roman" w:hAnsi="Times New Roman"/>
                <w:color w:val="auto"/>
                <w:szCs w:val="21"/>
              </w:rPr>
              <w:t>浸胶纸中胶粘剂为三聚氰胺树脂胶，其热稳定性很好，在350~400℃温度下不会发生热解反应。本项目热压温度为150-190℃，因此热压过程不会发生热解反应，但在受热作用下，三聚氰胺树脂胶中少量游离小分子单体会挥发出来</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废气以非甲烷总烃和甲醛计。</w:t>
            </w:r>
          </w:p>
          <w:p>
            <w:pPr>
              <w:pStyle w:val="26"/>
              <w:adjustRightInd w:val="0"/>
              <w:snapToGrid w:val="0"/>
              <w:spacing w:before="0" w:beforeAutospacing="0" w:after="0" w:afterAutospacing="0" w:line="360" w:lineRule="auto"/>
              <w:ind w:firstLine="480" w:firstLineChars="200"/>
              <w:rPr>
                <w:rFonts w:hint="default" w:ascii="Times New Roman" w:hAnsi="Times New Roman" w:eastAsia="宋体"/>
                <w:color w:val="auto"/>
                <w:szCs w:val="21"/>
                <w:lang w:val="en-US" w:eastAsia="zh-CN"/>
              </w:rPr>
            </w:pPr>
            <w:r>
              <w:rPr>
                <w:rFonts w:hint="eastAsia" w:ascii="Times New Roman" w:hAnsi="Times New Roman"/>
                <w:color w:val="auto"/>
                <w:szCs w:val="21"/>
                <w:lang w:eastAsia="zh-CN"/>
              </w:rPr>
              <w:t>本项目热压废气产生情况类比</w:t>
            </w:r>
            <w:r>
              <w:rPr>
                <w:rFonts w:hint="eastAsia" w:ascii="Times New Roman" w:hAnsi="Times New Roman"/>
                <w:color w:val="auto"/>
                <w:szCs w:val="21"/>
              </w:rPr>
              <w:t>《</w:t>
            </w:r>
            <w:r>
              <w:rPr>
                <w:rFonts w:hint="eastAsia" w:ascii="Times New Roman" w:hAnsi="Times New Roman"/>
                <w:color w:val="auto"/>
                <w:szCs w:val="21"/>
                <w:lang w:eastAsia="zh-CN"/>
              </w:rPr>
              <w:t>江苏博大新材料股份有限公司抗耐特板、高压装饰板、纳米微晶板、饰面板、饰面胶膜纸和</w:t>
            </w:r>
            <w:r>
              <w:rPr>
                <w:rFonts w:hint="eastAsia" w:ascii="Times New Roman" w:hAnsi="Times New Roman"/>
                <w:color w:val="auto"/>
                <w:szCs w:val="21"/>
                <w:lang w:val="en-US" w:eastAsia="zh-CN"/>
              </w:rPr>
              <w:t>EBC纸改扩建</w:t>
            </w:r>
            <w:r>
              <w:rPr>
                <w:rFonts w:hint="eastAsia" w:ascii="Times New Roman" w:hAnsi="Times New Roman"/>
                <w:color w:val="auto"/>
                <w:szCs w:val="21"/>
              </w:rPr>
              <w:t>项目》</w:t>
            </w:r>
            <w:r>
              <w:rPr>
                <w:rFonts w:hint="eastAsia" w:ascii="Times New Roman" w:hAnsi="Times New Roman"/>
                <w:color w:val="auto"/>
                <w:szCs w:val="21"/>
                <w:lang w:eastAsia="zh-CN"/>
              </w:rPr>
              <w:t>（下称“博大项目”）中源强核算数据。本项目使用的浸胶纸与博大项目中使用的</w:t>
            </w:r>
            <w:r>
              <w:rPr>
                <w:rFonts w:hint="eastAsia" w:ascii="Times New Roman" w:hAnsi="Times New Roman"/>
                <w:color w:val="auto"/>
                <w:szCs w:val="21"/>
              </w:rPr>
              <w:t>饰面胶膜纸</w:t>
            </w:r>
            <w:r>
              <w:rPr>
                <w:rFonts w:hint="eastAsia" w:ascii="Times New Roman" w:hAnsi="Times New Roman"/>
                <w:color w:val="auto"/>
                <w:szCs w:val="21"/>
                <w:lang w:eastAsia="zh-CN"/>
              </w:rPr>
              <w:t>类似，均含有</w:t>
            </w:r>
            <w:r>
              <w:rPr>
                <w:rFonts w:hint="eastAsia" w:ascii="Times New Roman" w:hAnsi="Times New Roman"/>
                <w:color w:val="auto"/>
                <w:szCs w:val="21"/>
              </w:rPr>
              <w:t>三聚氰胺树脂胶</w:t>
            </w:r>
            <w:r>
              <w:rPr>
                <w:rFonts w:hint="eastAsia" w:ascii="Times New Roman" w:hAnsi="Times New Roman"/>
                <w:color w:val="auto"/>
                <w:szCs w:val="21"/>
                <w:lang w:eastAsia="zh-CN"/>
              </w:rPr>
              <w:t>；热压工艺温度均在</w:t>
            </w:r>
            <w:r>
              <w:rPr>
                <w:rFonts w:hint="eastAsia" w:ascii="Times New Roman" w:hAnsi="Times New Roman"/>
                <w:color w:val="auto"/>
                <w:szCs w:val="21"/>
                <w:lang w:val="en-US" w:eastAsia="zh-CN"/>
              </w:rPr>
              <w:t>150</w:t>
            </w:r>
            <w:r>
              <w:rPr>
                <w:rFonts w:hint="eastAsia" w:ascii="Times New Roman" w:hAnsi="Times New Roman"/>
                <w:color w:val="auto"/>
                <w:szCs w:val="21"/>
              </w:rPr>
              <w:t>℃左右</w:t>
            </w:r>
            <w:r>
              <w:rPr>
                <w:rFonts w:hint="eastAsia" w:ascii="Times New Roman" w:hAnsi="Times New Roman"/>
                <w:color w:val="auto"/>
                <w:szCs w:val="21"/>
                <w:lang w:eastAsia="zh-CN"/>
              </w:rPr>
              <w:t>。根据博大项目废气源强及热压面数计算，</w:t>
            </w:r>
            <w:r>
              <w:rPr>
                <w:rFonts w:hint="eastAsia" w:ascii="Times New Roman" w:hAnsi="Times New Roman"/>
                <w:color w:val="auto"/>
                <w:szCs w:val="21"/>
              </w:rPr>
              <w:t>非甲烷总烃</w:t>
            </w:r>
            <w:r>
              <w:rPr>
                <w:rFonts w:hint="eastAsia" w:ascii="Times New Roman" w:hAnsi="Times New Roman"/>
                <w:color w:val="auto"/>
                <w:szCs w:val="21"/>
                <w:lang w:eastAsia="zh-CN"/>
              </w:rPr>
              <w:t>产生系数约为</w:t>
            </w:r>
            <w:r>
              <w:rPr>
                <w:rFonts w:hint="eastAsia" w:ascii="Times New Roman" w:hAnsi="Times New Roman"/>
                <w:color w:val="auto"/>
                <w:szCs w:val="21"/>
              </w:rPr>
              <w:t>0.1598g/面/产品，甲醛</w:t>
            </w:r>
            <w:r>
              <w:rPr>
                <w:rFonts w:hint="eastAsia" w:ascii="Times New Roman" w:hAnsi="Times New Roman"/>
                <w:color w:val="auto"/>
                <w:szCs w:val="21"/>
                <w:lang w:eastAsia="zh-CN"/>
              </w:rPr>
              <w:t>产生系数约为</w:t>
            </w:r>
            <w:r>
              <w:rPr>
                <w:rFonts w:hint="eastAsia" w:ascii="Times New Roman" w:hAnsi="Times New Roman"/>
                <w:color w:val="auto"/>
                <w:szCs w:val="21"/>
              </w:rPr>
              <w:t>0.0122g/面/产品</w:t>
            </w:r>
            <w:r>
              <w:rPr>
                <w:rFonts w:hint="eastAsia" w:ascii="Times New Roman" w:hAnsi="Times New Roman"/>
                <w:color w:val="auto"/>
                <w:szCs w:val="21"/>
                <w:lang w:eastAsia="zh-CN"/>
              </w:rPr>
              <w:t>，因此，本项目废气</w:t>
            </w:r>
            <w:r>
              <w:rPr>
                <w:rFonts w:hint="eastAsia" w:ascii="Times New Roman" w:hAnsi="Times New Roman"/>
                <w:color w:val="auto"/>
                <w:szCs w:val="21"/>
              </w:rPr>
              <w:t>非甲烷总烃</w:t>
            </w:r>
            <w:r>
              <w:rPr>
                <w:rFonts w:hint="eastAsia" w:ascii="Times New Roman" w:hAnsi="Times New Roman"/>
                <w:color w:val="auto"/>
                <w:szCs w:val="21"/>
                <w:lang w:eastAsia="zh-CN"/>
              </w:rPr>
              <w:t>、</w:t>
            </w:r>
            <w:r>
              <w:rPr>
                <w:rFonts w:hint="eastAsia" w:ascii="Times New Roman" w:hAnsi="Times New Roman"/>
                <w:color w:val="auto"/>
                <w:szCs w:val="21"/>
              </w:rPr>
              <w:t>甲醛</w:t>
            </w:r>
            <w:r>
              <w:rPr>
                <w:rFonts w:hint="eastAsia" w:ascii="Times New Roman" w:hAnsi="Times New Roman"/>
                <w:color w:val="auto"/>
                <w:szCs w:val="21"/>
                <w:lang w:eastAsia="zh-CN"/>
              </w:rPr>
              <w:t>产生系数参照博大项目进行核算</w:t>
            </w:r>
            <w:r>
              <w:rPr>
                <w:rFonts w:hint="eastAsia" w:ascii="Times New Roman" w:hAnsi="Times New Roman"/>
                <w:color w:val="auto"/>
                <w:szCs w:val="21"/>
                <w:lang w:val="en-US" w:eastAsia="zh-CN"/>
              </w:rPr>
              <w:t>具有类比可行性</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本项目热压废气产生情况如下：</w:t>
            </w:r>
          </w:p>
          <w:p>
            <w:pPr>
              <w:pStyle w:val="80"/>
              <w:spacing w:line="240" w:lineRule="auto"/>
              <w:ind w:firstLine="0" w:firstLineChars="0"/>
              <w:jc w:val="center"/>
              <w:rPr>
                <w:rFonts w:ascii="Times New Roman" w:hAnsi="Times New Roman" w:eastAsia="宋体"/>
                <w:b/>
                <w:color w:val="auto"/>
                <w:kern w:val="2"/>
                <w:highlight w:val="none"/>
              </w:rPr>
            </w:pPr>
            <w:r>
              <w:rPr>
                <w:rFonts w:ascii="Times New Roman" w:hAnsi="Times New Roman" w:eastAsia="宋体"/>
                <w:b/>
                <w:color w:val="auto"/>
                <w:kern w:val="2"/>
                <w:highlight w:val="none"/>
              </w:rPr>
              <w:t>表4-</w:t>
            </w:r>
            <w:r>
              <w:rPr>
                <w:rFonts w:hint="eastAsia" w:ascii="Times New Roman" w:hAnsi="Times New Roman" w:eastAsia="宋体"/>
                <w:b/>
                <w:color w:val="auto"/>
                <w:kern w:val="2"/>
                <w:highlight w:val="none"/>
                <w:lang w:val="en-US" w:eastAsia="zh-CN"/>
              </w:rPr>
              <w:t>1</w:t>
            </w:r>
            <w:r>
              <w:rPr>
                <w:rFonts w:ascii="Times New Roman" w:hAnsi="Times New Roman" w:eastAsia="宋体"/>
                <w:b/>
                <w:color w:val="auto"/>
                <w:kern w:val="2"/>
                <w:highlight w:val="none"/>
              </w:rPr>
              <w:t xml:space="preserve">  </w:t>
            </w:r>
            <w:r>
              <w:rPr>
                <w:rFonts w:hint="eastAsia" w:ascii="Times New Roman" w:hAnsi="Times New Roman" w:eastAsia="宋体"/>
                <w:b/>
                <w:color w:val="auto"/>
                <w:kern w:val="2"/>
                <w:highlight w:val="none"/>
                <w:lang w:eastAsia="zh-CN"/>
              </w:rPr>
              <w:t>本项目热压</w:t>
            </w:r>
            <w:r>
              <w:rPr>
                <w:rFonts w:ascii="Times New Roman" w:hAnsi="Times New Roman" w:eastAsia="宋体"/>
                <w:b/>
                <w:color w:val="auto"/>
                <w:kern w:val="2"/>
                <w:highlight w:val="none"/>
              </w:rPr>
              <w:t>废气</w:t>
            </w:r>
            <w:r>
              <w:rPr>
                <w:rFonts w:hint="eastAsia" w:ascii="Times New Roman" w:hAnsi="Times New Roman" w:eastAsia="宋体"/>
                <w:b/>
                <w:color w:val="auto"/>
                <w:kern w:val="2"/>
                <w:highlight w:val="none"/>
                <w:lang w:eastAsia="zh-CN"/>
              </w:rPr>
              <w:t>源强核算</w:t>
            </w:r>
            <w:r>
              <w:rPr>
                <w:rFonts w:ascii="Times New Roman" w:hAnsi="Times New Roman" w:eastAsia="宋体"/>
                <w:b/>
                <w:color w:val="auto"/>
                <w:kern w:val="2"/>
                <w:highlight w:val="none"/>
              </w:rPr>
              <w:t>统计表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84"/>
              <w:gridCol w:w="981"/>
              <w:gridCol w:w="1169"/>
              <w:gridCol w:w="1091"/>
              <w:gridCol w:w="1408"/>
              <w:gridCol w:w="1134"/>
              <w:gridCol w:w="1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865" w:hRule="atLeast"/>
                <w:jc w:val="center"/>
              </w:trPr>
              <w:tc>
                <w:tcPr>
                  <w:tcW w:w="834" w:type="pct"/>
                  <w:vAlign w:val="center"/>
                </w:tcPr>
                <w:p>
                  <w:pPr>
                    <w:adjustRightInd w:val="0"/>
                    <w:snapToGrid w:val="0"/>
                    <w:jc w:val="center"/>
                    <w:rPr>
                      <w:rFonts w:hint="default"/>
                      <w:b/>
                      <w:bCs/>
                      <w:color w:val="auto"/>
                      <w:szCs w:val="21"/>
                      <w:highlight w:val="none"/>
                      <w:lang w:val="en-US" w:eastAsia="zh-CN"/>
                    </w:rPr>
                  </w:pPr>
                  <w:r>
                    <w:rPr>
                      <w:rFonts w:hint="eastAsia"/>
                      <w:b/>
                      <w:bCs/>
                      <w:color w:val="auto"/>
                      <w:szCs w:val="21"/>
                      <w:highlight w:val="none"/>
                      <w:lang w:val="en-US" w:eastAsia="zh-CN"/>
                    </w:rPr>
                    <w:t>产品数量</w:t>
                  </w:r>
                </w:p>
              </w:tc>
              <w:tc>
                <w:tcPr>
                  <w:tcW w:w="591" w:type="pct"/>
                  <w:vAlign w:val="center"/>
                </w:tcPr>
                <w:p>
                  <w:pPr>
                    <w:adjustRightInd w:val="0"/>
                    <w:snapToGrid w:val="0"/>
                    <w:jc w:val="center"/>
                    <w:rPr>
                      <w:rFonts w:hint="eastAsia" w:eastAsia="宋体"/>
                      <w:b/>
                      <w:bCs/>
                      <w:color w:val="auto"/>
                      <w:szCs w:val="21"/>
                      <w:highlight w:val="none"/>
                      <w:lang w:eastAsia="zh-CN"/>
                    </w:rPr>
                  </w:pPr>
                  <w:r>
                    <w:rPr>
                      <w:rFonts w:hint="eastAsia"/>
                      <w:b/>
                      <w:bCs/>
                      <w:color w:val="auto"/>
                      <w:szCs w:val="21"/>
                      <w:highlight w:val="none"/>
                      <w:lang w:val="en-US" w:eastAsia="zh-CN"/>
                    </w:rPr>
                    <w:t>污染物</w:t>
                  </w:r>
                </w:p>
              </w:tc>
              <w:tc>
                <w:tcPr>
                  <w:tcW w:w="704" w:type="pct"/>
                  <w:vAlign w:val="center"/>
                </w:tcPr>
                <w:p>
                  <w:pPr>
                    <w:adjustRightInd w:val="0"/>
                    <w:snapToGrid w:val="0"/>
                    <w:jc w:val="center"/>
                    <w:rPr>
                      <w:rFonts w:hint="default"/>
                      <w:b/>
                      <w:bCs/>
                      <w:color w:val="auto"/>
                      <w:szCs w:val="21"/>
                      <w:highlight w:val="none"/>
                      <w:lang w:val="en-US" w:eastAsia="zh-CN"/>
                    </w:rPr>
                  </w:pPr>
                  <w:r>
                    <w:rPr>
                      <w:rFonts w:hint="eastAsia"/>
                      <w:b/>
                      <w:bCs/>
                      <w:color w:val="auto"/>
                      <w:szCs w:val="21"/>
                      <w:highlight w:val="none"/>
                      <w:lang w:val="en-US" w:eastAsia="zh-CN"/>
                    </w:rPr>
                    <w:t>源强</w:t>
                  </w:r>
                </w:p>
              </w:tc>
              <w:tc>
                <w:tcPr>
                  <w:tcW w:w="657" w:type="pct"/>
                  <w:vAlign w:val="center"/>
                </w:tcPr>
                <w:p>
                  <w:pPr>
                    <w:adjustRightInd w:val="0"/>
                    <w:snapToGrid w:val="0"/>
                    <w:jc w:val="center"/>
                    <w:rPr>
                      <w:rFonts w:hint="default" w:eastAsia="宋体"/>
                      <w:b/>
                      <w:bCs/>
                      <w:color w:val="auto"/>
                      <w:szCs w:val="21"/>
                      <w:highlight w:val="none"/>
                      <w:lang w:val="en-US" w:eastAsia="zh-CN"/>
                    </w:rPr>
                  </w:pPr>
                  <w:r>
                    <w:rPr>
                      <w:rFonts w:hint="eastAsia"/>
                      <w:b/>
                      <w:bCs/>
                      <w:color w:val="auto"/>
                      <w:szCs w:val="21"/>
                      <w:highlight w:val="none"/>
                      <w:lang w:val="en-US" w:eastAsia="zh-CN"/>
                    </w:rPr>
                    <w:t>废气产生量（t/a）</w:t>
                  </w:r>
                </w:p>
              </w:tc>
              <w:tc>
                <w:tcPr>
                  <w:tcW w:w="848" w:type="pct"/>
                  <w:vAlign w:val="center"/>
                </w:tcPr>
                <w:p>
                  <w:pPr>
                    <w:adjustRightInd w:val="0"/>
                    <w:snapToGrid w:val="0"/>
                    <w:jc w:val="center"/>
                    <w:rPr>
                      <w:rFonts w:hint="default"/>
                      <w:b/>
                      <w:bCs/>
                      <w:color w:val="auto"/>
                      <w:szCs w:val="21"/>
                      <w:highlight w:val="none"/>
                      <w:lang w:val="en-US" w:eastAsia="zh-CN"/>
                    </w:rPr>
                  </w:pPr>
                  <w:r>
                    <w:rPr>
                      <w:rFonts w:hint="eastAsia"/>
                      <w:b/>
                      <w:bCs/>
                      <w:color w:val="auto"/>
                      <w:szCs w:val="21"/>
                      <w:highlight w:val="none"/>
                      <w:lang w:eastAsia="zh-CN"/>
                    </w:rPr>
                    <w:t>废气收集措施及收集效率</w:t>
                  </w:r>
                </w:p>
              </w:tc>
              <w:tc>
                <w:tcPr>
                  <w:tcW w:w="683" w:type="pct"/>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有组织废气源强（</w:t>
                  </w:r>
                  <w:r>
                    <w:rPr>
                      <w:rFonts w:hint="eastAsia"/>
                      <w:b/>
                      <w:bCs/>
                      <w:color w:val="auto"/>
                      <w:szCs w:val="21"/>
                      <w:highlight w:val="none"/>
                      <w:lang w:val="en-US" w:eastAsia="zh-CN"/>
                    </w:rPr>
                    <w:t>t/a</w:t>
                  </w:r>
                  <w:r>
                    <w:rPr>
                      <w:rFonts w:hint="eastAsia"/>
                      <w:b/>
                      <w:bCs/>
                      <w:color w:val="auto"/>
                      <w:szCs w:val="21"/>
                      <w:highlight w:val="none"/>
                      <w:lang w:eastAsia="zh-CN"/>
                    </w:rPr>
                    <w:t>）</w:t>
                  </w:r>
                </w:p>
              </w:tc>
              <w:tc>
                <w:tcPr>
                  <w:tcW w:w="679" w:type="pct"/>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无组织废气源强（</w:t>
                  </w:r>
                  <w:r>
                    <w:rPr>
                      <w:rFonts w:hint="eastAsia"/>
                      <w:b/>
                      <w:bCs/>
                      <w:color w:val="auto"/>
                      <w:szCs w:val="21"/>
                      <w:highlight w:val="none"/>
                      <w:lang w:val="en-US" w:eastAsia="zh-CN"/>
                    </w:rPr>
                    <w:t>t/a</w:t>
                  </w:r>
                  <w:r>
                    <w:rPr>
                      <w:rFonts w:hint="eastAsia"/>
                      <w:b/>
                      <w:bCs/>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2" w:hRule="atLeast"/>
                <w:jc w:val="center"/>
              </w:trPr>
              <w:tc>
                <w:tcPr>
                  <w:tcW w:w="834" w:type="pct"/>
                  <w:vMerge w:val="restar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360万张（热压面数共720.072万面）</w:t>
                  </w:r>
                </w:p>
              </w:tc>
              <w:tc>
                <w:tcPr>
                  <w:tcW w:w="591" w:type="pct"/>
                  <w:vAlign w:val="center"/>
                </w:tcPr>
                <w:p>
                  <w:pPr>
                    <w:adjustRightInd w:val="0"/>
                    <w:snapToGrid w:val="0"/>
                    <w:jc w:val="center"/>
                    <w:rPr>
                      <w:color w:val="auto"/>
                      <w:szCs w:val="21"/>
                      <w:highlight w:val="none"/>
                    </w:rPr>
                  </w:pPr>
                  <w:r>
                    <w:rPr>
                      <w:rFonts w:hint="eastAsia"/>
                      <w:color w:val="auto"/>
                      <w:szCs w:val="21"/>
                      <w:highlight w:val="none"/>
                      <w:lang w:eastAsia="zh-CN"/>
                    </w:rPr>
                    <w:t>非甲烷总烃</w:t>
                  </w:r>
                </w:p>
              </w:tc>
              <w:tc>
                <w:tcPr>
                  <w:tcW w:w="704" w:type="pct"/>
                  <w:vAlign w:val="center"/>
                </w:tcPr>
                <w:p>
                  <w:pPr>
                    <w:adjustRightInd w:val="0"/>
                    <w:snapToGrid w:val="0"/>
                    <w:jc w:val="center"/>
                    <w:rPr>
                      <w:rFonts w:hint="eastAsia"/>
                      <w:color w:val="auto"/>
                      <w:szCs w:val="21"/>
                      <w:highlight w:val="none"/>
                      <w:lang w:val="en-US" w:eastAsia="zh-CN"/>
                    </w:rPr>
                  </w:pPr>
                  <w:r>
                    <w:rPr>
                      <w:rFonts w:hint="eastAsia"/>
                      <w:color w:val="auto"/>
                      <w:highlight w:val="none"/>
                      <w:lang w:val="en-US" w:eastAsia="zh-CN"/>
                    </w:rPr>
                    <w:t>0.1598g/面/产品</w:t>
                  </w:r>
                </w:p>
              </w:tc>
              <w:tc>
                <w:tcPr>
                  <w:tcW w:w="657"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1.1507</w:t>
                  </w:r>
                </w:p>
              </w:tc>
              <w:tc>
                <w:tcPr>
                  <w:tcW w:w="848" w:type="pct"/>
                  <w:vMerge w:val="restart"/>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设置管道收集</w:t>
                  </w:r>
                </w:p>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95%</w:t>
                  </w:r>
                </w:p>
              </w:tc>
              <w:tc>
                <w:tcPr>
                  <w:tcW w:w="1140" w:type="dxa"/>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1.09</w:t>
                  </w:r>
                  <w:r>
                    <w:rPr>
                      <w:rFonts w:hint="default" w:ascii="Times New Roman" w:hAnsi="Times New Roman" w:eastAsia="宋体" w:cs="Times New Roman"/>
                      <w:i w:val="0"/>
                      <w:iCs w:val="0"/>
                      <w:color w:val="auto"/>
                      <w:kern w:val="0"/>
                      <w:sz w:val="21"/>
                      <w:szCs w:val="21"/>
                      <w:highlight w:val="none"/>
                      <w:u w:val="none"/>
                      <w:lang w:val="en-US" w:eastAsia="zh-CN" w:bidi="ar"/>
                    </w:rPr>
                    <w:t xml:space="preserve">32 </w:t>
                  </w:r>
                </w:p>
              </w:tc>
              <w:tc>
                <w:tcPr>
                  <w:tcW w:w="1134" w:type="dxa"/>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 xml:space="preserve">75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55" w:hRule="atLeast"/>
                <w:jc w:val="center"/>
              </w:trPr>
              <w:tc>
                <w:tcPr>
                  <w:tcW w:w="834" w:type="pct"/>
                  <w:vMerge w:val="continue"/>
                  <w:vAlign w:val="center"/>
                </w:tcPr>
                <w:p>
                  <w:pPr>
                    <w:adjustRightInd w:val="0"/>
                    <w:snapToGrid w:val="0"/>
                    <w:jc w:val="center"/>
                    <w:rPr>
                      <w:rFonts w:hint="eastAsia"/>
                      <w:color w:val="auto"/>
                      <w:szCs w:val="21"/>
                      <w:highlight w:val="none"/>
                      <w:lang w:eastAsia="zh-CN"/>
                    </w:rPr>
                  </w:pPr>
                </w:p>
              </w:tc>
              <w:tc>
                <w:tcPr>
                  <w:tcW w:w="591" w:type="pct"/>
                  <w:vAlign w:val="center"/>
                </w:tcPr>
                <w:p>
                  <w:pPr>
                    <w:adjustRightInd w:val="0"/>
                    <w:snapToGrid w:val="0"/>
                    <w:jc w:val="center"/>
                    <w:rPr>
                      <w:color w:val="auto"/>
                      <w:szCs w:val="21"/>
                      <w:highlight w:val="none"/>
                    </w:rPr>
                  </w:pPr>
                  <w:r>
                    <w:rPr>
                      <w:rFonts w:hint="eastAsia"/>
                      <w:color w:val="auto"/>
                      <w:szCs w:val="21"/>
                      <w:highlight w:val="none"/>
                      <w:lang w:eastAsia="zh-CN"/>
                    </w:rPr>
                    <w:t>甲醛</w:t>
                  </w:r>
                </w:p>
              </w:tc>
              <w:tc>
                <w:tcPr>
                  <w:tcW w:w="704" w:type="pct"/>
                  <w:vAlign w:val="center"/>
                </w:tcPr>
                <w:p>
                  <w:pPr>
                    <w:adjustRightInd w:val="0"/>
                    <w:snapToGrid w:val="0"/>
                    <w:jc w:val="center"/>
                    <w:rPr>
                      <w:rFonts w:hint="eastAsia"/>
                      <w:color w:val="auto"/>
                      <w:szCs w:val="21"/>
                      <w:highlight w:val="none"/>
                      <w:lang w:val="en-US" w:eastAsia="zh-CN"/>
                    </w:rPr>
                  </w:pPr>
                  <w:r>
                    <w:rPr>
                      <w:rFonts w:hint="eastAsia"/>
                      <w:color w:val="auto"/>
                      <w:highlight w:val="none"/>
                      <w:lang w:val="en-US" w:eastAsia="zh-CN"/>
                    </w:rPr>
                    <w:t>0.0122g/面/产品</w:t>
                  </w:r>
                </w:p>
              </w:tc>
              <w:tc>
                <w:tcPr>
                  <w:tcW w:w="657"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0.0878</w:t>
                  </w:r>
                </w:p>
              </w:tc>
              <w:tc>
                <w:tcPr>
                  <w:tcW w:w="848" w:type="pct"/>
                  <w:vMerge w:val="continue"/>
                  <w:vAlign w:val="center"/>
                </w:tcPr>
                <w:p>
                  <w:pPr>
                    <w:adjustRightInd w:val="0"/>
                    <w:snapToGrid w:val="0"/>
                    <w:jc w:val="center"/>
                    <w:rPr>
                      <w:rFonts w:hint="default" w:eastAsia="宋体"/>
                      <w:color w:val="auto"/>
                      <w:szCs w:val="21"/>
                      <w:highlight w:val="none"/>
                      <w:lang w:val="en-US" w:eastAsia="zh-CN"/>
                    </w:rPr>
                  </w:pPr>
                </w:p>
              </w:tc>
              <w:tc>
                <w:tcPr>
                  <w:tcW w:w="1140" w:type="dxa"/>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0.0834 </w:t>
                  </w:r>
                </w:p>
              </w:tc>
              <w:tc>
                <w:tcPr>
                  <w:tcW w:w="1134" w:type="dxa"/>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0.0044 </w:t>
                  </w:r>
                </w:p>
              </w:tc>
            </w:tr>
          </w:tbl>
          <w:p>
            <w:pPr>
              <w:pStyle w:val="26"/>
              <w:adjustRightInd w:val="0"/>
              <w:snapToGrid w:val="0"/>
              <w:spacing w:before="0" w:beforeAutospacing="0" w:after="0" w:afterAutospacing="0" w:line="360" w:lineRule="auto"/>
              <w:ind w:firstLine="480" w:firstLineChars="200"/>
              <w:rPr>
                <w:rFonts w:hint="eastAsia" w:ascii="Times New Roman" w:hAnsi="Times New Roman" w:eastAsia="宋体"/>
                <w:color w:val="auto"/>
                <w:szCs w:val="21"/>
                <w:lang w:val="en-US" w:eastAsia="zh-CN"/>
              </w:rPr>
            </w:pPr>
            <w:r>
              <w:rPr>
                <w:rFonts w:hint="eastAsia" w:ascii="Times New Roman" w:hAnsi="Times New Roman"/>
                <w:color w:val="auto"/>
                <w:szCs w:val="21"/>
                <w:lang w:eastAsia="zh-CN"/>
              </w:rPr>
              <w:t>经计算，</w:t>
            </w:r>
            <w:r>
              <w:rPr>
                <w:rFonts w:hint="eastAsia" w:ascii="Times New Roman" w:hAnsi="Times New Roman"/>
                <w:color w:val="auto"/>
                <w:szCs w:val="21"/>
              </w:rPr>
              <w:t>本项目热压废气非甲烷总烃的产生量约为</w:t>
            </w:r>
            <w:r>
              <w:rPr>
                <w:rFonts w:hint="eastAsia" w:ascii="Times New Roman" w:hAnsi="Times New Roman"/>
                <w:color w:val="auto"/>
                <w:szCs w:val="21"/>
                <w:lang w:val="en-US" w:eastAsia="zh-CN"/>
              </w:rPr>
              <w:t>1.1507</w:t>
            </w:r>
            <w:r>
              <w:rPr>
                <w:rFonts w:hint="eastAsia" w:ascii="Times New Roman" w:hAnsi="Times New Roman"/>
                <w:color w:val="auto"/>
                <w:szCs w:val="21"/>
              </w:rPr>
              <w:t>t/a</w:t>
            </w:r>
            <w:r>
              <w:rPr>
                <w:rFonts w:hint="eastAsia" w:ascii="Times New Roman" w:hAnsi="Times New Roman"/>
                <w:color w:val="auto"/>
                <w:szCs w:val="21"/>
                <w:lang w:eastAsia="zh-CN"/>
              </w:rPr>
              <w:t>，甲醛</w:t>
            </w:r>
            <w:r>
              <w:rPr>
                <w:rFonts w:hint="eastAsia" w:ascii="Times New Roman" w:hAnsi="Times New Roman"/>
                <w:color w:val="auto"/>
                <w:szCs w:val="21"/>
              </w:rPr>
              <w:t>的产生量约为</w:t>
            </w:r>
            <w:r>
              <w:rPr>
                <w:rFonts w:hint="eastAsia" w:ascii="Times New Roman" w:hAnsi="Times New Roman"/>
                <w:color w:val="auto"/>
                <w:szCs w:val="21"/>
                <w:lang w:val="en-US" w:eastAsia="zh-CN"/>
              </w:rPr>
              <w:t>0.0878t/a</w:t>
            </w:r>
            <w:r>
              <w:rPr>
                <w:rFonts w:hint="eastAsia" w:ascii="Times New Roman" w:hAnsi="Times New Roman"/>
                <w:color w:val="auto"/>
                <w:szCs w:val="21"/>
              </w:rPr>
              <w:t>。</w:t>
            </w:r>
            <w:r>
              <w:rPr>
                <w:rFonts w:hint="eastAsia" w:ascii="Times New Roman" w:hAnsi="Times New Roman"/>
                <w:color w:val="auto"/>
                <w:lang w:eastAsia="zh-CN"/>
              </w:rPr>
              <w:t>每台</w:t>
            </w:r>
            <w:r>
              <w:rPr>
                <w:rFonts w:hint="default" w:ascii="Times New Roman" w:hAnsi="Times New Roman"/>
                <w:color w:val="auto"/>
                <w:lang w:eastAsia="zh-CN"/>
              </w:rPr>
              <w:t>双面压机周围设置</w:t>
            </w:r>
            <w:r>
              <w:rPr>
                <w:rFonts w:hint="eastAsia" w:ascii="Times New Roman" w:hAnsi="Times New Roman"/>
                <w:color w:val="auto"/>
                <w:lang w:val="en-US" w:eastAsia="zh-CN"/>
              </w:rPr>
              <w:t>包围型外框，仅留板材进出口，废气经外框上的管道收集</w:t>
            </w:r>
            <w:r>
              <w:rPr>
                <w:rFonts w:hint="default" w:ascii="Times New Roman" w:hAnsi="Times New Roman"/>
                <w:color w:val="auto"/>
                <w:lang w:eastAsia="zh-CN"/>
              </w:rPr>
              <w:t>进入废气处理设施，收集效率以</w:t>
            </w:r>
            <w:r>
              <w:rPr>
                <w:rFonts w:hint="default" w:ascii="Times New Roman" w:hAnsi="Times New Roman"/>
                <w:color w:val="auto"/>
                <w:lang w:val="en-US" w:eastAsia="zh-CN"/>
              </w:rPr>
              <w:t>95%计，则</w:t>
            </w:r>
            <w:r>
              <w:rPr>
                <w:rFonts w:hint="eastAsia" w:ascii="Times New Roman" w:hAnsi="Times New Roman"/>
                <w:color w:val="auto"/>
                <w:szCs w:val="21"/>
                <w:lang w:eastAsia="zh-CN"/>
              </w:rPr>
              <w:t>收集到的非甲烷总烃废气量约为</w:t>
            </w:r>
            <w:r>
              <w:rPr>
                <w:rFonts w:hint="eastAsia" w:ascii="Times New Roman" w:hAnsi="Times New Roman"/>
                <w:color w:val="auto"/>
                <w:szCs w:val="21"/>
              </w:rPr>
              <w:t>1.</w:t>
            </w:r>
            <w:r>
              <w:rPr>
                <w:rFonts w:hint="eastAsia" w:ascii="Times New Roman" w:hAnsi="Times New Roman"/>
                <w:color w:val="auto"/>
                <w:szCs w:val="21"/>
                <w:lang w:val="en-US" w:eastAsia="zh-CN"/>
              </w:rPr>
              <w:t>0932t/a，</w:t>
            </w:r>
            <w:r>
              <w:rPr>
                <w:rFonts w:hint="eastAsia" w:ascii="Times New Roman" w:hAnsi="Times New Roman"/>
                <w:color w:val="auto"/>
                <w:szCs w:val="21"/>
                <w:lang w:eastAsia="zh-CN"/>
              </w:rPr>
              <w:t>甲醛废气</w:t>
            </w:r>
            <w:r>
              <w:rPr>
                <w:rFonts w:hint="eastAsia" w:ascii="Times New Roman" w:hAnsi="Times New Roman"/>
                <w:color w:val="auto"/>
                <w:szCs w:val="21"/>
              </w:rPr>
              <w:t>量约为</w:t>
            </w:r>
            <w:r>
              <w:rPr>
                <w:rFonts w:hint="eastAsia" w:ascii="Times New Roman" w:hAnsi="Times New Roman"/>
                <w:color w:val="auto"/>
                <w:szCs w:val="21"/>
                <w:lang w:val="en-US" w:eastAsia="zh-CN"/>
              </w:rPr>
              <w:t>0.0575t/a</w:t>
            </w:r>
            <w:r>
              <w:rPr>
                <w:rFonts w:hint="eastAsia" w:ascii="Times New Roman" w:hAnsi="Times New Roman"/>
                <w:color w:val="auto"/>
                <w:szCs w:val="21"/>
                <w:lang w:eastAsia="zh-CN"/>
              </w:rPr>
              <w:t>；未收集到的非甲烷总烃废气量约为</w:t>
            </w:r>
            <w:r>
              <w:rPr>
                <w:rFonts w:hint="eastAsia" w:ascii="Times New Roman" w:hAnsi="Times New Roman"/>
                <w:color w:val="auto"/>
                <w:szCs w:val="21"/>
                <w:lang w:val="en-US" w:eastAsia="zh-CN"/>
              </w:rPr>
              <w:t>0.0834t/a，</w:t>
            </w:r>
            <w:r>
              <w:rPr>
                <w:rFonts w:hint="eastAsia" w:ascii="Times New Roman" w:hAnsi="Times New Roman"/>
                <w:color w:val="auto"/>
                <w:szCs w:val="21"/>
                <w:lang w:eastAsia="zh-CN"/>
              </w:rPr>
              <w:t>甲醛</w:t>
            </w:r>
            <w:r>
              <w:rPr>
                <w:rFonts w:hint="default" w:ascii="Times New Roman" w:hAnsi="Times New Roman"/>
                <w:color w:val="auto"/>
                <w:szCs w:val="21"/>
                <w:lang w:eastAsia="zh-CN"/>
              </w:rPr>
              <w:t>废气</w:t>
            </w:r>
            <w:r>
              <w:rPr>
                <w:rFonts w:hint="eastAsia" w:ascii="Times New Roman" w:hAnsi="Times New Roman"/>
                <w:color w:val="auto"/>
                <w:szCs w:val="21"/>
              </w:rPr>
              <w:t>量约为</w:t>
            </w:r>
            <w:r>
              <w:rPr>
                <w:rFonts w:hint="eastAsia" w:ascii="Times New Roman" w:hAnsi="Times New Roman"/>
                <w:color w:val="auto"/>
                <w:szCs w:val="21"/>
                <w:lang w:val="en-US" w:eastAsia="zh-CN"/>
              </w:rPr>
              <w:t>0.0044t/a</w:t>
            </w:r>
            <w:r>
              <w:rPr>
                <w:rFonts w:hint="eastAsia" w:ascii="Times New Roman" w:hAnsi="Times New Roman"/>
                <w:color w:val="auto"/>
                <w:szCs w:val="21"/>
              </w:rPr>
              <w:t>。</w:t>
            </w:r>
          </w:p>
          <w:p>
            <w:pPr>
              <w:pStyle w:val="26"/>
              <w:adjustRightInd w:val="0"/>
              <w:snapToGrid w:val="0"/>
              <w:spacing w:before="0" w:beforeAutospacing="0" w:after="0" w:afterAutospacing="0" w:line="360" w:lineRule="auto"/>
              <w:ind w:left="480"/>
              <w:jc w:val="both"/>
              <w:rPr>
                <w:rFonts w:ascii="Times New Roman" w:hAnsi="Times New Roman"/>
                <w:color w:val="auto"/>
                <w:szCs w:val="24"/>
              </w:rPr>
            </w:pPr>
            <w:r>
              <w:rPr>
                <w:rFonts w:hint="eastAsia" w:cs="宋体"/>
                <w:color w:val="auto"/>
                <w:szCs w:val="24"/>
              </w:rPr>
              <w:t>②</w:t>
            </w:r>
            <w:r>
              <w:rPr>
                <w:rFonts w:ascii="Times New Roman" w:hAnsi="Times New Roman"/>
                <w:color w:val="auto"/>
                <w:szCs w:val="24"/>
              </w:rPr>
              <w:t>天然气燃烧废气G2</w:t>
            </w:r>
          </w:p>
          <w:p>
            <w:pPr>
              <w:pStyle w:val="26"/>
              <w:adjustRightInd w:val="0"/>
              <w:snapToGrid w:val="0"/>
              <w:spacing w:before="0" w:beforeAutospacing="0" w:after="0" w:afterAutospacing="0" w:line="360" w:lineRule="auto"/>
              <w:ind w:firstLine="480" w:firstLineChars="200"/>
              <w:jc w:val="both"/>
              <w:rPr>
                <w:rFonts w:ascii="Times New Roman" w:hAnsi="Times New Roman"/>
                <w:color w:val="auto"/>
                <w:szCs w:val="24"/>
              </w:rPr>
            </w:pPr>
            <w:r>
              <w:rPr>
                <w:rFonts w:ascii="Times New Roman" w:hAnsi="Times New Roman"/>
                <w:color w:val="auto"/>
                <w:szCs w:val="24"/>
              </w:rPr>
              <w:t>本项目</w:t>
            </w:r>
            <w:r>
              <w:rPr>
                <w:rFonts w:ascii="Times New Roman" w:hAnsi="Times New Roman"/>
                <w:color w:val="auto"/>
                <w:szCs w:val="21"/>
              </w:rPr>
              <w:t>使用天然气燃烧加热</w:t>
            </w:r>
            <w:r>
              <w:rPr>
                <w:rFonts w:hint="eastAsia" w:ascii="Times New Roman" w:hAnsi="Times New Roman"/>
                <w:color w:val="auto"/>
                <w:szCs w:val="21"/>
              </w:rPr>
              <w:t>导热油炉间接</w:t>
            </w:r>
            <w:r>
              <w:rPr>
                <w:rFonts w:ascii="Times New Roman" w:hAnsi="Times New Roman"/>
                <w:color w:val="auto"/>
                <w:szCs w:val="21"/>
              </w:rPr>
              <w:t>为</w:t>
            </w:r>
            <w:r>
              <w:rPr>
                <w:rFonts w:hint="eastAsia" w:ascii="Times New Roman" w:hAnsi="Times New Roman"/>
                <w:color w:val="auto"/>
              </w:rPr>
              <w:t>热压贴面</w:t>
            </w:r>
            <w:r>
              <w:rPr>
                <w:rFonts w:ascii="Times New Roman" w:hAnsi="Times New Roman"/>
                <w:color w:val="auto"/>
                <w:szCs w:val="21"/>
              </w:rPr>
              <w:t>工段提供所需热量，</w:t>
            </w:r>
            <w:r>
              <w:rPr>
                <w:rFonts w:ascii="Times New Roman" w:hAnsi="Times New Roman"/>
                <w:color w:val="auto"/>
                <w:szCs w:val="24"/>
              </w:rPr>
              <w:t>天然气燃烧产生的污染物主要为烟尘、二氧化硫、氮氧化物。参考《排放源统计调查产排污核算方法和系数手册》中“锅炉产排污量核算系数手册”</w:t>
            </w:r>
            <w:r>
              <w:rPr>
                <w:rFonts w:hint="eastAsia" w:ascii="Times New Roman" w:hAnsi="Times New Roman"/>
                <w:color w:val="auto"/>
                <w:szCs w:val="24"/>
                <w:lang w:val="en-US" w:eastAsia="zh-CN"/>
              </w:rPr>
              <w:t>和</w:t>
            </w:r>
            <w:r>
              <w:rPr>
                <w:rFonts w:ascii="Times New Roman" w:hAnsi="Times New Roman"/>
                <w:color w:val="auto"/>
                <w:szCs w:val="24"/>
              </w:rPr>
              <w:t>《排污许可证申请与核发技术规范 锅炉》（HJ953-2018）中的排放系数，烟尘、二氧化硫、氮氧化物（低氮燃烧-国内一般）产生系数分别为2.86kg/万m</w:t>
            </w:r>
            <w:r>
              <w:rPr>
                <w:rFonts w:ascii="Times New Roman" w:hAnsi="Times New Roman"/>
                <w:color w:val="auto"/>
                <w:szCs w:val="24"/>
                <w:vertAlign w:val="superscript"/>
              </w:rPr>
              <w:t>3</w:t>
            </w:r>
            <w:r>
              <w:rPr>
                <w:rFonts w:ascii="Times New Roman" w:hAnsi="Times New Roman"/>
                <w:color w:val="auto"/>
                <w:szCs w:val="24"/>
              </w:rPr>
              <w:t>、0.4kg/万m</w:t>
            </w:r>
            <w:r>
              <w:rPr>
                <w:rFonts w:ascii="Times New Roman" w:hAnsi="Times New Roman"/>
                <w:color w:val="auto"/>
                <w:szCs w:val="24"/>
                <w:vertAlign w:val="superscript"/>
              </w:rPr>
              <w:t>3</w:t>
            </w:r>
            <w:r>
              <w:rPr>
                <w:rFonts w:ascii="Times New Roman" w:hAnsi="Times New Roman"/>
                <w:color w:val="auto"/>
                <w:szCs w:val="24"/>
              </w:rPr>
              <w:t>、15.87kg/万m</w:t>
            </w:r>
            <w:r>
              <w:rPr>
                <w:rFonts w:ascii="Times New Roman" w:hAnsi="Times New Roman"/>
                <w:color w:val="auto"/>
                <w:szCs w:val="24"/>
                <w:vertAlign w:val="superscript"/>
              </w:rPr>
              <w:t>3</w:t>
            </w:r>
            <w:r>
              <w:rPr>
                <w:rFonts w:ascii="Times New Roman" w:hAnsi="Times New Roman"/>
                <w:color w:val="auto"/>
                <w:szCs w:val="24"/>
              </w:rPr>
              <w:t>。</w:t>
            </w:r>
          </w:p>
          <w:p>
            <w:pPr>
              <w:pStyle w:val="26"/>
              <w:adjustRightInd w:val="0"/>
              <w:snapToGrid w:val="0"/>
              <w:spacing w:before="0" w:beforeAutospacing="0" w:after="0" w:afterAutospacing="0" w:line="360" w:lineRule="auto"/>
              <w:ind w:firstLine="480" w:firstLineChars="200"/>
              <w:jc w:val="both"/>
              <w:rPr>
                <w:rFonts w:ascii="Times New Roman" w:hAnsi="Times New Roman"/>
                <w:color w:val="auto"/>
                <w:szCs w:val="21"/>
              </w:rPr>
            </w:pPr>
            <w:r>
              <w:rPr>
                <w:rFonts w:hint="eastAsia" w:ascii="Times New Roman" w:hAnsi="Times New Roman"/>
                <w:color w:val="auto"/>
                <w:szCs w:val="24"/>
              </w:rPr>
              <w:t>本项目</w:t>
            </w:r>
            <w:r>
              <w:rPr>
                <w:rFonts w:ascii="Times New Roman" w:hAnsi="Times New Roman"/>
                <w:color w:val="auto"/>
                <w:szCs w:val="24"/>
              </w:rPr>
              <w:t>天然气用量约为24万立方米，则天然气燃烧产生的烟尘、二氧化硫、氮氧化物分别约为0.0686t/a、0.0096t/a、0.3809t/a</w:t>
            </w:r>
            <w:r>
              <w:rPr>
                <w:rFonts w:ascii="Times New Roman" w:hAnsi="Times New Roman"/>
                <w:color w:val="auto"/>
                <w:szCs w:val="21"/>
              </w:rPr>
              <w:t>。</w:t>
            </w:r>
          </w:p>
          <w:p>
            <w:pPr>
              <w:pStyle w:val="19"/>
              <w:widowControl/>
              <w:spacing w:after="0" w:line="360" w:lineRule="auto"/>
              <w:ind w:firstLine="480" w:firstLineChars="200"/>
              <w:rPr>
                <w:b/>
                <w:color w:val="auto"/>
              </w:rPr>
            </w:pPr>
            <w:r>
              <w:rPr>
                <w:color w:val="auto"/>
                <w:sz w:val="24"/>
                <w:szCs w:val="24"/>
              </w:rPr>
              <w:t>本项目废气产生情况如下表所示：</w:t>
            </w:r>
          </w:p>
          <w:p>
            <w:pPr>
              <w:pStyle w:val="80"/>
              <w:spacing w:line="240" w:lineRule="auto"/>
              <w:ind w:firstLine="0" w:firstLineChars="0"/>
              <w:jc w:val="center"/>
              <w:rPr>
                <w:rFonts w:ascii="Times New Roman" w:hAnsi="Times New Roman" w:eastAsia="宋体"/>
                <w:b/>
                <w:color w:val="auto"/>
                <w:kern w:val="2"/>
              </w:rPr>
            </w:pPr>
            <w:r>
              <w:rPr>
                <w:rFonts w:ascii="Times New Roman" w:hAnsi="Times New Roman" w:eastAsia="宋体"/>
                <w:b/>
                <w:color w:val="auto"/>
                <w:kern w:val="2"/>
              </w:rPr>
              <w:t>表4-</w:t>
            </w:r>
            <w:r>
              <w:rPr>
                <w:rFonts w:hint="eastAsia" w:ascii="Times New Roman" w:hAnsi="Times New Roman" w:eastAsia="宋体"/>
                <w:b/>
                <w:color w:val="auto"/>
                <w:kern w:val="2"/>
                <w:lang w:val="en-US" w:eastAsia="zh-CN"/>
              </w:rPr>
              <w:t>3</w:t>
            </w:r>
            <w:r>
              <w:rPr>
                <w:rFonts w:ascii="Times New Roman" w:hAnsi="Times New Roman" w:eastAsia="宋体"/>
                <w:b/>
                <w:color w:val="auto"/>
                <w:kern w:val="2"/>
              </w:rPr>
              <w:t xml:space="preserve">  废气产生情况统计表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4"/>
              <w:gridCol w:w="1275"/>
              <w:gridCol w:w="1276"/>
              <w:gridCol w:w="1134"/>
              <w:gridCol w:w="1276"/>
              <w:gridCol w:w="850"/>
              <w:gridCol w:w="865"/>
              <w:gridCol w:w="9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86" w:type="pct"/>
                  <w:gridSpan w:val="2"/>
                  <w:vAlign w:val="center"/>
                </w:tcPr>
                <w:p>
                  <w:pPr>
                    <w:adjustRightInd w:val="0"/>
                    <w:snapToGrid w:val="0"/>
                    <w:jc w:val="center"/>
                    <w:rPr>
                      <w:b/>
                      <w:bCs/>
                      <w:color w:val="auto"/>
                      <w:szCs w:val="21"/>
                    </w:rPr>
                  </w:pPr>
                  <w:r>
                    <w:rPr>
                      <w:b/>
                      <w:bCs/>
                      <w:color w:val="auto"/>
                      <w:szCs w:val="21"/>
                    </w:rPr>
                    <w:t>产生工序</w:t>
                  </w:r>
                </w:p>
              </w:tc>
              <w:tc>
                <w:tcPr>
                  <w:tcW w:w="769" w:type="pct"/>
                  <w:vAlign w:val="center"/>
                </w:tcPr>
                <w:p>
                  <w:pPr>
                    <w:adjustRightInd w:val="0"/>
                    <w:snapToGrid w:val="0"/>
                    <w:jc w:val="center"/>
                    <w:rPr>
                      <w:b/>
                      <w:bCs/>
                      <w:color w:val="auto"/>
                      <w:szCs w:val="21"/>
                    </w:rPr>
                  </w:pPr>
                  <w:r>
                    <w:rPr>
                      <w:b/>
                      <w:bCs/>
                      <w:color w:val="auto"/>
                      <w:szCs w:val="21"/>
                    </w:rPr>
                    <w:t>污染物</w:t>
                  </w:r>
                </w:p>
              </w:tc>
              <w:tc>
                <w:tcPr>
                  <w:tcW w:w="683" w:type="pct"/>
                  <w:vAlign w:val="center"/>
                </w:tcPr>
                <w:p>
                  <w:pPr>
                    <w:adjustRightInd w:val="0"/>
                    <w:snapToGrid w:val="0"/>
                    <w:jc w:val="center"/>
                    <w:rPr>
                      <w:b/>
                      <w:bCs/>
                      <w:color w:val="auto"/>
                      <w:szCs w:val="21"/>
                    </w:rPr>
                  </w:pPr>
                  <w:r>
                    <w:rPr>
                      <w:b/>
                      <w:bCs/>
                      <w:color w:val="auto"/>
                      <w:szCs w:val="21"/>
                    </w:rPr>
                    <w:t>产生量（t/a）</w:t>
                  </w:r>
                </w:p>
              </w:tc>
              <w:tc>
                <w:tcPr>
                  <w:tcW w:w="769" w:type="pct"/>
                  <w:vAlign w:val="center"/>
                </w:tcPr>
                <w:p>
                  <w:pPr>
                    <w:adjustRightInd w:val="0"/>
                    <w:snapToGrid w:val="0"/>
                    <w:jc w:val="center"/>
                    <w:rPr>
                      <w:b/>
                      <w:bCs/>
                      <w:color w:val="auto"/>
                      <w:szCs w:val="21"/>
                    </w:rPr>
                  </w:pPr>
                  <w:r>
                    <w:rPr>
                      <w:b/>
                      <w:bCs/>
                      <w:color w:val="auto"/>
                      <w:szCs w:val="21"/>
                    </w:rPr>
                    <w:t>收集方式</w:t>
                  </w:r>
                </w:p>
              </w:tc>
              <w:tc>
                <w:tcPr>
                  <w:tcW w:w="512" w:type="pct"/>
                  <w:vAlign w:val="center"/>
                </w:tcPr>
                <w:p>
                  <w:pPr>
                    <w:adjustRightInd w:val="0"/>
                    <w:snapToGrid w:val="0"/>
                    <w:jc w:val="center"/>
                    <w:rPr>
                      <w:b/>
                      <w:bCs/>
                      <w:color w:val="auto"/>
                      <w:szCs w:val="21"/>
                    </w:rPr>
                  </w:pPr>
                  <w:r>
                    <w:rPr>
                      <w:b/>
                      <w:bCs/>
                      <w:color w:val="auto"/>
                      <w:szCs w:val="21"/>
                    </w:rPr>
                    <w:t>捕集率</w:t>
                  </w:r>
                </w:p>
              </w:tc>
              <w:tc>
                <w:tcPr>
                  <w:tcW w:w="521" w:type="pct"/>
                  <w:vAlign w:val="center"/>
                </w:tcPr>
                <w:p>
                  <w:pPr>
                    <w:adjustRightInd w:val="0"/>
                    <w:snapToGrid w:val="0"/>
                    <w:jc w:val="center"/>
                    <w:rPr>
                      <w:b/>
                      <w:bCs/>
                      <w:color w:val="auto"/>
                      <w:szCs w:val="21"/>
                    </w:rPr>
                  </w:pPr>
                  <w:r>
                    <w:rPr>
                      <w:b/>
                      <w:bCs/>
                      <w:color w:val="auto"/>
                      <w:szCs w:val="21"/>
                    </w:rPr>
                    <w:t>捕集到的量</w:t>
                  </w:r>
                </w:p>
                <w:p>
                  <w:pPr>
                    <w:adjustRightInd w:val="0"/>
                    <w:snapToGrid w:val="0"/>
                    <w:jc w:val="center"/>
                    <w:rPr>
                      <w:b/>
                      <w:bCs/>
                      <w:color w:val="auto"/>
                      <w:szCs w:val="21"/>
                    </w:rPr>
                  </w:pPr>
                  <w:r>
                    <w:rPr>
                      <w:b/>
                      <w:bCs/>
                      <w:color w:val="auto"/>
                      <w:szCs w:val="21"/>
                    </w:rPr>
                    <w:t>（t/a）</w:t>
                  </w:r>
                </w:p>
              </w:tc>
              <w:tc>
                <w:tcPr>
                  <w:tcW w:w="560" w:type="pct"/>
                  <w:vAlign w:val="center"/>
                </w:tcPr>
                <w:p>
                  <w:pPr>
                    <w:adjustRightInd w:val="0"/>
                    <w:snapToGrid w:val="0"/>
                    <w:jc w:val="center"/>
                    <w:rPr>
                      <w:b/>
                      <w:bCs/>
                      <w:color w:val="auto"/>
                      <w:szCs w:val="21"/>
                    </w:rPr>
                  </w:pPr>
                  <w:r>
                    <w:rPr>
                      <w:b/>
                      <w:bCs/>
                      <w:color w:val="auto"/>
                      <w:szCs w:val="21"/>
                    </w:rPr>
                    <w:t>未捕集到的量</w:t>
                  </w:r>
                </w:p>
                <w:p>
                  <w:pPr>
                    <w:adjustRightInd w:val="0"/>
                    <w:snapToGrid w:val="0"/>
                    <w:jc w:val="center"/>
                    <w:rPr>
                      <w:b/>
                      <w:bCs/>
                      <w:color w:val="auto"/>
                      <w:szCs w:val="21"/>
                    </w:rPr>
                  </w:pPr>
                  <w:r>
                    <w:rPr>
                      <w:b/>
                      <w:bCs/>
                      <w:color w:val="auto"/>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restart"/>
                  <w:vAlign w:val="center"/>
                </w:tcPr>
                <w:p>
                  <w:pPr>
                    <w:adjustRightInd w:val="0"/>
                    <w:snapToGrid w:val="0"/>
                    <w:jc w:val="center"/>
                    <w:rPr>
                      <w:snapToGrid w:val="0"/>
                      <w:color w:val="auto"/>
                      <w:kern w:val="0"/>
                      <w:szCs w:val="21"/>
                    </w:rPr>
                  </w:pPr>
                  <w:r>
                    <w:rPr>
                      <w:rStyle w:val="62"/>
                      <w:rFonts w:hint="default" w:ascii="Times New Roman" w:hAnsi="Times New Roman" w:cs="Times New Roman"/>
                      <w:color w:val="auto"/>
                    </w:rPr>
                    <w:t>G1</w:t>
                  </w:r>
                </w:p>
              </w:tc>
              <w:tc>
                <w:tcPr>
                  <w:tcW w:w="768" w:type="pct"/>
                  <w:vMerge w:val="restart"/>
                  <w:vAlign w:val="center"/>
                </w:tcPr>
                <w:p>
                  <w:pPr>
                    <w:adjustRightInd w:val="0"/>
                    <w:snapToGrid w:val="0"/>
                    <w:jc w:val="center"/>
                    <w:rPr>
                      <w:snapToGrid w:val="0"/>
                      <w:color w:val="auto"/>
                      <w:kern w:val="0"/>
                      <w:szCs w:val="21"/>
                    </w:rPr>
                  </w:pPr>
                  <w:r>
                    <w:rPr>
                      <w:rFonts w:hint="eastAsia"/>
                      <w:snapToGrid w:val="0"/>
                      <w:color w:val="auto"/>
                      <w:kern w:val="0"/>
                      <w:szCs w:val="21"/>
                    </w:rPr>
                    <w:t>热压贴面</w:t>
                  </w:r>
                </w:p>
              </w:tc>
              <w:tc>
                <w:tcPr>
                  <w:tcW w:w="769" w:type="pct"/>
                  <w:vAlign w:val="center"/>
                </w:tcPr>
                <w:p>
                  <w:pPr>
                    <w:adjustRightInd w:val="0"/>
                    <w:snapToGrid w:val="0"/>
                    <w:jc w:val="center"/>
                    <w:rPr>
                      <w:color w:val="auto"/>
                      <w:szCs w:val="21"/>
                    </w:rPr>
                  </w:pPr>
                  <w:r>
                    <w:rPr>
                      <w:snapToGrid w:val="0"/>
                      <w:color w:val="auto"/>
                      <w:kern w:val="0"/>
                      <w:szCs w:val="21"/>
                    </w:rPr>
                    <w:t>非甲烷总烃</w:t>
                  </w:r>
                </w:p>
              </w:tc>
              <w:tc>
                <w:tcPr>
                  <w:tcW w:w="1134" w:type="dxa"/>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1.1507</w:t>
                  </w:r>
                </w:p>
              </w:tc>
              <w:tc>
                <w:tcPr>
                  <w:tcW w:w="769" w:type="pct"/>
                  <w:vMerge w:val="restart"/>
                  <w:vAlign w:val="center"/>
                </w:tcPr>
                <w:p>
                  <w:pPr>
                    <w:adjustRightInd w:val="0"/>
                    <w:snapToGrid w:val="0"/>
                    <w:jc w:val="center"/>
                    <w:rPr>
                      <w:color w:val="auto"/>
                      <w:szCs w:val="21"/>
                    </w:rPr>
                  </w:pPr>
                  <w:r>
                    <w:rPr>
                      <w:rFonts w:hint="eastAsia"/>
                      <w:color w:val="auto"/>
                      <w:szCs w:val="21"/>
                      <w:lang w:eastAsia="zh-CN"/>
                    </w:rPr>
                    <w:t>管道</w:t>
                  </w:r>
                  <w:r>
                    <w:rPr>
                      <w:color w:val="auto"/>
                      <w:szCs w:val="21"/>
                    </w:rPr>
                    <w:t>收集</w:t>
                  </w:r>
                </w:p>
              </w:tc>
              <w:tc>
                <w:tcPr>
                  <w:tcW w:w="512" w:type="pct"/>
                  <w:vMerge w:val="restart"/>
                  <w:vAlign w:val="center"/>
                </w:tcPr>
                <w:p>
                  <w:pPr>
                    <w:adjustRightInd w:val="0"/>
                    <w:snapToGrid w:val="0"/>
                    <w:jc w:val="center"/>
                    <w:rPr>
                      <w:color w:val="auto"/>
                      <w:szCs w:val="21"/>
                    </w:rPr>
                  </w:pPr>
                  <w:r>
                    <w:rPr>
                      <w:rFonts w:hint="eastAsia"/>
                      <w:color w:val="auto"/>
                      <w:szCs w:val="21"/>
                      <w:lang w:val="en-US" w:eastAsia="zh-CN"/>
                    </w:rPr>
                    <w:t>95</w:t>
                  </w:r>
                  <w:r>
                    <w:rPr>
                      <w:color w:val="auto"/>
                      <w:szCs w:val="21"/>
                    </w:rPr>
                    <w:t>%</w:t>
                  </w:r>
                </w:p>
              </w:tc>
              <w:tc>
                <w:tcPr>
                  <w:tcW w:w="865" w:type="dxa"/>
                  <w:vAlign w:val="center"/>
                </w:tcPr>
                <w:p>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1.0932 </w:t>
                  </w:r>
                </w:p>
              </w:tc>
              <w:tc>
                <w:tcPr>
                  <w:tcW w:w="929"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0.0575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vAlign w:val="center"/>
                </w:tcPr>
                <w:p>
                  <w:pPr>
                    <w:adjustRightInd w:val="0"/>
                    <w:snapToGrid w:val="0"/>
                    <w:jc w:val="center"/>
                    <w:rPr>
                      <w:rStyle w:val="62"/>
                      <w:rFonts w:hint="default" w:ascii="Times New Roman" w:hAnsi="Times New Roman" w:cs="Times New Roman"/>
                      <w:color w:val="auto"/>
                    </w:rPr>
                  </w:pPr>
                </w:p>
              </w:tc>
              <w:tc>
                <w:tcPr>
                  <w:tcW w:w="768" w:type="pct"/>
                  <w:vMerge w:val="continue"/>
                  <w:vAlign w:val="center"/>
                </w:tcPr>
                <w:p>
                  <w:pPr>
                    <w:adjustRightInd w:val="0"/>
                    <w:snapToGrid w:val="0"/>
                    <w:jc w:val="center"/>
                    <w:rPr>
                      <w:snapToGrid w:val="0"/>
                      <w:color w:val="auto"/>
                      <w:kern w:val="0"/>
                      <w:szCs w:val="21"/>
                    </w:rPr>
                  </w:pPr>
                </w:p>
              </w:tc>
              <w:tc>
                <w:tcPr>
                  <w:tcW w:w="769" w:type="pct"/>
                  <w:vAlign w:val="center"/>
                </w:tcPr>
                <w:p>
                  <w:pPr>
                    <w:adjustRightInd w:val="0"/>
                    <w:snapToGrid w:val="0"/>
                    <w:jc w:val="center"/>
                    <w:rPr>
                      <w:snapToGrid w:val="0"/>
                      <w:color w:val="auto"/>
                      <w:kern w:val="0"/>
                      <w:szCs w:val="21"/>
                    </w:rPr>
                  </w:pPr>
                  <w:r>
                    <w:rPr>
                      <w:rFonts w:hint="eastAsia"/>
                      <w:snapToGrid w:val="0"/>
                      <w:color w:val="auto"/>
                      <w:kern w:val="0"/>
                      <w:szCs w:val="21"/>
                    </w:rPr>
                    <w:t>甲醛</w:t>
                  </w:r>
                </w:p>
              </w:tc>
              <w:tc>
                <w:tcPr>
                  <w:tcW w:w="1134"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0.0878</w:t>
                  </w:r>
                </w:p>
              </w:tc>
              <w:tc>
                <w:tcPr>
                  <w:tcW w:w="769" w:type="pct"/>
                  <w:vMerge w:val="continue"/>
                  <w:vAlign w:val="center"/>
                </w:tcPr>
                <w:p>
                  <w:pPr>
                    <w:adjustRightInd w:val="0"/>
                    <w:snapToGrid w:val="0"/>
                    <w:jc w:val="center"/>
                    <w:rPr>
                      <w:color w:val="auto"/>
                      <w:szCs w:val="21"/>
                    </w:rPr>
                  </w:pPr>
                </w:p>
              </w:tc>
              <w:tc>
                <w:tcPr>
                  <w:tcW w:w="512" w:type="pct"/>
                  <w:vMerge w:val="continue"/>
                  <w:vAlign w:val="center"/>
                </w:tcPr>
                <w:p>
                  <w:pPr>
                    <w:adjustRightInd w:val="0"/>
                    <w:snapToGrid w:val="0"/>
                    <w:jc w:val="center"/>
                    <w:rPr>
                      <w:color w:val="auto"/>
                      <w:szCs w:val="21"/>
                    </w:rPr>
                  </w:pPr>
                </w:p>
              </w:tc>
              <w:tc>
                <w:tcPr>
                  <w:tcW w:w="865" w:type="dxa"/>
                  <w:vAlign w:val="center"/>
                </w:tcPr>
                <w:p>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0.0834 </w:t>
                  </w:r>
                </w:p>
              </w:tc>
              <w:tc>
                <w:tcPr>
                  <w:tcW w:w="929"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8" w:type="pct"/>
                  <w:vMerge w:val="restart"/>
                  <w:vAlign w:val="center"/>
                </w:tcPr>
                <w:p>
                  <w:pPr>
                    <w:widowControl/>
                    <w:adjustRightInd w:val="0"/>
                    <w:snapToGrid w:val="0"/>
                    <w:jc w:val="center"/>
                    <w:rPr>
                      <w:rStyle w:val="62"/>
                      <w:rFonts w:hint="default" w:ascii="Times New Roman" w:hAnsi="Times New Roman" w:cs="Times New Roman"/>
                      <w:color w:val="auto"/>
                    </w:rPr>
                  </w:pPr>
                  <w:r>
                    <w:rPr>
                      <w:rStyle w:val="62"/>
                      <w:rFonts w:hint="default" w:ascii="Times New Roman" w:hAnsi="Times New Roman" w:cs="Times New Roman"/>
                      <w:color w:val="auto"/>
                    </w:rPr>
                    <w:t>G2</w:t>
                  </w:r>
                </w:p>
              </w:tc>
              <w:tc>
                <w:tcPr>
                  <w:tcW w:w="768" w:type="pct"/>
                  <w:vMerge w:val="restart"/>
                  <w:vAlign w:val="center"/>
                </w:tcPr>
                <w:p>
                  <w:pPr>
                    <w:widowControl/>
                    <w:adjustRightInd w:val="0"/>
                    <w:snapToGrid w:val="0"/>
                    <w:jc w:val="center"/>
                    <w:rPr>
                      <w:snapToGrid w:val="0"/>
                      <w:color w:val="auto"/>
                      <w:kern w:val="0"/>
                      <w:szCs w:val="21"/>
                    </w:rPr>
                  </w:pPr>
                  <w:r>
                    <w:rPr>
                      <w:rFonts w:hint="eastAsia"/>
                      <w:snapToGrid w:val="0"/>
                      <w:color w:val="auto"/>
                      <w:kern w:val="0"/>
                      <w:szCs w:val="21"/>
                    </w:rPr>
                    <w:t>天然气燃烧</w:t>
                  </w:r>
                </w:p>
              </w:tc>
              <w:tc>
                <w:tcPr>
                  <w:tcW w:w="769" w:type="pct"/>
                  <w:vAlign w:val="center"/>
                </w:tcPr>
                <w:p>
                  <w:pPr>
                    <w:widowControl/>
                    <w:adjustRightInd w:val="0"/>
                    <w:snapToGrid w:val="0"/>
                    <w:jc w:val="center"/>
                    <w:rPr>
                      <w:snapToGrid w:val="0"/>
                      <w:color w:val="auto"/>
                      <w:kern w:val="0"/>
                      <w:szCs w:val="21"/>
                    </w:rPr>
                  </w:pPr>
                  <w:r>
                    <w:rPr>
                      <w:color w:val="auto"/>
                      <w:szCs w:val="21"/>
                    </w:rPr>
                    <w:t>烟尘</w:t>
                  </w:r>
                </w:p>
              </w:tc>
              <w:tc>
                <w:tcPr>
                  <w:tcW w:w="683" w:type="pct"/>
                  <w:vAlign w:val="center"/>
                </w:tcPr>
                <w:p>
                  <w:pPr>
                    <w:adjustRightInd w:val="0"/>
                    <w:snapToGrid w:val="0"/>
                    <w:jc w:val="center"/>
                    <w:rPr>
                      <w:color w:val="auto"/>
                      <w:szCs w:val="21"/>
                    </w:rPr>
                  </w:pPr>
                  <w:r>
                    <w:rPr>
                      <w:color w:val="auto"/>
                    </w:rPr>
                    <w:t>0.0686</w:t>
                  </w:r>
                </w:p>
              </w:tc>
              <w:tc>
                <w:tcPr>
                  <w:tcW w:w="769" w:type="pct"/>
                  <w:vMerge w:val="restart"/>
                  <w:vAlign w:val="center"/>
                </w:tcPr>
                <w:p>
                  <w:pPr>
                    <w:adjustRightInd w:val="0"/>
                    <w:snapToGrid w:val="0"/>
                    <w:jc w:val="center"/>
                    <w:rPr>
                      <w:color w:val="auto"/>
                      <w:szCs w:val="21"/>
                    </w:rPr>
                  </w:pPr>
                  <w:r>
                    <w:rPr>
                      <w:color w:val="auto"/>
                      <w:szCs w:val="21"/>
                    </w:rPr>
                    <w:t>管道收集</w:t>
                  </w:r>
                </w:p>
              </w:tc>
              <w:tc>
                <w:tcPr>
                  <w:tcW w:w="512" w:type="pct"/>
                  <w:vMerge w:val="restart"/>
                  <w:vAlign w:val="center"/>
                </w:tcPr>
                <w:p>
                  <w:pPr>
                    <w:adjustRightInd w:val="0"/>
                    <w:snapToGrid w:val="0"/>
                    <w:jc w:val="center"/>
                    <w:rPr>
                      <w:color w:val="auto"/>
                      <w:szCs w:val="21"/>
                    </w:rPr>
                  </w:pPr>
                  <w:r>
                    <w:rPr>
                      <w:rFonts w:hint="eastAsia"/>
                      <w:color w:val="auto"/>
                      <w:szCs w:val="21"/>
                    </w:rPr>
                    <w:t>100</w:t>
                  </w:r>
                  <w:r>
                    <w:rPr>
                      <w:color w:val="auto"/>
                      <w:szCs w:val="21"/>
                    </w:rPr>
                    <w:t>%</w:t>
                  </w:r>
                </w:p>
              </w:tc>
              <w:tc>
                <w:tcPr>
                  <w:tcW w:w="521" w:type="pct"/>
                  <w:vAlign w:val="center"/>
                </w:tcPr>
                <w:p>
                  <w:pPr>
                    <w:adjustRightInd w:val="0"/>
                    <w:snapToGrid w:val="0"/>
                    <w:jc w:val="center"/>
                    <w:rPr>
                      <w:color w:val="auto"/>
                      <w:szCs w:val="21"/>
                    </w:rPr>
                  </w:pPr>
                  <w:r>
                    <w:rPr>
                      <w:color w:val="auto"/>
                    </w:rPr>
                    <w:t>0.0686</w:t>
                  </w:r>
                </w:p>
              </w:tc>
              <w:tc>
                <w:tcPr>
                  <w:tcW w:w="560" w:type="pct"/>
                  <w:vAlign w:val="center"/>
                </w:tcPr>
                <w:p>
                  <w:pPr>
                    <w:jc w:val="center"/>
                    <w:rPr>
                      <w:color w:val="auto"/>
                      <w:szCs w:val="21"/>
                    </w:rPr>
                  </w:pP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8" w:type="pct"/>
                  <w:vMerge w:val="continue"/>
                  <w:vAlign w:val="center"/>
                </w:tcPr>
                <w:p>
                  <w:pPr>
                    <w:widowControl/>
                    <w:adjustRightInd w:val="0"/>
                    <w:snapToGrid w:val="0"/>
                    <w:jc w:val="center"/>
                    <w:rPr>
                      <w:rStyle w:val="62"/>
                      <w:rFonts w:hint="default" w:ascii="Times New Roman" w:hAnsi="Times New Roman" w:cs="Times New Roman"/>
                      <w:color w:val="auto"/>
                    </w:rPr>
                  </w:pPr>
                </w:p>
              </w:tc>
              <w:tc>
                <w:tcPr>
                  <w:tcW w:w="768" w:type="pct"/>
                  <w:vMerge w:val="continue"/>
                  <w:vAlign w:val="center"/>
                </w:tcPr>
                <w:p>
                  <w:pPr>
                    <w:widowControl/>
                    <w:adjustRightInd w:val="0"/>
                    <w:snapToGrid w:val="0"/>
                    <w:jc w:val="center"/>
                    <w:rPr>
                      <w:snapToGrid w:val="0"/>
                      <w:color w:val="auto"/>
                      <w:kern w:val="0"/>
                      <w:szCs w:val="21"/>
                    </w:rPr>
                  </w:pPr>
                </w:p>
              </w:tc>
              <w:tc>
                <w:tcPr>
                  <w:tcW w:w="769" w:type="pct"/>
                  <w:vAlign w:val="center"/>
                </w:tcPr>
                <w:p>
                  <w:pPr>
                    <w:widowControl/>
                    <w:adjustRightInd w:val="0"/>
                    <w:snapToGrid w:val="0"/>
                    <w:jc w:val="center"/>
                    <w:rPr>
                      <w:snapToGrid w:val="0"/>
                      <w:color w:val="auto"/>
                      <w:kern w:val="0"/>
                      <w:szCs w:val="21"/>
                    </w:rPr>
                  </w:pPr>
                  <w:r>
                    <w:rPr>
                      <w:color w:val="auto"/>
                      <w:szCs w:val="21"/>
                    </w:rPr>
                    <w:t>SO</w:t>
                  </w:r>
                  <w:r>
                    <w:rPr>
                      <w:color w:val="auto"/>
                      <w:szCs w:val="21"/>
                      <w:vertAlign w:val="subscript"/>
                    </w:rPr>
                    <w:t>2</w:t>
                  </w:r>
                </w:p>
              </w:tc>
              <w:tc>
                <w:tcPr>
                  <w:tcW w:w="683" w:type="pct"/>
                  <w:vAlign w:val="center"/>
                </w:tcPr>
                <w:p>
                  <w:pPr>
                    <w:adjustRightInd w:val="0"/>
                    <w:snapToGrid w:val="0"/>
                    <w:jc w:val="center"/>
                    <w:rPr>
                      <w:color w:val="auto"/>
                      <w:szCs w:val="21"/>
                    </w:rPr>
                  </w:pPr>
                  <w:r>
                    <w:rPr>
                      <w:color w:val="auto"/>
                    </w:rPr>
                    <w:t>0.0096</w:t>
                  </w:r>
                </w:p>
              </w:tc>
              <w:tc>
                <w:tcPr>
                  <w:tcW w:w="769" w:type="pct"/>
                  <w:vMerge w:val="continue"/>
                  <w:vAlign w:val="center"/>
                </w:tcPr>
                <w:p>
                  <w:pPr>
                    <w:adjustRightInd w:val="0"/>
                    <w:snapToGrid w:val="0"/>
                    <w:jc w:val="center"/>
                    <w:rPr>
                      <w:color w:val="auto"/>
                      <w:szCs w:val="21"/>
                    </w:rPr>
                  </w:pPr>
                </w:p>
              </w:tc>
              <w:tc>
                <w:tcPr>
                  <w:tcW w:w="512" w:type="pct"/>
                  <w:vMerge w:val="continue"/>
                  <w:vAlign w:val="center"/>
                </w:tcPr>
                <w:p>
                  <w:pPr>
                    <w:adjustRightInd w:val="0"/>
                    <w:snapToGrid w:val="0"/>
                    <w:jc w:val="center"/>
                    <w:rPr>
                      <w:color w:val="auto"/>
                      <w:szCs w:val="21"/>
                    </w:rPr>
                  </w:pPr>
                </w:p>
              </w:tc>
              <w:tc>
                <w:tcPr>
                  <w:tcW w:w="521" w:type="pct"/>
                  <w:vAlign w:val="center"/>
                </w:tcPr>
                <w:p>
                  <w:pPr>
                    <w:adjustRightInd w:val="0"/>
                    <w:snapToGrid w:val="0"/>
                    <w:jc w:val="center"/>
                    <w:rPr>
                      <w:color w:val="auto"/>
                      <w:szCs w:val="21"/>
                    </w:rPr>
                  </w:pPr>
                  <w:r>
                    <w:rPr>
                      <w:color w:val="auto"/>
                    </w:rPr>
                    <w:t>0.0096</w:t>
                  </w:r>
                </w:p>
              </w:tc>
              <w:tc>
                <w:tcPr>
                  <w:tcW w:w="560" w:type="pct"/>
                  <w:vAlign w:val="center"/>
                </w:tcPr>
                <w:p>
                  <w:pPr>
                    <w:jc w:val="center"/>
                    <w:rPr>
                      <w:color w:val="auto"/>
                      <w:szCs w:val="21"/>
                    </w:rPr>
                  </w:pP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vMerge w:val="continue"/>
                  <w:vAlign w:val="center"/>
                </w:tcPr>
                <w:p>
                  <w:pPr>
                    <w:widowControl/>
                    <w:adjustRightInd w:val="0"/>
                    <w:snapToGrid w:val="0"/>
                    <w:jc w:val="center"/>
                    <w:rPr>
                      <w:rStyle w:val="62"/>
                      <w:rFonts w:hint="default" w:ascii="Times New Roman" w:hAnsi="Times New Roman" w:cs="Times New Roman"/>
                      <w:color w:val="auto"/>
                    </w:rPr>
                  </w:pPr>
                </w:p>
              </w:tc>
              <w:tc>
                <w:tcPr>
                  <w:tcW w:w="768" w:type="pct"/>
                  <w:vMerge w:val="continue"/>
                  <w:vAlign w:val="center"/>
                </w:tcPr>
                <w:p>
                  <w:pPr>
                    <w:widowControl/>
                    <w:adjustRightInd w:val="0"/>
                    <w:snapToGrid w:val="0"/>
                    <w:jc w:val="center"/>
                    <w:rPr>
                      <w:snapToGrid w:val="0"/>
                      <w:color w:val="auto"/>
                      <w:kern w:val="0"/>
                      <w:szCs w:val="21"/>
                    </w:rPr>
                  </w:pPr>
                </w:p>
              </w:tc>
              <w:tc>
                <w:tcPr>
                  <w:tcW w:w="769" w:type="pct"/>
                  <w:vAlign w:val="center"/>
                </w:tcPr>
                <w:p>
                  <w:pPr>
                    <w:widowControl/>
                    <w:adjustRightInd w:val="0"/>
                    <w:snapToGrid w:val="0"/>
                    <w:jc w:val="center"/>
                    <w:rPr>
                      <w:snapToGrid w:val="0"/>
                      <w:color w:val="auto"/>
                      <w:kern w:val="0"/>
                      <w:szCs w:val="21"/>
                    </w:rPr>
                  </w:pPr>
                  <w:r>
                    <w:rPr>
                      <w:color w:val="auto"/>
                      <w:szCs w:val="21"/>
                    </w:rPr>
                    <w:t>NOx</w:t>
                  </w:r>
                </w:p>
              </w:tc>
              <w:tc>
                <w:tcPr>
                  <w:tcW w:w="683" w:type="pct"/>
                  <w:vAlign w:val="center"/>
                </w:tcPr>
                <w:p>
                  <w:pPr>
                    <w:adjustRightInd w:val="0"/>
                    <w:snapToGrid w:val="0"/>
                    <w:jc w:val="center"/>
                    <w:rPr>
                      <w:color w:val="auto"/>
                      <w:szCs w:val="21"/>
                    </w:rPr>
                  </w:pPr>
                  <w:r>
                    <w:rPr>
                      <w:color w:val="auto"/>
                    </w:rPr>
                    <w:t>0.3809</w:t>
                  </w:r>
                </w:p>
              </w:tc>
              <w:tc>
                <w:tcPr>
                  <w:tcW w:w="769" w:type="pct"/>
                  <w:vMerge w:val="continue"/>
                  <w:vAlign w:val="center"/>
                </w:tcPr>
                <w:p>
                  <w:pPr>
                    <w:adjustRightInd w:val="0"/>
                    <w:snapToGrid w:val="0"/>
                    <w:jc w:val="center"/>
                    <w:rPr>
                      <w:color w:val="auto"/>
                      <w:szCs w:val="21"/>
                    </w:rPr>
                  </w:pPr>
                </w:p>
              </w:tc>
              <w:tc>
                <w:tcPr>
                  <w:tcW w:w="512" w:type="pct"/>
                  <w:vMerge w:val="continue"/>
                  <w:vAlign w:val="center"/>
                </w:tcPr>
                <w:p>
                  <w:pPr>
                    <w:adjustRightInd w:val="0"/>
                    <w:snapToGrid w:val="0"/>
                    <w:jc w:val="center"/>
                    <w:rPr>
                      <w:color w:val="auto"/>
                      <w:szCs w:val="21"/>
                    </w:rPr>
                  </w:pPr>
                </w:p>
              </w:tc>
              <w:tc>
                <w:tcPr>
                  <w:tcW w:w="521" w:type="pct"/>
                  <w:vAlign w:val="center"/>
                </w:tcPr>
                <w:p>
                  <w:pPr>
                    <w:adjustRightInd w:val="0"/>
                    <w:snapToGrid w:val="0"/>
                    <w:jc w:val="center"/>
                    <w:rPr>
                      <w:color w:val="auto"/>
                      <w:szCs w:val="21"/>
                    </w:rPr>
                  </w:pPr>
                  <w:r>
                    <w:rPr>
                      <w:color w:val="auto"/>
                    </w:rPr>
                    <w:t>0.3809</w:t>
                  </w:r>
                </w:p>
              </w:tc>
              <w:tc>
                <w:tcPr>
                  <w:tcW w:w="560" w:type="pct"/>
                  <w:vAlign w:val="center"/>
                </w:tcPr>
                <w:p>
                  <w:pPr>
                    <w:jc w:val="center"/>
                    <w:rPr>
                      <w:color w:val="auto"/>
                      <w:szCs w:val="21"/>
                    </w:rPr>
                  </w:pPr>
                  <w:r>
                    <w:rPr>
                      <w:color w:val="auto"/>
                      <w:szCs w:val="21"/>
                    </w:rPr>
                    <w:t>0</w:t>
                  </w:r>
                </w:p>
              </w:tc>
            </w:tr>
          </w:tbl>
          <w:p>
            <w:pPr>
              <w:pStyle w:val="26"/>
              <w:widowControl w:val="0"/>
              <w:snapToGrid w:val="0"/>
              <w:spacing w:before="0" w:beforeAutospacing="0" w:after="0" w:afterAutospacing="0" w:line="360" w:lineRule="auto"/>
              <w:ind w:firstLine="482" w:firstLineChars="200"/>
              <w:jc w:val="both"/>
              <w:rPr>
                <w:rFonts w:ascii="Times New Roman" w:hAnsi="Times New Roman"/>
                <w:b/>
                <w:bCs/>
                <w:color w:val="auto"/>
                <w:szCs w:val="24"/>
              </w:rPr>
            </w:pPr>
            <w:r>
              <w:rPr>
                <w:rFonts w:ascii="Times New Roman" w:hAnsi="Times New Roman"/>
                <w:b/>
                <w:bCs/>
                <w:color w:val="auto"/>
                <w:szCs w:val="24"/>
              </w:rPr>
              <w:t>A：有组织废气</w:t>
            </w:r>
          </w:p>
          <w:p>
            <w:pPr>
              <w:spacing w:line="360" w:lineRule="auto"/>
              <w:ind w:firstLine="480"/>
              <w:rPr>
                <w:b/>
                <w:color w:val="auto"/>
                <w:szCs w:val="22"/>
              </w:rPr>
            </w:pPr>
            <w:r>
              <w:rPr>
                <w:color w:val="auto"/>
                <w:sz w:val="24"/>
              </w:rPr>
              <w:t>本项目有组织废气产排情况见下表。</w:t>
            </w:r>
          </w:p>
          <w:p>
            <w:pPr>
              <w:pStyle w:val="80"/>
              <w:spacing w:line="240" w:lineRule="auto"/>
              <w:ind w:firstLine="0" w:firstLineChars="0"/>
              <w:jc w:val="center"/>
              <w:rPr>
                <w:rFonts w:ascii="Times New Roman" w:hAnsi="Times New Roman" w:eastAsia="宋体"/>
                <w:b/>
                <w:color w:val="auto"/>
                <w:kern w:val="2"/>
                <w:szCs w:val="22"/>
              </w:rPr>
            </w:pPr>
            <w:r>
              <w:rPr>
                <w:rFonts w:ascii="Times New Roman" w:hAnsi="Times New Roman" w:eastAsia="宋体"/>
                <w:b/>
                <w:color w:val="auto"/>
                <w:kern w:val="2"/>
                <w:szCs w:val="22"/>
              </w:rPr>
              <w:t>表4-</w:t>
            </w:r>
            <w:r>
              <w:rPr>
                <w:rFonts w:hint="eastAsia" w:ascii="Times New Roman" w:hAnsi="Times New Roman" w:eastAsia="宋体"/>
                <w:b/>
                <w:color w:val="auto"/>
                <w:kern w:val="2"/>
                <w:szCs w:val="22"/>
                <w:lang w:val="en-US" w:eastAsia="zh-CN"/>
              </w:rPr>
              <w:t>4</w:t>
            </w:r>
            <w:r>
              <w:rPr>
                <w:rFonts w:ascii="Times New Roman" w:hAnsi="Times New Roman" w:eastAsia="宋体"/>
                <w:b/>
                <w:color w:val="auto"/>
                <w:kern w:val="2"/>
                <w:szCs w:val="22"/>
              </w:rPr>
              <w:t xml:space="preserve">  有组织废气源强统计表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4"/>
              <w:gridCol w:w="688"/>
              <w:gridCol w:w="658"/>
              <w:gridCol w:w="728"/>
              <w:gridCol w:w="709"/>
              <w:gridCol w:w="695"/>
              <w:gridCol w:w="715"/>
              <w:gridCol w:w="418"/>
              <w:gridCol w:w="728"/>
              <w:gridCol w:w="672"/>
              <w:gridCol w:w="652"/>
              <w:gridCol w:w="384"/>
              <w:gridCol w:w="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4" w:type="dxa"/>
                  <w:vMerge w:val="restart"/>
                  <w:vAlign w:val="center"/>
                </w:tcPr>
                <w:p>
                  <w:pPr>
                    <w:snapToGrid w:val="0"/>
                    <w:jc w:val="center"/>
                    <w:rPr>
                      <w:b/>
                      <w:bCs/>
                      <w:color w:val="auto"/>
                      <w:sz w:val="21"/>
                      <w:szCs w:val="21"/>
                    </w:rPr>
                  </w:pPr>
                  <w:r>
                    <w:rPr>
                      <w:b/>
                      <w:bCs/>
                      <w:color w:val="auto"/>
                      <w:sz w:val="21"/>
                      <w:szCs w:val="21"/>
                    </w:rPr>
                    <w:t>排放源</w:t>
                  </w:r>
                </w:p>
              </w:tc>
              <w:tc>
                <w:tcPr>
                  <w:tcW w:w="688" w:type="dxa"/>
                  <w:vMerge w:val="restart"/>
                  <w:vAlign w:val="center"/>
                </w:tcPr>
                <w:p>
                  <w:pPr>
                    <w:snapToGrid w:val="0"/>
                    <w:jc w:val="center"/>
                    <w:rPr>
                      <w:b/>
                      <w:bCs/>
                      <w:color w:val="auto"/>
                      <w:sz w:val="21"/>
                      <w:szCs w:val="21"/>
                    </w:rPr>
                  </w:pPr>
                  <w:r>
                    <w:rPr>
                      <w:b/>
                      <w:bCs/>
                      <w:color w:val="auto"/>
                      <w:sz w:val="21"/>
                      <w:szCs w:val="21"/>
                    </w:rPr>
                    <w:t>排气量(m</w:t>
                  </w:r>
                  <w:r>
                    <w:rPr>
                      <w:b/>
                      <w:bCs/>
                      <w:color w:val="auto"/>
                      <w:sz w:val="21"/>
                      <w:szCs w:val="21"/>
                      <w:vertAlign w:val="superscript"/>
                    </w:rPr>
                    <w:t>3</w:t>
                  </w:r>
                  <w:r>
                    <w:rPr>
                      <w:b/>
                      <w:bCs/>
                      <w:color w:val="auto"/>
                      <w:sz w:val="21"/>
                      <w:szCs w:val="21"/>
                    </w:rPr>
                    <w:t>/h)</w:t>
                  </w:r>
                </w:p>
              </w:tc>
              <w:tc>
                <w:tcPr>
                  <w:tcW w:w="658" w:type="dxa"/>
                  <w:vMerge w:val="restart"/>
                  <w:vAlign w:val="center"/>
                </w:tcPr>
                <w:p>
                  <w:pPr>
                    <w:snapToGrid w:val="0"/>
                    <w:jc w:val="center"/>
                    <w:rPr>
                      <w:b/>
                      <w:bCs/>
                      <w:color w:val="auto"/>
                      <w:sz w:val="21"/>
                      <w:szCs w:val="21"/>
                    </w:rPr>
                  </w:pPr>
                  <w:r>
                    <w:rPr>
                      <w:b/>
                      <w:bCs/>
                      <w:color w:val="auto"/>
                      <w:sz w:val="21"/>
                      <w:szCs w:val="21"/>
                    </w:rPr>
                    <w:t>污染物名称</w:t>
                  </w:r>
                </w:p>
              </w:tc>
              <w:tc>
                <w:tcPr>
                  <w:tcW w:w="2132" w:type="dxa"/>
                  <w:gridSpan w:val="3"/>
                  <w:vAlign w:val="center"/>
                </w:tcPr>
                <w:p>
                  <w:pPr>
                    <w:snapToGrid w:val="0"/>
                    <w:jc w:val="center"/>
                    <w:rPr>
                      <w:b/>
                      <w:bCs/>
                      <w:color w:val="auto"/>
                      <w:sz w:val="21"/>
                      <w:szCs w:val="21"/>
                    </w:rPr>
                  </w:pPr>
                  <w:r>
                    <w:rPr>
                      <w:b/>
                      <w:bCs/>
                      <w:color w:val="auto"/>
                      <w:sz w:val="21"/>
                      <w:szCs w:val="21"/>
                    </w:rPr>
                    <w:t>产生状况</w:t>
                  </w:r>
                </w:p>
              </w:tc>
              <w:tc>
                <w:tcPr>
                  <w:tcW w:w="715" w:type="dxa"/>
                  <w:vMerge w:val="restart"/>
                  <w:vAlign w:val="center"/>
                </w:tcPr>
                <w:p>
                  <w:pPr>
                    <w:snapToGrid w:val="0"/>
                    <w:jc w:val="center"/>
                    <w:rPr>
                      <w:b/>
                      <w:bCs/>
                      <w:color w:val="auto"/>
                      <w:sz w:val="21"/>
                      <w:szCs w:val="21"/>
                    </w:rPr>
                  </w:pPr>
                  <w:r>
                    <w:rPr>
                      <w:b/>
                      <w:bCs/>
                      <w:color w:val="auto"/>
                      <w:sz w:val="21"/>
                      <w:szCs w:val="21"/>
                    </w:rPr>
                    <w:t>治理措施</w:t>
                  </w:r>
                </w:p>
              </w:tc>
              <w:tc>
                <w:tcPr>
                  <w:tcW w:w="418" w:type="dxa"/>
                  <w:vMerge w:val="restart"/>
                  <w:vAlign w:val="center"/>
                </w:tcPr>
                <w:p>
                  <w:pPr>
                    <w:snapToGrid w:val="0"/>
                    <w:jc w:val="center"/>
                    <w:rPr>
                      <w:b/>
                      <w:bCs/>
                      <w:color w:val="auto"/>
                      <w:sz w:val="21"/>
                      <w:szCs w:val="21"/>
                    </w:rPr>
                  </w:pPr>
                  <w:r>
                    <w:rPr>
                      <w:b/>
                      <w:bCs/>
                      <w:color w:val="auto"/>
                      <w:sz w:val="21"/>
                      <w:szCs w:val="21"/>
                    </w:rPr>
                    <w:t>去除率</w:t>
                  </w:r>
                </w:p>
                <w:p>
                  <w:pPr>
                    <w:snapToGrid w:val="0"/>
                    <w:jc w:val="center"/>
                    <w:rPr>
                      <w:b/>
                      <w:bCs/>
                      <w:color w:val="auto"/>
                      <w:sz w:val="21"/>
                      <w:szCs w:val="21"/>
                    </w:rPr>
                  </w:pPr>
                  <w:r>
                    <w:rPr>
                      <w:b/>
                      <w:bCs/>
                      <w:color w:val="auto"/>
                      <w:sz w:val="21"/>
                      <w:szCs w:val="21"/>
                    </w:rPr>
                    <w:t>(%)</w:t>
                  </w:r>
                </w:p>
              </w:tc>
              <w:tc>
                <w:tcPr>
                  <w:tcW w:w="2052" w:type="dxa"/>
                  <w:gridSpan w:val="3"/>
                  <w:vAlign w:val="center"/>
                </w:tcPr>
                <w:p>
                  <w:pPr>
                    <w:snapToGrid w:val="0"/>
                    <w:jc w:val="center"/>
                    <w:rPr>
                      <w:b/>
                      <w:bCs/>
                      <w:color w:val="auto"/>
                      <w:sz w:val="21"/>
                      <w:szCs w:val="21"/>
                    </w:rPr>
                  </w:pPr>
                  <w:r>
                    <w:rPr>
                      <w:b/>
                      <w:bCs/>
                      <w:color w:val="auto"/>
                      <w:sz w:val="21"/>
                      <w:szCs w:val="21"/>
                    </w:rPr>
                    <w:t>排放状况</w:t>
                  </w:r>
                </w:p>
              </w:tc>
              <w:tc>
                <w:tcPr>
                  <w:tcW w:w="384" w:type="dxa"/>
                  <w:vMerge w:val="restart"/>
                  <w:vAlign w:val="center"/>
                </w:tcPr>
                <w:p>
                  <w:pPr>
                    <w:snapToGrid w:val="0"/>
                    <w:jc w:val="center"/>
                    <w:rPr>
                      <w:b/>
                      <w:bCs/>
                      <w:color w:val="auto"/>
                      <w:sz w:val="21"/>
                      <w:szCs w:val="21"/>
                    </w:rPr>
                  </w:pPr>
                  <w:r>
                    <w:rPr>
                      <w:b/>
                      <w:bCs/>
                      <w:color w:val="auto"/>
                      <w:sz w:val="21"/>
                      <w:szCs w:val="21"/>
                    </w:rPr>
                    <w:t>排放高度(m)</w:t>
                  </w:r>
                </w:p>
              </w:tc>
              <w:tc>
                <w:tcPr>
                  <w:tcW w:w="620" w:type="dxa"/>
                  <w:vMerge w:val="restart"/>
                  <w:vAlign w:val="center"/>
                </w:tcPr>
                <w:p>
                  <w:pPr>
                    <w:snapToGrid w:val="0"/>
                    <w:jc w:val="center"/>
                    <w:rPr>
                      <w:b/>
                      <w:bCs/>
                      <w:color w:val="auto"/>
                      <w:sz w:val="21"/>
                      <w:szCs w:val="21"/>
                    </w:rPr>
                  </w:pPr>
                  <w:r>
                    <w:rPr>
                      <w:b/>
                      <w:bCs/>
                      <w:color w:val="auto"/>
                      <w:sz w:val="21"/>
                      <w:szCs w:val="21"/>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continue"/>
                  <w:vAlign w:val="center"/>
                </w:tcPr>
                <w:p>
                  <w:pPr>
                    <w:snapToGrid w:val="0"/>
                    <w:jc w:val="center"/>
                    <w:rPr>
                      <w:color w:val="auto"/>
                      <w:sz w:val="21"/>
                      <w:szCs w:val="21"/>
                    </w:rPr>
                  </w:pPr>
                </w:p>
              </w:tc>
              <w:tc>
                <w:tcPr>
                  <w:tcW w:w="688" w:type="dxa"/>
                  <w:vMerge w:val="continue"/>
                  <w:vAlign w:val="center"/>
                </w:tcPr>
                <w:p>
                  <w:pPr>
                    <w:snapToGrid w:val="0"/>
                    <w:jc w:val="center"/>
                    <w:rPr>
                      <w:color w:val="auto"/>
                      <w:sz w:val="21"/>
                      <w:szCs w:val="21"/>
                    </w:rPr>
                  </w:pPr>
                </w:p>
              </w:tc>
              <w:tc>
                <w:tcPr>
                  <w:tcW w:w="658" w:type="dxa"/>
                  <w:vMerge w:val="continue"/>
                  <w:vAlign w:val="center"/>
                </w:tcPr>
                <w:p>
                  <w:pPr>
                    <w:snapToGrid w:val="0"/>
                    <w:jc w:val="center"/>
                    <w:rPr>
                      <w:color w:val="auto"/>
                      <w:sz w:val="21"/>
                      <w:szCs w:val="21"/>
                    </w:rPr>
                  </w:pPr>
                </w:p>
              </w:tc>
              <w:tc>
                <w:tcPr>
                  <w:tcW w:w="728" w:type="dxa"/>
                  <w:vAlign w:val="center"/>
                </w:tcPr>
                <w:p>
                  <w:pPr>
                    <w:snapToGrid w:val="0"/>
                    <w:jc w:val="center"/>
                    <w:rPr>
                      <w:b/>
                      <w:bCs/>
                      <w:color w:val="auto"/>
                      <w:sz w:val="21"/>
                      <w:szCs w:val="21"/>
                    </w:rPr>
                  </w:pPr>
                  <w:r>
                    <w:rPr>
                      <w:b/>
                      <w:bCs/>
                      <w:color w:val="auto"/>
                      <w:sz w:val="21"/>
                      <w:szCs w:val="21"/>
                    </w:rPr>
                    <w:t>浓度</w:t>
                  </w:r>
                </w:p>
                <w:p>
                  <w:pPr>
                    <w:snapToGrid w:val="0"/>
                    <w:jc w:val="center"/>
                    <w:rPr>
                      <w:b/>
                      <w:bCs/>
                      <w:color w:val="auto"/>
                      <w:sz w:val="21"/>
                      <w:szCs w:val="21"/>
                    </w:rPr>
                  </w:pPr>
                  <w:r>
                    <w:rPr>
                      <w:b/>
                      <w:bCs/>
                      <w:color w:val="auto"/>
                      <w:sz w:val="21"/>
                      <w:szCs w:val="21"/>
                    </w:rPr>
                    <w:t>(mg/m</w:t>
                  </w:r>
                  <w:r>
                    <w:rPr>
                      <w:b/>
                      <w:bCs/>
                      <w:color w:val="auto"/>
                      <w:sz w:val="21"/>
                      <w:szCs w:val="21"/>
                      <w:vertAlign w:val="superscript"/>
                    </w:rPr>
                    <w:t>3</w:t>
                  </w:r>
                  <w:r>
                    <w:rPr>
                      <w:b/>
                      <w:bCs/>
                      <w:color w:val="auto"/>
                      <w:sz w:val="21"/>
                      <w:szCs w:val="21"/>
                    </w:rPr>
                    <w:t>)</w:t>
                  </w:r>
                </w:p>
              </w:tc>
              <w:tc>
                <w:tcPr>
                  <w:tcW w:w="709" w:type="dxa"/>
                  <w:vAlign w:val="center"/>
                </w:tcPr>
                <w:p>
                  <w:pPr>
                    <w:snapToGrid w:val="0"/>
                    <w:jc w:val="center"/>
                    <w:rPr>
                      <w:b/>
                      <w:bCs/>
                      <w:color w:val="auto"/>
                      <w:sz w:val="21"/>
                      <w:szCs w:val="21"/>
                    </w:rPr>
                  </w:pPr>
                  <w:r>
                    <w:rPr>
                      <w:b/>
                      <w:bCs/>
                      <w:color w:val="auto"/>
                      <w:sz w:val="21"/>
                      <w:szCs w:val="21"/>
                    </w:rPr>
                    <w:t>速率</w:t>
                  </w:r>
                </w:p>
                <w:p>
                  <w:pPr>
                    <w:snapToGrid w:val="0"/>
                    <w:jc w:val="center"/>
                    <w:rPr>
                      <w:b/>
                      <w:bCs/>
                      <w:color w:val="auto"/>
                      <w:sz w:val="21"/>
                      <w:szCs w:val="21"/>
                    </w:rPr>
                  </w:pPr>
                  <w:r>
                    <w:rPr>
                      <w:b/>
                      <w:bCs/>
                      <w:color w:val="auto"/>
                      <w:sz w:val="21"/>
                      <w:szCs w:val="21"/>
                    </w:rPr>
                    <w:t>(kg/h)</w:t>
                  </w:r>
                </w:p>
              </w:tc>
              <w:tc>
                <w:tcPr>
                  <w:tcW w:w="695" w:type="dxa"/>
                  <w:vAlign w:val="center"/>
                </w:tcPr>
                <w:p>
                  <w:pPr>
                    <w:snapToGrid w:val="0"/>
                    <w:jc w:val="center"/>
                    <w:rPr>
                      <w:color w:val="auto"/>
                      <w:sz w:val="21"/>
                      <w:szCs w:val="21"/>
                    </w:rPr>
                  </w:pPr>
                  <w:r>
                    <w:rPr>
                      <w:b/>
                      <w:bCs/>
                      <w:color w:val="auto"/>
                      <w:sz w:val="21"/>
                      <w:szCs w:val="21"/>
                    </w:rPr>
                    <w:t>产生量(t/a)</w:t>
                  </w:r>
                </w:p>
              </w:tc>
              <w:tc>
                <w:tcPr>
                  <w:tcW w:w="715" w:type="dxa"/>
                  <w:vMerge w:val="continue"/>
                  <w:vAlign w:val="center"/>
                </w:tcPr>
                <w:p>
                  <w:pPr>
                    <w:snapToGrid w:val="0"/>
                    <w:jc w:val="center"/>
                    <w:rPr>
                      <w:color w:val="auto"/>
                      <w:sz w:val="21"/>
                      <w:szCs w:val="21"/>
                    </w:rPr>
                  </w:pPr>
                </w:p>
              </w:tc>
              <w:tc>
                <w:tcPr>
                  <w:tcW w:w="418" w:type="dxa"/>
                  <w:vMerge w:val="continue"/>
                  <w:vAlign w:val="center"/>
                </w:tcPr>
                <w:p>
                  <w:pPr>
                    <w:snapToGrid w:val="0"/>
                    <w:jc w:val="center"/>
                    <w:rPr>
                      <w:b/>
                      <w:bCs/>
                      <w:color w:val="auto"/>
                      <w:sz w:val="21"/>
                      <w:szCs w:val="21"/>
                    </w:rPr>
                  </w:pPr>
                </w:p>
              </w:tc>
              <w:tc>
                <w:tcPr>
                  <w:tcW w:w="728" w:type="dxa"/>
                  <w:vAlign w:val="center"/>
                </w:tcPr>
                <w:p>
                  <w:pPr>
                    <w:snapToGrid w:val="0"/>
                    <w:jc w:val="center"/>
                    <w:rPr>
                      <w:b/>
                      <w:bCs/>
                      <w:color w:val="auto"/>
                      <w:sz w:val="21"/>
                      <w:szCs w:val="21"/>
                    </w:rPr>
                  </w:pPr>
                  <w:r>
                    <w:rPr>
                      <w:b/>
                      <w:bCs/>
                      <w:color w:val="auto"/>
                      <w:sz w:val="21"/>
                      <w:szCs w:val="21"/>
                    </w:rPr>
                    <w:t>浓度(mg/m</w:t>
                  </w:r>
                  <w:r>
                    <w:rPr>
                      <w:b/>
                      <w:bCs/>
                      <w:color w:val="auto"/>
                      <w:sz w:val="21"/>
                      <w:szCs w:val="21"/>
                      <w:vertAlign w:val="superscript"/>
                    </w:rPr>
                    <w:t>3</w:t>
                  </w:r>
                  <w:r>
                    <w:rPr>
                      <w:b/>
                      <w:bCs/>
                      <w:color w:val="auto"/>
                      <w:sz w:val="21"/>
                      <w:szCs w:val="21"/>
                    </w:rPr>
                    <w:t>)</w:t>
                  </w:r>
                </w:p>
              </w:tc>
              <w:tc>
                <w:tcPr>
                  <w:tcW w:w="672" w:type="dxa"/>
                  <w:vAlign w:val="center"/>
                </w:tcPr>
                <w:p>
                  <w:pPr>
                    <w:snapToGrid w:val="0"/>
                    <w:jc w:val="center"/>
                    <w:rPr>
                      <w:b/>
                      <w:bCs/>
                      <w:color w:val="auto"/>
                      <w:sz w:val="21"/>
                      <w:szCs w:val="21"/>
                    </w:rPr>
                  </w:pPr>
                  <w:r>
                    <w:rPr>
                      <w:b/>
                      <w:bCs/>
                      <w:color w:val="auto"/>
                      <w:sz w:val="21"/>
                      <w:szCs w:val="21"/>
                    </w:rPr>
                    <w:t>速率</w:t>
                  </w:r>
                </w:p>
                <w:p>
                  <w:pPr>
                    <w:snapToGrid w:val="0"/>
                    <w:jc w:val="center"/>
                    <w:rPr>
                      <w:b/>
                      <w:bCs/>
                      <w:color w:val="auto"/>
                      <w:sz w:val="21"/>
                      <w:szCs w:val="21"/>
                    </w:rPr>
                  </w:pPr>
                  <w:r>
                    <w:rPr>
                      <w:b/>
                      <w:bCs/>
                      <w:color w:val="auto"/>
                      <w:sz w:val="21"/>
                      <w:szCs w:val="21"/>
                    </w:rPr>
                    <w:t>(kg/h)</w:t>
                  </w:r>
                </w:p>
              </w:tc>
              <w:tc>
                <w:tcPr>
                  <w:tcW w:w="652" w:type="dxa"/>
                  <w:vAlign w:val="center"/>
                </w:tcPr>
                <w:p>
                  <w:pPr>
                    <w:snapToGrid w:val="0"/>
                    <w:jc w:val="center"/>
                    <w:rPr>
                      <w:b/>
                      <w:bCs/>
                      <w:color w:val="auto"/>
                      <w:sz w:val="21"/>
                      <w:szCs w:val="21"/>
                    </w:rPr>
                  </w:pPr>
                  <w:r>
                    <w:rPr>
                      <w:b/>
                      <w:bCs/>
                      <w:color w:val="auto"/>
                      <w:sz w:val="21"/>
                      <w:szCs w:val="21"/>
                    </w:rPr>
                    <w:t>排放量(t/a)</w:t>
                  </w:r>
                </w:p>
              </w:tc>
              <w:tc>
                <w:tcPr>
                  <w:tcW w:w="384" w:type="dxa"/>
                  <w:vMerge w:val="continue"/>
                  <w:vAlign w:val="center"/>
                </w:tcPr>
                <w:p>
                  <w:pPr>
                    <w:snapToGrid w:val="0"/>
                    <w:jc w:val="center"/>
                    <w:rPr>
                      <w:color w:val="auto"/>
                      <w:sz w:val="21"/>
                      <w:szCs w:val="21"/>
                    </w:rPr>
                  </w:pPr>
                </w:p>
              </w:tc>
              <w:tc>
                <w:tcPr>
                  <w:tcW w:w="620" w:type="dxa"/>
                  <w:vMerge w:val="continue"/>
                  <w:vAlign w:val="center"/>
                </w:tcPr>
                <w:p>
                  <w:pPr>
                    <w:snapToGrid w:val="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4" w:type="dxa"/>
                  <w:vMerge w:val="restart"/>
                  <w:vAlign w:val="center"/>
                </w:tcPr>
                <w:p>
                  <w:pPr>
                    <w:snapToGrid w:val="0"/>
                    <w:jc w:val="center"/>
                    <w:rPr>
                      <w:color w:val="auto"/>
                      <w:sz w:val="21"/>
                      <w:szCs w:val="21"/>
                    </w:rPr>
                  </w:pPr>
                  <w:r>
                    <w:rPr>
                      <w:rFonts w:hint="eastAsia"/>
                      <w:color w:val="auto"/>
                      <w:sz w:val="21"/>
                      <w:szCs w:val="21"/>
                    </w:rPr>
                    <w:t>热压</w:t>
                  </w:r>
                  <w:r>
                    <w:rPr>
                      <w:color w:val="auto"/>
                      <w:sz w:val="21"/>
                      <w:szCs w:val="21"/>
                    </w:rPr>
                    <w:t>废气</w:t>
                  </w:r>
                  <w:r>
                    <w:rPr>
                      <w:rFonts w:hint="eastAsia"/>
                      <w:color w:val="auto"/>
                      <w:sz w:val="21"/>
                      <w:szCs w:val="21"/>
                    </w:rPr>
                    <w:t>G1</w:t>
                  </w:r>
                </w:p>
              </w:tc>
              <w:tc>
                <w:tcPr>
                  <w:tcW w:w="688" w:type="dxa"/>
                  <w:vMerge w:val="restart"/>
                  <w:vAlign w:val="center"/>
                </w:tcPr>
                <w:p>
                  <w:pPr>
                    <w:snapToGrid w:val="0"/>
                    <w:jc w:val="center"/>
                    <w:rPr>
                      <w:color w:val="auto"/>
                      <w:sz w:val="21"/>
                      <w:szCs w:val="21"/>
                    </w:rPr>
                  </w:pPr>
                  <w:r>
                    <w:rPr>
                      <w:rFonts w:hint="eastAsia"/>
                      <w:color w:val="auto"/>
                      <w:sz w:val="21"/>
                      <w:szCs w:val="21"/>
                      <w:lang w:val="en-US" w:eastAsia="zh-CN"/>
                    </w:rPr>
                    <w:t>25</w:t>
                  </w:r>
                  <w:r>
                    <w:rPr>
                      <w:rFonts w:hint="eastAsia"/>
                      <w:color w:val="auto"/>
                      <w:sz w:val="21"/>
                      <w:szCs w:val="21"/>
                    </w:rPr>
                    <w:t>000</w:t>
                  </w:r>
                </w:p>
              </w:tc>
              <w:tc>
                <w:tcPr>
                  <w:tcW w:w="658" w:type="dxa"/>
                  <w:vAlign w:val="center"/>
                </w:tcPr>
                <w:p>
                  <w:pPr>
                    <w:snapToGrid w:val="0"/>
                    <w:jc w:val="center"/>
                    <w:rPr>
                      <w:color w:val="auto"/>
                      <w:sz w:val="21"/>
                      <w:szCs w:val="21"/>
                    </w:rPr>
                  </w:pPr>
                  <w:r>
                    <w:rPr>
                      <w:snapToGrid w:val="0"/>
                      <w:color w:val="auto"/>
                      <w:kern w:val="0"/>
                      <w:sz w:val="21"/>
                      <w:szCs w:val="21"/>
                    </w:rPr>
                    <w:t>非甲烷总烃</w:t>
                  </w:r>
                </w:p>
              </w:tc>
              <w:tc>
                <w:tcPr>
                  <w:tcW w:w="728" w:type="dxa"/>
                  <w:vAlign w:val="center"/>
                </w:tcPr>
                <w:p>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21.43 </w:t>
                  </w:r>
                </w:p>
              </w:tc>
              <w:tc>
                <w:tcPr>
                  <w:tcW w:w="709"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0.5359 </w:t>
                  </w:r>
                </w:p>
              </w:tc>
              <w:tc>
                <w:tcPr>
                  <w:tcW w:w="695" w:type="dxa"/>
                  <w:vAlign w:val="center"/>
                </w:tcPr>
                <w:p>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1.0932 </w:t>
                  </w:r>
                </w:p>
              </w:tc>
              <w:tc>
                <w:tcPr>
                  <w:tcW w:w="715" w:type="dxa"/>
                  <w:vMerge w:val="restart"/>
                  <w:vAlign w:val="center"/>
                </w:tcPr>
                <w:p>
                  <w:pPr>
                    <w:jc w:val="center"/>
                    <w:rPr>
                      <w:color w:val="auto"/>
                      <w:sz w:val="21"/>
                      <w:szCs w:val="21"/>
                    </w:rPr>
                  </w:pPr>
                  <w:r>
                    <w:rPr>
                      <w:color w:val="auto"/>
                      <w:sz w:val="21"/>
                      <w:szCs w:val="21"/>
                    </w:rPr>
                    <w:t>二级活性炭</w:t>
                  </w:r>
                  <w:r>
                    <w:rPr>
                      <w:rFonts w:hint="eastAsia"/>
                      <w:color w:val="auto"/>
                      <w:sz w:val="21"/>
                      <w:szCs w:val="21"/>
                    </w:rPr>
                    <w:t>吸附</w:t>
                  </w:r>
                </w:p>
              </w:tc>
              <w:tc>
                <w:tcPr>
                  <w:tcW w:w="418" w:type="dxa"/>
                  <w:vMerge w:val="restart"/>
                  <w:vAlign w:val="center"/>
                </w:tcPr>
                <w:p>
                  <w:pPr>
                    <w:jc w:val="center"/>
                    <w:rPr>
                      <w:color w:val="auto"/>
                      <w:sz w:val="21"/>
                      <w:szCs w:val="21"/>
                    </w:rPr>
                  </w:pPr>
                  <w:r>
                    <w:rPr>
                      <w:color w:val="auto"/>
                      <w:sz w:val="21"/>
                      <w:szCs w:val="21"/>
                    </w:rPr>
                    <w:t>90</w:t>
                  </w:r>
                </w:p>
              </w:tc>
              <w:tc>
                <w:tcPr>
                  <w:tcW w:w="728" w:type="dxa"/>
                  <w:vAlign w:val="center"/>
                </w:tcPr>
                <w:p>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2.14 </w:t>
                  </w:r>
                </w:p>
              </w:tc>
              <w:tc>
                <w:tcPr>
                  <w:tcW w:w="672"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0.0536 </w:t>
                  </w:r>
                </w:p>
              </w:tc>
              <w:tc>
                <w:tcPr>
                  <w:tcW w:w="652"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0.1093 </w:t>
                  </w:r>
                </w:p>
              </w:tc>
              <w:tc>
                <w:tcPr>
                  <w:tcW w:w="384" w:type="dxa"/>
                  <w:vMerge w:val="restart"/>
                  <w:vAlign w:val="center"/>
                </w:tcPr>
                <w:p>
                  <w:pPr>
                    <w:jc w:val="center"/>
                    <w:rPr>
                      <w:color w:val="auto"/>
                      <w:sz w:val="21"/>
                      <w:szCs w:val="21"/>
                    </w:rPr>
                  </w:pPr>
                  <w:r>
                    <w:rPr>
                      <w:color w:val="auto"/>
                      <w:sz w:val="21"/>
                      <w:szCs w:val="21"/>
                    </w:rPr>
                    <w:t>15</w:t>
                  </w:r>
                </w:p>
              </w:tc>
              <w:tc>
                <w:tcPr>
                  <w:tcW w:w="620" w:type="dxa"/>
                  <w:vMerge w:val="restart"/>
                  <w:vAlign w:val="center"/>
                </w:tcPr>
                <w:p>
                  <w:pPr>
                    <w:snapToGrid w:val="0"/>
                    <w:jc w:val="center"/>
                    <w:rPr>
                      <w:color w:val="auto"/>
                      <w:sz w:val="21"/>
                      <w:szCs w:val="21"/>
                    </w:rPr>
                  </w:pPr>
                  <w:r>
                    <w:rPr>
                      <w:color w:val="auto"/>
                      <w:sz w:val="21"/>
                      <w:szCs w:val="21"/>
                    </w:rP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4" w:type="dxa"/>
                  <w:vMerge w:val="continue"/>
                  <w:vAlign w:val="center"/>
                </w:tcPr>
                <w:p>
                  <w:pPr>
                    <w:snapToGrid w:val="0"/>
                    <w:jc w:val="center"/>
                    <w:rPr>
                      <w:color w:val="auto"/>
                      <w:sz w:val="21"/>
                      <w:szCs w:val="21"/>
                    </w:rPr>
                  </w:pPr>
                </w:p>
              </w:tc>
              <w:tc>
                <w:tcPr>
                  <w:tcW w:w="688" w:type="dxa"/>
                  <w:vMerge w:val="continue"/>
                  <w:vAlign w:val="center"/>
                </w:tcPr>
                <w:p>
                  <w:pPr>
                    <w:snapToGrid w:val="0"/>
                    <w:jc w:val="center"/>
                    <w:rPr>
                      <w:color w:val="auto"/>
                      <w:sz w:val="21"/>
                      <w:szCs w:val="21"/>
                    </w:rPr>
                  </w:pPr>
                </w:p>
              </w:tc>
              <w:tc>
                <w:tcPr>
                  <w:tcW w:w="658" w:type="dxa"/>
                  <w:vAlign w:val="center"/>
                </w:tcPr>
                <w:p>
                  <w:pPr>
                    <w:snapToGrid w:val="0"/>
                    <w:jc w:val="center"/>
                    <w:rPr>
                      <w:snapToGrid w:val="0"/>
                      <w:color w:val="auto"/>
                      <w:kern w:val="0"/>
                      <w:sz w:val="21"/>
                      <w:szCs w:val="21"/>
                    </w:rPr>
                  </w:pPr>
                  <w:r>
                    <w:rPr>
                      <w:rFonts w:hint="eastAsia"/>
                      <w:snapToGrid w:val="0"/>
                      <w:color w:val="auto"/>
                      <w:kern w:val="0"/>
                      <w:sz w:val="21"/>
                      <w:szCs w:val="21"/>
                    </w:rPr>
                    <w:t>甲醛</w:t>
                  </w:r>
                </w:p>
              </w:tc>
              <w:tc>
                <w:tcPr>
                  <w:tcW w:w="728"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1.64 </w:t>
                  </w:r>
                </w:p>
              </w:tc>
              <w:tc>
                <w:tcPr>
                  <w:tcW w:w="709"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0.0409 </w:t>
                  </w:r>
                </w:p>
              </w:tc>
              <w:tc>
                <w:tcPr>
                  <w:tcW w:w="695" w:type="dxa"/>
                  <w:vAlign w:val="center"/>
                </w:tcPr>
                <w:p>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0.0834 </w:t>
                  </w:r>
                </w:p>
              </w:tc>
              <w:tc>
                <w:tcPr>
                  <w:tcW w:w="715" w:type="dxa"/>
                  <w:vMerge w:val="continue"/>
                  <w:vAlign w:val="center"/>
                </w:tcPr>
                <w:p>
                  <w:pPr>
                    <w:jc w:val="center"/>
                    <w:rPr>
                      <w:color w:val="auto"/>
                      <w:sz w:val="21"/>
                      <w:szCs w:val="21"/>
                    </w:rPr>
                  </w:pPr>
                </w:p>
              </w:tc>
              <w:tc>
                <w:tcPr>
                  <w:tcW w:w="418" w:type="dxa"/>
                  <w:vMerge w:val="continue"/>
                  <w:vAlign w:val="center"/>
                </w:tcPr>
                <w:p>
                  <w:pPr>
                    <w:jc w:val="center"/>
                    <w:rPr>
                      <w:color w:val="auto"/>
                      <w:sz w:val="21"/>
                      <w:szCs w:val="21"/>
                    </w:rPr>
                  </w:pPr>
                </w:p>
              </w:tc>
              <w:tc>
                <w:tcPr>
                  <w:tcW w:w="728"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0.16 </w:t>
                  </w:r>
                </w:p>
              </w:tc>
              <w:tc>
                <w:tcPr>
                  <w:tcW w:w="672"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0.0041 </w:t>
                  </w:r>
                </w:p>
              </w:tc>
              <w:tc>
                <w:tcPr>
                  <w:tcW w:w="652"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0.0083 </w:t>
                  </w:r>
                </w:p>
              </w:tc>
              <w:tc>
                <w:tcPr>
                  <w:tcW w:w="384" w:type="dxa"/>
                  <w:vMerge w:val="continue"/>
                  <w:vAlign w:val="center"/>
                </w:tcPr>
                <w:p>
                  <w:pPr>
                    <w:jc w:val="center"/>
                    <w:rPr>
                      <w:color w:val="auto"/>
                      <w:sz w:val="21"/>
                      <w:szCs w:val="21"/>
                    </w:rPr>
                  </w:pPr>
                </w:p>
              </w:tc>
              <w:tc>
                <w:tcPr>
                  <w:tcW w:w="620" w:type="dxa"/>
                  <w:vMerge w:val="continue"/>
                  <w:vAlign w:val="center"/>
                </w:tcPr>
                <w:p>
                  <w:pPr>
                    <w:snapToGrid w:val="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restart"/>
                  <w:vAlign w:val="center"/>
                </w:tcPr>
                <w:p>
                  <w:pPr>
                    <w:snapToGrid w:val="0"/>
                    <w:jc w:val="center"/>
                    <w:rPr>
                      <w:color w:val="auto"/>
                      <w:sz w:val="21"/>
                      <w:szCs w:val="21"/>
                    </w:rPr>
                  </w:pPr>
                  <w:r>
                    <w:rPr>
                      <w:rFonts w:hint="eastAsia"/>
                      <w:color w:val="auto"/>
                      <w:sz w:val="21"/>
                      <w:szCs w:val="21"/>
                    </w:rPr>
                    <w:t>天然气燃烧</w:t>
                  </w:r>
                  <w:r>
                    <w:rPr>
                      <w:color w:val="auto"/>
                      <w:sz w:val="21"/>
                      <w:szCs w:val="21"/>
                    </w:rPr>
                    <w:t>废气</w:t>
                  </w:r>
                  <w:r>
                    <w:rPr>
                      <w:rFonts w:hint="eastAsia"/>
                      <w:color w:val="auto"/>
                      <w:sz w:val="21"/>
                      <w:szCs w:val="21"/>
                    </w:rPr>
                    <w:t>G2</w:t>
                  </w:r>
                </w:p>
              </w:tc>
              <w:tc>
                <w:tcPr>
                  <w:tcW w:w="688" w:type="dxa"/>
                  <w:vMerge w:val="restart"/>
                  <w:vAlign w:val="center"/>
                </w:tcPr>
                <w:p>
                  <w:pPr>
                    <w:snapToGrid w:val="0"/>
                    <w:jc w:val="center"/>
                    <w:rPr>
                      <w:color w:val="auto"/>
                      <w:sz w:val="21"/>
                      <w:szCs w:val="21"/>
                    </w:rPr>
                  </w:pPr>
                  <w:r>
                    <w:rPr>
                      <w:color w:val="auto"/>
                      <w:sz w:val="21"/>
                      <w:szCs w:val="21"/>
                    </w:rPr>
                    <w:t>40</w:t>
                  </w:r>
                  <w:r>
                    <w:rPr>
                      <w:rFonts w:hint="eastAsia"/>
                      <w:color w:val="auto"/>
                      <w:sz w:val="21"/>
                      <w:szCs w:val="21"/>
                    </w:rPr>
                    <w:t>00</w:t>
                  </w:r>
                </w:p>
              </w:tc>
              <w:tc>
                <w:tcPr>
                  <w:tcW w:w="658" w:type="dxa"/>
                  <w:vAlign w:val="center"/>
                </w:tcPr>
                <w:p>
                  <w:pPr>
                    <w:widowControl/>
                    <w:adjustRightInd w:val="0"/>
                    <w:snapToGrid w:val="0"/>
                    <w:jc w:val="center"/>
                    <w:rPr>
                      <w:color w:val="auto"/>
                      <w:sz w:val="21"/>
                      <w:szCs w:val="21"/>
                    </w:rPr>
                  </w:pPr>
                  <w:r>
                    <w:rPr>
                      <w:color w:val="auto"/>
                      <w:sz w:val="21"/>
                      <w:szCs w:val="21"/>
                    </w:rPr>
                    <w:t>烟尘</w:t>
                  </w:r>
                </w:p>
              </w:tc>
              <w:tc>
                <w:tcPr>
                  <w:tcW w:w="728" w:type="dxa"/>
                  <w:vAlign w:val="center"/>
                </w:tcPr>
                <w:p>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8.41 </w:t>
                  </w:r>
                </w:p>
              </w:tc>
              <w:tc>
                <w:tcPr>
                  <w:tcW w:w="709"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0.0336 </w:t>
                  </w:r>
                </w:p>
              </w:tc>
              <w:tc>
                <w:tcPr>
                  <w:tcW w:w="695" w:type="dxa"/>
                  <w:vAlign w:val="center"/>
                </w:tcPr>
                <w:p>
                  <w:pPr>
                    <w:adjustRightInd w:val="0"/>
                    <w:snapToGrid w:val="0"/>
                    <w:jc w:val="center"/>
                    <w:rPr>
                      <w:color w:val="auto"/>
                      <w:sz w:val="21"/>
                      <w:szCs w:val="21"/>
                    </w:rPr>
                  </w:pPr>
                  <w:r>
                    <w:rPr>
                      <w:color w:val="auto"/>
                      <w:sz w:val="21"/>
                      <w:szCs w:val="21"/>
                    </w:rPr>
                    <w:t>0.0686</w:t>
                  </w:r>
                </w:p>
              </w:tc>
              <w:tc>
                <w:tcPr>
                  <w:tcW w:w="715" w:type="dxa"/>
                  <w:vMerge w:val="restart"/>
                  <w:vAlign w:val="center"/>
                </w:tcPr>
                <w:p>
                  <w:pPr>
                    <w:jc w:val="center"/>
                    <w:rPr>
                      <w:color w:val="auto"/>
                      <w:sz w:val="21"/>
                      <w:szCs w:val="21"/>
                    </w:rPr>
                  </w:pPr>
                  <w:r>
                    <w:rPr>
                      <w:rFonts w:hint="eastAsia"/>
                      <w:color w:val="auto"/>
                      <w:sz w:val="21"/>
                      <w:szCs w:val="21"/>
                    </w:rPr>
                    <w:t>低氮燃烧</w:t>
                  </w:r>
                </w:p>
              </w:tc>
              <w:tc>
                <w:tcPr>
                  <w:tcW w:w="418" w:type="dxa"/>
                  <w:vMerge w:val="restart"/>
                  <w:vAlign w:val="center"/>
                </w:tcPr>
                <w:p>
                  <w:pPr>
                    <w:jc w:val="center"/>
                    <w:rPr>
                      <w:color w:val="auto"/>
                      <w:sz w:val="21"/>
                      <w:szCs w:val="21"/>
                    </w:rPr>
                  </w:pPr>
                  <w:r>
                    <w:rPr>
                      <w:rFonts w:hint="eastAsia"/>
                      <w:color w:val="auto"/>
                      <w:sz w:val="21"/>
                      <w:szCs w:val="21"/>
                    </w:rPr>
                    <w:t>/</w:t>
                  </w:r>
                </w:p>
              </w:tc>
              <w:tc>
                <w:tcPr>
                  <w:tcW w:w="728" w:type="dxa"/>
                  <w:vAlign w:val="center"/>
                </w:tcPr>
                <w:p>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8.41 </w:t>
                  </w:r>
                </w:p>
              </w:tc>
              <w:tc>
                <w:tcPr>
                  <w:tcW w:w="672"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0.0336 </w:t>
                  </w:r>
                </w:p>
              </w:tc>
              <w:tc>
                <w:tcPr>
                  <w:tcW w:w="652" w:type="dxa"/>
                  <w:vAlign w:val="center"/>
                </w:tcPr>
                <w:p>
                  <w:pPr>
                    <w:adjustRightInd w:val="0"/>
                    <w:snapToGrid w:val="0"/>
                    <w:jc w:val="center"/>
                    <w:rPr>
                      <w:color w:val="auto"/>
                      <w:sz w:val="21"/>
                      <w:szCs w:val="21"/>
                    </w:rPr>
                  </w:pPr>
                  <w:r>
                    <w:rPr>
                      <w:color w:val="auto"/>
                      <w:sz w:val="21"/>
                      <w:szCs w:val="21"/>
                    </w:rPr>
                    <w:t>0.0686</w:t>
                  </w:r>
                </w:p>
              </w:tc>
              <w:tc>
                <w:tcPr>
                  <w:tcW w:w="384" w:type="dxa"/>
                  <w:vMerge w:val="restart"/>
                  <w:vAlign w:val="center"/>
                </w:tcPr>
                <w:p>
                  <w:pPr>
                    <w:jc w:val="center"/>
                    <w:rPr>
                      <w:color w:val="auto"/>
                      <w:sz w:val="21"/>
                      <w:szCs w:val="21"/>
                    </w:rPr>
                  </w:pPr>
                  <w:r>
                    <w:rPr>
                      <w:color w:val="auto"/>
                      <w:sz w:val="21"/>
                      <w:szCs w:val="21"/>
                    </w:rPr>
                    <w:t>15</w:t>
                  </w:r>
                </w:p>
              </w:tc>
              <w:tc>
                <w:tcPr>
                  <w:tcW w:w="620" w:type="dxa"/>
                  <w:vMerge w:val="restart"/>
                  <w:vAlign w:val="center"/>
                </w:tcPr>
                <w:p>
                  <w:pPr>
                    <w:snapToGrid w:val="0"/>
                    <w:jc w:val="center"/>
                    <w:rPr>
                      <w:color w:val="auto"/>
                      <w:sz w:val="21"/>
                      <w:szCs w:val="21"/>
                    </w:rPr>
                  </w:pPr>
                  <w:r>
                    <w:rPr>
                      <w:color w:val="auto"/>
                      <w:sz w:val="21"/>
                      <w:szCs w:val="21"/>
                    </w:rPr>
                    <w:t>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4" w:type="dxa"/>
                  <w:vMerge w:val="continue"/>
                  <w:vAlign w:val="center"/>
                </w:tcPr>
                <w:p>
                  <w:pPr>
                    <w:snapToGrid w:val="0"/>
                    <w:jc w:val="center"/>
                    <w:rPr>
                      <w:color w:val="auto"/>
                      <w:sz w:val="21"/>
                      <w:szCs w:val="21"/>
                    </w:rPr>
                  </w:pPr>
                </w:p>
              </w:tc>
              <w:tc>
                <w:tcPr>
                  <w:tcW w:w="688" w:type="dxa"/>
                  <w:vMerge w:val="continue"/>
                  <w:vAlign w:val="center"/>
                </w:tcPr>
                <w:p>
                  <w:pPr>
                    <w:snapToGrid w:val="0"/>
                    <w:jc w:val="center"/>
                    <w:rPr>
                      <w:color w:val="auto"/>
                      <w:sz w:val="21"/>
                      <w:szCs w:val="21"/>
                    </w:rPr>
                  </w:pPr>
                </w:p>
              </w:tc>
              <w:tc>
                <w:tcPr>
                  <w:tcW w:w="658" w:type="dxa"/>
                  <w:vAlign w:val="center"/>
                </w:tcPr>
                <w:p>
                  <w:pPr>
                    <w:widowControl/>
                    <w:adjustRightInd w:val="0"/>
                    <w:snapToGrid w:val="0"/>
                    <w:jc w:val="center"/>
                    <w:rPr>
                      <w:color w:val="auto"/>
                      <w:sz w:val="21"/>
                      <w:szCs w:val="21"/>
                    </w:rPr>
                  </w:pPr>
                  <w:r>
                    <w:rPr>
                      <w:color w:val="auto"/>
                      <w:sz w:val="21"/>
                      <w:szCs w:val="21"/>
                    </w:rPr>
                    <w:t>SO</w:t>
                  </w:r>
                  <w:r>
                    <w:rPr>
                      <w:color w:val="auto"/>
                      <w:sz w:val="21"/>
                      <w:szCs w:val="21"/>
                      <w:vertAlign w:val="subscript"/>
                    </w:rPr>
                    <w:t>2</w:t>
                  </w:r>
                </w:p>
              </w:tc>
              <w:tc>
                <w:tcPr>
                  <w:tcW w:w="728"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1.18 </w:t>
                  </w:r>
                </w:p>
              </w:tc>
              <w:tc>
                <w:tcPr>
                  <w:tcW w:w="709"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0.0047 </w:t>
                  </w:r>
                </w:p>
              </w:tc>
              <w:tc>
                <w:tcPr>
                  <w:tcW w:w="695" w:type="dxa"/>
                  <w:vAlign w:val="center"/>
                </w:tcPr>
                <w:p>
                  <w:pPr>
                    <w:adjustRightInd w:val="0"/>
                    <w:snapToGrid w:val="0"/>
                    <w:jc w:val="center"/>
                    <w:rPr>
                      <w:color w:val="auto"/>
                      <w:sz w:val="21"/>
                      <w:szCs w:val="21"/>
                    </w:rPr>
                  </w:pPr>
                  <w:r>
                    <w:rPr>
                      <w:color w:val="auto"/>
                      <w:sz w:val="21"/>
                      <w:szCs w:val="21"/>
                    </w:rPr>
                    <w:t>0.0096</w:t>
                  </w:r>
                </w:p>
              </w:tc>
              <w:tc>
                <w:tcPr>
                  <w:tcW w:w="715" w:type="dxa"/>
                  <w:vMerge w:val="continue"/>
                  <w:vAlign w:val="center"/>
                </w:tcPr>
                <w:p>
                  <w:pPr>
                    <w:jc w:val="center"/>
                    <w:rPr>
                      <w:color w:val="auto"/>
                      <w:sz w:val="21"/>
                      <w:szCs w:val="21"/>
                    </w:rPr>
                  </w:pPr>
                </w:p>
              </w:tc>
              <w:tc>
                <w:tcPr>
                  <w:tcW w:w="418" w:type="dxa"/>
                  <w:vMerge w:val="continue"/>
                  <w:vAlign w:val="center"/>
                </w:tcPr>
                <w:p>
                  <w:pPr>
                    <w:jc w:val="center"/>
                    <w:rPr>
                      <w:color w:val="auto"/>
                      <w:sz w:val="21"/>
                      <w:szCs w:val="21"/>
                    </w:rPr>
                  </w:pPr>
                </w:p>
              </w:tc>
              <w:tc>
                <w:tcPr>
                  <w:tcW w:w="728"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1.18 </w:t>
                  </w:r>
                </w:p>
              </w:tc>
              <w:tc>
                <w:tcPr>
                  <w:tcW w:w="672"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0.0047 </w:t>
                  </w:r>
                </w:p>
              </w:tc>
              <w:tc>
                <w:tcPr>
                  <w:tcW w:w="652" w:type="dxa"/>
                  <w:vAlign w:val="center"/>
                </w:tcPr>
                <w:p>
                  <w:pPr>
                    <w:adjustRightInd w:val="0"/>
                    <w:snapToGrid w:val="0"/>
                    <w:jc w:val="center"/>
                    <w:rPr>
                      <w:color w:val="auto"/>
                      <w:sz w:val="21"/>
                      <w:szCs w:val="21"/>
                    </w:rPr>
                  </w:pPr>
                  <w:r>
                    <w:rPr>
                      <w:color w:val="auto"/>
                      <w:sz w:val="21"/>
                      <w:szCs w:val="21"/>
                    </w:rPr>
                    <w:t>0.0096</w:t>
                  </w:r>
                </w:p>
              </w:tc>
              <w:tc>
                <w:tcPr>
                  <w:tcW w:w="384" w:type="dxa"/>
                  <w:vMerge w:val="continue"/>
                  <w:vAlign w:val="center"/>
                </w:tcPr>
                <w:p>
                  <w:pPr>
                    <w:jc w:val="center"/>
                    <w:rPr>
                      <w:color w:val="auto"/>
                      <w:sz w:val="21"/>
                      <w:szCs w:val="21"/>
                    </w:rPr>
                  </w:pPr>
                </w:p>
              </w:tc>
              <w:tc>
                <w:tcPr>
                  <w:tcW w:w="620" w:type="dxa"/>
                  <w:vMerge w:val="continue"/>
                  <w:vAlign w:val="center"/>
                </w:tcPr>
                <w:p>
                  <w:pPr>
                    <w:snapToGrid w:val="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continue"/>
                  <w:vAlign w:val="center"/>
                </w:tcPr>
                <w:p>
                  <w:pPr>
                    <w:snapToGrid w:val="0"/>
                    <w:jc w:val="center"/>
                    <w:rPr>
                      <w:color w:val="auto"/>
                      <w:sz w:val="21"/>
                      <w:szCs w:val="21"/>
                    </w:rPr>
                  </w:pPr>
                </w:p>
              </w:tc>
              <w:tc>
                <w:tcPr>
                  <w:tcW w:w="688" w:type="dxa"/>
                  <w:vMerge w:val="continue"/>
                  <w:vAlign w:val="center"/>
                </w:tcPr>
                <w:p>
                  <w:pPr>
                    <w:snapToGrid w:val="0"/>
                    <w:jc w:val="center"/>
                    <w:rPr>
                      <w:color w:val="auto"/>
                      <w:sz w:val="21"/>
                      <w:szCs w:val="21"/>
                    </w:rPr>
                  </w:pPr>
                </w:p>
              </w:tc>
              <w:tc>
                <w:tcPr>
                  <w:tcW w:w="658" w:type="dxa"/>
                  <w:vAlign w:val="center"/>
                </w:tcPr>
                <w:p>
                  <w:pPr>
                    <w:widowControl/>
                    <w:adjustRightInd w:val="0"/>
                    <w:snapToGrid w:val="0"/>
                    <w:jc w:val="center"/>
                    <w:rPr>
                      <w:color w:val="auto"/>
                      <w:sz w:val="21"/>
                      <w:szCs w:val="21"/>
                    </w:rPr>
                  </w:pPr>
                  <w:r>
                    <w:rPr>
                      <w:color w:val="auto"/>
                      <w:sz w:val="21"/>
                      <w:szCs w:val="21"/>
                    </w:rPr>
                    <w:t>NOx</w:t>
                  </w:r>
                </w:p>
              </w:tc>
              <w:tc>
                <w:tcPr>
                  <w:tcW w:w="728"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46.68 </w:t>
                  </w:r>
                </w:p>
              </w:tc>
              <w:tc>
                <w:tcPr>
                  <w:tcW w:w="709"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0.1867 </w:t>
                  </w:r>
                </w:p>
              </w:tc>
              <w:tc>
                <w:tcPr>
                  <w:tcW w:w="695" w:type="dxa"/>
                  <w:vAlign w:val="center"/>
                </w:tcPr>
                <w:p>
                  <w:pPr>
                    <w:adjustRightInd w:val="0"/>
                    <w:snapToGrid w:val="0"/>
                    <w:jc w:val="center"/>
                    <w:rPr>
                      <w:color w:val="auto"/>
                      <w:sz w:val="21"/>
                      <w:szCs w:val="21"/>
                    </w:rPr>
                  </w:pPr>
                  <w:r>
                    <w:rPr>
                      <w:color w:val="auto"/>
                      <w:sz w:val="21"/>
                      <w:szCs w:val="21"/>
                    </w:rPr>
                    <w:t>0.3809</w:t>
                  </w:r>
                </w:p>
              </w:tc>
              <w:tc>
                <w:tcPr>
                  <w:tcW w:w="715" w:type="dxa"/>
                  <w:vMerge w:val="continue"/>
                  <w:vAlign w:val="center"/>
                </w:tcPr>
                <w:p>
                  <w:pPr>
                    <w:jc w:val="center"/>
                    <w:rPr>
                      <w:color w:val="auto"/>
                      <w:sz w:val="21"/>
                      <w:szCs w:val="21"/>
                    </w:rPr>
                  </w:pPr>
                </w:p>
              </w:tc>
              <w:tc>
                <w:tcPr>
                  <w:tcW w:w="418" w:type="dxa"/>
                  <w:vMerge w:val="continue"/>
                  <w:vAlign w:val="center"/>
                </w:tcPr>
                <w:p>
                  <w:pPr>
                    <w:jc w:val="center"/>
                    <w:rPr>
                      <w:color w:val="auto"/>
                      <w:sz w:val="21"/>
                      <w:szCs w:val="21"/>
                    </w:rPr>
                  </w:pPr>
                </w:p>
              </w:tc>
              <w:tc>
                <w:tcPr>
                  <w:tcW w:w="728"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46.68 </w:t>
                  </w:r>
                </w:p>
              </w:tc>
              <w:tc>
                <w:tcPr>
                  <w:tcW w:w="672" w:type="dxa"/>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0.1867 </w:t>
                  </w:r>
                </w:p>
              </w:tc>
              <w:tc>
                <w:tcPr>
                  <w:tcW w:w="652" w:type="dxa"/>
                  <w:vAlign w:val="center"/>
                </w:tcPr>
                <w:p>
                  <w:pPr>
                    <w:adjustRightInd w:val="0"/>
                    <w:snapToGrid w:val="0"/>
                    <w:jc w:val="center"/>
                    <w:rPr>
                      <w:color w:val="auto"/>
                      <w:sz w:val="21"/>
                      <w:szCs w:val="21"/>
                    </w:rPr>
                  </w:pPr>
                  <w:r>
                    <w:rPr>
                      <w:color w:val="auto"/>
                      <w:sz w:val="21"/>
                      <w:szCs w:val="21"/>
                    </w:rPr>
                    <w:t>0.3809</w:t>
                  </w:r>
                </w:p>
              </w:tc>
              <w:tc>
                <w:tcPr>
                  <w:tcW w:w="384" w:type="dxa"/>
                  <w:vMerge w:val="continue"/>
                  <w:vAlign w:val="center"/>
                </w:tcPr>
                <w:p>
                  <w:pPr>
                    <w:jc w:val="center"/>
                    <w:rPr>
                      <w:color w:val="auto"/>
                      <w:sz w:val="21"/>
                      <w:szCs w:val="21"/>
                    </w:rPr>
                  </w:pPr>
                </w:p>
              </w:tc>
              <w:tc>
                <w:tcPr>
                  <w:tcW w:w="620" w:type="dxa"/>
                  <w:vMerge w:val="continue"/>
                  <w:vAlign w:val="center"/>
                </w:tcPr>
                <w:p>
                  <w:pPr>
                    <w:snapToGrid w:val="0"/>
                    <w:jc w:val="center"/>
                    <w:rPr>
                      <w:color w:val="auto"/>
                      <w:sz w:val="21"/>
                      <w:szCs w:val="21"/>
                    </w:rPr>
                  </w:pPr>
                </w:p>
              </w:tc>
            </w:tr>
          </w:tbl>
          <w:p>
            <w:pPr>
              <w:pStyle w:val="26"/>
              <w:widowControl w:val="0"/>
              <w:snapToGrid w:val="0"/>
              <w:spacing w:before="0" w:beforeAutospacing="0" w:after="0" w:afterAutospacing="0" w:line="360" w:lineRule="auto"/>
              <w:jc w:val="both"/>
              <w:rPr>
                <w:rFonts w:ascii="Times New Roman" w:hAnsi="Times New Roman"/>
                <w:b/>
                <w:bCs/>
                <w:color w:val="auto"/>
                <w:sz w:val="21"/>
                <w:szCs w:val="24"/>
              </w:rPr>
            </w:pPr>
            <w:r>
              <w:rPr>
                <w:rFonts w:hint="eastAsia" w:ascii="Times New Roman" w:hAnsi="Times New Roman"/>
                <w:b/>
                <w:bCs/>
                <w:color w:val="auto"/>
                <w:sz w:val="21"/>
                <w:szCs w:val="24"/>
              </w:rPr>
              <w:t>注：本项目工作时长按</w:t>
            </w:r>
            <w:r>
              <w:rPr>
                <w:rFonts w:ascii="Times New Roman" w:hAnsi="Times New Roman"/>
                <w:b/>
                <w:bCs/>
                <w:color w:val="auto"/>
                <w:sz w:val="21"/>
                <w:szCs w:val="24"/>
              </w:rPr>
              <w:t>20</w:t>
            </w:r>
            <w:r>
              <w:rPr>
                <w:rFonts w:hint="eastAsia" w:ascii="Times New Roman" w:hAnsi="Times New Roman"/>
                <w:b/>
                <w:bCs/>
                <w:color w:val="auto"/>
                <w:sz w:val="21"/>
                <w:szCs w:val="24"/>
                <w:lang w:val="en-US" w:eastAsia="zh-CN"/>
              </w:rPr>
              <w:t>4</w:t>
            </w:r>
            <w:r>
              <w:rPr>
                <w:rFonts w:hint="eastAsia" w:ascii="Times New Roman" w:hAnsi="Times New Roman"/>
                <w:b/>
                <w:bCs/>
                <w:color w:val="auto"/>
                <w:sz w:val="21"/>
                <w:szCs w:val="24"/>
              </w:rPr>
              <w:t>0h计。</w:t>
            </w:r>
          </w:p>
          <w:p>
            <w:pPr>
              <w:pStyle w:val="26"/>
              <w:widowControl w:val="0"/>
              <w:snapToGrid w:val="0"/>
              <w:spacing w:before="0" w:beforeAutospacing="0" w:after="0" w:afterAutospacing="0" w:line="360" w:lineRule="auto"/>
              <w:ind w:firstLine="482" w:firstLineChars="200"/>
              <w:jc w:val="both"/>
              <w:rPr>
                <w:rFonts w:ascii="Times New Roman" w:hAnsi="Times New Roman"/>
                <w:b/>
                <w:bCs/>
                <w:color w:val="auto"/>
                <w:szCs w:val="24"/>
              </w:rPr>
            </w:pPr>
            <w:r>
              <w:rPr>
                <w:rFonts w:ascii="Times New Roman" w:hAnsi="Times New Roman"/>
                <w:b/>
                <w:bCs/>
                <w:color w:val="auto"/>
                <w:szCs w:val="24"/>
              </w:rPr>
              <w:t>B：无组织废气：</w:t>
            </w:r>
          </w:p>
          <w:p>
            <w:pPr>
              <w:pStyle w:val="26"/>
              <w:widowControl w:val="0"/>
              <w:snapToGrid w:val="0"/>
              <w:spacing w:before="0" w:beforeAutospacing="0" w:after="0" w:afterAutospacing="0" w:line="360" w:lineRule="auto"/>
              <w:ind w:firstLine="480" w:firstLineChars="200"/>
              <w:jc w:val="both"/>
              <w:rPr>
                <w:rFonts w:ascii="Times New Roman" w:hAnsi="Times New Roman"/>
                <w:bCs/>
                <w:color w:val="auto"/>
                <w:szCs w:val="24"/>
              </w:rPr>
            </w:pPr>
            <w:r>
              <w:rPr>
                <w:rFonts w:ascii="Times New Roman" w:hAnsi="Times New Roman"/>
                <w:bCs/>
                <w:color w:val="auto"/>
                <w:szCs w:val="24"/>
              </w:rPr>
              <w:t>本项目无组织废气主要为未捕集到的非甲烷总烃</w:t>
            </w:r>
            <w:r>
              <w:rPr>
                <w:rFonts w:hint="eastAsia" w:ascii="Times New Roman" w:hAnsi="Times New Roman"/>
                <w:bCs/>
                <w:color w:val="auto"/>
                <w:szCs w:val="24"/>
              </w:rPr>
              <w:t>、</w:t>
            </w:r>
            <w:r>
              <w:rPr>
                <w:rFonts w:ascii="Times New Roman" w:hAnsi="Times New Roman"/>
                <w:bCs/>
                <w:color w:val="auto"/>
                <w:szCs w:val="24"/>
              </w:rPr>
              <w:t>甲醛，通过车间</w:t>
            </w:r>
            <w:r>
              <w:rPr>
                <w:rFonts w:hint="eastAsia" w:ascii="Times New Roman" w:hAnsi="Times New Roman"/>
                <w:bCs/>
                <w:color w:val="auto"/>
                <w:szCs w:val="24"/>
              </w:rPr>
              <w:t>二</w:t>
            </w:r>
            <w:r>
              <w:rPr>
                <w:rFonts w:ascii="Times New Roman" w:hAnsi="Times New Roman"/>
                <w:bCs/>
                <w:color w:val="auto"/>
                <w:szCs w:val="24"/>
              </w:rPr>
              <w:t>无组织排出</w:t>
            </w:r>
            <w:r>
              <w:rPr>
                <w:rFonts w:hint="eastAsia" w:ascii="Times New Roman" w:hAnsi="Times New Roman"/>
                <w:bCs/>
                <w:color w:val="auto"/>
                <w:szCs w:val="24"/>
              </w:rPr>
              <w:t>，</w:t>
            </w:r>
            <w:r>
              <w:rPr>
                <w:rFonts w:ascii="Times New Roman" w:hAnsi="Times New Roman"/>
                <w:bCs/>
                <w:color w:val="auto"/>
                <w:szCs w:val="24"/>
              </w:rPr>
              <w:t>无</w:t>
            </w:r>
            <w:r>
              <w:rPr>
                <w:color w:val="auto"/>
              </w:rPr>
              <w:t>组织废气产排情况见下表</w:t>
            </w:r>
            <w:r>
              <w:rPr>
                <w:rFonts w:ascii="Times New Roman" w:hAnsi="Times New Roman"/>
                <w:bCs/>
                <w:color w:val="auto"/>
                <w:szCs w:val="24"/>
              </w:rPr>
              <w:t>。</w:t>
            </w:r>
          </w:p>
          <w:p>
            <w:pPr>
              <w:pStyle w:val="80"/>
              <w:spacing w:line="240" w:lineRule="auto"/>
              <w:ind w:firstLine="482"/>
              <w:jc w:val="center"/>
              <w:rPr>
                <w:rFonts w:ascii="Times New Roman" w:hAnsi="Times New Roman" w:eastAsia="宋体"/>
                <w:color w:val="auto"/>
                <w:szCs w:val="22"/>
              </w:rPr>
            </w:pPr>
            <w:r>
              <w:rPr>
                <w:rFonts w:ascii="Times New Roman" w:hAnsi="Times New Roman" w:eastAsia="宋体"/>
                <w:b/>
                <w:color w:val="auto"/>
                <w:kern w:val="2"/>
                <w:szCs w:val="22"/>
              </w:rPr>
              <w:t>表4-</w:t>
            </w:r>
            <w:r>
              <w:rPr>
                <w:rFonts w:hint="eastAsia" w:ascii="Times New Roman" w:hAnsi="Times New Roman" w:eastAsia="宋体"/>
                <w:b/>
                <w:color w:val="auto"/>
                <w:kern w:val="2"/>
                <w:szCs w:val="22"/>
                <w:lang w:val="en-US" w:eastAsia="zh-CN"/>
              </w:rPr>
              <w:t>5</w:t>
            </w:r>
            <w:r>
              <w:rPr>
                <w:rFonts w:ascii="Times New Roman" w:hAnsi="Times New Roman" w:eastAsia="宋体"/>
                <w:b/>
                <w:color w:val="auto"/>
                <w:kern w:val="2"/>
                <w:szCs w:val="22"/>
              </w:rPr>
              <w:t xml:space="preserve">  无组织产生废气源强统计表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6"/>
              <w:gridCol w:w="992"/>
              <w:gridCol w:w="992"/>
              <w:gridCol w:w="1134"/>
              <w:gridCol w:w="992"/>
              <w:gridCol w:w="993"/>
              <w:gridCol w:w="850"/>
              <w:gridCol w:w="709"/>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21" w:hRule="atLeast"/>
                <w:jc w:val="center"/>
              </w:trPr>
              <w:tc>
                <w:tcPr>
                  <w:tcW w:w="976" w:type="dxa"/>
                  <w:vMerge w:val="restart"/>
                  <w:vAlign w:val="center"/>
                </w:tcPr>
                <w:p>
                  <w:pPr>
                    <w:adjustRightInd w:val="0"/>
                    <w:snapToGrid w:val="0"/>
                    <w:jc w:val="center"/>
                    <w:rPr>
                      <w:b/>
                      <w:bCs/>
                      <w:color w:val="auto"/>
                      <w:szCs w:val="21"/>
                    </w:rPr>
                  </w:pPr>
                  <w:r>
                    <w:rPr>
                      <w:b/>
                      <w:bCs/>
                      <w:color w:val="auto"/>
                      <w:szCs w:val="21"/>
                    </w:rPr>
                    <w:t>污染源位置</w:t>
                  </w:r>
                </w:p>
              </w:tc>
              <w:tc>
                <w:tcPr>
                  <w:tcW w:w="992" w:type="dxa"/>
                  <w:vMerge w:val="restart"/>
                  <w:vAlign w:val="center"/>
                </w:tcPr>
                <w:p>
                  <w:pPr>
                    <w:adjustRightInd w:val="0"/>
                    <w:snapToGrid w:val="0"/>
                    <w:jc w:val="center"/>
                    <w:rPr>
                      <w:b/>
                      <w:bCs/>
                      <w:color w:val="auto"/>
                      <w:szCs w:val="21"/>
                    </w:rPr>
                  </w:pPr>
                  <w:r>
                    <w:rPr>
                      <w:b/>
                      <w:bCs/>
                      <w:color w:val="auto"/>
                      <w:szCs w:val="21"/>
                    </w:rPr>
                    <w:t>污染物名称</w:t>
                  </w:r>
                </w:p>
              </w:tc>
              <w:tc>
                <w:tcPr>
                  <w:tcW w:w="992" w:type="dxa"/>
                  <w:vMerge w:val="restart"/>
                  <w:vAlign w:val="center"/>
                </w:tcPr>
                <w:p>
                  <w:pPr>
                    <w:adjustRightInd w:val="0"/>
                    <w:snapToGrid w:val="0"/>
                    <w:jc w:val="center"/>
                    <w:rPr>
                      <w:b/>
                      <w:bCs/>
                      <w:color w:val="auto"/>
                      <w:szCs w:val="21"/>
                      <w:highlight w:val="yellow"/>
                    </w:rPr>
                  </w:pPr>
                  <w:r>
                    <w:rPr>
                      <w:b/>
                      <w:bCs/>
                      <w:color w:val="auto"/>
                      <w:szCs w:val="21"/>
                    </w:rPr>
                    <w:t>污染物产生量(t/a)</w:t>
                  </w:r>
                </w:p>
              </w:tc>
              <w:tc>
                <w:tcPr>
                  <w:tcW w:w="1134" w:type="dxa"/>
                  <w:vMerge w:val="restart"/>
                  <w:vAlign w:val="center"/>
                </w:tcPr>
                <w:p>
                  <w:pPr>
                    <w:adjustRightInd w:val="0"/>
                    <w:snapToGrid w:val="0"/>
                    <w:jc w:val="center"/>
                    <w:rPr>
                      <w:b/>
                      <w:bCs/>
                      <w:color w:val="auto"/>
                      <w:szCs w:val="21"/>
                    </w:rPr>
                  </w:pPr>
                  <w:r>
                    <w:rPr>
                      <w:b/>
                      <w:bCs/>
                      <w:color w:val="auto"/>
                      <w:szCs w:val="21"/>
                    </w:rPr>
                    <w:t>产生速率(kg/h)</w:t>
                  </w:r>
                </w:p>
              </w:tc>
              <w:tc>
                <w:tcPr>
                  <w:tcW w:w="992" w:type="dxa"/>
                  <w:vMerge w:val="restart"/>
                  <w:vAlign w:val="center"/>
                </w:tcPr>
                <w:p>
                  <w:pPr>
                    <w:adjustRightInd w:val="0"/>
                    <w:snapToGrid w:val="0"/>
                    <w:jc w:val="center"/>
                    <w:rPr>
                      <w:b/>
                      <w:bCs/>
                      <w:color w:val="auto"/>
                      <w:szCs w:val="21"/>
                    </w:rPr>
                  </w:pPr>
                  <w:r>
                    <w:rPr>
                      <w:b/>
                      <w:bCs/>
                      <w:color w:val="auto"/>
                      <w:szCs w:val="21"/>
                    </w:rPr>
                    <w:t>污染物排放量(t/a)</w:t>
                  </w:r>
                </w:p>
              </w:tc>
              <w:tc>
                <w:tcPr>
                  <w:tcW w:w="993" w:type="dxa"/>
                  <w:vMerge w:val="restart"/>
                  <w:vAlign w:val="center"/>
                </w:tcPr>
                <w:p>
                  <w:pPr>
                    <w:adjustRightInd w:val="0"/>
                    <w:snapToGrid w:val="0"/>
                    <w:jc w:val="center"/>
                    <w:rPr>
                      <w:b/>
                      <w:bCs/>
                      <w:color w:val="auto"/>
                      <w:szCs w:val="21"/>
                    </w:rPr>
                  </w:pPr>
                  <w:r>
                    <w:rPr>
                      <w:b/>
                      <w:bCs/>
                      <w:color w:val="auto"/>
                      <w:szCs w:val="21"/>
                    </w:rPr>
                    <w:t>排放速率(kg/h)</w:t>
                  </w:r>
                </w:p>
              </w:tc>
              <w:tc>
                <w:tcPr>
                  <w:tcW w:w="2212" w:type="dxa"/>
                  <w:gridSpan w:val="3"/>
                  <w:vAlign w:val="center"/>
                </w:tcPr>
                <w:p>
                  <w:pPr>
                    <w:snapToGrid w:val="0"/>
                    <w:jc w:val="center"/>
                    <w:rPr>
                      <w:b/>
                      <w:bCs/>
                      <w:color w:val="auto"/>
                      <w:szCs w:val="21"/>
                      <w:vertAlign w:val="superscript"/>
                    </w:rPr>
                  </w:pPr>
                  <w:r>
                    <w:rPr>
                      <w:b/>
                      <w:bCs/>
                      <w:color w:val="auto"/>
                      <w:szCs w:val="21"/>
                    </w:rPr>
                    <w:t>面源（m）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976" w:type="dxa"/>
                  <w:vMerge w:val="continue"/>
                  <w:vAlign w:val="center"/>
                </w:tcPr>
                <w:p>
                  <w:pPr>
                    <w:snapToGrid w:val="0"/>
                    <w:jc w:val="center"/>
                    <w:rPr>
                      <w:color w:val="auto"/>
                      <w:szCs w:val="21"/>
                    </w:rPr>
                  </w:pPr>
                </w:p>
              </w:tc>
              <w:tc>
                <w:tcPr>
                  <w:tcW w:w="992" w:type="dxa"/>
                  <w:vMerge w:val="continue"/>
                  <w:vAlign w:val="center"/>
                </w:tcPr>
                <w:p>
                  <w:pPr>
                    <w:snapToGrid w:val="0"/>
                    <w:jc w:val="center"/>
                    <w:rPr>
                      <w:color w:val="auto"/>
                      <w:szCs w:val="21"/>
                    </w:rPr>
                  </w:pPr>
                </w:p>
              </w:tc>
              <w:tc>
                <w:tcPr>
                  <w:tcW w:w="992" w:type="dxa"/>
                  <w:vMerge w:val="continue"/>
                  <w:vAlign w:val="center"/>
                </w:tcPr>
                <w:p>
                  <w:pPr>
                    <w:snapToGrid w:val="0"/>
                    <w:jc w:val="center"/>
                    <w:rPr>
                      <w:color w:val="auto"/>
                      <w:szCs w:val="21"/>
                    </w:rPr>
                  </w:pPr>
                </w:p>
              </w:tc>
              <w:tc>
                <w:tcPr>
                  <w:tcW w:w="1134" w:type="dxa"/>
                  <w:vMerge w:val="continue"/>
                  <w:vAlign w:val="center"/>
                </w:tcPr>
                <w:p>
                  <w:pPr>
                    <w:snapToGrid w:val="0"/>
                    <w:jc w:val="center"/>
                    <w:rPr>
                      <w:color w:val="auto"/>
                      <w:szCs w:val="21"/>
                    </w:rPr>
                  </w:pPr>
                </w:p>
              </w:tc>
              <w:tc>
                <w:tcPr>
                  <w:tcW w:w="992" w:type="dxa"/>
                  <w:vMerge w:val="continue"/>
                  <w:vAlign w:val="center"/>
                </w:tcPr>
                <w:p>
                  <w:pPr>
                    <w:snapToGrid w:val="0"/>
                    <w:jc w:val="center"/>
                    <w:rPr>
                      <w:color w:val="auto"/>
                      <w:szCs w:val="21"/>
                    </w:rPr>
                  </w:pPr>
                </w:p>
              </w:tc>
              <w:tc>
                <w:tcPr>
                  <w:tcW w:w="993" w:type="dxa"/>
                  <w:vMerge w:val="continue"/>
                  <w:vAlign w:val="center"/>
                </w:tcPr>
                <w:p>
                  <w:pPr>
                    <w:snapToGrid w:val="0"/>
                    <w:jc w:val="center"/>
                    <w:rPr>
                      <w:color w:val="auto"/>
                      <w:szCs w:val="21"/>
                    </w:rPr>
                  </w:pPr>
                </w:p>
              </w:tc>
              <w:tc>
                <w:tcPr>
                  <w:tcW w:w="850" w:type="dxa"/>
                  <w:vAlign w:val="center"/>
                </w:tcPr>
                <w:p>
                  <w:pPr>
                    <w:adjustRightInd w:val="0"/>
                    <w:snapToGrid w:val="0"/>
                    <w:jc w:val="center"/>
                    <w:rPr>
                      <w:b/>
                      <w:bCs/>
                      <w:color w:val="auto"/>
                      <w:szCs w:val="21"/>
                    </w:rPr>
                  </w:pPr>
                  <w:r>
                    <w:rPr>
                      <w:b/>
                      <w:bCs/>
                      <w:color w:val="auto"/>
                      <w:szCs w:val="21"/>
                    </w:rPr>
                    <w:t>长度</w:t>
                  </w:r>
                </w:p>
              </w:tc>
              <w:tc>
                <w:tcPr>
                  <w:tcW w:w="709" w:type="dxa"/>
                  <w:vAlign w:val="center"/>
                </w:tcPr>
                <w:p>
                  <w:pPr>
                    <w:adjustRightInd w:val="0"/>
                    <w:snapToGrid w:val="0"/>
                    <w:jc w:val="center"/>
                    <w:rPr>
                      <w:b/>
                      <w:bCs/>
                      <w:color w:val="auto"/>
                      <w:szCs w:val="21"/>
                    </w:rPr>
                  </w:pPr>
                  <w:r>
                    <w:rPr>
                      <w:b/>
                      <w:bCs/>
                      <w:color w:val="auto"/>
                      <w:szCs w:val="21"/>
                    </w:rPr>
                    <w:t>宽度</w:t>
                  </w:r>
                </w:p>
              </w:tc>
              <w:tc>
                <w:tcPr>
                  <w:tcW w:w="653" w:type="dxa"/>
                  <w:vAlign w:val="center"/>
                </w:tcPr>
                <w:p>
                  <w:pPr>
                    <w:adjustRightInd w:val="0"/>
                    <w:snapToGrid w:val="0"/>
                    <w:jc w:val="center"/>
                    <w:rPr>
                      <w:b/>
                      <w:bCs/>
                      <w:color w:val="auto"/>
                      <w:szCs w:val="21"/>
                    </w:rPr>
                  </w:pPr>
                  <w:r>
                    <w:rPr>
                      <w:b/>
                      <w:bCs/>
                      <w:color w:val="auto"/>
                      <w:szCs w:val="21"/>
                    </w:rPr>
                    <w:t>高度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76" w:type="dxa"/>
                  <w:vMerge w:val="restart"/>
                  <w:vAlign w:val="center"/>
                </w:tcPr>
                <w:p>
                  <w:pPr>
                    <w:adjustRightInd w:val="0"/>
                    <w:snapToGrid w:val="0"/>
                    <w:jc w:val="center"/>
                    <w:rPr>
                      <w:snapToGrid w:val="0"/>
                      <w:color w:val="auto"/>
                      <w:kern w:val="0"/>
                      <w:szCs w:val="21"/>
                    </w:rPr>
                  </w:pPr>
                  <w:r>
                    <w:rPr>
                      <w:color w:val="auto"/>
                      <w:szCs w:val="21"/>
                    </w:rPr>
                    <w:t>车间</w:t>
                  </w:r>
                  <w:r>
                    <w:rPr>
                      <w:rFonts w:hint="eastAsia"/>
                      <w:color w:val="auto"/>
                      <w:szCs w:val="21"/>
                    </w:rPr>
                    <w:t>二</w:t>
                  </w:r>
                </w:p>
              </w:tc>
              <w:tc>
                <w:tcPr>
                  <w:tcW w:w="992" w:type="dxa"/>
                  <w:vAlign w:val="center"/>
                </w:tcPr>
                <w:p>
                  <w:pPr>
                    <w:adjustRightInd w:val="0"/>
                    <w:snapToGrid w:val="0"/>
                    <w:jc w:val="center"/>
                    <w:rPr>
                      <w:color w:val="auto"/>
                      <w:szCs w:val="21"/>
                    </w:rPr>
                  </w:pPr>
                  <w:r>
                    <w:rPr>
                      <w:snapToGrid w:val="0"/>
                      <w:color w:val="auto"/>
                      <w:kern w:val="0"/>
                      <w:szCs w:val="21"/>
                    </w:rPr>
                    <w:t>非甲烷总烃</w:t>
                  </w:r>
                </w:p>
              </w:tc>
              <w:tc>
                <w:tcPr>
                  <w:tcW w:w="992"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0.0575 </w:t>
                  </w:r>
                </w:p>
              </w:tc>
              <w:tc>
                <w:tcPr>
                  <w:tcW w:w="1134" w:type="dxa"/>
                  <w:vAlign w:val="center"/>
                </w:tcPr>
                <w:p>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0.0282</w:t>
                  </w:r>
                </w:p>
              </w:tc>
              <w:tc>
                <w:tcPr>
                  <w:tcW w:w="992"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0.0575 </w:t>
                  </w:r>
                </w:p>
              </w:tc>
              <w:tc>
                <w:tcPr>
                  <w:tcW w:w="993" w:type="dxa"/>
                  <w:vAlign w:val="center"/>
                </w:tcPr>
                <w:p>
                  <w:pPr>
                    <w:widowControl/>
                    <w:adjustRightInd w:val="0"/>
                    <w:snapToGrid w:val="0"/>
                    <w:jc w:val="center"/>
                    <w:textAlignment w:val="center"/>
                    <w:rPr>
                      <w:color w:val="auto"/>
                      <w:kern w:val="0"/>
                      <w:szCs w:val="21"/>
                    </w:rPr>
                  </w:pPr>
                  <w:r>
                    <w:rPr>
                      <w:rFonts w:hint="eastAsia"/>
                      <w:color w:val="auto"/>
                      <w:kern w:val="0"/>
                      <w:szCs w:val="21"/>
                      <w:lang w:val="en-US" w:eastAsia="zh-CN"/>
                    </w:rPr>
                    <w:t>0.0282</w:t>
                  </w:r>
                </w:p>
              </w:tc>
              <w:tc>
                <w:tcPr>
                  <w:tcW w:w="850" w:type="dxa"/>
                  <w:vMerge w:val="restart"/>
                  <w:vAlign w:val="center"/>
                </w:tcPr>
                <w:p>
                  <w:pPr>
                    <w:adjustRightInd w:val="0"/>
                    <w:snapToGrid w:val="0"/>
                    <w:jc w:val="center"/>
                    <w:rPr>
                      <w:rFonts w:hint="default" w:eastAsia="宋体"/>
                      <w:color w:val="auto"/>
                      <w:szCs w:val="21"/>
                      <w:lang w:val="en-US" w:eastAsia="zh-CN"/>
                    </w:rPr>
                  </w:pPr>
                  <w:r>
                    <w:rPr>
                      <w:rFonts w:hint="eastAsia"/>
                      <w:color w:val="auto"/>
                      <w:szCs w:val="21"/>
                    </w:rPr>
                    <w:t>96</w:t>
                  </w:r>
                  <w:r>
                    <w:rPr>
                      <w:rFonts w:hint="eastAsia"/>
                      <w:color w:val="auto"/>
                      <w:szCs w:val="21"/>
                      <w:lang w:val="en-US" w:eastAsia="zh-CN"/>
                    </w:rPr>
                    <w:t>.40</w:t>
                  </w:r>
                </w:p>
              </w:tc>
              <w:tc>
                <w:tcPr>
                  <w:tcW w:w="709" w:type="dxa"/>
                  <w:vMerge w:val="restart"/>
                  <w:vAlign w:val="center"/>
                </w:tcPr>
                <w:p>
                  <w:pPr>
                    <w:adjustRightInd w:val="0"/>
                    <w:snapToGrid w:val="0"/>
                    <w:jc w:val="center"/>
                    <w:rPr>
                      <w:rFonts w:hint="default" w:eastAsia="宋体"/>
                      <w:color w:val="auto"/>
                      <w:szCs w:val="21"/>
                      <w:lang w:val="en-US" w:eastAsia="zh-CN"/>
                    </w:rPr>
                  </w:pPr>
                  <w:r>
                    <w:rPr>
                      <w:rFonts w:hint="eastAsia"/>
                      <w:color w:val="auto"/>
                      <w:szCs w:val="21"/>
                    </w:rPr>
                    <w:t>54</w:t>
                  </w:r>
                  <w:r>
                    <w:rPr>
                      <w:rFonts w:hint="eastAsia"/>
                      <w:color w:val="auto"/>
                      <w:lang w:val="en-US" w:eastAsia="zh-CN"/>
                    </w:rPr>
                    <w:t>.53</w:t>
                  </w:r>
                </w:p>
              </w:tc>
              <w:tc>
                <w:tcPr>
                  <w:tcW w:w="653" w:type="dxa"/>
                  <w:vMerge w:val="restart"/>
                  <w:vAlign w:val="center"/>
                </w:tcPr>
                <w:p>
                  <w:pPr>
                    <w:adjustRightInd w:val="0"/>
                    <w:snapToGrid w:val="0"/>
                    <w:jc w:val="center"/>
                    <w:rPr>
                      <w:color w:val="auto"/>
                      <w:szCs w:val="21"/>
                    </w:rPr>
                  </w:pPr>
                  <w:r>
                    <w:rPr>
                      <w:color w:val="auto"/>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40" w:hRule="atLeast"/>
                <w:jc w:val="center"/>
              </w:trPr>
              <w:tc>
                <w:tcPr>
                  <w:tcW w:w="976" w:type="dxa"/>
                  <w:vMerge w:val="continue"/>
                  <w:vAlign w:val="center"/>
                </w:tcPr>
                <w:p>
                  <w:pPr>
                    <w:adjustRightInd w:val="0"/>
                    <w:snapToGrid w:val="0"/>
                    <w:jc w:val="center"/>
                    <w:rPr>
                      <w:color w:val="auto"/>
                      <w:szCs w:val="21"/>
                    </w:rPr>
                  </w:pPr>
                </w:p>
              </w:tc>
              <w:tc>
                <w:tcPr>
                  <w:tcW w:w="992" w:type="dxa"/>
                  <w:vAlign w:val="center"/>
                </w:tcPr>
                <w:p>
                  <w:pPr>
                    <w:adjustRightInd w:val="0"/>
                    <w:snapToGrid w:val="0"/>
                    <w:jc w:val="center"/>
                    <w:rPr>
                      <w:snapToGrid w:val="0"/>
                      <w:color w:val="auto"/>
                      <w:kern w:val="0"/>
                      <w:szCs w:val="21"/>
                    </w:rPr>
                  </w:pPr>
                  <w:r>
                    <w:rPr>
                      <w:rFonts w:hint="eastAsia"/>
                      <w:snapToGrid w:val="0"/>
                      <w:color w:val="auto"/>
                      <w:kern w:val="0"/>
                      <w:szCs w:val="21"/>
                    </w:rPr>
                    <w:t>甲醛</w:t>
                  </w:r>
                </w:p>
              </w:tc>
              <w:tc>
                <w:tcPr>
                  <w:tcW w:w="992"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c>
                <w:tcPr>
                  <w:tcW w:w="1134" w:type="dxa"/>
                  <w:vAlign w:val="center"/>
                </w:tcPr>
                <w:p>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0.0022</w:t>
                  </w:r>
                </w:p>
              </w:tc>
              <w:tc>
                <w:tcPr>
                  <w:tcW w:w="992"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c>
                <w:tcPr>
                  <w:tcW w:w="993" w:type="dxa"/>
                  <w:vAlign w:val="center"/>
                </w:tcPr>
                <w:p>
                  <w:pPr>
                    <w:widowControl/>
                    <w:adjustRightInd w:val="0"/>
                    <w:snapToGrid w:val="0"/>
                    <w:jc w:val="center"/>
                    <w:textAlignment w:val="center"/>
                    <w:rPr>
                      <w:color w:val="auto"/>
                      <w:kern w:val="0"/>
                      <w:szCs w:val="21"/>
                    </w:rPr>
                  </w:pPr>
                  <w:r>
                    <w:rPr>
                      <w:rFonts w:hint="eastAsia"/>
                      <w:color w:val="auto"/>
                      <w:kern w:val="0"/>
                      <w:szCs w:val="21"/>
                      <w:lang w:val="en-US" w:eastAsia="zh-CN"/>
                    </w:rPr>
                    <w:t>0.0022</w:t>
                  </w:r>
                </w:p>
              </w:tc>
              <w:tc>
                <w:tcPr>
                  <w:tcW w:w="850" w:type="dxa"/>
                  <w:vMerge w:val="continue"/>
                  <w:vAlign w:val="center"/>
                </w:tcPr>
                <w:p>
                  <w:pPr>
                    <w:adjustRightInd w:val="0"/>
                    <w:snapToGrid w:val="0"/>
                    <w:jc w:val="center"/>
                    <w:rPr>
                      <w:color w:val="auto"/>
                      <w:szCs w:val="21"/>
                    </w:rPr>
                  </w:pPr>
                </w:p>
              </w:tc>
              <w:tc>
                <w:tcPr>
                  <w:tcW w:w="709" w:type="dxa"/>
                  <w:vMerge w:val="continue"/>
                  <w:vAlign w:val="center"/>
                </w:tcPr>
                <w:p>
                  <w:pPr>
                    <w:adjustRightInd w:val="0"/>
                    <w:snapToGrid w:val="0"/>
                    <w:jc w:val="center"/>
                    <w:rPr>
                      <w:color w:val="auto"/>
                      <w:szCs w:val="21"/>
                    </w:rPr>
                  </w:pPr>
                </w:p>
              </w:tc>
              <w:tc>
                <w:tcPr>
                  <w:tcW w:w="653" w:type="dxa"/>
                  <w:vMerge w:val="continue"/>
                  <w:vAlign w:val="center"/>
                </w:tcPr>
                <w:p>
                  <w:pPr>
                    <w:adjustRightInd w:val="0"/>
                    <w:snapToGrid w:val="0"/>
                    <w:jc w:val="center"/>
                    <w:rPr>
                      <w:color w:val="auto"/>
                      <w:szCs w:val="21"/>
                    </w:rPr>
                  </w:pPr>
                </w:p>
              </w:tc>
            </w:tr>
          </w:tbl>
          <w:p>
            <w:pPr>
              <w:adjustRightInd w:val="0"/>
              <w:snapToGrid w:val="0"/>
              <w:rPr>
                <w:b/>
                <w:color w:val="auto"/>
                <w:szCs w:val="21"/>
              </w:rPr>
            </w:pPr>
            <w:r>
              <w:rPr>
                <w:rFonts w:hint="eastAsia"/>
                <w:b/>
                <w:color w:val="auto"/>
                <w:szCs w:val="21"/>
              </w:rPr>
              <w:t>注：本项目工作时长按</w:t>
            </w:r>
            <w:r>
              <w:rPr>
                <w:b/>
                <w:color w:val="auto"/>
                <w:szCs w:val="21"/>
              </w:rPr>
              <w:t>20</w:t>
            </w:r>
            <w:r>
              <w:rPr>
                <w:rFonts w:hint="eastAsia"/>
                <w:b/>
                <w:color w:val="auto"/>
                <w:szCs w:val="21"/>
                <w:lang w:val="en-US" w:eastAsia="zh-CN"/>
              </w:rPr>
              <w:t>4</w:t>
            </w:r>
            <w:r>
              <w:rPr>
                <w:rFonts w:hint="eastAsia"/>
                <w:b/>
                <w:color w:val="auto"/>
                <w:szCs w:val="21"/>
              </w:rPr>
              <w:t>0h计。</w:t>
            </w:r>
          </w:p>
          <w:p>
            <w:pPr>
              <w:adjustRightInd w:val="0"/>
              <w:snapToGrid w:val="0"/>
              <w:spacing w:before="120" w:beforeLines="50" w:line="360" w:lineRule="auto"/>
              <w:ind w:firstLine="482" w:firstLineChars="200"/>
              <w:rPr>
                <w:color w:val="auto"/>
                <w:sz w:val="24"/>
              </w:rPr>
            </w:pPr>
            <w:r>
              <w:rPr>
                <w:rFonts w:hint="eastAsia"/>
                <w:b/>
                <w:bCs/>
                <w:color w:val="auto"/>
                <w:kern w:val="0"/>
                <w:sz w:val="24"/>
                <w:lang w:eastAsia="zh-CN"/>
              </w:rPr>
              <w:t>本项目大气环境影响分析内容详见大气专项评价报告。</w:t>
            </w:r>
          </w:p>
          <w:p>
            <w:pPr>
              <w:adjustRightInd w:val="0"/>
              <w:snapToGrid w:val="0"/>
              <w:spacing w:line="360" w:lineRule="auto"/>
              <w:rPr>
                <w:b/>
                <w:bCs/>
                <w:color w:val="auto"/>
                <w:kern w:val="0"/>
                <w:sz w:val="24"/>
              </w:rPr>
            </w:pPr>
            <w:r>
              <w:rPr>
                <w:b/>
                <w:bCs/>
                <w:color w:val="auto"/>
                <w:kern w:val="0"/>
                <w:sz w:val="24"/>
              </w:rPr>
              <w:t>2、废水</w:t>
            </w:r>
          </w:p>
          <w:p>
            <w:pPr>
              <w:adjustRightInd w:val="0"/>
              <w:snapToGrid w:val="0"/>
              <w:spacing w:line="360" w:lineRule="auto"/>
              <w:ind w:firstLine="482" w:firstLineChars="200"/>
              <w:jc w:val="left"/>
              <w:rPr>
                <w:b/>
                <w:bCs/>
                <w:color w:val="auto"/>
                <w:kern w:val="0"/>
                <w:sz w:val="24"/>
              </w:rPr>
            </w:pPr>
            <w:r>
              <w:rPr>
                <w:b/>
                <w:bCs/>
                <w:color w:val="auto"/>
                <w:kern w:val="0"/>
                <w:sz w:val="24"/>
              </w:rPr>
              <w:t>（1）废水污染源强</w:t>
            </w:r>
          </w:p>
          <w:p>
            <w:pPr>
              <w:spacing w:line="360" w:lineRule="auto"/>
              <w:ind w:firstLine="480" w:firstLineChars="200"/>
              <w:rPr>
                <w:color w:val="auto"/>
                <w:sz w:val="24"/>
              </w:rPr>
            </w:pPr>
            <w:r>
              <w:rPr>
                <w:color w:val="auto"/>
                <w:sz w:val="24"/>
              </w:rPr>
              <w:t>本项目</w:t>
            </w:r>
            <w:r>
              <w:rPr>
                <w:rFonts w:hint="eastAsia"/>
                <w:color w:val="auto"/>
                <w:sz w:val="24"/>
              </w:rPr>
              <w:t>冷却排水</w:t>
            </w:r>
            <w:r>
              <w:rPr>
                <w:color w:val="auto"/>
                <w:sz w:val="24"/>
              </w:rPr>
              <w:t>与经化粪池</w:t>
            </w:r>
            <w:r>
              <w:rPr>
                <w:rFonts w:hint="eastAsia"/>
                <w:color w:val="auto"/>
                <w:sz w:val="24"/>
              </w:rPr>
              <w:t>预处理后</w:t>
            </w:r>
            <w:r>
              <w:rPr>
                <w:color w:val="auto"/>
                <w:sz w:val="24"/>
              </w:rPr>
              <w:t>的生活污水</w:t>
            </w:r>
            <w:r>
              <w:rPr>
                <w:rFonts w:hint="eastAsia"/>
                <w:color w:val="auto"/>
                <w:sz w:val="24"/>
              </w:rPr>
              <w:t>一同接管</w:t>
            </w:r>
            <w:r>
              <w:rPr>
                <w:color w:val="auto"/>
                <w:sz w:val="24"/>
              </w:rPr>
              <w:t>进无锡玉祁永新污水处理有限公司</w:t>
            </w:r>
            <w:r>
              <w:rPr>
                <w:rFonts w:hint="eastAsia"/>
                <w:color w:val="auto"/>
                <w:sz w:val="24"/>
              </w:rPr>
              <w:t>集中处理</w:t>
            </w:r>
            <w:r>
              <w:rPr>
                <w:color w:val="auto"/>
                <w:sz w:val="24"/>
              </w:rPr>
              <w:t>。废水产生及排放情况见表4-</w:t>
            </w:r>
            <w:r>
              <w:rPr>
                <w:rFonts w:hint="eastAsia"/>
                <w:color w:val="auto"/>
                <w:sz w:val="24"/>
                <w:lang w:val="en-US" w:eastAsia="zh-CN"/>
              </w:rPr>
              <w:t>6</w:t>
            </w:r>
            <w:r>
              <w:rPr>
                <w:color w:val="auto"/>
                <w:sz w:val="24"/>
              </w:rPr>
              <w:t>。</w:t>
            </w:r>
          </w:p>
          <w:p>
            <w:pPr>
              <w:adjustRightInd w:val="0"/>
              <w:snapToGrid w:val="0"/>
              <w:ind w:firstLine="0" w:firstLineChars="0"/>
              <w:jc w:val="center"/>
              <w:rPr>
                <w:b/>
                <w:bCs/>
                <w:color w:val="auto"/>
                <w:kern w:val="0"/>
                <w:sz w:val="24"/>
              </w:rPr>
            </w:pPr>
            <w:r>
              <w:rPr>
                <w:b/>
                <w:bCs/>
                <w:color w:val="auto"/>
                <w:kern w:val="0"/>
                <w:sz w:val="24"/>
              </w:rPr>
              <w:t>表4-</w:t>
            </w:r>
            <w:r>
              <w:rPr>
                <w:rFonts w:hint="eastAsia"/>
                <w:b/>
                <w:bCs/>
                <w:color w:val="auto"/>
                <w:kern w:val="0"/>
                <w:sz w:val="24"/>
                <w:lang w:val="en-US" w:eastAsia="zh-CN"/>
              </w:rPr>
              <w:t>6</w:t>
            </w:r>
            <w:r>
              <w:rPr>
                <w:b/>
                <w:bCs/>
                <w:color w:val="auto"/>
                <w:kern w:val="0"/>
                <w:sz w:val="24"/>
              </w:rPr>
              <w:t xml:space="preserve">  废水污染物产生及排放情况</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6"/>
              <w:gridCol w:w="607"/>
              <w:gridCol w:w="910"/>
              <w:gridCol w:w="758"/>
              <w:gridCol w:w="758"/>
              <w:gridCol w:w="608"/>
              <w:gridCol w:w="759"/>
              <w:gridCol w:w="759"/>
              <w:gridCol w:w="910"/>
              <w:gridCol w:w="608"/>
              <w:gridCol w:w="1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606" w:type="dxa"/>
                  <w:vMerge w:val="restart"/>
                  <w:tcBorders>
                    <w:top w:val="single" w:color="auto" w:sz="12"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类别</w:t>
                  </w:r>
                </w:p>
              </w:tc>
              <w:tc>
                <w:tcPr>
                  <w:tcW w:w="607" w:type="dxa"/>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污水量(t/a)</w:t>
                  </w:r>
                </w:p>
              </w:tc>
              <w:tc>
                <w:tcPr>
                  <w:tcW w:w="910" w:type="dxa"/>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污染物</w:t>
                  </w:r>
                </w:p>
                <w:p>
                  <w:pPr>
                    <w:adjustRightInd w:val="0"/>
                    <w:snapToGrid w:val="0"/>
                    <w:jc w:val="center"/>
                    <w:rPr>
                      <w:b/>
                      <w:bCs/>
                      <w:color w:val="auto"/>
                      <w:szCs w:val="21"/>
                    </w:rPr>
                  </w:pPr>
                  <w:r>
                    <w:rPr>
                      <w:b/>
                      <w:bCs/>
                      <w:color w:val="auto"/>
                      <w:szCs w:val="21"/>
                    </w:rPr>
                    <w:t>名称</w:t>
                  </w:r>
                </w:p>
              </w:tc>
              <w:tc>
                <w:tcPr>
                  <w:tcW w:w="1516" w:type="dxa"/>
                  <w:gridSpan w:val="2"/>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污染物产生量</w:t>
                  </w:r>
                </w:p>
              </w:tc>
              <w:tc>
                <w:tcPr>
                  <w:tcW w:w="608" w:type="dxa"/>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治理措施</w:t>
                  </w:r>
                </w:p>
              </w:tc>
              <w:tc>
                <w:tcPr>
                  <w:tcW w:w="1518" w:type="dxa"/>
                  <w:gridSpan w:val="2"/>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污染物接管量</w:t>
                  </w:r>
                </w:p>
              </w:tc>
              <w:tc>
                <w:tcPr>
                  <w:tcW w:w="910" w:type="dxa"/>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接管浓度限值(mg/L)</w:t>
                  </w:r>
                </w:p>
              </w:tc>
              <w:tc>
                <w:tcPr>
                  <w:tcW w:w="608" w:type="dxa"/>
                  <w:vMerge w:val="restart"/>
                  <w:tcBorders>
                    <w:top w:val="single" w:color="auto" w:sz="12"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排放方式</w:t>
                  </w:r>
                </w:p>
              </w:tc>
              <w:tc>
                <w:tcPr>
                  <w:tcW w:w="1008" w:type="dxa"/>
                  <w:vMerge w:val="restart"/>
                  <w:tcBorders>
                    <w:top w:val="single" w:color="auto" w:sz="12"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textAlignment w:val="baseline"/>
                    <w:rPr>
                      <w:b/>
                      <w:bCs/>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p>
              </w:tc>
              <w:tc>
                <w:tcPr>
                  <w:tcW w:w="910"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浓度</w:t>
                  </w:r>
                </w:p>
                <w:p>
                  <w:pPr>
                    <w:adjustRightInd w:val="0"/>
                    <w:snapToGrid w:val="0"/>
                    <w:jc w:val="center"/>
                    <w:rPr>
                      <w:b/>
                      <w:bCs/>
                      <w:color w:val="auto"/>
                      <w:szCs w:val="21"/>
                    </w:rPr>
                  </w:pPr>
                  <w:r>
                    <w:rPr>
                      <w:b/>
                      <w:bCs/>
                      <w:color w:val="auto"/>
                      <w:szCs w:val="21"/>
                    </w:rPr>
                    <w:t>(mg/L)</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产生量(t/a)</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浓度(mg/L)</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接管</w:t>
                  </w:r>
                  <w:r>
                    <w:rPr>
                      <w:rFonts w:hint="eastAsia"/>
                      <w:b/>
                      <w:bCs/>
                      <w:color w:val="auto"/>
                      <w:szCs w:val="21"/>
                    </w:rPr>
                    <w:t>量</w:t>
                  </w:r>
                </w:p>
                <w:p>
                  <w:pPr>
                    <w:adjustRightInd w:val="0"/>
                    <w:snapToGrid w:val="0"/>
                    <w:jc w:val="center"/>
                    <w:rPr>
                      <w:b/>
                      <w:bCs/>
                      <w:color w:val="auto"/>
                      <w:szCs w:val="21"/>
                    </w:rPr>
                  </w:pPr>
                  <w:r>
                    <w:rPr>
                      <w:b/>
                      <w:bCs/>
                      <w:color w:val="auto"/>
                      <w:szCs w:val="21"/>
                    </w:rPr>
                    <w:t>(t/a)</w:t>
                  </w:r>
                </w:p>
              </w:tc>
              <w:tc>
                <w:tcPr>
                  <w:tcW w:w="910"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restar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color w:val="auto"/>
                      <w:szCs w:val="21"/>
                    </w:rPr>
                  </w:pPr>
                  <w:r>
                    <w:rPr>
                      <w:color w:val="auto"/>
                    </w:rPr>
                    <w:t>生活污水</w:t>
                  </w:r>
                </w:p>
              </w:tc>
              <w:tc>
                <w:tcPr>
                  <w:tcW w:w="607"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color w:val="auto"/>
                      <w:szCs w:val="21"/>
                    </w:rPr>
                  </w:pPr>
                  <w:r>
                    <w:rPr>
                      <w:color w:val="auto"/>
                      <w:szCs w:val="21"/>
                    </w:rPr>
                    <w:t>900</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pH（无量纲）</w:t>
                  </w:r>
                </w:p>
              </w:tc>
              <w:tc>
                <w:tcPr>
                  <w:tcW w:w="1516"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6~9</w:t>
                  </w:r>
                </w:p>
              </w:tc>
              <w:tc>
                <w:tcPr>
                  <w:tcW w:w="60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化粪池预处理</w:t>
                  </w:r>
                </w:p>
              </w:tc>
              <w:tc>
                <w:tcPr>
                  <w:tcW w:w="1518"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rPr>
                      <w:color w:val="auto"/>
                      <w:kern w:val="0"/>
                      <w:szCs w:val="21"/>
                    </w:rPr>
                  </w:pPr>
                  <w:r>
                    <w:rPr>
                      <w:color w:val="auto"/>
                      <w:kern w:val="0"/>
                      <w:szCs w:val="21"/>
                    </w:rPr>
                    <w:t>6~9</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6~9</w:t>
                  </w:r>
                </w:p>
              </w:tc>
              <w:tc>
                <w:tcPr>
                  <w:tcW w:w="608" w:type="dxa"/>
                  <w:vMerge w:val="restart"/>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间接排放</w:t>
                  </w:r>
                </w:p>
              </w:tc>
              <w:tc>
                <w:tcPr>
                  <w:tcW w:w="1008" w:type="dxa"/>
                  <w:vMerge w:val="restart"/>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接入无锡玉祁永新污水处理有限公司，尾水排入横港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COD</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500</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jc w:val="center"/>
                    <w:rPr>
                      <w:color w:val="auto"/>
                      <w:kern w:val="0"/>
                      <w:szCs w:val="21"/>
                    </w:rPr>
                  </w:pPr>
                  <w:r>
                    <w:rPr>
                      <w:color w:val="auto"/>
                      <w:szCs w:val="21"/>
                    </w:rPr>
                    <w:t xml:space="preserve">0.4500 </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400</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jc w:val="center"/>
                    <w:rPr>
                      <w:color w:val="auto"/>
                      <w:kern w:val="0"/>
                      <w:szCs w:val="21"/>
                    </w:rPr>
                  </w:pPr>
                  <w:r>
                    <w:rPr>
                      <w:color w:val="auto"/>
                      <w:szCs w:val="21"/>
                    </w:rPr>
                    <w:t xml:space="preserve">0.3600 </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≤500</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SS</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400</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 xml:space="preserve">0.3600 </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300</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 xml:space="preserve">0.2700 </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≤400</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氨氮</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30</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 xml:space="preserve">0.0270 </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30</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 xml:space="preserve">0.0270 </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≤45</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总氮</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40</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 xml:space="preserve">0.0360 </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40</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 xml:space="preserve">0.0360 </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≤70</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总磷</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5</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 xml:space="preserve">0.0045 </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5</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 xml:space="preserve">0.0045 </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≤8</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restar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冷却排水</w:t>
                  </w:r>
                </w:p>
              </w:tc>
              <w:tc>
                <w:tcPr>
                  <w:tcW w:w="607"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77</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pH（无量纲）</w:t>
                  </w:r>
                </w:p>
              </w:tc>
              <w:tc>
                <w:tcPr>
                  <w:tcW w:w="1516"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kern w:val="0"/>
                      <w:szCs w:val="21"/>
                    </w:rPr>
                    <w:t>6~9</w:t>
                  </w:r>
                </w:p>
              </w:tc>
              <w:tc>
                <w:tcPr>
                  <w:tcW w:w="60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w:t>
                  </w:r>
                </w:p>
              </w:tc>
              <w:tc>
                <w:tcPr>
                  <w:tcW w:w="1518"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kern w:val="0"/>
                      <w:szCs w:val="21"/>
                    </w:rPr>
                    <w:t>6~9</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6~9</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COD</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2</w:t>
                  </w:r>
                  <w:r>
                    <w:rPr>
                      <w:rFonts w:hint="eastAsia"/>
                      <w:color w:val="auto"/>
                      <w:szCs w:val="21"/>
                    </w:rPr>
                    <w:t>00</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0.0154</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2</w:t>
                  </w:r>
                  <w:r>
                    <w:rPr>
                      <w:rFonts w:hint="eastAsia"/>
                      <w:color w:val="auto"/>
                      <w:szCs w:val="21"/>
                    </w:rPr>
                    <w:t>00</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0.0154</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≤500</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SS</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1</w:t>
                  </w:r>
                  <w:r>
                    <w:rPr>
                      <w:rFonts w:hint="eastAsia"/>
                      <w:color w:val="auto"/>
                      <w:szCs w:val="21"/>
                    </w:rPr>
                    <w:t>00</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0.0077</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szCs w:val="21"/>
                    </w:rPr>
                    <w:t>1</w:t>
                  </w:r>
                  <w:r>
                    <w:rPr>
                      <w:rFonts w:hint="eastAsia"/>
                      <w:color w:val="auto"/>
                      <w:szCs w:val="21"/>
                    </w:rPr>
                    <w:t>00</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0.0077</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≤400</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restar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接管废水合计</w:t>
                  </w:r>
                </w:p>
              </w:tc>
              <w:tc>
                <w:tcPr>
                  <w:tcW w:w="607"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977</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pH（无量纲）</w:t>
                  </w:r>
                </w:p>
              </w:tc>
              <w:tc>
                <w:tcPr>
                  <w:tcW w:w="1516"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kern w:val="0"/>
                      <w:szCs w:val="21"/>
                    </w:rPr>
                    <w:t>6~9</w:t>
                  </w:r>
                </w:p>
              </w:tc>
              <w:tc>
                <w:tcPr>
                  <w:tcW w:w="60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w:t>
                  </w:r>
                </w:p>
              </w:tc>
              <w:tc>
                <w:tcPr>
                  <w:tcW w:w="1518"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szCs w:val="21"/>
                    </w:rPr>
                  </w:pPr>
                  <w:r>
                    <w:rPr>
                      <w:color w:val="auto"/>
                      <w:kern w:val="0"/>
                      <w:szCs w:val="21"/>
                    </w:rPr>
                    <w:t>6~9</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6~9</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COD</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476.36 </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0.4654 </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384.24 </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0.3754 </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≤500</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SS</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376.36 </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0.3677 </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284.24 </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0.2777 </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≤400</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氨氮</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27.64 </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0.0270 </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27.64 </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0.0270 </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≤45</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总氮</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36.85 </w:t>
                  </w:r>
                </w:p>
              </w:tc>
              <w:tc>
                <w:tcPr>
                  <w:tcW w:w="7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0.0360 </w:t>
                  </w:r>
                </w:p>
              </w:tc>
              <w:tc>
                <w:tcPr>
                  <w:tcW w:w="608" w:type="dxa"/>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36.85 </w:t>
                  </w:r>
                </w:p>
              </w:tc>
              <w:tc>
                <w:tcPr>
                  <w:tcW w:w="7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0.0360 </w:t>
                  </w:r>
                </w:p>
              </w:tc>
              <w:tc>
                <w:tcPr>
                  <w:tcW w:w="91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≤70</w:t>
                  </w:r>
                </w:p>
              </w:tc>
              <w:tc>
                <w:tcPr>
                  <w:tcW w:w="6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Borders>
                    <w:top w:val="single" w:color="auto" w:sz="4" w:space="0"/>
                    <w:left w:val="nil"/>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607" w:type="dxa"/>
                  <w:vMerge w:val="continue"/>
                  <w:tcBorders>
                    <w:top w:val="single" w:color="auto" w:sz="4" w:space="0"/>
                    <w:left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910"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总磷</w:t>
                  </w:r>
                </w:p>
              </w:tc>
              <w:tc>
                <w:tcPr>
                  <w:tcW w:w="758"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4.61 </w:t>
                  </w:r>
                </w:p>
              </w:tc>
              <w:tc>
                <w:tcPr>
                  <w:tcW w:w="758"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0.0045 </w:t>
                  </w:r>
                </w:p>
              </w:tc>
              <w:tc>
                <w:tcPr>
                  <w:tcW w:w="608" w:type="dxa"/>
                  <w:vMerge w:val="continue"/>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759"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4.61 </w:t>
                  </w:r>
                </w:p>
              </w:tc>
              <w:tc>
                <w:tcPr>
                  <w:tcW w:w="759"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0.0045 </w:t>
                  </w:r>
                </w:p>
              </w:tc>
              <w:tc>
                <w:tcPr>
                  <w:tcW w:w="910"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widowControl/>
                    <w:adjustRightInd w:val="0"/>
                    <w:snapToGrid w:val="0"/>
                    <w:jc w:val="center"/>
                    <w:textAlignment w:val="center"/>
                    <w:rPr>
                      <w:color w:val="auto"/>
                      <w:kern w:val="0"/>
                      <w:szCs w:val="21"/>
                    </w:rPr>
                  </w:pPr>
                  <w:r>
                    <w:rPr>
                      <w:color w:val="auto"/>
                      <w:kern w:val="0"/>
                      <w:szCs w:val="21"/>
                    </w:rPr>
                    <w:t>≤8</w:t>
                  </w:r>
                </w:p>
              </w:tc>
              <w:tc>
                <w:tcPr>
                  <w:tcW w:w="608" w:type="dxa"/>
                  <w:vMerge w:val="continue"/>
                  <w:tcBorders>
                    <w:top w:val="single" w:color="auto" w:sz="4" w:space="0"/>
                    <w:lef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c>
                <w:tcPr>
                  <w:tcW w:w="1008" w:type="dxa"/>
                  <w:vMerge w:val="continue"/>
                  <w:tcBorders>
                    <w:top w:val="single" w:color="auto" w:sz="4" w:space="0"/>
                    <w:left w:val="single" w:color="auto" w:sz="4" w:space="0"/>
                  </w:tcBorders>
                  <w:tcMar>
                    <w:top w:w="0" w:type="dxa"/>
                    <w:left w:w="28" w:type="dxa"/>
                    <w:bottom w:w="0" w:type="dxa"/>
                    <w:right w:w="28" w:type="dxa"/>
                  </w:tcMar>
                  <w:vAlign w:val="center"/>
                </w:tcPr>
                <w:p>
                  <w:pPr>
                    <w:adjustRightInd w:val="0"/>
                    <w:snapToGrid w:val="0"/>
                    <w:jc w:val="center"/>
                    <w:rPr>
                      <w:color w:val="auto"/>
                      <w:szCs w:val="21"/>
                    </w:rPr>
                  </w:pPr>
                </w:p>
              </w:tc>
            </w:tr>
          </w:tbl>
          <w:p>
            <w:pPr>
              <w:adjustRightInd w:val="0"/>
              <w:snapToGrid w:val="0"/>
              <w:spacing w:line="360" w:lineRule="auto"/>
              <w:ind w:firstLine="482" w:firstLineChars="200"/>
              <w:jc w:val="left"/>
              <w:rPr>
                <w:b/>
                <w:bCs/>
                <w:color w:val="auto"/>
                <w:kern w:val="0"/>
                <w:sz w:val="24"/>
              </w:rPr>
            </w:pPr>
            <w:r>
              <w:rPr>
                <w:b/>
                <w:bCs/>
                <w:color w:val="auto"/>
                <w:kern w:val="0"/>
                <w:sz w:val="24"/>
              </w:rPr>
              <w:t>（2）废水污染治理设施及排放口情况</w:t>
            </w:r>
          </w:p>
          <w:p>
            <w:pPr>
              <w:adjustRightInd w:val="0"/>
              <w:snapToGrid w:val="0"/>
              <w:spacing w:line="360" w:lineRule="auto"/>
              <w:ind w:firstLine="480" w:firstLineChars="200"/>
              <w:rPr>
                <w:b/>
                <w:bCs/>
                <w:color w:val="auto"/>
                <w:kern w:val="0"/>
                <w:sz w:val="24"/>
              </w:rPr>
            </w:pPr>
            <w:r>
              <w:rPr>
                <w:color w:val="auto"/>
                <w:kern w:val="0"/>
                <w:sz w:val="24"/>
              </w:rPr>
              <w:t>废水污染治理设施信息表见表4-</w:t>
            </w:r>
            <w:r>
              <w:rPr>
                <w:rFonts w:hint="eastAsia"/>
                <w:color w:val="auto"/>
                <w:kern w:val="0"/>
                <w:sz w:val="24"/>
                <w:lang w:val="en-US" w:eastAsia="zh-CN"/>
              </w:rPr>
              <w:t>7</w:t>
            </w:r>
            <w:r>
              <w:rPr>
                <w:snapToGrid w:val="0"/>
                <w:color w:val="auto"/>
                <w:kern w:val="0"/>
                <w:sz w:val="24"/>
              </w:rPr>
              <w:t>。</w:t>
            </w:r>
          </w:p>
          <w:p>
            <w:pPr>
              <w:adjustRightInd w:val="0"/>
              <w:snapToGrid w:val="0"/>
              <w:jc w:val="center"/>
              <w:rPr>
                <w:b/>
                <w:bCs/>
                <w:color w:val="auto"/>
                <w:kern w:val="0"/>
                <w:sz w:val="24"/>
              </w:rPr>
            </w:pPr>
            <w:r>
              <w:rPr>
                <w:b/>
                <w:bCs/>
                <w:color w:val="auto"/>
                <w:kern w:val="0"/>
                <w:sz w:val="24"/>
              </w:rPr>
              <w:t>表4-</w:t>
            </w:r>
            <w:r>
              <w:rPr>
                <w:rFonts w:hint="eastAsia"/>
                <w:b/>
                <w:bCs/>
                <w:color w:val="auto"/>
                <w:kern w:val="0"/>
                <w:sz w:val="24"/>
                <w:lang w:val="en-US" w:eastAsia="zh-CN"/>
              </w:rPr>
              <w:t>7</w:t>
            </w:r>
            <w:r>
              <w:rPr>
                <w:b/>
                <w:bCs/>
                <w:color w:val="auto"/>
                <w:kern w:val="0"/>
                <w:sz w:val="24"/>
              </w:rPr>
              <w:t xml:space="preserve">  废水污染治理设施信息表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9"/>
              <w:gridCol w:w="833"/>
              <w:gridCol w:w="689"/>
              <w:gridCol w:w="689"/>
              <w:gridCol w:w="581"/>
              <w:gridCol w:w="695"/>
              <w:gridCol w:w="511"/>
              <w:gridCol w:w="750"/>
              <w:gridCol w:w="422"/>
              <w:gridCol w:w="501"/>
              <w:gridCol w:w="795"/>
              <w:gridCol w:w="12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325" w:type="pct"/>
                  <w:vMerge w:val="restart"/>
                  <w:vAlign w:val="center"/>
                </w:tcPr>
                <w:p>
                  <w:pPr>
                    <w:adjustRightInd w:val="0"/>
                    <w:snapToGrid w:val="0"/>
                    <w:jc w:val="center"/>
                    <w:rPr>
                      <w:b/>
                      <w:bCs/>
                      <w:color w:val="auto"/>
                      <w:szCs w:val="21"/>
                    </w:rPr>
                  </w:pPr>
                  <w:r>
                    <w:rPr>
                      <w:b/>
                      <w:bCs/>
                      <w:color w:val="auto"/>
                      <w:szCs w:val="21"/>
                    </w:rPr>
                    <w:t>废水类别</w:t>
                  </w:r>
                </w:p>
              </w:tc>
              <w:tc>
                <w:tcPr>
                  <w:tcW w:w="502" w:type="pct"/>
                  <w:vMerge w:val="restart"/>
                  <w:vAlign w:val="center"/>
                </w:tcPr>
                <w:p>
                  <w:pPr>
                    <w:adjustRightInd w:val="0"/>
                    <w:snapToGrid w:val="0"/>
                    <w:jc w:val="center"/>
                    <w:rPr>
                      <w:b/>
                      <w:bCs/>
                      <w:color w:val="auto"/>
                      <w:szCs w:val="21"/>
                    </w:rPr>
                  </w:pPr>
                  <w:r>
                    <w:rPr>
                      <w:b/>
                      <w:bCs/>
                      <w:color w:val="auto"/>
                      <w:szCs w:val="21"/>
                    </w:rPr>
                    <w:t>污染物种类</w:t>
                  </w:r>
                </w:p>
              </w:tc>
              <w:tc>
                <w:tcPr>
                  <w:tcW w:w="1907" w:type="pct"/>
                  <w:gridSpan w:val="5"/>
                  <w:vAlign w:val="center"/>
                </w:tcPr>
                <w:p>
                  <w:pPr>
                    <w:adjustRightInd w:val="0"/>
                    <w:snapToGrid w:val="0"/>
                    <w:jc w:val="center"/>
                    <w:rPr>
                      <w:b/>
                      <w:bCs/>
                      <w:color w:val="auto"/>
                      <w:szCs w:val="21"/>
                    </w:rPr>
                  </w:pPr>
                  <w:r>
                    <w:rPr>
                      <w:b/>
                      <w:bCs/>
                      <w:color w:val="auto"/>
                      <w:szCs w:val="21"/>
                    </w:rPr>
                    <w:t>污染治理设施</w:t>
                  </w:r>
                </w:p>
              </w:tc>
              <w:tc>
                <w:tcPr>
                  <w:tcW w:w="452" w:type="pct"/>
                  <w:vMerge w:val="restart"/>
                  <w:vAlign w:val="center"/>
                </w:tcPr>
                <w:p>
                  <w:pPr>
                    <w:adjustRightInd w:val="0"/>
                    <w:snapToGrid w:val="0"/>
                    <w:jc w:val="center"/>
                    <w:rPr>
                      <w:b/>
                      <w:bCs/>
                      <w:color w:val="auto"/>
                      <w:szCs w:val="21"/>
                    </w:rPr>
                  </w:pPr>
                  <w:r>
                    <w:rPr>
                      <w:b/>
                      <w:bCs/>
                      <w:color w:val="auto"/>
                      <w:szCs w:val="21"/>
                    </w:rPr>
                    <w:t>排放</w:t>
                  </w:r>
                </w:p>
                <w:p>
                  <w:pPr>
                    <w:adjustRightInd w:val="0"/>
                    <w:snapToGrid w:val="0"/>
                    <w:jc w:val="center"/>
                    <w:rPr>
                      <w:b/>
                      <w:bCs/>
                      <w:color w:val="auto"/>
                      <w:szCs w:val="21"/>
                    </w:rPr>
                  </w:pPr>
                  <w:r>
                    <w:rPr>
                      <w:b/>
                      <w:bCs/>
                      <w:color w:val="auto"/>
                      <w:szCs w:val="21"/>
                    </w:rPr>
                    <w:t>去向</w:t>
                  </w:r>
                </w:p>
              </w:tc>
              <w:tc>
                <w:tcPr>
                  <w:tcW w:w="254" w:type="pct"/>
                  <w:vMerge w:val="restart"/>
                  <w:vAlign w:val="center"/>
                </w:tcPr>
                <w:p>
                  <w:pPr>
                    <w:adjustRightInd w:val="0"/>
                    <w:snapToGrid w:val="0"/>
                    <w:jc w:val="center"/>
                    <w:rPr>
                      <w:color w:val="auto"/>
                      <w:szCs w:val="21"/>
                    </w:rPr>
                  </w:pPr>
                  <w:r>
                    <w:rPr>
                      <w:b/>
                      <w:bCs/>
                      <w:color w:val="auto"/>
                      <w:szCs w:val="21"/>
                    </w:rPr>
                    <w:t>排放规律</w:t>
                  </w:r>
                </w:p>
              </w:tc>
              <w:tc>
                <w:tcPr>
                  <w:tcW w:w="302" w:type="pct"/>
                  <w:vMerge w:val="restart"/>
                  <w:vAlign w:val="center"/>
                </w:tcPr>
                <w:p>
                  <w:pPr>
                    <w:adjustRightInd w:val="0"/>
                    <w:snapToGrid w:val="0"/>
                    <w:jc w:val="center"/>
                    <w:rPr>
                      <w:b/>
                      <w:bCs/>
                      <w:color w:val="auto"/>
                      <w:szCs w:val="21"/>
                    </w:rPr>
                  </w:pPr>
                  <w:r>
                    <w:rPr>
                      <w:b/>
                      <w:bCs/>
                      <w:color w:val="auto"/>
                      <w:szCs w:val="21"/>
                    </w:rPr>
                    <w:t>排放口编号</w:t>
                  </w:r>
                </w:p>
              </w:tc>
              <w:tc>
                <w:tcPr>
                  <w:tcW w:w="479" w:type="pct"/>
                  <w:vMerge w:val="restart"/>
                  <w:vAlign w:val="center"/>
                </w:tcPr>
                <w:p>
                  <w:pPr>
                    <w:adjustRightInd w:val="0"/>
                    <w:snapToGrid w:val="0"/>
                    <w:jc w:val="center"/>
                    <w:rPr>
                      <w:b/>
                      <w:bCs/>
                      <w:color w:val="auto"/>
                      <w:szCs w:val="21"/>
                    </w:rPr>
                  </w:pPr>
                  <w:r>
                    <w:rPr>
                      <w:b/>
                      <w:bCs/>
                      <w:color w:val="auto"/>
                      <w:szCs w:val="21"/>
                    </w:rPr>
                    <w:t>排放口设置是否符合要求</w:t>
                  </w:r>
                </w:p>
              </w:tc>
              <w:tc>
                <w:tcPr>
                  <w:tcW w:w="775" w:type="pct"/>
                  <w:vMerge w:val="restart"/>
                  <w:vAlign w:val="center"/>
                </w:tcPr>
                <w:p>
                  <w:pPr>
                    <w:adjustRightInd w:val="0"/>
                    <w:snapToGrid w:val="0"/>
                    <w:jc w:val="center"/>
                    <w:rPr>
                      <w:b/>
                      <w:bCs/>
                      <w:color w:val="auto"/>
                      <w:szCs w:val="21"/>
                    </w:rPr>
                  </w:pPr>
                  <w:r>
                    <w:rPr>
                      <w:b/>
                      <w:bCs/>
                      <w:color w:val="auto"/>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325" w:type="pct"/>
                  <w:vMerge w:val="continue"/>
                  <w:vAlign w:val="center"/>
                </w:tcPr>
                <w:p>
                  <w:pPr>
                    <w:adjustRightInd w:val="0"/>
                    <w:snapToGrid w:val="0"/>
                    <w:jc w:val="center"/>
                    <w:rPr>
                      <w:color w:val="auto"/>
                      <w:szCs w:val="21"/>
                    </w:rPr>
                  </w:pPr>
                </w:p>
              </w:tc>
              <w:tc>
                <w:tcPr>
                  <w:tcW w:w="502" w:type="pct"/>
                  <w:vMerge w:val="continue"/>
                  <w:vAlign w:val="center"/>
                </w:tcPr>
                <w:p>
                  <w:pPr>
                    <w:adjustRightInd w:val="0"/>
                    <w:snapToGrid w:val="0"/>
                    <w:jc w:val="center"/>
                    <w:rPr>
                      <w:color w:val="auto"/>
                      <w:szCs w:val="21"/>
                    </w:rPr>
                  </w:pPr>
                </w:p>
              </w:tc>
              <w:tc>
                <w:tcPr>
                  <w:tcW w:w="415" w:type="pct"/>
                  <w:vAlign w:val="center"/>
                </w:tcPr>
                <w:p>
                  <w:pPr>
                    <w:adjustRightInd w:val="0"/>
                    <w:snapToGrid w:val="0"/>
                    <w:jc w:val="center"/>
                    <w:rPr>
                      <w:b/>
                      <w:bCs/>
                      <w:color w:val="auto"/>
                      <w:szCs w:val="21"/>
                    </w:rPr>
                  </w:pPr>
                  <w:r>
                    <w:rPr>
                      <w:b/>
                      <w:bCs/>
                      <w:color w:val="auto"/>
                      <w:szCs w:val="21"/>
                    </w:rPr>
                    <w:t>污染治理设施编号</w:t>
                  </w:r>
                </w:p>
              </w:tc>
              <w:tc>
                <w:tcPr>
                  <w:tcW w:w="415" w:type="pct"/>
                  <w:vAlign w:val="center"/>
                </w:tcPr>
                <w:p>
                  <w:pPr>
                    <w:adjustRightInd w:val="0"/>
                    <w:snapToGrid w:val="0"/>
                    <w:jc w:val="center"/>
                    <w:rPr>
                      <w:b/>
                      <w:bCs/>
                      <w:color w:val="auto"/>
                      <w:szCs w:val="21"/>
                    </w:rPr>
                  </w:pPr>
                  <w:r>
                    <w:rPr>
                      <w:b/>
                      <w:bCs/>
                      <w:color w:val="auto"/>
                      <w:szCs w:val="21"/>
                    </w:rPr>
                    <w:t>污染治理设施名称</w:t>
                  </w:r>
                </w:p>
              </w:tc>
              <w:tc>
                <w:tcPr>
                  <w:tcW w:w="350" w:type="pct"/>
                  <w:vAlign w:val="center"/>
                </w:tcPr>
                <w:p>
                  <w:pPr>
                    <w:adjustRightInd w:val="0"/>
                    <w:snapToGrid w:val="0"/>
                    <w:jc w:val="center"/>
                    <w:rPr>
                      <w:b/>
                      <w:bCs/>
                      <w:color w:val="auto"/>
                      <w:szCs w:val="21"/>
                    </w:rPr>
                  </w:pPr>
                  <w:r>
                    <w:rPr>
                      <w:b/>
                      <w:bCs/>
                      <w:color w:val="auto"/>
                      <w:szCs w:val="21"/>
                    </w:rPr>
                    <w:t>处理能力</w:t>
                  </w:r>
                </w:p>
              </w:tc>
              <w:tc>
                <w:tcPr>
                  <w:tcW w:w="419" w:type="pct"/>
                  <w:vAlign w:val="center"/>
                </w:tcPr>
                <w:p>
                  <w:pPr>
                    <w:adjustRightInd w:val="0"/>
                    <w:snapToGrid w:val="0"/>
                    <w:jc w:val="center"/>
                    <w:rPr>
                      <w:b/>
                      <w:bCs/>
                      <w:color w:val="auto"/>
                      <w:szCs w:val="21"/>
                    </w:rPr>
                  </w:pPr>
                  <w:r>
                    <w:rPr>
                      <w:b/>
                      <w:bCs/>
                      <w:color w:val="auto"/>
                      <w:szCs w:val="21"/>
                    </w:rPr>
                    <w:t>污染治理设施工艺</w:t>
                  </w:r>
                </w:p>
              </w:tc>
              <w:tc>
                <w:tcPr>
                  <w:tcW w:w="306" w:type="pct"/>
                  <w:vAlign w:val="center"/>
                </w:tcPr>
                <w:p>
                  <w:pPr>
                    <w:adjustRightInd w:val="0"/>
                    <w:snapToGrid w:val="0"/>
                    <w:jc w:val="center"/>
                    <w:rPr>
                      <w:b/>
                      <w:bCs/>
                      <w:color w:val="auto"/>
                      <w:szCs w:val="21"/>
                    </w:rPr>
                  </w:pPr>
                  <w:r>
                    <w:rPr>
                      <w:b/>
                      <w:bCs/>
                      <w:color w:val="auto"/>
                      <w:szCs w:val="21"/>
                    </w:rPr>
                    <w:t>是否为可行性技术</w:t>
                  </w:r>
                </w:p>
              </w:tc>
              <w:tc>
                <w:tcPr>
                  <w:tcW w:w="452" w:type="pct"/>
                  <w:vMerge w:val="continue"/>
                  <w:vAlign w:val="center"/>
                </w:tcPr>
                <w:p>
                  <w:pPr>
                    <w:adjustRightInd w:val="0"/>
                    <w:snapToGrid w:val="0"/>
                    <w:jc w:val="center"/>
                    <w:rPr>
                      <w:color w:val="auto"/>
                      <w:szCs w:val="21"/>
                    </w:rPr>
                  </w:pPr>
                </w:p>
              </w:tc>
              <w:tc>
                <w:tcPr>
                  <w:tcW w:w="254" w:type="pct"/>
                  <w:vMerge w:val="continue"/>
                  <w:vAlign w:val="center"/>
                </w:tcPr>
                <w:p>
                  <w:pPr>
                    <w:adjustRightInd w:val="0"/>
                    <w:snapToGrid w:val="0"/>
                    <w:jc w:val="center"/>
                    <w:rPr>
                      <w:color w:val="auto"/>
                      <w:szCs w:val="21"/>
                    </w:rPr>
                  </w:pPr>
                </w:p>
              </w:tc>
              <w:tc>
                <w:tcPr>
                  <w:tcW w:w="302" w:type="pct"/>
                  <w:vMerge w:val="continue"/>
                  <w:vAlign w:val="center"/>
                </w:tcPr>
                <w:p>
                  <w:pPr>
                    <w:adjustRightInd w:val="0"/>
                    <w:snapToGrid w:val="0"/>
                    <w:jc w:val="center"/>
                    <w:rPr>
                      <w:color w:val="auto"/>
                      <w:szCs w:val="21"/>
                    </w:rPr>
                  </w:pPr>
                </w:p>
              </w:tc>
              <w:tc>
                <w:tcPr>
                  <w:tcW w:w="479" w:type="pct"/>
                  <w:vMerge w:val="continue"/>
                  <w:vAlign w:val="center"/>
                </w:tcPr>
                <w:p>
                  <w:pPr>
                    <w:adjustRightInd w:val="0"/>
                    <w:snapToGrid w:val="0"/>
                    <w:jc w:val="center"/>
                    <w:rPr>
                      <w:color w:val="auto"/>
                      <w:szCs w:val="21"/>
                    </w:rPr>
                  </w:pPr>
                </w:p>
              </w:tc>
              <w:tc>
                <w:tcPr>
                  <w:tcW w:w="77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325" w:type="pct"/>
                  <w:vAlign w:val="center"/>
                </w:tcPr>
                <w:p>
                  <w:pPr>
                    <w:adjustRightInd w:val="0"/>
                    <w:snapToGrid w:val="0"/>
                    <w:jc w:val="center"/>
                    <w:rPr>
                      <w:color w:val="auto"/>
                      <w:szCs w:val="21"/>
                    </w:rPr>
                  </w:pPr>
                  <w:r>
                    <w:rPr>
                      <w:rFonts w:hint="eastAsia"/>
                      <w:color w:val="auto"/>
                      <w:szCs w:val="21"/>
                    </w:rPr>
                    <w:t>生活污水</w:t>
                  </w:r>
                </w:p>
              </w:tc>
              <w:tc>
                <w:tcPr>
                  <w:tcW w:w="502" w:type="pct"/>
                  <w:vAlign w:val="center"/>
                </w:tcPr>
                <w:p>
                  <w:pPr>
                    <w:adjustRightInd w:val="0"/>
                    <w:snapToGrid w:val="0"/>
                    <w:jc w:val="center"/>
                    <w:rPr>
                      <w:color w:val="auto"/>
                      <w:szCs w:val="21"/>
                    </w:rPr>
                  </w:pPr>
                  <w:r>
                    <w:rPr>
                      <w:color w:val="auto"/>
                      <w:szCs w:val="21"/>
                    </w:rPr>
                    <w:t>pH值、COD、SS、NH</w:t>
                  </w:r>
                  <w:r>
                    <w:rPr>
                      <w:color w:val="auto"/>
                      <w:szCs w:val="21"/>
                      <w:vertAlign w:val="subscript"/>
                    </w:rPr>
                    <w:t>3</w:t>
                  </w:r>
                  <w:r>
                    <w:rPr>
                      <w:color w:val="auto"/>
                      <w:szCs w:val="21"/>
                    </w:rPr>
                    <w:t>-N、TN、TP</w:t>
                  </w:r>
                </w:p>
              </w:tc>
              <w:tc>
                <w:tcPr>
                  <w:tcW w:w="415" w:type="pct"/>
                  <w:vAlign w:val="center"/>
                </w:tcPr>
                <w:p>
                  <w:pPr>
                    <w:adjustRightInd w:val="0"/>
                    <w:snapToGrid w:val="0"/>
                    <w:jc w:val="center"/>
                    <w:rPr>
                      <w:color w:val="auto"/>
                      <w:szCs w:val="21"/>
                    </w:rPr>
                  </w:pPr>
                  <w:r>
                    <w:rPr>
                      <w:color w:val="auto"/>
                      <w:szCs w:val="21"/>
                    </w:rPr>
                    <w:t>TW001</w:t>
                  </w:r>
                </w:p>
              </w:tc>
              <w:tc>
                <w:tcPr>
                  <w:tcW w:w="415" w:type="pct"/>
                  <w:vAlign w:val="center"/>
                </w:tcPr>
                <w:p>
                  <w:pPr>
                    <w:adjustRightInd w:val="0"/>
                    <w:snapToGrid w:val="0"/>
                    <w:jc w:val="center"/>
                    <w:rPr>
                      <w:color w:val="auto"/>
                      <w:szCs w:val="21"/>
                    </w:rPr>
                  </w:pPr>
                  <w:r>
                    <w:rPr>
                      <w:color w:val="auto"/>
                      <w:szCs w:val="21"/>
                    </w:rPr>
                    <w:t>化粪池</w:t>
                  </w:r>
                </w:p>
              </w:tc>
              <w:tc>
                <w:tcPr>
                  <w:tcW w:w="350" w:type="pct"/>
                  <w:vAlign w:val="center"/>
                </w:tcPr>
                <w:p>
                  <w:pPr>
                    <w:adjustRightInd w:val="0"/>
                    <w:snapToGrid w:val="0"/>
                    <w:jc w:val="center"/>
                    <w:rPr>
                      <w:color w:val="auto"/>
                      <w:szCs w:val="21"/>
                    </w:rPr>
                  </w:pPr>
                  <w:r>
                    <w:rPr>
                      <w:rFonts w:hint="eastAsia"/>
                      <w:color w:val="auto"/>
                      <w:szCs w:val="21"/>
                    </w:rPr>
                    <w:t>10</w:t>
                  </w:r>
                  <w:r>
                    <w:rPr>
                      <w:color w:val="auto"/>
                      <w:szCs w:val="21"/>
                    </w:rPr>
                    <w:t>t/d</w:t>
                  </w:r>
                </w:p>
              </w:tc>
              <w:tc>
                <w:tcPr>
                  <w:tcW w:w="419" w:type="pct"/>
                  <w:vAlign w:val="center"/>
                </w:tcPr>
                <w:p>
                  <w:pPr>
                    <w:adjustRightInd w:val="0"/>
                    <w:snapToGrid w:val="0"/>
                    <w:jc w:val="center"/>
                    <w:rPr>
                      <w:color w:val="auto"/>
                      <w:szCs w:val="21"/>
                    </w:rPr>
                  </w:pPr>
                  <w:r>
                    <w:rPr>
                      <w:color w:val="auto"/>
                      <w:szCs w:val="21"/>
                    </w:rPr>
                    <w:t>/</w:t>
                  </w:r>
                </w:p>
              </w:tc>
              <w:tc>
                <w:tcPr>
                  <w:tcW w:w="306" w:type="pct"/>
                  <w:vAlign w:val="center"/>
                </w:tcPr>
                <w:p>
                  <w:pPr>
                    <w:adjustRightInd w:val="0"/>
                    <w:snapToGrid w:val="0"/>
                    <w:jc w:val="center"/>
                    <w:rPr>
                      <w:color w:val="auto"/>
                      <w:szCs w:val="21"/>
                    </w:rPr>
                  </w:pPr>
                  <w:r>
                    <w:rPr>
                      <w:color w:val="auto"/>
                      <w:szCs w:val="21"/>
                    </w:rPr>
                    <w:t>☑是</w:t>
                  </w:r>
                </w:p>
                <w:p>
                  <w:pPr>
                    <w:adjustRightInd w:val="0"/>
                    <w:snapToGrid w:val="0"/>
                    <w:jc w:val="center"/>
                    <w:rPr>
                      <w:color w:val="auto"/>
                      <w:szCs w:val="21"/>
                    </w:rPr>
                  </w:pPr>
                  <w:r>
                    <w:rPr>
                      <w:color w:val="auto"/>
                      <w:szCs w:val="21"/>
                    </w:rPr>
                    <w:t>□否</w:t>
                  </w:r>
                </w:p>
              </w:tc>
              <w:tc>
                <w:tcPr>
                  <w:tcW w:w="452" w:type="pct"/>
                  <w:vMerge w:val="restart"/>
                  <w:vAlign w:val="center"/>
                </w:tcPr>
                <w:p>
                  <w:pPr>
                    <w:adjustRightInd w:val="0"/>
                    <w:snapToGrid w:val="0"/>
                    <w:jc w:val="center"/>
                    <w:rPr>
                      <w:color w:val="auto"/>
                      <w:szCs w:val="21"/>
                    </w:rPr>
                  </w:pPr>
                  <w:r>
                    <w:rPr>
                      <w:color w:val="auto"/>
                      <w:szCs w:val="21"/>
                    </w:rPr>
                    <w:t>无锡玉祁永新污水处理有限公司</w:t>
                  </w:r>
                </w:p>
              </w:tc>
              <w:tc>
                <w:tcPr>
                  <w:tcW w:w="254" w:type="pct"/>
                  <w:vAlign w:val="center"/>
                </w:tcPr>
                <w:p>
                  <w:pPr>
                    <w:adjustRightInd w:val="0"/>
                    <w:snapToGrid w:val="0"/>
                    <w:jc w:val="center"/>
                    <w:rPr>
                      <w:color w:val="auto"/>
                      <w:szCs w:val="21"/>
                    </w:rPr>
                  </w:pPr>
                  <w:r>
                    <w:rPr>
                      <w:color w:val="auto"/>
                      <w:szCs w:val="21"/>
                    </w:rPr>
                    <w:t>连续</w:t>
                  </w:r>
                </w:p>
              </w:tc>
              <w:tc>
                <w:tcPr>
                  <w:tcW w:w="302" w:type="pct"/>
                  <w:vMerge w:val="restart"/>
                  <w:vAlign w:val="center"/>
                </w:tcPr>
                <w:p>
                  <w:pPr>
                    <w:adjustRightInd w:val="0"/>
                    <w:snapToGrid w:val="0"/>
                    <w:jc w:val="center"/>
                    <w:rPr>
                      <w:color w:val="auto"/>
                      <w:szCs w:val="21"/>
                    </w:rPr>
                  </w:pPr>
                  <w:r>
                    <w:rPr>
                      <w:color w:val="auto"/>
                      <w:szCs w:val="21"/>
                    </w:rPr>
                    <w:t>DW001</w:t>
                  </w:r>
                </w:p>
              </w:tc>
              <w:tc>
                <w:tcPr>
                  <w:tcW w:w="479" w:type="pct"/>
                  <w:vMerge w:val="restart"/>
                  <w:vAlign w:val="center"/>
                </w:tcPr>
                <w:p>
                  <w:pPr>
                    <w:adjustRightInd w:val="0"/>
                    <w:snapToGrid w:val="0"/>
                    <w:jc w:val="center"/>
                    <w:rPr>
                      <w:color w:val="auto"/>
                      <w:szCs w:val="21"/>
                    </w:rPr>
                  </w:pPr>
                  <w:r>
                    <w:rPr>
                      <w:color w:val="auto"/>
                      <w:szCs w:val="21"/>
                    </w:rPr>
                    <w:t>☑是</w:t>
                  </w:r>
                </w:p>
                <w:p>
                  <w:pPr>
                    <w:adjustRightInd w:val="0"/>
                    <w:snapToGrid w:val="0"/>
                    <w:jc w:val="center"/>
                    <w:rPr>
                      <w:color w:val="auto"/>
                      <w:szCs w:val="21"/>
                    </w:rPr>
                  </w:pPr>
                  <w:r>
                    <w:rPr>
                      <w:color w:val="auto"/>
                      <w:szCs w:val="21"/>
                    </w:rPr>
                    <w:t>□否</w:t>
                  </w:r>
                </w:p>
              </w:tc>
              <w:tc>
                <w:tcPr>
                  <w:tcW w:w="775" w:type="pct"/>
                  <w:vMerge w:val="restart"/>
                  <w:vAlign w:val="center"/>
                </w:tcPr>
                <w:p>
                  <w:pPr>
                    <w:adjustRightInd w:val="0"/>
                    <w:snapToGrid w:val="0"/>
                    <w:jc w:val="left"/>
                    <w:rPr>
                      <w:color w:val="auto"/>
                      <w:szCs w:val="21"/>
                    </w:rPr>
                  </w:pPr>
                  <w:r>
                    <w:rPr>
                      <w:color w:val="auto"/>
                      <w:szCs w:val="21"/>
                    </w:rPr>
                    <w:t>☑企业总排</w:t>
                  </w:r>
                </w:p>
                <w:p>
                  <w:pPr>
                    <w:adjustRightInd w:val="0"/>
                    <w:snapToGrid w:val="0"/>
                    <w:jc w:val="left"/>
                    <w:rPr>
                      <w:color w:val="auto"/>
                      <w:szCs w:val="21"/>
                    </w:rPr>
                  </w:pPr>
                  <w:r>
                    <w:rPr>
                      <w:color w:val="auto"/>
                      <w:szCs w:val="21"/>
                    </w:rPr>
                    <w:t>□雨水排放</w:t>
                  </w:r>
                </w:p>
                <w:p>
                  <w:pPr>
                    <w:adjustRightInd w:val="0"/>
                    <w:snapToGrid w:val="0"/>
                    <w:jc w:val="left"/>
                    <w:rPr>
                      <w:color w:val="auto"/>
                      <w:szCs w:val="21"/>
                    </w:rPr>
                  </w:pPr>
                  <w:r>
                    <w:rPr>
                      <w:color w:val="auto"/>
                      <w:szCs w:val="21"/>
                    </w:rPr>
                    <w:t>□清下水排放</w:t>
                  </w:r>
                </w:p>
                <w:p>
                  <w:pPr>
                    <w:adjustRightInd w:val="0"/>
                    <w:snapToGrid w:val="0"/>
                    <w:jc w:val="left"/>
                    <w:rPr>
                      <w:color w:val="auto"/>
                      <w:szCs w:val="21"/>
                    </w:rPr>
                  </w:pPr>
                  <w:r>
                    <w:rPr>
                      <w:color w:val="auto"/>
                      <w:szCs w:val="21"/>
                    </w:rPr>
                    <w:t>□温排水排放</w:t>
                  </w:r>
                </w:p>
                <w:p>
                  <w:pPr>
                    <w:adjustRightInd w:val="0"/>
                    <w:snapToGrid w:val="0"/>
                    <w:jc w:val="left"/>
                    <w:rPr>
                      <w:color w:val="auto"/>
                      <w:szCs w:val="21"/>
                    </w:rPr>
                  </w:pPr>
                  <w:r>
                    <w:rPr>
                      <w:color w:val="auto"/>
                      <w:szCs w:val="21"/>
                    </w:rPr>
                    <w:t>□车间或车间处理设施排放口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325" w:type="pct"/>
                  <w:vAlign w:val="center"/>
                </w:tcPr>
                <w:p>
                  <w:pPr>
                    <w:adjustRightInd w:val="0"/>
                    <w:snapToGrid w:val="0"/>
                    <w:jc w:val="center"/>
                    <w:rPr>
                      <w:color w:val="auto"/>
                      <w:szCs w:val="21"/>
                    </w:rPr>
                  </w:pPr>
                  <w:r>
                    <w:rPr>
                      <w:rFonts w:hint="eastAsia"/>
                      <w:color w:val="auto"/>
                      <w:szCs w:val="21"/>
                    </w:rPr>
                    <w:t>冷却排水</w:t>
                  </w:r>
                </w:p>
              </w:tc>
              <w:tc>
                <w:tcPr>
                  <w:tcW w:w="502" w:type="pct"/>
                  <w:vAlign w:val="center"/>
                </w:tcPr>
                <w:p>
                  <w:pPr>
                    <w:adjustRightInd w:val="0"/>
                    <w:snapToGrid w:val="0"/>
                    <w:jc w:val="center"/>
                    <w:rPr>
                      <w:color w:val="auto"/>
                      <w:szCs w:val="21"/>
                    </w:rPr>
                  </w:pPr>
                  <w:r>
                    <w:rPr>
                      <w:color w:val="auto"/>
                      <w:szCs w:val="21"/>
                    </w:rPr>
                    <w:t>pH值、COD、SS</w:t>
                  </w:r>
                </w:p>
              </w:tc>
              <w:tc>
                <w:tcPr>
                  <w:tcW w:w="415" w:type="pct"/>
                  <w:vAlign w:val="center"/>
                </w:tcPr>
                <w:p>
                  <w:pPr>
                    <w:adjustRightInd w:val="0"/>
                    <w:snapToGrid w:val="0"/>
                    <w:jc w:val="center"/>
                    <w:rPr>
                      <w:color w:val="auto"/>
                      <w:szCs w:val="21"/>
                    </w:rPr>
                  </w:pPr>
                  <w:r>
                    <w:rPr>
                      <w:rFonts w:hint="eastAsia"/>
                      <w:color w:val="auto"/>
                      <w:szCs w:val="21"/>
                    </w:rPr>
                    <w:t>/</w:t>
                  </w:r>
                </w:p>
              </w:tc>
              <w:tc>
                <w:tcPr>
                  <w:tcW w:w="415" w:type="pct"/>
                  <w:vAlign w:val="center"/>
                </w:tcPr>
                <w:p>
                  <w:pPr>
                    <w:adjustRightInd w:val="0"/>
                    <w:snapToGrid w:val="0"/>
                    <w:jc w:val="center"/>
                    <w:rPr>
                      <w:color w:val="auto"/>
                      <w:szCs w:val="21"/>
                    </w:rPr>
                  </w:pPr>
                  <w:r>
                    <w:rPr>
                      <w:rFonts w:hint="eastAsia"/>
                      <w:color w:val="auto"/>
                      <w:szCs w:val="21"/>
                    </w:rPr>
                    <w:t>/</w:t>
                  </w:r>
                </w:p>
              </w:tc>
              <w:tc>
                <w:tcPr>
                  <w:tcW w:w="350" w:type="pct"/>
                  <w:vAlign w:val="center"/>
                </w:tcPr>
                <w:p>
                  <w:pPr>
                    <w:adjustRightInd w:val="0"/>
                    <w:snapToGrid w:val="0"/>
                    <w:jc w:val="center"/>
                    <w:rPr>
                      <w:color w:val="auto"/>
                      <w:szCs w:val="21"/>
                    </w:rPr>
                  </w:pPr>
                  <w:r>
                    <w:rPr>
                      <w:rFonts w:hint="eastAsia"/>
                      <w:color w:val="auto"/>
                      <w:szCs w:val="21"/>
                    </w:rPr>
                    <w:t>/</w:t>
                  </w:r>
                </w:p>
              </w:tc>
              <w:tc>
                <w:tcPr>
                  <w:tcW w:w="419" w:type="pct"/>
                  <w:vAlign w:val="center"/>
                </w:tcPr>
                <w:p>
                  <w:pPr>
                    <w:adjustRightInd w:val="0"/>
                    <w:snapToGrid w:val="0"/>
                    <w:jc w:val="center"/>
                    <w:rPr>
                      <w:color w:val="auto"/>
                      <w:szCs w:val="21"/>
                    </w:rPr>
                  </w:pPr>
                  <w:r>
                    <w:rPr>
                      <w:rFonts w:hint="eastAsia"/>
                      <w:color w:val="auto"/>
                      <w:szCs w:val="21"/>
                    </w:rPr>
                    <w:t>/</w:t>
                  </w:r>
                </w:p>
              </w:tc>
              <w:tc>
                <w:tcPr>
                  <w:tcW w:w="306" w:type="pct"/>
                  <w:vAlign w:val="center"/>
                </w:tcPr>
                <w:p>
                  <w:pPr>
                    <w:adjustRightInd w:val="0"/>
                    <w:snapToGrid w:val="0"/>
                    <w:jc w:val="center"/>
                    <w:rPr>
                      <w:color w:val="auto"/>
                      <w:szCs w:val="21"/>
                    </w:rPr>
                  </w:pPr>
                  <w:r>
                    <w:rPr>
                      <w:rFonts w:hint="eastAsia"/>
                      <w:color w:val="auto"/>
                      <w:szCs w:val="21"/>
                    </w:rPr>
                    <w:t>/</w:t>
                  </w:r>
                </w:p>
              </w:tc>
              <w:tc>
                <w:tcPr>
                  <w:tcW w:w="452" w:type="pct"/>
                  <w:vMerge w:val="continue"/>
                  <w:vAlign w:val="center"/>
                </w:tcPr>
                <w:p>
                  <w:pPr>
                    <w:adjustRightInd w:val="0"/>
                    <w:snapToGrid w:val="0"/>
                    <w:jc w:val="center"/>
                    <w:rPr>
                      <w:color w:val="auto"/>
                      <w:szCs w:val="21"/>
                    </w:rPr>
                  </w:pPr>
                </w:p>
              </w:tc>
              <w:tc>
                <w:tcPr>
                  <w:tcW w:w="254" w:type="pct"/>
                  <w:vAlign w:val="center"/>
                </w:tcPr>
                <w:p>
                  <w:pPr>
                    <w:adjustRightInd w:val="0"/>
                    <w:snapToGrid w:val="0"/>
                    <w:jc w:val="center"/>
                    <w:rPr>
                      <w:color w:val="auto"/>
                      <w:szCs w:val="21"/>
                    </w:rPr>
                  </w:pPr>
                  <w:r>
                    <w:rPr>
                      <w:rFonts w:hint="eastAsia"/>
                      <w:color w:val="auto"/>
                      <w:szCs w:val="21"/>
                    </w:rPr>
                    <w:t>间断</w:t>
                  </w:r>
                </w:p>
              </w:tc>
              <w:tc>
                <w:tcPr>
                  <w:tcW w:w="302" w:type="pct"/>
                  <w:vMerge w:val="continue"/>
                  <w:vAlign w:val="center"/>
                </w:tcPr>
                <w:p>
                  <w:pPr>
                    <w:adjustRightInd w:val="0"/>
                    <w:snapToGrid w:val="0"/>
                    <w:jc w:val="center"/>
                    <w:rPr>
                      <w:color w:val="auto"/>
                      <w:szCs w:val="21"/>
                    </w:rPr>
                  </w:pPr>
                </w:p>
              </w:tc>
              <w:tc>
                <w:tcPr>
                  <w:tcW w:w="479" w:type="pct"/>
                  <w:vMerge w:val="continue"/>
                  <w:vAlign w:val="center"/>
                </w:tcPr>
                <w:p>
                  <w:pPr>
                    <w:adjustRightInd w:val="0"/>
                    <w:snapToGrid w:val="0"/>
                    <w:jc w:val="center"/>
                    <w:rPr>
                      <w:color w:val="auto"/>
                      <w:szCs w:val="21"/>
                    </w:rPr>
                  </w:pPr>
                </w:p>
              </w:tc>
              <w:tc>
                <w:tcPr>
                  <w:tcW w:w="775" w:type="pct"/>
                  <w:vMerge w:val="continue"/>
                  <w:vAlign w:val="center"/>
                </w:tcPr>
                <w:p>
                  <w:pPr>
                    <w:adjustRightInd w:val="0"/>
                    <w:snapToGrid w:val="0"/>
                    <w:jc w:val="left"/>
                    <w:rPr>
                      <w:color w:val="auto"/>
                      <w:szCs w:val="21"/>
                    </w:rPr>
                  </w:pPr>
                </w:p>
              </w:tc>
            </w:tr>
          </w:tbl>
          <w:p>
            <w:pPr>
              <w:adjustRightInd w:val="0"/>
              <w:snapToGrid w:val="0"/>
              <w:spacing w:before="120" w:beforeLines="50" w:line="360" w:lineRule="auto"/>
              <w:ind w:firstLine="480" w:firstLineChars="200"/>
              <w:jc w:val="left"/>
              <w:rPr>
                <w:b/>
                <w:bCs/>
                <w:color w:val="auto"/>
                <w:kern w:val="0"/>
                <w:sz w:val="24"/>
              </w:rPr>
            </w:pPr>
            <w:r>
              <w:rPr>
                <w:color w:val="auto"/>
                <w:kern w:val="0"/>
                <w:sz w:val="24"/>
              </w:rPr>
              <w:t>废水间接排放口基本情况见表4-</w:t>
            </w:r>
            <w:r>
              <w:rPr>
                <w:rFonts w:hint="eastAsia"/>
                <w:color w:val="auto"/>
                <w:kern w:val="0"/>
                <w:sz w:val="24"/>
                <w:lang w:val="en-US" w:eastAsia="zh-CN"/>
              </w:rPr>
              <w:t>8</w:t>
            </w:r>
            <w:r>
              <w:rPr>
                <w:snapToGrid w:val="0"/>
                <w:color w:val="auto"/>
                <w:kern w:val="0"/>
                <w:sz w:val="24"/>
              </w:rPr>
              <w:t>。</w:t>
            </w:r>
          </w:p>
          <w:p>
            <w:pPr>
              <w:adjustRightInd w:val="0"/>
              <w:snapToGrid w:val="0"/>
              <w:jc w:val="center"/>
              <w:rPr>
                <w:b/>
                <w:bCs/>
                <w:color w:val="auto"/>
                <w:kern w:val="0"/>
                <w:sz w:val="24"/>
              </w:rPr>
            </w:pPr>
            <w:r>
              <w:rPr>
                <w:b/>
                <w:bCs/>
                <w:color w:val="auto"/>
                <w:kern w:val="0"/>
                <w:sz w:val="24"/>
              </w:rPr>
              <w:t>表4-</w:t>
            </w:r>
            <w:r>
              <w:rPr>
                <w:rFonts w:hint="eastAsia"/>
                <w:b/>
                <w:bCs/>
                <w:color w:val="auto"/>
                <w:kern w:val="0"/>
                <w:sz w:val="24"/>
                <w:lang w:val="en-US" w:eastAsia="zh-CN"/>
              </w:rPr>
              <w:t>8</w:t>
            </w:r>
            <w:r>
              <w:rPr>
                <w:b/>
                <w:bCs/>
                <w:color w:val="auto"/>
                <w:kern w:val="0"/>
                <w:sz w:val="24"/>
              </w:rPr>
              <w:t xml:space="preserve">  废水间接排放口基本情况表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4"/>
              <w:gridCol w:w="874"/>
              <w:gridCol w:w="730"/>
              <w:gridCol w:w="783"/>
              <w:gridCol w:w="691"/>
              <w:gridCol w:w="848"/>
              <w:gridCol w:w="861"/>
              <w:gridCol w:w="457"/>
              <w:gridCol w:w="821"/>
              <w:gridCol w:w="678"/>
              <w:gridCol w:w="7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6" w:type="pct"/>
                  <w:vMerge w:val="restart"/>
                  <w:vAlign w:val="center"/>
                </w:tcPr>
                <w:p>
                  <w:pPr>
                    <w:snapToGrid w:val="0"/>
                    <w:jc w:val="center"/>
                    <w:rPr>
                      <w:b/>
                      <w:color w:val="auto"/>
                      <w:szCs w:val="21"/>
                    </w:rPr>
                  </w:pPr>
                  <w:r>
                    <w:rPr>
                      <w:b/>
                      <w:color w:val="auto"/>
                      <w:szCs w:val="21"/>
                    </w:rPr>
                    <w:t>排放口编号</w:t>
                  </w:r>
                </w:p>
              </w:tc>
              <w:tc>
                <w:tcPr>
                  <w:tcW w:w="527" w:type="pct"/>
                  <w:vMerge w:val="restart"/>
                  <w:vAlign w:val="center"/>
                </w:tcPr>
                <w:p>
                  <w:pPr>
                    <w:snapToGrid w:val="0"/>
                    <w:jc w:val="center"/>
                    <w:rPr>
                      <w:b/>
                      <w:color w:val="auto"/>
                      <w:szCs w:val="21"/>
                    </w:rPr>
                  </w:pPr>
                  <w:r>
                    <w:rPr>
                      <w:b/>
                      <w:color w:val="auto"/>
                      <w:szCs w:val="21"/>
                    </w:rPr>
                    <w:t>排放口名称</w:t>
                  </w:r>
                </w:p>
              </w:tc>
              <w:tc>
                <w:tcPr>
                  <w:tcW w:w="440" w:type="pct"/>
                  <w:vMerge w:val="restart"/>
                  <w:vAlign w:val="center"/>
                </w:tcPr>
                <w:p>
                  <w:pPr>
                    <w:snapToGrid w:val="0"/>
                    <w:jc w:val="center"/>
                    <w:rPr>
                      <w:b/>
                      <w:color w:val="auto"/>
                      <w:szCs w:val="21"/>
                    </w:rPr>
                  </w:pPr>
                  <w:r>
                    <w:rPr>
                      <w:b/>
                      <w:bCs/>
                      <w:color w:val="auto"/>
                      <w:szCs w:val="21"/>
                    </w:rPr>
                    <w:t>排放口类型</w:t>
                  </w:r>
                </w:p>
              </w:tc>
              <w:tc>
                <w:tcPr>
                  <w:tcW w:w="888" w:type="pct"/>
                  <w:gridSpan w:val="2"/>
                  <w:vAlign w:val="center"/>
                </w:tcPr>
                <w:p>
                  <w:pPr>
                    <w:snapToGrid w:val="0"/>
                    <w:jc w:val="center"/>
                    <w:rPr>
                      <w:b/>
                      <w:color w:val="auto"/>
                      <w:szCs w:val="21"/>
                    </w:rPr>
                  </w:pPr>
                  <w:r>
                    <w:rPr>
                      <w:b/>
                      <w:color w:val="auto"/>
                      <w:szCs w:val="21"/>
                    </w:rPr>
                    <w:t>排放口地理位置</w:t>
                  </w:r>
                </w:p>
              </w:tc>
              <w:tc>
                <w:tcPr>
                  <w:tcW w:w="511" w:type="pct"/>
                  <w:vMerge w:val="restart"/>
                  <w:vAlign w:val="center"/>
                </w:tcPr>
                <w:p>
                  <w:pPr>
                    <w:snapToGrid w:val="0"/>
                    <w:jc w:val="center"/>
                    <w:rPr>
                      <w:b/>
                      <w:color w:val="auto"/>
                      <w:szCs w:val="21"/>
                    </w:rPr>
                  </w:pPr>
                  <w:r>
                    <w:rPr>
                      <w:b/>
                      <w:color w:val="auto"/>
                      <w:szCs w:val="21"/>
                    </w:rPr>
                    <w:t>废水排放量（万t/a）</w:t>
                  </w:r>
                </w:p>
              </w:tc>
              <w:tc>
                <w:tcPr>
                  <w:tcW w:w="519" w:type="pct"/>
                  <w:vMerge w:val="restart"/>
                  <w:vAlign w:val="center"/>
                </w:tcPr>
                <w:p>
                  <w:pPr>
                    <w:snapToGrid w:val="0"/>
                    <w:jc w:val="center"/>
                    <w:rPr>
                      <w:b/>
                      <w:color w:val="auto"/>
                      <w:szCs w:val="21"/>
                    </w:rPr>
                  </w:pPr>
                  <w:r>
                    <w:rPr>
                      <w:b/>
                      <w:color w:val="auto"/>
                      <w:szCs w:val="21"/>
                    </w:rPr>
                    <w:t>排放去向</w:t>
                  </w:r>
                </w:p>
              </w:tc>
              <w:tc>
                <w:tcPr>
                  <w:tcW w:w="275" w:type="pct"/>
                  <w:vMerge w:val="restart"/>
                  <w:vAlign w:val="center"/>
                </w:tcPr>
                <w:p>
                  <w:pPr>
                    <w:snapToGrid w:val="0"/>
                    <w:jc w:val="center"/>
                    <w:rPr>
                      <w:b/>
                      <w:color w:val="auto"/>
                      <w:szCs w:val="21"/>
                    </w:rPr>
                  </w:pPr>
                  <w:r>
                    <w:rPr>
                      <w:b/>
                      <w:color w:val="auto"/>
                      <w:szCs w:val="21"/>
                    </w:rPr>
                    <w:t>排放规律</w:t>
                  </w:r>
                </w:p>
              </w:tc>
              <w:tc>
                <w:tcPr>
                  <w:tcW w:w="1370" w:type="pct"/>
                  <w:gridSpan w:val="3"/>
                  <w:vAlign w:val="center"/>
                </w:tcPr>
                <w:p>
                  <w:pPr>
                    <w:snapToGrid w:val="0"/>
                    <w:jc w:val="center"/>
                    <w:rPr>
                      <w:b/>
                      <w:color w:val="auto"/>
                      <w:szCs w:val="21"/>
                    </w:rPr>
                  </w:pPr>
                  <w:r>
                    <w:rPr>
                      <w:b/>
                      <w:color w:val="auto"/>
                      <w:szCs w:val="21"/>
                    </w:rPr>
                    <w:t>排放标准（mg/L）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vAlign w:val="center"/>
                </w:tcPr>
                <w:p>
                  <w:pPr>
                    <w:snapToGrid w:val="0"/>
                    <w:jc w:val="center"/>
                    <w:rPr>
                      <w:b/>
                      <w:color w:val="auto"/>
                      <w:szCs w:val="21"/>
                    </w:rPr>
                  </w:pPr>
                </w:p>
              </w:tc>
              <w:tc>
                <w:tcPr>
                  <w:tcW w:w="527" w:type="pct"/>
                  <w:vMerge w:val="continue"/>
                  <w:vAlign w:val="center"/>
                </w:tcPr>
                <w:p>
                  <w:pPr>
                    <w:snapToGrid w:val="0"/>
                    <w:jc w:val="center"/>
                    <w:rPr>
                      <w:b/>
                      <w:color w:val="auto"/>
                      <w:szCs w:val="21"/>
                    </w:rPr>
                  </w:pPr>
                </w:p>
              </w:tc>
              <w:tc>
                <w:tcPr>
                  <w:tcW w:w="440" w:type="pct"/>
                  <w:vMerge w:val="continue"/>
                  <w:vAlign w:val="center"/>
                </w:tcPr>
                <w:p>
                  <w:pPr>
                    <w:snapToGrid w:val="0"/>
                    <w:jc w:val="center"/>
                    <w:rPr>
                      <w:b/>
                      <w:color w:val="auto"/>
                      <w:szCs w:val="21"/>
                    </w:rPr>
                  </w:pPr>
                </w:p>
              </w:tc>
              <w:tc>
                <w:tcPr>
                  <w:tcW w:w="472" w:type="pct"/>
                  <w:vAlign w:val="center"/>
                </w:tcPr>
                <w:p>
                  <w:pPr>
                    <w:snapToGrid w:val="0"/>
                    <w:jc w:val="center"/>
                    <w:rPr>
                      <w:b/>
                      <w:color w:val="auto"/>
                      <w:szCs w:val="21"/>
                    </w:rPr>
                  </w:pPr>
                  <w:r>
                    <w:rPr>
                      <w:b/>
                      <w:color w:val="auto"/>
                      <w:szCs w:val="21"/>
                    </w:rPr>
                    <w:t>经度</w:t>
                  </w:r>
                </w:p>
              </w:tc>
              <w:tc>
                <w:tcPr>
                  <w:tcW w:w="416" w:type="pct"/>
                  <w:vAlign w:val="center"/>
                </w:tcPr>
                <w:p>
                  <w:pPr>
                    <w:snapToGrid w:val="0"/>
                    <w:jc w:val="center"/>
                    <w:rPr>
                      <w:b/>
                      <w:color w:val="auto"/>
                      <w:szCs w:val="21"/>
                    </w:rPr>
                  </w:pPr>
                  <w:r>
                    <w:rPr>
                      <w:b/>
                      <w:color w:val="auto"/>
                      <w:szCs w:val="21"/>
                    </w:rPr>
                    <w:t>纬度</w:t>
                  </w:r>
                </w:p>
              </w:tc>
              <w:tc>
                <w:tcPr>
                  <w:tcW w:w="511" w:type="pct"/>
                  <w:vMerge w:val="continue"/>
                  <w:vAlign w:val="center"/>
                </w:tcPr>
                <w:p>
                  <w:pPr>
                    <w:snapToGrid w:val="0"/>
                    <w:jc w:val="center"/>
                    <w:rPr>
                      <w:b/>
                      <w:color w:val="auto"/>
                      <w:szCs w:val="21"/>
                    </w:rPr>
                  </w:pPr>
                </w:p>
              </w:tc>
              <w:tc>
                <w:tcPr>
                  <w:tcW w:w="519" w:type="pct"/>
                  <w:vMerge w:val="continue"/>
                  <w:vAlign w:val="center"/>
                </w:tcPr>
                <w:p>
                  <w:pPr>
                    <w:snapToGrid w:val="0"/>
                    <w:jc w:val="center"/>
                    <w:rPr>
                      <w:b/>
                      <w:color w:val="auto"/>
                      <w:szCs w:val="21"/>
                    </w:rPr>
                  </w:pPr>
                </w:p>
              </w:tc>
              <w:tc>
                <w:tcPr>
                  <w:tcW w:w="275" w:type="pct"/>
                  <w:vMerge w:val="continue"/>
                  <w:vAlign w:val="center"/>
                </w:tcPr>
                <w:p>
                  <w:pPr>
                    <w:snapToGrid w:val="0"/>
                    <w:jc w:val="center"/>
                    <w:rPr>
                      <w:b/>
                      <w:color w:val="auto"/>
                      <w:szCs w:val="21"/>
                    </w:rPr>
                  </w:pPr>
                </w:p>
              </w:tc>
              <w:tc>
                <w:tcPr>
                  <w:tcW w:w="495" w:type="pct"/>
                  <w:vAlign w:val="center"/>
                </w:tcPr>
                <w:p>
                  <w:pPr>
                    <w:snapToGrid w:val="0"/>
                    <w:jc w:val="center"/>
                    <w:rPr>
                      <w:b/>
                      <w:color w:val="auto"/>
                      <w:szCs w:val="21"/>
                    </w:rPr>
                  </w:pPr>
                  <w:r>
                    <w:rPr>
                      <w:b/>
                      <w:color w:val="auto"/>
                      <w:szCs w:val="21"/>
                    </w:rPr>
                    <w:t>污染物种类</w:t>
                  </w:r>
                </w:p>
              </w:tc>
              <w:tc>
                <w:tcPr>
                  <w:tcW w:w="408" w:type="pct"/>
                  <w:vAlign w:val="center"/>
                </w:tcPr>
                <w:p>
                  <w:pPr>
                    <w:snapToGrid w:val="0"/>
                    <w:jc w:val="center"/>
                    <w:rPr>
                      <w:b/>
                      <w:color w:val="auto"/>
                      <w:szCs w:val="21"/>
                    </w:rPr>
                  </w:pPr>
                  <w:r>
                    <w:rPr>
                      <w:b/>
                      <w:color w:val="auto"/>
                      <w:szCs w:val="21"/>
                    </w:rPr>
                    <w:t>接管标准</w:t>
                  </w:r>
                </w:p>
              </w:tc>
              <w:tc>
                <w:tcPr>
                  <w:tcW w:w="466" w:type="pct"/>
                  <w:vAlign w:val="center"/>
                </w:tcPr>
                <w:p>
                  <w:pPr>
                    <w:snapToGrid w:val="0"/>
                    <w:jc w:val="center"/>
                    <w:rPr>
                      <w:b/>
                      <w:color w:val="auto"/>
                      <w:szCs w:val="21"/>
                    </w:rPr>
                  </w:pPr>
                  <w:r>
                    <w:rPr>
                      <w:b/>
                      <w:color w:val="auto"/>
                      <w:szCs w:val="21"/>
                    </w:rPr>
                    <w:t>最终排放标准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6" w:type="pct"/>
                  <w:vMerge w:val="restart"/>
                  <w:vAlign w:val="center"/>
                </w:tcPr>
                <w:p>
                  <w:pPr>
                    <w:snapToGrid w:val="0"/>
                    <w:jc w:val="center"/>
                    <w:rPr>
                      <w:color w:val="auto"/>
                      <w:szCs w:val="21"/>
                    </w:rPr>
                  </w:pPr>
                  <w:r>
                    <w:rPr>
                      <w:color w:val="auto"/>
                      <w:szCs w:val="21"/>
                    </w:rPr>
                    <w:t>DW001</w:t>
                  </w:r>
                </w:p>
              </w:tc>
              <w:tc>
                <w:tcPr>
                  <w:tcW w:w="527" w:type="pct"/>
                  <w:vMerge w:val="restart"/>
                  <w:vAlign w:val="center"/>
                </w:tcPr>
                <w:p>
                  <w:pPr>
                    <w:adjustRightInd w:val="0"/>
                    <w:snapToGrid w:val="0"/>
                    <w:jc w:val="center"/>
                    <w:rPr>
                      <w:color w:val="auto"/>
                      <w:szCs w:val="21"/>
                    </w:rPr>
                  </w:pPr>
                  <w:r>
                    <w:rPr>
                      <w:rFonts w:hint="eastAsia"/>
                      <w:color w:val="auto"/>
                      <w:szCs w:val="21"/>
                    </w:rPr>
                    <w:t>接管废水</w:t>
                  </w:r>
                  <w:r>
                    <w:rPr>
                      <w:color w:val="auto"/>
                      <w:szCs w:val="21"/>
                    </w:rPr>
                    <w:t>排放口</w:t>
                  </w:r>
                </w:p>
              </w:tc>
              <w:tc>
                <w:tcPr>
                  <w:tcW w:w="440" w:type="pct"/>
                  <w:vMerge w:val="restart"/>
                  <w:vAlign w:val="center"/>
                </w:tcPr>
                <w:p>
                  <w:pPr>
                    <w:adjustRightInd w:val="0"/>
                    <w:snapToGrid w:val="0"/>
                    <w:jc w:val="center"/>
                    <w:rPr>
                      <w:color w:val="auto"/>
                      <w:szCs w:val="21"/>
                    </w:rPr>
                  </w:pPr>
                  <w:r>
                    <w:rPr>
                      <w:color w:val="auto"/>
                      <w:szCs w:val="21"/>
                    </w:rPr>
                    <w:t>企业总排口</w:t>
                  </w:r>
                </w:p>
              </w:tc>
              <w:tc>
                <w:tcPr>
                  <w:tcW w:w="472" w:type="pct"/>
                  <w:vMerge w:val="restart"/>
                  <w:vAlign w:val="center"/>
                </w:tcPr>
                <w:p>
                  <w:pPr>
                    <w:snapToGrid w:val="0"/>
                    <w:jc w:val="center"/>
                    <w:rPr>
                      <w:color w:val="auto"/>
                      <w:szCs w:val="21"/>
                    </w:rPr>
                  </w:pPr>
                  <w:r>
                    <w:rPr>
                      <w:color w:val="auto"/>
                      <w:szCs w:val="21"/>
                    </w:rPr>
                    <w:t>120.224766</w:t>
                  </w:r>
                </w:p>
              </w:tc>
              <w:tc>
                <w:tcPr>
                  <w:tcW w:w="416" w:type="pct"/>
                  <w:vMerge w:val="restart"/>
                  <w:vAlign w:val="center"/>
                </w:tcPr>
                <w:p>
                  <w:pPr>
                    <w:snapToGrid w:val="0"/>
                    <w:jc w:val="center"/>
                    <w:rPr>
                      <w:color w:val="auto"/>
                      <w:szCs w:val="21"/>
                    </w:rPr>
                  </w:pPr>
                  <w:r>
                    <w:rPr>
                      <w:color w:val="auto"/>
                      <w:szCs w:val="21"/>
                    </w:rPr>
                    <w:t>31.719060</w:t>
                  </w:r>
                </w:p>
              </w:tc>
              <w:tc>
                <w:tcPr>
                  <w:tcW w:w="511" w:type="pct"/>
                  <w:vMerge w:val="restart"/>
                  <w:vAlign w:val="center"/>
                </w:tcPr>
                <w:p>
                  <w:pPr>
                    <w:snapToGrid w:val="0"/>
                    <w:jc w:val="center"/>
                    <w:rPr>
                      <w:rFonts w:hint="default" w:eastAsia="宋体"/>
                      <w:color w:val="auto"/>
                      <w:szCs w:val="21"/>
                      <w:lang w:val="en-US" w:eastAsia="zh-CN"/>
                    </w:rPr>
                  </w:pPr>
                  <w:r>
                    <w:rPr>
                      <w:color w:val="auto"/>
                      <w:szCs w:val="21"/>
                    </w:rPr>
                    <w:t>0.</w:t>
                  </w:r>
                  <w:r>
                    <w:rPr>
                      <w:rFonts w:hint="eastAsia"/>
                      <w:color w:val="auto"/>
                      <w:szCs w:val="21"/>
                      <w:lang w:val="en-US" w:eastAsia="zh-CN"/>
                    </w:rPr>
                    <w:t>0977</w:t>
                  </w:r>
                </w:p>
              </w:tc>
              <w:tc>
                <w:tcPr>
                  <w:tcW w:w="519" w:type="pct"/>
                  <w:vMerge w:val="restart"/>
                  <w:vAlign w:val="center"/>
                </w:tcPr>
                <w:p>
                  <w:pPr>
                    <w:adjustRightInd w:val="0"/>
                    <w:snapToGrid w:val="0"/>
                    <w:jc w:val="center"/>
                    <w:rPr>
                      <w:color w:val="auto"/>
                      <w:szCs w:val="21"/>
                    </w:rPr>
                  </w:pPr>
                  <w:r>
                    <w:rPr>
                      <w:color w:val="auto"/>
                      <w:szCs w:val="21"/>
                    </w:rPr>
                    <w:t>无锡玉祁永新污水处理有限公司</w:t>
                  </w:r>
                </w:p>
              </w:tc>
              <w:tc>
                <w:tcPr>
                  <w:tcW w:w="275" w:type="pct"/>
                  <w:vMerge w:val="restart"/>
                  <w:vAlign w:val="center"/>
                </w:tcPr>
                <w:p>
                  <w:pPr>
                    <w:adjustRightInd w:val="0"/>
                    <w:snapToGrid w:val="0"/>
                    <w:jc w:val="center"/>
                    <w:rPr>
                      <w:color w:val="auto"/>
                      <w:szCs w:val="21"/>
                    </w:rPr>
                  </w:pPr>
                  <w:r>
                    <w:rPr>
                      <w:color w:val="auto"/>
                      <w:szCs w:val="21"/>
                    </w:rPr>
                    <w:t>连续</w:t>
                  </w:r>
                </w:p>
              </w:tc>
              <w:tc>
                <w:tcPr>
                  <w:tcW w:w="495" w:type="pct"/>
                  <w:vAlign w:val="center"/>
                </w:tcPr>
                <w:p>
                  <w:pPr>
                    <w:pStyle w:val="37"/>
                    <w:spacing w:before="24" w:after="24" w:line="240" w:lineRule="auto"/>
                    <w:rPr>
                      <w:rFonts w:ascii="Times New Roman"/>
                      <w:color w:val="auto"/>
                      <w:szCs w:val="21"/>
                    </w:rPr>
                  </w:pPr>
                  <w:r>
                    <w:rPr>
                      <w:rFonts w:ascii="Times New Roman"/>
                      <w:color w:val="auto"/>
                      <w:szCs w:val="21"/>
                    </w:rPr>
                    <w:t>pH值</w:t>
                  </w:r>
                </w:p>
              </w:tc>
              <w:tc>
                <w:tcPr>
                  <w:tcW w:w="408" w:type="pct"/>
                  <w:vAlign w:val="center"/>
                </w:tcPr>
                <w:p>
                  <w:pPr>
                    <w:pStyle w:val="37"/>
                    <w:spacing w:before="24" w:after="24" w:line="240" w:lineRule="auto"/>
                    <w:rPr>
                      <w:rFonts w:ascii="Times New Roman"/>
                      <w:color w:val="auto"/>
                      <w:szCs w:val="21"/>
                    </w:rPr>
                  </w:pPr>
                  <w:r>
                    <w:rPr>
                      <w:rFonts w:ascii="Times New Roman"/>
                      <w:color w:val="auto"/>
                      <w:szCs w:val="21"/>
                    </w:rPr>
                    <w:t>6-9</w:t>
                  </w:r>
                </w:p>
              </w:tc>
              <w:tc>
                <w:tcPr>
                  <w:tcW w:w="466" w:type="pct"/>
                  <w:vAlign w:val="center"/>
                </w:tcPr>
                <w:p>
                  <w:pPr>
                    <w:pStyle w:val="37"/>
                    <w:spacing w:before="24" w:after="24" w:line="240" w:lineRule="auto"/>
                    <w:rPr>
                      <w:rFonts w:ascii="Times New Roman"/>
                      <w:color w:val="auto"/>
                      <w:szCs w:val="21"/>
                    </w:rPr>
                  </w:pPr>
                  <w:r>
                    <w:rPr>
                      <w:rFonts w:ascii="Times New Roman"/>
                      <w:color w:val="auto"/>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vAlign w:val="center"/>
                </w:tcPr>
                <w:p>
                  <w:pPr>
                    <w:snapToGrid w:val="0"/>
                    <w:jc w:val="center"/>
                    <w:rPr>
                      <w:color w:val="auto"/>
                      <w:szCs w:val="21"/>
                    </w:rPr>
                  </w:pPr>
                </w:p>
              </w:tc>
              <w:tc>
                <w:tcPr>
                  <w:tcW w:w="527" w:type="pct"/>
                  <w:vMerge w:val="continue"/>
                  <w:vAlign w:val="center"/>
                </w:tcPr>
                <w:p>
                  <w:pPr>
                    <w:snapToGrid w:val="0"/>
                    <w:jc w:val="center"/>
                    <w:rPr>
                      <w:color w:val="auto"/>
                      <w:szCs w:val="21"/>
                    </w:rPr>
                  </w:pPr>
                </w:p>
              </w:tc>
              <w:tc>
                <w:tcPr>
                  <w:tcW w:w="440" w:type="pct"/>
                  <w:vMerge w:val="continue"/>
                  <w:vAlign w:val="center"/>
                </w:tcPr>
                <w:p>
                  <w:pPr>
                    <w:snapToGrid w:val="0"/>
                    <w:jc w:val="center"/>
                    <w:rPr>
                      <w:color w:val="auto"/>
                      <w:szCs w:val="21"/>
                    </w:rPr>
                  </w:pPr>
                </w:p>
              </w:tc>
              <w:tc>
                <w:tcPr>
                  <w:tcW w:w="472" w:type="pct"/>
                  <w:vMerge w:val="continue"/>
                  <w:vAlign w:val="center"/>
                </w:tcPr>
                <w:p>
                  <w:pPr>
                    <w:widowControl/>
                    <w:adjustRightInd w:val="0"/>
                    <w:snapToGrid w:val="0"/>
                    <w:jc w:val="center"/>
                    <w:rPr>
                      <w:color w:val="auto"/>
                      <w:szCs w:val="21"/>
                    </w:rPr>
                  </w:pPr>
                </w:p>
              </w:tc>
              <w:tc>
                <w:tcPr>
                  <w:tcW w:w="416" w:type="pct"/>
                  <w:vMerge w:val="continue"/>
                  <w:vAlign w:val="center"/>
                </w:tcPr>
                <w:p>
                  <w:pPr>
                    <w:widowControl/>
                    <w:adjustRightInd w:val="0"/>
                    <w:snapToGrid w:val="0"/>
                    <w:jc w:val="center"/>
                    <w:rPr>
                      <w:color w:val="auto"/>
                      <w:szCs w:val="21"/>
                    </w:rPr>
                  </w:pPr>
                </w:p>
              </w:tc>
              <w:tc>
                <w:tcPr>
                  <w:tcW w:w="511" w:type="pct"/>
                  <w:vMerge w:val="continue"/>
                  <w:vAlign w:val="center"/>
                </w:tcPr>
                <w:p>
                  <w:pPr>
                    <w:snapToGrid w:val="0"/>
                    <w:jc w:val="center"/>
                    <w:rPr>
                      <w:color w:val="auto"/>
                      <w:szCs w:val="21"/>
                    </w:rPr>
                  </w:pPr>
                </w:p>
              </w:tc>
              <w:tc>
                <w:tcPr>
                  <w:tcW w:w="519" w:type="pct"/>
                  <w:vMerge w:val="continue"/>
                  <w:vAlign w:val="center"/>
                </w:tcPr>
                <w:p>
                  <w:pPr>
                    <w:snapToGrid w:val="0"/>
                    <w:jc w:val="center"/>
                    <w:rPr>
                      <w:color w:val="auto"/>
                      <w:szCs w:val="21"/>
                    </w:rPr>
                  </w:pPr>
                </w:p>
              </w:tc>
              <w:tc>
                <w:tcPr>
                  <w:tcW w:w="275" w:type="pct"/>
                  <w:vMerge w:val="continue"/>
                  <w:vAlign w:val="center"/>
                </w:tcPr>
                <w:p>
                  <w:pPr>
                    <w:snapToGrid w:val="0"/>
                    <w:jc w:val="center"/>
                    <w:rPr>
                      <w:color w:val="auto"/>
                      <w:szCs w:val="21"/>
                    </w:rPr>
                  </w:pPr>
                </w:p>
              </w:tc>
              <w:tc>
                <w:tcPr>
                  <w:tcW w:w="495" w:type="pct"/>
                  <w:vAlign w:val="center"/>
                </w:tcPr>
                <w:p>
                  <w:pPr>
                    <w:pStyle w:val="37"/>
                    <w:spacing w:before="24" w:after="24" w:line="240" w:lineRule="auto"/>
                    <w:rPr>
                      <w:rFonts w:ascii="Times New Roman"/>
                      <w:color w:val="auto"/>
                      <w:szCs w:val="21"/>
                    </w:rPr>
                  </w:pPr>
                  <w:r>
                    <w:rPr>
                      <w:rFonts w:ascii="Times New Roman"/>
                      <w:color w:val="auto"/>
                      <w:szCs w:val="21"/>
                    </w:rPr>
                    <w:t>COD</w:t>
                  </w:r>
                </w:p>
              </w:tc>
              <w:tc>
                <w:tcPr>
                  <w:tcW w:w="408" w:type="pct"/>
                  <w:vAlign w:val="center"/>
                </w:tcPr>
                <w:p>
                  <w:pPr>
                    <w:pStyle w:val="37"/>
                    <w:spacing w:before="24" w:after="24" w:line="240" w:lineRule="auto"/>
                    <w:rPr>
                      <w:rFonts w:ascii="Times New Roman"/>
                      <w:color w:val="auto"/>
                      <w:szCs w:val="21"/>
                    </w:rPr>
                  </w:pPr>
                  <w:r>
                    <w:rPr>
                      <w:rFonts w:ascii="Times New Roman"/>
                      <w:color w:val="auto"/>
                      <w:szCs w:val="21"/>
                    </w:rPr>
                    <w:t>500</w:t>
                  </w:r>
                </w:p>
              </w:tc>
              <w:tc>
                <w:tcPr>
                  <w:tcW w:w="466" w:type="pct"/>
                  <w:vAlign w:val="center"/>
                </w:tcPr>
                <w:p>
                  <w:pPr>
                    <w:pStyle w:val="37"/>
                    <w:spacing w:before="24" w:after="24" w:line="240" w:lineRule="auto"/>
                    <w:rPr>
                      <w:rFonts w:ascii="Times New Roman"/>
                      <w:color w:val="auto"/>
                      <w:szCs w:val="21"/>
                    </w:rPr>
                  </w:pPr>
                  <w:r>
                    <w:rPr>
                      <w:rFonts w:ascii="Times New Roman"/>
                      <w:color w:val="auto"/>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6" w:type="pct"/>
                  <w:vMerge w:val="continue"/>
                  <w:vAlign w:val="center"/>
                </w:tcPr>
                <w:p>
                  <w:pPr>
                    <w:snapToGrid w:val="0"/>
                    <w:jc w:val="center"/>
                    <w:rPr>
                      <w:color w:val="auto"/>
                      <w:szCs w:val="21"/>
                    </w:rPr>
                  </w:pPr>
                </w:p>
              </w:tc>
              <w:tc>
                <w:tcPr>
                  <w:tcW w:w="527" w:type="pct"/>
                  <w:vMerge w:val="continue"/>
                  <w:vAlign w:val="center"/>
                </w:tcPr>
                <w:p>
                  <w:pPr>
                    <w:snapToGrid w:val="0"/>
                    <w:jc w:val="center"/>
                    <w:rPr>
                      <w:color w:val="auto"/>
                      <w:szCs w:val="21"/>
                    </w:rPr>
                  </w:pPr>
                </w:p>
              </w:tc>
              <w:tc>
                <w:tcPr>
                  <w:tcW w:w="440" w:type="pct"/>
                  <w:vMerge w:val="continue"/>
                  <w:vAlign w:val="center"/>
                </w:tcPr>
                <w:p>
                  <w:pPr>
                    <w:snapToGrid w:val="0"/>
                    <w:jc w:val="center"/>
                    <w:rPr>
                      <w:color w:val="auto"/>
                      <w:szCs w:val="21"/>
                    </w:rPr>
                  </w:pPr>
                </w:p>
              </w:tc>
              <w:tc>
                <w:tcPr>
                  <w:tcW w:w="472" w:type="pct"/>
                  <w:vMerge w:val="continue"/>
                  <w:vAlign w:val="center"/>
                </w:tcPr>
                <w:p>
                  <w:pPr>
                    <w:widowControl/>
                    <w:adjustRightInd w:val="0"/>
                    <w:snapToGrid w:val="0"/>
                    <w:jc w:val="center"/>
                    <w:rPr>
                      <w:color w:val="auto"/>
                      <w:szCs w:val="21"/>
                    </w:rPr>
                  </w:pPr>
                </w:p>
              </w:tc>
              <w:tc>
                <w:tcPr>
                  <w:tcW w:w="416" w:type="pct"/>
                  <w:vMerge w:val="continue"/>
                  <w:vAlign w:val="center"/>
                </w:tcPr>
                <w:p>
                  <w:pPr>
                    <w:widowControl/>
                    <w:adjustRightInd w:val="0"/>
                    <w:snapToGrid w:val="0"/>
                    <w:jc w:val="center"/>
                    <w:rPr>
                      <w:color w:val="auto"/>
                      <w:szCs w:val="21"/>
                    </w:rPr>
                  </w:pPr>
                </w:p>
              </w:tc>
              <w:tc>
                <w:tcPr>
                  <w:tcW w:w="511" w:type="pct"/>
                  <w:vMerge w:val="continue"/>
                  <w:vAlign w:val="center"/>
                </w:tcPr>
                <w:p>
                  <w:pPr>
                    <w:snapToGrid w:val="0"/>
                    <w:jc w:val="center"/>
                    <w:rPr>
                      <w:color w:val="auto"/>
                      <w:szCs w:val="21"/>
                    </w:rPr>
                  </w:pPr>
                </w:p>
              </w:tc>
              <w:tc>
                <w:tcPr>
                  <w:tcW w:w="519" w:type="pct"/>
                  <w:vMerge w:val="continue"/>
                  <w:vAlign w:val="center"/>
                </w:tcPr>
                <w:p>
                  <w:pPr>
                    <w:snapToGrid w:val="0"/>
                    <w:jc w:val="center"/>
                    <w:rPr>
                      <w:color w:val="auto"/>
                      <w:szCs w:val="21"/>
                    </w:rPr>
                  </w:pPr>
                </w:p>
              </w:tc>
              <w:tc>
                <w:tcPr>
                  <w:tcW w:w="275" w:type="pct"/>
                  <w:vMerge w:val="continue"/>
                  <w:vAlign w:val="center"/>
                </w:tcPr>
                <w:p>
                  <w:pPr>
                    <w:snapToGrid w:val="0"/>
                    <w:jc w:val="center"/>
                    <w:rPr>
                      <w:color w:val="auto"/>
                      <w:szCs w:val="21"/>
                    </w:rPr>
                  </w:pPr>
                </w:p>
              </w:tc>
              <w:tc>
                <w:tcPr>
                  <w:tcW w:w="495" w:type="pct"/>
                  <w:vAlign w:val="center"/>
                </w:tcPr>
                <w:p>
                  <w:pPr>
                    <w:pStyle w:val="37"/>
                    <w:spacing w:before="24" w:after="24" w:line="240" w:lineRule="auto"/>
                    <w:rPr>
                      <w:rFonts w:ascii="Times New Roman"/>
                      <w:color w:val="auto"/>
                      <w:szCs w:val="21"/>
                    </w:rPr>
                  </w:pPr>
                  <w:r>
                    <w:rPr>
                      <w:rFonts w:ascii="Times New Roman"/>
                      <w:color w:val="auto"/>
                      <w:szCs w:val="21"/>
                    </w:rPr>
                    <w:t>SS</w:t>
                  </w:r>
                </w:p>
              </w:tc>
              <w:tc>
                <w:tcPr>
                  <w:tcW w:w="408" w:type="pct"/>
                  <w:vAlign w:val="center"/>
                </w:tcPr>
                <w:p>
                  <w:pPr>
                    <w:pStyle w:val="37"/>
                    <w:spacing w:before="24" w:after="24" w:line="240" w:lineRule="auto"/>
                    <w:rPr>
                      <w:rFonts w:ascii="Times New Roman"/>
                      <w:color w:val="auto"/>
                      <w:szCs w:val="21"/>
                    </w:rPr>
                  </w:pPr>
                  <w:r>
                    <w:rPr>
                      <w:rFonts w:ascii="Times New Roman"/>
                      <w:color w:val="auto"/>
                      <w:szCs w:val="21"/>
                    </w:rPr>
                    <w:t>400</w:t>
                  </w:r>
                </w:p>
              </w:tc>
              <w:tc>
                <w:tcPr>
                  <w:tcW w:w="466" w:type="pct"/>
                  <w:vAlign w:val="center"/>
                </w:tcPr>
                <w:p>
                  <w:pPr>
                    <w:pStyle w:val="37"/>
                    <w:spacing w:before="24" w:after="24" w:line="240" w:lineRule="auto"/>
                    <w:rPr>
                      <w:rFonts w:ascii="Times New Roman"/>
                      <w:color w:val="auto"/>
                      <w:szCs w:val="21"/>
                    </w:rPr>
                  </w:pPr>
                  <w:r>
                    <w:rPr>
                      <w:rFonts w:ascii="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6" w:type="pct"/>
                  <w:vMerge w:val="continue"/>
                  <w:vAlign w:val="center"/>
                </w:tcPr>
                <w:p>
                  <w:pPr>
                    <w:snapToGrid w:val="0"/>
                    <w:jc w:val="center"/>
                    <w:rPr>
                      <w:color w:val="auto"/>
                      <w:szCs w:val="21"/>
                    </w:rPr>
                  </w:pPr>
                </w:p>
              </w:tc>
              <w:tc>
                <w:tcPr>
                  <w:tcW w:w="527" w:type="pct"/>
                  <w:vMerge w:val="continue"/>
                  <w:vAlign w:val="center"/>
                </w:tcPr>
                <w:p>
                  <w:pPr>
                    <w:snapToGrid w:val="0"/>
                    <w:jc w:val="center"/>
                    <w:rPr>
                      <w:color w:val="auto"/>
                      <w:szCs w:val="21"/>
                    </w:rPr>
                  </w:pPr>
                </w:p>
              </w:tc>
              <w:tc>
                <w:tcPr>
                  <w:tcW w:w="440" w:type="pct"/>
                  <w:vMerge w:val="continue"/>
                  <w:vAlign w:val="center"/>
                </w:tcPr>
                <w:p>
                  <w:pPr>
                    <w:snapToGrid w:val="0"/>
                    <w:jc w:val="center"/>
                    <w:rPr>
                      <w:color w:val="auto"/>
                      <w:szCs w:val="21"/>
                    </w:rPr>
                  </w:pPr>
                </w:p>
              </w:tc>
              <w:tc>
                <w:tcPr>
                  <w:tcW w:w="472" w:type="pct"/>
                  <w:vMerge w:val="continue"/>
                  <w:vAlign w:val="center"/>
                </w:tcPr>
                <w:p>
                  <w:pPr>
                    <w:widowControl/>
                    <w:adjustRightInd w:val="0"/>
                    <w:snapToGrid w:val="0"/>
                    <w:jc w:val="center"/>
                    <w:rPr>
                      <w:color w:val="auto"/>
                      <w:szCs w:val="21"/>
                    </w:rPr>
                  </w:pPr>
                </w:p>
              </w:tc>
              <w:tc>
                <w:tcPr>
                  <w:tcW w:w="416" w:type="pct"/>
                  <w:vMerge w:val="continue"/>
                  <w:vAlign w:val="center"/>
                </w:tcPr>
                <w:p>
                  <w:pPr>
                    <w:widowControl/>
                    <w:adjustRightInd w:val="0"/>
                    <w:snapToGrid w:val="0"/>
                    <w:jc w:val="center"/>
                    <w:rPr>
                      <w:color w:val="auto"/>
                      <w:szCs w:val="21"/>
                    </w:rPr>
                  </w:pPr>
                </w:p>
              </w:tc>
              <w:tc>
                <w:tcPr>
                  <w:tcW w:w="511" w:type="pct"/>
                  <w:vMerge w:val="continue"/>
                  <w:vAlign w:val="center"/>
                </w:tcPr>
                <w:p>
                  <w:pPr>
                    <w:snapToGrid w:val="0"/>
                    <w:jc w:val="center"/>
                    <w:rPr>
                      <w:color w:val="auto"/>
                      <w:szCs w:val="21"/>
                    </w:rPr>
                  </w:pPr>
                </w:p>
              </w:tc>
              <w:tc>
                <w:tcPr>
                  <w:tcW w:w="519" w:type="pct"/>
                  <w:vMerge w:val="continue"/>
                  <w:vAlign w:val="center"/>
                </w:tcPr>
                <w:p>
                  <w:pPr>
                    <w:snapToGrid w:val="0"/>
                    <w:jc w:val="center"/>
                    <w:rPr>
                      <w:color w:val="auto"/>
                      <w:szCs w:val="21"/>
                    </w:rPr>
                  </w:pPr>
                </w:p>
              </w:tc>
              <w:tc>
                <w:tcPr>
                  <w:tcW w:w="275" w:type="pct"/>
                  <w:vMerge w:val="continue"/>
                  <w:vAlign w:val="center"/>
                </w:tcPr>
                <w:p>
                  <w:pPr>
                    <w:snapToGrid w:val="0"/>
                    <w:jc w:val="center"/>
                    <w:rPr>
                      <w:color w:val="auto"/>
                      <w:szCs w:val="21"/>
                    </w:rPr>
                  </w:pPr>
                </w:p>
              </w:tc>
              <w:tc>
                <w:tcPr>
                  <w:tcW w:w="495" w:type="pct"/>
                  <w:vAlign w:val="center"/>
                </w:tcPr>
                <w:p>
                  <w:pPr>
                    <w:pStyle w:val="37"/>
                    <w:spacing w:before="24" w:after="24" w:line="240" w:lineRule="auto"/>
                    <w:rPr>
                      <w:rFonts w:ascii="Times New Roman"/>
                      <w:color w:val="auto"/>
                      <w:szCs w:val="21"/>
                    </w:rPr>
                  </w:pPr>
                  <w:r>
                    <w:rPr>
                      <w:rFonts w:ascii="Times New Roman"/>
                      <w:color w:val="auto"/>
                      <w:szCs w:val="21"/>
                    </w:rPr>
                    <w:t>NH</w:t>
                  </w:r>
                  <w:r>
                    <w:rPr>
                      <w:rFonts w:ascii="Times New Roman"/>
                      <w:color w:val="auto"/>
                      <w:szCs w:val="21"/>
                      <w:vertAlign w:val="subscript"/>
                    </w:rPr>
                    <w:t>3</w:t>
                  </w:r>
                  <w:r>
                    <w:rPr>
                      <w:rFonts w:ascii="Times New Roman"/>
                      <w:color w:val="auto"/>
                      <w:szCs w:val="21"/>
                    </w:rPr>
                    <w:t>-N</w:t>
                  </w:r>
                </w:p>
              </w:tc>
              <w:tc>
                <w:tcPr>
                  <w:tcW w:w="408" w:type="pct"/>
                  <w:vAlign w:val="center"/>
                </w:tcPr>
                <w:p>
                  <w:pPr>
                    <w:pStyle w:val="37"/>
                    <w:spacing w:before="24" w:after="24" w:line="240" w:lineRule="auto"/>
                    <w:rPr>
                      <w:rFonts w:ascii="Times New Roman"/>
                      <w:color w:val="auto"/>
                      <w:szCs w:val="21"/>
                    </w:rPr>
                  </w:pPr>
                  <w:r>
                    <w:rPr>
                      <w:rFonts w:ascii="Times New Roman"/>
                      <w:color w:val="auto"/>
                      <w:szCs w:val="21"/>
                    </w:rPr>
                    <w:t>45</w:t>
                  </w:r>
                </w:p>
              </w:tc>
              <w:tc>
                <w:tcPr>
                  <w:tcW w:w="466" w:type="pct"/>
                  <w:vAlign w:val="center"/>
                </w:tcPr>
                <w:p>
                  <w:pPr>
                    <w:pStyle w:val="37"/>
                    <w:spacing w:before="24" w:after="24" w:line="240" w:lineRule="auto"/>
                    <w:rPr>
                      <w:rFonts w:ascii="Times New Roman"/>
                      <w:color w:val="auto"/>
                      <w:szCs w:val="21"/>
                    </w:rPr>
                  </w:pPr>
                  <w:r>
                    <w:rPr>
                      <w:rFonts w:ascii="Times New Roman"/>
                      <w:color w:val="auto"/>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6" w:type="pct"/>
                  <w:vMerge w:val="continue"/>
                  <w:vAlign w:val="center"/>
                </w:tcPr>
                <w:p>
                  <w:pPr>
                    <w:snapToGrid w:val="0"/>
                    <w:jc w:val="center"/>
                    <w:rPr>
                      <w:color w:val="auto"/>
                      <w:szCs w:val="21"/>
                    </w:rPr>
                  </w:pPr>
                </w:p>
              </w:tc>
              <w:tc>
                <w:tcPr>
                  <w:tcW w:w="527" w:type="pct"/>
                  <w:vMerge w:val="continue"/>
                  <w:vAlign w:val="center"/>
                </w:tcPr>
                <w:p>
                  <w:pPr>
                    <w:snapToGrid w:val="0"/>
                    <w:jc w:val="center"/>
                    <w:rPr>
                      <w:color w:val="auto"/>
                      <w:szCs w:val="21"/>
                    </w:rPr>
                  </w:pPr>
                </w:p>
              </w:tc>
              <w:tc>
                <w:tcPr>
                  <w:tcW w:w="440" w:type="pct"/>
                  <w:vMerge w:val="continue"/>
                  <w:vAlign w:val="center"/>
                </w:tcPr>
                <w:p>
                  <w:pPr>
                    <w:snapToGrid w:val="0"/>
                    <w:jc w:val="center"/>
                    <w:rPr>
                      <w:color w:val="auto"/>
                      <w:szCs w:val="21"/>
                    </w:rPr>
                  </w:pPr>
                </w:p>
              </w:tc>
              <w:tc>
                <w:tcPr>
                  <w:tcW w:w="472" w:type="pct"/>
                  <w:vMerge w:val="continue"/>
                  <w:vAlign w:val="center"/>
                </w:tcPr>
                <w:p>
                  <w:pPr>
                    <w:widowControl/>
                    <w:adjustRightInd w:val="0"/>
                    <w:snapToGrid w:val="0"/>
                    <w:jc w:val="center"/>
                    <w:rPr>
                      <w:color w:val="auto"/>
                      <w:szCs w:val="21"/>
                    </w:rPr>
                  </w:pPr>
                </w:p>
              </w:tc>
              <w:tc>
                <w:tcPr>
                  <w:tcW w:w="416" w:type="pct"/>
                  <w:vMerge w:val="continue"/>
                  <w:vAlign w:val="center"/>
                </w:tcPr>
                <w:p>
                  <w:pPr>
                    <w:widowControl/>
                    <w:adjustRightInd w:val="0"/>
                    <w:snapToGrid w:val="0"/>
                    <w:jc w:val="center"/>
                    <w:rPr>
                      <w:color w:val="auto"/>
                      <w:szCs w:val="21"/>
                    </w:rPr>
                  </w:pPr>
                </w:p>
              </w:tc>
              <w:tc>
                <w:tcPr>
                  <w:tcW w:w="511" w:type="pct"/>
                  <w:vMerge w:val="continue"/>
                  <w:vAlign w:val="center"/>
                </w:tcPr>
                <w:p>
                  <w:pPr>
                    <w:snapToGrid w:val="0"/>
                    <w:jc w:val="center"/>
                    <w:rPr>
                      <w:color w:val="auto"/>
                      <w:szCs w:val="21"/>
                    </w:rPr>
                  </w:pPr>
                </w:p>
              </w:tc>
              <w:tc>
                <w:tcPr>
                  <w:tcW w:w="519" w:type="pct"/>
                  <w:vMerge w:val="continue"/>
                  <w:vAlign w:val="center"/>
                </w:tcPr>
                <w:p>
                  <w:pPr>
                    <w:snapToGrid w:val="0"/>
                    <w:jc w:val="center"/>
                    <w:rPr>
                      <w:color w:val="auto"/>
                      <w:szCs w:val="21"/>
                    </w:rPr>
                  </w:pPr>
                </w:p>
              </w:tc>
              <w:tc>
                <w:tcPr>
                  <w:tcW w:w="275" w:type="pct"/>
                  <w:vMerge w:val="continue"/>
                  <w:vAlign w:val="center"/>
                </w:tcPr>
                <w:p>
                  <w:pPr>
                    <w:snapToGrid w:val="0"/>
                    <w:jc w:val="center"/>
                    <w:rPr>
                      <w:color w:val="auto"/>
                      <w:szCs w:val="21"/>
                    </w:rPr>
                  </w:pPr>
                </w:p>
              </w:tc>
              <w:tc>
                <w:tcPr>
                  <w:tcW w:w="495" w:type="pct"/>
                  <w:vAlign w:val="center"/>
                </w:tcPr>
                <w:p>
                  <w:pPr>
                    <w:pStyle w:val="37"/>
                    <w:spacing w:before="24" w:after="24" w:line="240" w:lineRule="auto"/>
                    <w:rPr>
                      <w:rFonts w:ascii="Times New Roman"/>
                      <w:color w:val="auto"/>
                      <w:szCs w:val="21"/>
                    </w:rPr>
                  </w:pPr>
                  <w:r>
                    <w:rPr>
                      <w:rFonts w:ascii="Times New Roman"/>
                      <w:color w:val="auto"/>
                      <w:szCs w:val="21"/>
                    </w:rPr>
                    <w:t>TN</w:t>
                  </w:r>
                </w:p>
              </w:tc>
              <w:tc>
                <w:tcPr>
                  <w:tcW w:w="408" w:type="pct"/>
                  <w:vAlign w:val="center"/>
                </w:tcPr>
                <w:p>
                  <w:pPr>
                    <w:pStyle w:val="37"/>
                    <w:spacing w:before="24" w:after="24" w:line="240" w:lineRule="auto"/>
                    <w:rPr>
                      <w:rFonts w:ascii="Times New Roman"/>
                      <w:color w:val="auto"/>
                      <w:szCs w:val="21"/>
                    </w:rPr>
                  </w:pPr>
                  <w:r>
                    <w:rPr>
                      <w:rFonts w:ascii="Times New Roman"/>
                      <w:color w:val="auto"/>
                      <w:szCs w:val="21"/>
                    </w:rPr>
                    <w:t>70</w:t>
                  </w:r>
                </w:p>
              </w:tc>
              <w:tc>
                <w:tcPr>
                  <w:tcW w:w="466" w:type="pct"/>
                  <w:vAlign w:val="center"/>
                </w:tcPr>
                <w:p>
                  <w:pPr>
                    <w:pStyle w:val="37"/>
                    <w:spacing w:before="24" w:after="24" w:line="240" w:lineRule="auto"/>
                    <w:rPr>
                      <w:rFonts w:ascii="Times New Roman"/>
                      <w:color w:val="auto"/>
                      <w:szCs w:val="21"/>
                    </w:rPr>
                  </w:pPr>
                  <w:r>
                    <w:rPr>
                      <w:rFonts w:ascii="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6" w:type="pct"/>
                  <w:vMerge w:val="continue"/>
                  <w:vAlign w:val="center"/>
                </w:tcPr>
                <w:p>
                  <w:pPr>
                    <w:snapToGrid w:val="0"/>
                    <w:jc w:val="center"/>
                    <w:rPr>
                      <w:color w:val="auto"/>
                      <w:szCs w:val="21"/>
                    </w:rPr>
                  </w:pPr>
                </w:p>
              </w:tc>
              <w:tc>
                <w:tcPr>
                  <w:tcW w:w="527" w:type="pct"/>
                  <w:vMerge w:val="continue"/>
                  <w:vAlign w:val="center"/>
                </w:tcPr>
                <w:p>
                  <w:pPr>
                    <w:snapToGrid w:val="0"/>
                    <w:jc w:val="center"/>
                    <w:rPr>
                      <w:color w:val="auto"/>
                      <w:szCs w:val="21"/>
                    </w:rPr>
                  </w:pPr>
                </w:p>
              </w:tc>
              <w:tc>
                <w:tcPr>
                  <w:tcW w:w="440" w:type="pct"/>
                  <w:vMerge w:val="continue"/>
                  <w:vAlign w:val="center"/>
                </w:tcPr>
                <w:p>
                  <w:pPr>
                    <w:snapToGrid w:val="0"/>
                    <w:jc w:val="center"/>
                    <w:rPr>
                      <w:color w:val="auto"/>
                      <w:szCs w:val="21"/>
                    </w:rPr>
                  </w:pPr>
                </w:p>
              </w:tc>
              <w:tc>
                <w:tcPr>
                  <w:tcW w:w="472" w:type="pct"/>
                  <w:vMerge w:val="continue"/>
                  <w:vAlign w:val="center"/>
                </w:tcPr>
                <w:p>
                  <w:pPr>
                    <w:widowControl/>
                    <w:adjustRightInd w:val="0"/>
                    <w:snapToGrid w:val="0"/>
                    <w:jc w:val="center"/>
                    <w:rPr>
                      <w:color w:val="auto"/>
                      <w:szCs w:val="21"/>
                    </w:rPr>
                  </w:pPr>
                </w:p>
              </w:tc>
              <w:tc>
                <w:tcPr>
                  <w:tcW w:w="416" w:type="pct"/>
                  <w:vMerge w:val="continue"/>
                  <w:vAlign w:val="center"/>
                </w:tcPr>
                <w:p>
                  <w:pPr>
                    <w:widowControl/>
                    <w:adjustRightInd w:val="0"/>
                    <w:snapToGrid w:val="0"/>
                    <w:jc w:val="center"/>
                    <w:rPr>
                      <w:color w:val="auto"/>
                      <w:szCs w:val="21"/>
                    </w:rPr>
                  </w:pPr>
                </w:p>
              </w:tc>
              <w:tc>
                <w:tcPr>
                  <w:tcW w:w="511" w:type="pct"/>
                  <w:vMerge w:val="continue"/>
                  <w:vAlign w:val="center"/>
                </w:tcPr>
                <w:p>
                  <w:pPr>
                    <w:snapToGrid w:val="0"/>
                    <w:jc w:val="center"/>
                    <w:rPr>
                      <w:color w:val="auto"/>
                      <w:szCs w:val="21"/>
                    </w:rPr>
                  </w:pPr>
                </w:p>
              </w:tc>
              <w:tc>
                <w:tcPr>
                  <w:tcW w:w="519" w:type="pct"/>
                  <w:vMerge w:val="continue"/>
                  <w:vAlign w:val="center"/>
                </w:tcPr>
                <w:p>
                  <w:pPr>
                    <w:snapToGrid w:val="0"/>
                    <w:jc w:val="center"/>
                    <w:rPr>
                      <w:color w:val="auto"/>
                      <w:szCs w:val="21"/>
                    </w:rPr>
                  </w:pPr>
                </w:p>
              </w:tc>
              <w:tc>
                <w:tcPr>
                  <w:tcW w:w="275" w:type="pct"/>
                  <w:vMerge w:val="continue"/>
                  <w:vAlign w:val="center"/>
                </w:tcPr>
                <w:p>
                  <w:pPr>
                    <w:snapToGrid w:val="0"/>
                    <w:jc w:val="center"/>
                    <w:rPr>
                      <w:color w:val="auto"/>
                      <w:szCs w:val="21"/>
                    </w:rPr>
                  </w:pPr>
                </w:p>
              </w:tc>
              <w:tc>
                <w:tcPr>
                  <w:tcW w:w="495" w:type="pct"/>
                  <w:vAlign w:val="center"/>
                </w:tcPr>
                <w:p>
                  <w:pPr>
                    <w:pStyle w:val="37"/>
                    <w:spacing w:before="24" w:after="24" w:line="240" w:lineRule="auto"/>
                    <w:rPr>
                      <w:rFonts w:ascii="Times New Roman"/>
                      <w:color w:val="auto"/>
                      <w:szCs w:val="21"/>
                    </w:rPr>
                  </w:pPr>
                  <w:r>
                    <w:rPr>
                      <w:rFonts w:ascii="Times New Roman"/>
                      <w:color w:val="auto"/>
                      <w:szCs w:val="21"/>
                    </w:rPr>
                    <w:t>TP</w:t>
                  </w:r>
                </w:p>
              </w:tc>
              <w:tc>
                <w:tcPr>
                  <w:tcW w:w="408" w:type="pct"/>
                  <w:vAlign w:val="center"/>
                </w:tcPr>
                <w:p>
                  <w:pPr>
                    <w:pStyle w:val="37"/>
                    <w:spacing w:before="24" w:after="24" w:line="240" w:lineRule="auto"/>
                    <w:rPr>
                      <w:rFonts w:ascii="Times New Roman"/>
                      <w:color w:val="auto"/>
                      <w:szCs w:val="21"/>
                    </w:rPr>
                  </w:pPr>
                  <w:r>
                    <w:rPr>
                      <w:rFonts w:ascii="Times New Roman"/>
                      <w:color w:val="auto"/>
                      <w:szCs w:val="21"/>
                    </w:rPr>
                    <w:t>8</w:t>
                  </w:r>
                </w:p>
              </w:tc>
              <w:tc>
                <w:tcPr>
                  <w:tcW w:w="466" w:type="pct"/>
                  <w:vAlign w:val="center"/>
                </w:tcPr>
                <w:p>
                  <w:pPr>
                    <w:pStyle w:val="37"/>
                    <w:spacing w:before="24" w:after="24" w:line="240" w:lineRule="auto"/>
                    <w:rPr>
                      <w:rFonts w:ascii="Times New Roman"/>
                      <w:color w:val="auto"/>
                      <w:szCs w:val="21"/>
                    </w:rPr>
                  </w:pPr>
                  <w:r>
                    <w:rPr>
                      <w:rFonts w:ascii="Times New Roman"/>
                      <w:color w:val="auto"/>
                      <w:szCs w:val="21"/>
                    </w:rPr>
                    <w:t>0.3</w:t>
                  </w:r>
                </w:p>
              </w:tc>
            </w:tr>
          </w:tbl>
          <w:p>
            <w:pPr>
              <w:adjustRightInd w:val="0"/>
              <w:snapToGrid w:val="0"/>
              <w:spacing w:line="360" w:lineRule="auto"/>
              <w:ind w:firstLine="482" w:firstLineChars="200"/>
              <w:rPr>
                <w:b/>
                <w:bCs/>
                <w:color w:val="auto"/>
                <w:kern w:val="0"/>
                <w:sz w:val="24"/>
              </w:rPr>
            </w:pPr>
            <w:r>
              <w:rPr>
                <w:b/>
                <w:bCs/>
                <w:color w:val="auto"/>
                <w:kern w:val="0"/>
                <w:sz w:val="24"/>
              </w:rPr>
              <w:t>（3）水污染源监测计划</w:t>
            </w:r>
          </w:p>
          <w:p>
            <w:pPr>
              <w:adjustRightInd w:val="0"/>
              <w:snapToGrid w:val="0"/>
              <w:spacing w:line="360" w:lineRule="auto"/>
              <w:ind w:firstLine="480" w:firstLineChars="200"/>
              <w:rPr>
                <w:color w:val="auto"/>
                <w:kern w:val="0"/>
                <w:sz w:val="24"/>
              </w:rPr>
            </w:pPr>
            <w:r>
              <w:rPr>
                <w:rFonts w:hint="eastAsia"/>
                <w:snapToGrid w:val="0"/>
                <w:color w:val="auto"/>
                <w:sz w:val="24"/>
              </w:rPr>
              <w:t>根据《排污单位自行监测技术指南 总则》（HJ819-2017）</w:t>
            </w:r>
            <w:r>
              <w:rPr>
                <w:snapToGrid w:val="0"/>
                <w:color w:val="auto"/>
                <w:sz w:val="24"/>
              </w:rPr>
              <w:t>要求</w:t>
            </w:r>
            <w:r>
              <w:rPr>
                <w:color w:val="auto"/>
                <w:sz w:val="24"/>
              </w:rPr>
              <w:t>，水污染源监测计划见表4-</w:t>
            </w:r>
            <w:r>
              <w:rPr>
                <w:rFonts w:hint="eastAsia"/>
                <w:color w:val="auto"/>
                <w:sz w:val="24"/>
                <w:lang w:val="en-US" w:eastAsia="zh-CN"/>
              </w:rPr>
              <w:t>9</w:t>
            </w:r>
            <w:r>
              <w:rPr>
                <w:snapToGrid w:val="0"/>
                <w:color w:val="auto"/>
                <w:kern w:val="0"/>
                <w:sz w:val="24"/>
              </w:rPr>
              <w:t>。</w:t>
            </w:r>
          </w:p>
          <w:p>
            <w:pPr>
              <w:pStyle w:val="90"/>
              <w:adjustRightInd w:val="0"/>
              <w:snapToGrid w:val="0"/>
              <w:ind w:firstLine="0" w:firstLineChars="0"/>
              <w:jc w:val="center"/>
              <w:rPr>
                <w:rFonts w:eastAsia="宋体" w:cs="Times New Roman"/>
                <w:b/>
                <w:bCs/>
                <w:snapToGrid w:val="0"/>
                <w:color w:val="auto"/>
                <w:kern w:val="0"/>
                <w:sz w:val="24"/>
                <w:szCs w:val="24"/>
              </w:rPr>
            </w:pPr>
            <w:r>
              <w:rPr>
                <w:rFonts w:eastAsia="宋体" w:cs="Times New Roman"/>
                <w:b/>
                <w:bCs/>
                <w:snapToGrid w:val="0"/>
                <w:color w:val="auto"/>
                <w:kern w:val="0"/>
                <w:sz w:val="24"/>
                <w:szCs w:val="24"/>
              </w:rPr>
              <w:t>表4-</w:t>
            </w:r>
            <w:r>
              <w:rPr>
                <w:rFonts w:hint="eastAsia" w:eastAsia="宋体" w:cs="Times New Roman"/>
                <w:b/>
                <w:bCs/>
                <w:snapToGrid w:val="0"/>
                <w:color w:val="auto"/>
                <w:kern w:val="0"/>
                <w:sz w:val="24"/>
                <w:szCs w:val="24"/>
                <w:lang w:val="en-US" w:eastAsia="zh-CN"/>
              </w:rPr>
              <w:t>9</w:t>
            </w:r>
            <w:r>
              <w:rPr>
                <w:rFonts w:eastAsia="宋体" w:cs="Times New Roman"/>
                <w:b/>
                <w:bCs/>
                <w:snapToGrid w:val="0"/>
                <w:color w:val="auto"/>
                <w:kern w:val="0"/>
                <w:sz w:val="24"/>
                <w:szCs w:val="24"/>
              </w:rPr>
              <w:t xml:space="preserve">  废水污染源环境监测计划</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237"/>
              <w:gridCol w:w="1547"/>
              <w:gridCol w:w="1237"/>
              <w:gridCol w:w="3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46" w:type="pct"/>
                  <w:tcMar>
                    <w:top w:w="0" w:type="dxa"/>
                    <w:left w:w="0" w:type="dxa"/>
                    <w:bottom w:w="0" w:type="dxa"/>
                    <w:right w:w="0" w:type="dxa"/>
                  </w:tcMar>
                  <w:vAlign w:val="center"/>
                </w:tcPr>
                <w:p>
                  <w:pPr>
                    <w:adjustRightInd w:val="0"/>
                    <w:snapToGrid w:val="0"/>
                    <w:jc w:val="center"/>
                    <w:rPr>
                      <w:b/>
                      <w:snapToGrid w:val="0"/>
                      <w:color w:val="auto"/>
                      <w:szCs w:val="21"/>
                    </w:rPr>
                  </w:pPr>
                  <w:r>
                    <w:rPr>
                      <w:b/>
                      <w:bCs/>
                      <w:snapToGrid w:val="0"/>
                      <w:color w:val="auto"/>
                      <w:kern w:val="0"/>
                      <w:szCs w:val="21"/>
                    </w:rPr>
                    <w:t>监测位置</w:t>
                  </w:r>
                </w:p>
              </w:tc>
              <w:tc>
                <w:tcPr>
                  <w:tcW w:w="746" w:type="pct"/>
                  <w:tcMar>
                    <w:top w:w="0" w:type="dxa"/>
                    <w:left w:w="0" w:type="dxa"/>
                    <w:bottom w:w="0" w:type="dxa"/>
                    <w:right w:w="0" w:type="dxa"/>
                  </w:tcMar>
                  <w:vAlign w:val="center"/>
                </w:tcPr>
                <w:p>
                  <w:pPr>
                    <w:adjustRightInd w:val="0"/>
                    <w:snapToGrid w:val="0"/>
                    <w:jc w:val="center"/>
                    <w:rPr>
                      <w:b/>
                      <w:snapToGrid w:val="0"/>
                      <w:color w:val="auto"/>
                      <w:szCs w:val="21"/>
                    </w:rPr>
                  </w:pPr>
                  <w:r>
                    <w:rPr>
                      <w:b/>
                      <w:snapToGrid w:val="0"/>
                      <w:color w:val="auto"/>
                      <w:szCs w:val="21"/>
                    </w:rPr>
                    <w:t>排放口编号</w:t>
                  </w:r>
                </w:p>
              </w:tc>
              <w:tc>
                <w:tcPr>
                  <w:tcW w:w="933" w:type="pct"/>
                  <w:tcMar>
                    <w:top w:w="0" w:type="dxa"/>
                    <w:left w:w="0" w:type="dxa"/>
                    <w:bottom w:w="0" w:type="dxa"/>
                    <w:right w:w="0" w:type="dxa"/>
                  </w:tcMar>
                  <w:vAlign w:val="center"/>
                </w:tcPr>
                <w:p>
                  <w:pPr>
                    <w:adjustRightInd w:val="0"/>
                    <w:snapToGrid w:val="0"/>
                    <w:jc w:val="center"/>
                    <w:rPr>
                      <w:b/>
                      <w:snapToGrid w:val="0"/>
                      <w:color w:val="auto"/>
                      <w:szCs w:val="21"/>
                    </w:rPr>
                  </w:pPr>
                  <w:r>
                    <w:rPr>
                      <w:b/>
                      <w:snapToGrid w:val="0"/>
                      <w:color w:val="auto"/>
                      <w:szCs w:val="21"/>
                    </w:rPr>
                    <w:t>污染物名称</w:t>
                  </w:r>
                </w:p>
              </w:tc>
              <w:tc>
                <w:tcPr>
                  <w:tcW w:w="746" w:type="pct"/>
                  <w:tcMar>
                    <w:top w:w="0" w:type="dxa"/>
                    <w:left w:w="0" w:type="dxa"/>
                    <w:bottom w:w="0" w:type="dxa"/>
                    <w:right w:w="0" w:type="dxa"/>
                  </w:tcMar>
                  <w:vAlign w:val="center"/>
                </w:tcPr>
                <w:p>
                  <w:pPr>
                    <w:adjustRightInd w:val="0"/>
                    <w:snapToGrid w:val="0"/>
                    <w:jc w:val="center"/>
                    <w:rPr>
                      <w:b/>
                      <w:snapToGrid w:val="0"/>
                      <w:color w:val="auto"/>
                      <w:szCs w:val="21"/>
                      <w:vertAlign w:val="superscript"/>
                    </w:rPr>
                  </w:pPr>
                  <w:r>
                    <w:rPr>
                      <w:b/>
                      <w:snapToGrid w:val="0"/>
                      <w:color w:val="auto"/>
                      <w:szCs w:val="21"/>
                    </w:rPr>
                    <w:t>监测频次</w:t>
                  </w:r>
                </w:p>
              </w:tc>
              <w:tc>
                <w:tcPr>
                  <w:tcW w:w="1829" w:type="pct"/>
                  <w:tcMar>
                    <w:top w:w="0" w:type="dxa"/>
                    <w:left w:w="0" w:type="dxa"/>
                    <w:bottom w:w="0" w:type="dxa"/>
                    <w:right w:w="0" w:type="dxa"/>
                  </w:tcMar>
                  <w:vAlign w:val="center"/>
                </w:tcPr>
                <w:p>
                  <w:pPr>
                    <w:adjustRightInd w:val="0"/>
                    <w:snapToGrid w:val="0"/>
                    <w:jc w:val="center"/>
                    <w:rPr>
                      <w:b/>
                      <w:snapToGrid w:val="0"/>
                      <w:color w:val="auto"/>
                      <w:szCs w:val="21"/>
                      <w:vertAlign w:val="superscript"/>
                    </w:rPr>
                  </w:pPr>
                  <w:r>
                    <w:rPr>
                      <w:b/>
                      <w:snapToGrid w:val="0"/>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746" w:type="pct"/>
                  <w:tcMar>
                    <w:top w:w="0" w:type="dxa"/>
                    <w:left w:w="0" w:type="dxa"/>
                    <w:bottom w:w="0" w:type="dxa"/>
                    <w:right w:w="0" w:type="dxa"/>
                  </w:tcMar>
                  <w:vAlign w:val="center"/>
                </w:tcPr>
                <w:p>
                  <w:pPr>
                    <w:adjustRightInd w:val="0"/>
                    <w:snapToGrid w:val="0"/>
                    <w:jc w:val="center"/>
                    <w:rPr>
                      <w:snapToGrid w:val="0"/>
                      <w:color w:val="auto"/>
                      <w:szCs w:val="21"/>
                    </w:rPr>
                  </w:pPr>
                  <w:r>
                    <w:rPr>
                      <w:snapToGrid w:val="0"/>
                      <w:color w:val="auto"/>
                      <w:szCs w:val="21"/>
                    </w:rPr>
                    <w:t>企业总排口</w:t>
                  </w:r>
                </w:p>
              </w:tc>
              <w:tc>
                <w:tcPr>
                  <w:tcW w:w="746" w:type="pct"/>
                  <w:tcMar>
                    <w:top w:w="0" w:type="dxa"/>
                    <w:left w:w="0" w:type="dxa"/>
                    <w:bottom w:w="0" w:type="dxa"/>
                    <w:right w:w="0" w:type="dxa"/>
                  </w:tcMar>
                  <w:vAlign w:val="center"/>
                </w:tcPr>
                <w:p>
                  <w:pPr>
                    <w:adjustRightInd w:val="0"/>
                    <w:snapToGrid w:val="0"/>
                    <w:jc w:val="center"/>
                    <w:rPr>
                      <w:snapToGrid w:val="0"/>
                      <w:color w:val="auto"/>
                      <w:szCs w:val="21"/>
                    </w:rPr>
                  </w:pPr>
                  <w:r>
                    <w:rPr>
                      <w:snapToGrid w:val="0"/>
                      <w:color w:val="auto"/>
                      <w:szCs w:val="21"/>
                    </w:rPr>
                    <w:t>DW001</w:t>
                  </w:r>
                </w:p>
              </w:tc>
              <w:tc>
                <w:tcPr>
                  <w:tcW w:w="933" w:type="pct"/>
                  <w:tcMar>
                    <w:top w:w="0" w:type="dxa"/>
                    <w:left w:w="0" w:type="dxa"/>
                    <w:bottom w:w="0" w:type="dxa"/>
                    <w:right w:w="0" w:type="dxa"/>
                  </w:tcMar>
                  <w:vAlign w:val="center"/>
                </w:tcPr>
                <w:p>
                  <w:pPr>
                    <w:adjustRightInd w:val="0"/>
                    <w:snapToGrid w:val="0"/>
                    <w:spacing w:line="320" w:lineRule="exact"/>
                    <w:jc w:val="center"/>
                    <w:rPr>
                      <w:rFonts w:eastAsia="楷体_GB2312"/>
                      <w:color w:val="auto"/>
                      <w:szCs w:val="21"/>
                    </w:rPr>
                  </w:pPr>
                  <w:r>
                    <w:rPr>
                      <w:rFonts w:eastAsia="楷体_GB2312"/>
                      <w:color w:val="auto"/>
                      <w:szCs w:val="21"/>
                    </w:rPr>
                    <w:t>pH、COD、SS、NH</w:t>
                  </w:r>
                  <w:r>
                    <w:rPr>
                      <w:rFonts w:eastAsia="楷体_GB2312"/>
                      <w:color w:val="auto"/>
                      <w:szCs w:val="21"/>
                      <w:vertAlign w:val="subscript"/>
                    </w:rPr>
                    <w:t>3</w:t>
                  </w:r>
                  <w:r>
                    <w:rPr>
                      <w:rFonts w:eastAsia="楷体_GB2312"/>
                      <w:color w:val="auto"/>
                      <w:szCs w:val="21"/>
                    </w:rPr>
                    <w:t>-N、TN、TP</w:t>
                  </w:r>
                </w:p>
              </w:tc>
              <w:tc>
                <w:tcPr>
                  <w:tcW w:w="746" w:type="pct"/>
                  <w:tcMar>
                    <w:top w:w="0" w:type="dxa"/>
                    <w:left w:w="0" w:type="dxa"/>
                    <w:bottom w:w="0" w:type="dxa"/>
                    <w:right w:w="0" w:type="dxa"/>
                  </w:tcMar>
                  <w:vAlign w:val="center"/>
                </w:tcPr>
                <w:p>
                  <w:pPr>
                    <w:adjustRightInd w:val="0"/>
                    <w:snapToGrid w:val="0"/>
                    <w:jc w:val="center"/>
                    <w:rPr>
                      <w:snapToGrid w:val="0"/>
                      <w:color w:val="auto"/>
                      <w:szCs w:val="21"/>
                    </w:rPr>
                  </w:pPr>
                  <w:r>
                    <w:rPr>
                      <w:snapToGrid w:val="0"/>
                      <w:color w:val="auto"/>
                      <w:szCs w:val="21"/>
                    </w:rPr>
                    <w:t>1次/年</w:t>
                  </w:r>
                </w:p>
              </w:tc>
              <w:tc>
                <w:tcPr>
                  <w:tcW w:w="1829" w:type="pct"/>
                  <w:tcMar>
                    <w:top w:w="0" w:type="dxa"/>
                    <w:left w:w="0" w:type="dxa"/>
                    <w:bottom w:w="0" w:type="dxa"/>
                    <w:right w:w="0" w:type="dxa"/>
                  </w:tcMar>
                  <w:vAlign w:val="center"/>
                </w:tcPr>
                <w:p>
                  <w:pPr>
                    <w:wordWrap w:val="0"/>
                    <w:adjustRightInd w:val="0"/>
                    <w:snapToGrid w:val="0"/>
                    <w:jc w:val="center"/>
                    <w:rPr>
                      <w:snapToGrid w:val="0"/>
                      <w:color w:val="auto"/>
                      <w:szCs w:val="21"/>
                    </w:rPr>
                  </w:pPr>
                  <w:r>
                    <w:rPr>
                      <w:snapToGrid w:val="0"/>
                      <w:color w:val="auto"/>
                      <w:szCs w:val="21"/>
                    </w:rPr>
                    <w:t>《污水综合排放标准》（GB8978-1996）表4中的三级标准和《污水排入城镇下水道水质标准》（GB/T31962-2015）表1中标准</w:t>
                  </w:r>
                </w:p>
              </w:tc>
            </w:tr>
          </w:tbl>
          <w:p>
            <w:pPr>
              <w:adjustRightInd w:val="0"/>
              <w:snapToGrid w:val="0"/>
              <w:spacing w:before="120" w:beforeLines="50" w:line="360" w:lineRule="auto"/>
              <w:ind w:firstLine="482" w:firstLineChars="200"/>
              <w:rPr>
                <w:b/>
                <w:bCs/>
                <w:snapToGrid w:val="0"/>
                <w:color w:val="auto"/>
                <w:szCs w:val="28"/>
              </w:rPr>
            </w:pPr>
            <w:r>
              <w:rPr>
                <w:b/>
                <w:bCs/>
                <w:snapToGrid w:val="0"/>
                <w:color w:val="auto"/>
                <w:sz w:val="24"/>
              </w:rPr>
              <w:t>（4）废水依托污水处理厂的可行性分析</w:t>
            </w:r>
          </w:p>
          <w:p>
            <w:pPr>
              <w:adjustRightInd w:val="0"/>
              <w:snapToGrid w:val="0"/>
              <w:spacing w:line="360" w:lineRule="auto"/>
              <w:ind w:firstLine="480" w:firstLineChars="200"/>
              <w:rPr>
                <w:color w:val="auto"/>
                <w:sz w:val="24"/>
              </w:rPr>
            </w:pPr>
            <w:r>
              <w:rPr>
                <w:color w:val="auto"/>
                <w:sz w:val="24"/>
              </w:rPr>
              <w:t>①接管处理能力分析</w:t>
            </w:r>
          </w:p>
          <w:p>
            <w:pPr>
              <w:adjustRightInd w:val="0"/>
              <w:snapToGrid w:val="0"/>
              <w:spacing w:line="360" w:lineRule="auto"/>
              <w:ind w:firstLine="480" w:firstLineChars="200"/>
              <w:rPr>
                <w:color w:val="auto"/>
                <w:sz w:val="24"/>
              </w:rPr>
            </w:pPr>
            <w:r>
              <w:rPr>
                <w:rFonts w:hint="eastAsia"/>
                <w:color w:val="auto"/>
                <w:sz w:val="24"/>
              </w:rPr>
              <w:t>无锡玉祁永新污水处理有限公司设计处理能力2万m</w:t>
            </w:r>
            <w:r>
              <w:rPr>
                <w:rFonts w:hint="eastAsia"/>
                <w:color w:val="auto"/>
                <w:sz w:val="24"/>
                <w:vertAlign w:val="superscript"/>
              </w:rPr>
              <w:t>3</w:t>
            </w:r>
            <w:r>
              <w:rPr>
                <w:rFonts w:hint="eastAsia"/>
                <w:color w:val="auto"/>
                <w:sz w:val="24"/>
              </w:rPr>
              <w:t>/d，目前实际处理负荷达到1.23万m</w:t>
            </w:r>
            <w:r>
              <w:rPr>
                <w:rFonts w:hint="eastAsia"/>
                <w:color w:val="auto"/>
                <w:sz w:val="24"/>
                <w:vertAlign w:val="superscript"/>
              </w:rPr>
              <w:t>3</w:t>
            </w:r>
            <w:r>
              <w:rPr>
                <w:rFonts w:hint="eastAsia"/>
                <w:color w:val="auto"/>
                <w:sz w:val="24"/>
              </w:rPr>
              <w:t>/d，尚有0.77万m</w:t>
            </w:r>
            <w:r>
              <w:rPr>
                <w:rFonts w:hint="eastAsia"/>
                <w:color w:val="auto"/>
                <w:sz w:val="24"/>
                <w:vertAlign w:val="superscript"/>
              </w:rPr>
              <w:t>3</w:t>
            </w:r>
            <w:r>
              <w:rPr>
                <w:rFonts w:hint="eastAsia"/>
                <w:color w:val="auto"/>
                <w:sz w:val="24"/>
              </w:rPr>
              <w:t>/d的设计处理余量。</w:t>
            </w:r>
            <w:r>
              <w:rPr>
                <w:color w:val="auto"/>
                <w:sz w:val="24"/>
              </w:rPr>
              <w:t>本项目建成后废水接管量</w:t>
            </w:r>
            <w:r>
              <w:rPr>
                <w:rFonts w:hint="eastAsia"/>
                <w:color w:val="auto"/>
                <w:sz w:val="24"/>
                <w:lang w:val="en-US" w:eastAsia="zh-CN"/>
              </w:rPr>
              <w:t>977</w:t>
            </w:r>
            <w:r>
              <w:rPr>
                <w:color w:val="auto"/>
                <w:sz w:val="24"/>
              </w:rPr>
              <w:t>t/a即</w:t>
            </w:r>
            <w:r>
              <w:rPr>
                <w:rFonts w:hint="eastAsia"/>
                <w:color w:val="auto"/>
                <w:sz w:val="24"/>
                <w:lang w:val="en-US" w:eastAsia="zh-CN"/>
              </w:rPr>
              <w:t>3.8</w:t>
            </w:r>
            <w:r>
              <w:rPr>
                <w:color w:val="auto"/>
                <w:sz w:val="24"/>
              </w:rPr>
              <w:t>t/d，对无锡玉祁永新污水处理有限公司基本不会造成冲击负荷，且本项目所在地位于无锡玉祁永新污水处理有限公司纳管范围内，管网已到位，在确保本项目废水能够达到污水处理厂接管标准的前提下，本项目废水能够被无锡玉祁永新污水处理有限公司接管。</w:t>
            </w:r>
          </w:p>
          <w:p>
            <w:pPr>
              <w:adjustRightInd w:val="0"/>
              <w:snapToGrid w:val="0"/>
              <w:spacing w:line="360" w:lineRule="auto"/>
              <w:ind w:firstLine="480" w:firstLineChars="200"/>
              <w:rPr>
                <w:color w:val="auto"/>
                <w:sz w:val="24"/>
              </w:rPr>
            </w:pPr>
            <w:r>
              <w:rPr>
                <w:color w:val="auto"/>
                <w:sz w:val="24"/>
              </w:rPr>
              <w:t>因此，本项目产生的污水在无锡玉祁永新污水处理有限公司的处理能力和范围之内，接入该污水厂集中处理的方案是可行的。</w:t>
            </w:r>
          </w:p>
          <w:p>
            <w:pPr>
              <w:spacing w:line="360" w:lineRule="auto"/>
              <w:ind w:firstLine="480" w:firstLineChars="200"/>
              <w:rPr>
                <w:color w:val="auto"/>
                <w:sz w:val="24"/>
              </w:rPr>
            </w:pPr>
            <w:r>
              <w:rPr>
                <w:color w:val="auto"/>
                <w:sz w:val="24"/>
              </w:rPr>
              <w:t>②处理工艺可行性分析</w:t>
            </w:r>
          </w:p>
          <w:p>
            <w:pPr>
              <w:pStyle w:val="18"/>
              <w:adjustRightInd w:val="0"/>
              <w:snapToGrid w:val="0"/>
              <w:spacing w:after="0" w:line="360" w:lineRule="auto"/>
              <w:ind w:left="0" w:leftChars="0" w:firstLine="480"/>
              <w:jc w:val="left"/>
              <w:rPr>
                <w:color w:val="auto"/>
                <w:sz w:val="24"/>
                <w:szCs w:val="22"/>
              </w:rPr>
            </w:pPr>
            <w:r>
              <w:rPr>
                <w:color w:val="auto"/>
                <w:sz w:val="24"/>
                <w:szCs w:val="22"/>
              </w:rPr>
              <w:t>无锡玉祁永新污水处理有限公司</w:t>
            </w:r>
            <w:r>
              <w:rPr>
                <w:rFonts w:hint="eastAsia"/>
                <w:color w:val="auto"/>
                <w:sz w:val="24"/>
                <w:szCs w:val="22"/>
              </w:rPr>
              <w:t>处理工艺见下图。</w:t>
            </w:r>
          </w:p>
          <w:p>
            <w:pPr>
              <w:pStyle w:val="18"/>
              <w:adjustRightInd w:val="0"/>
              <w:snapToGrid w:val="0"/>
              <w:spacing w:after="0" w:line="360" w:lineRule="auto"/>
              <w:ind w:left="0" w:leftChars="0" w:firstLine="0" w:firstLineChars="0"/>
              <w:jc w:val="center"/>
              <w:rPr>
                <w:color w:val="auto"/>
                <w:sz w:val="24"/>
                <w:szCs w:val="22"/>
              </w:rPr>
            </w:pPr>
            <w:r>
              <w:rPr>
                <w:color w:val="auto"/>
              </w:rPr>
              <w:fldChar w:fldCharType="begin"/>
            </w:r>
            <w:r>
              <w:rPr>
                <w:color w:val="auto"/>
              </w:rPr>
              <w:instrText xml:space="preserve"> INCLUDEPICTURE "C:\\Users\\lenovo\\AppData\\Local\\Temp\\ksohtml9836\\wps4.png" \* MERGEFORMATINET </w:instrText>
            </w:r>
            <w:r>
              <w:rPr>
                <w:color w:val="auto"/>
              </w:rPr>
              <w:fldChar w:fldCharType="separate"/>
            </w:r>
            <w:r>
              <w:rPr>
                <w:color w:val="auto"/>
              </w:rPr>
              <w:fldChar w:fldCharType="begin"/>
            </w:r>
            <w:r>
              <w:rPr>
                <w:color w:val="auto"/>
              </w:rPr>
              <w:instrText xml:space="preserve"> INCLUDEPICTURE  "C:\\Users\\lenovo\\AppData\\Local\\Temp\\ksohtml9836\\wps4.png" \* MERGEFORMATINET </w:instrText>
            </w:r>
            <w:r>
              <w:rPr>
                <w:color w:val="auto"/>
              </w:rPr>
              <w:fldChar w:fldCharType="separate"/>
            </w:r>
            <w:r>
              <w:rPr>
                <w:color w:val="auto"/>
              </w:rPr>
              <w:fldChar w:fldCharType="begin"/>
            </w:r>
            <w:r>
              <w:rPr>
                <w:color w:val="auto"/>
              </w:rPr>
              <w:instrText xml:space="preserve"> INCLUDEPICTURE  "C:\\Users\\lenovo\\AppData\\Local\\Temp\\ksohtml9836\\wps4.png" \* MERGEFORMATINET </w:instrText>
            </w:r>
            <w:r>
              <w:rPr>
                <w:color w:val="auto"/>
              </w:rPr>
              <w:fldChar w:fldCharType="separate"/>
            </w:r>
            <w:r>
              <w:rPr>
                <w:color w:val="auto"/>
              </w:rPr>
              <w:fldChar w:fldCharType="begin"/>
            </w:r>
            <w:r>
              <w:rPr>
                <w:color w:val="auto"/>
              </w:rPr>
              <w:instrText xml:space="preserve"> INCLUDEPICTURE  "C:\\Users\\lenovo\\AppData\\Local\\Temp\\ksohtml9836\\wps4.png" \* MERGEFORMATINET </w:instrText>
            </w:r>
            <w:r>
              <w:rPr>
                <w:color w:val="auto"/>
              </w:rPr>
              <w:fldChar w:fldCharType="separate"/>
            </w:r>
            <w:r>
              <w:rPr>
                <w:color w:val="auto"/>
              </w:rPr>
              <w:fldChar w:fldCharType="begin"/>
            </w:r>
            <w:r>
              <w:rPr>
                <w:color w:val="auto"/>
              </w:rPr>
              <w:instrText xml:space="preserve"> INCLUDEPICTURE  "C:\\Users\\lenovo\\AppData\\Local\\Temp\\ksohtml9836\\wps4.png" \* MERGEFORMATINET </w:instrText>
            </w:r>
            <w:r>
              <w:rPr>
                <w:color w:val="auto"/>
              </w:rPr>
              <w:fldChar w:fldCharType="separate"/>
            </w:r>
            <w:r>
              <w:rPr>
                <w:color w:val="auto"/>
              </w:rPr>
              <w:fldChar w:fldCharType="begin"/>
            </w:r>
            <w:r>
              <w:rPr>
                <w:color w:val="auto"/>
              </w:rPr>
              <w:instrText xml:space="preserve"> INCLUDEPICTURE  "C:\\Users\\lenovo\\AppData\\Local\\Temp\\ksohtml9836\\wps4.png" \* MERGEFORMATINET </w:instrText>
            </w:r>
            <w:r>
              <w:rPr>
                <w:color w:val="auto"/>
              </w:rPr>
              <w:fldChar w:fldCharType="separate"/>
            </w:r>
            <w:r>
              <w:rPr>
                <w:color w:val="auto"/>
              </w:rPr>
              <w:fldChar w:fldCharType="begin"/>
            </w:r>
            <w:r>
              <w:rPr>
                <w:color w:val="auto"/>
              </w:rPr>
              <w:instrText xml:space="preserve"> INCLUDEPICTURE  "C:\\Users\\lenovo\\AppData\\Local\\Temp\\ksohtml9836\\wps4.png" \* MERGEFORMATINET </w:instrText>
            </w:r>
            <w:r>
              <w:rPr>
                <w:color w:val="auto"/>
              </w:rPr>
              <w:fldChar w:fldCharType="separate"/>
            </w:r>
            <w:r>
              <w:rPr>
                <w:color w:val="auto"/>
              </w:rPr>
              <w:pict>
                <v:shape id="_x0000_i1025" o:spt="75" alt="wps4" type="#_x0000_t75" style="height:208pt;width:373.3pt;" filled="f" o:preferrelative="t" stroked="f" coordsize="21600,21600">
                  <v:path/>
                  <v:fill on="f" focussize="0,0"/>
                  <v:stroke on="f"/>
                  <v:imagedata r:id="rId9" r:href="rId10" cropbottom="876f" o:title=""/>
                  <o:lock v:ext="edit" aspectratio="t"/>
                  <w10:wrap type="none"/>
                  <w10:anchorlock/>
                </v:shape>
              </w:pict>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p>
          <w:p>
            <w:pPr>
              <w:adjustRightInd w:val="0"/>
              <w:snapToGrid w:val="0"/>
              <w:spacing w:before="120" w:beforeLines="50" w:line="360" w:lineRule="auto"/>
              <w:jc w:val="center"/>
              <w:rPr>
                <w:b/>
                <w:bCs/>
                <w:color w:val="auto"/>
                <w:szCs w:val="21"/>
              </w:rPr>
            </w:pPr>
            <w:r>
              <w:rPr>
                <w:rFonts w:hint="eastAsia"/>
                <w:b/>
                <w:bCs/>
                <w:color w:val="auto"/>
              </w:rPr>
              <w:t>图</w:t>
            </w:r>
            <w:r>
              <w:rPr>
                <w:b/>
                <w:bCs/>
                <w:color w:val="auto"/>
              </w:rPr>
              <w:t>4-</w:t>
            </w:r>
            <w:r>
              <w:rPr>
                <w:rFonts w:hint="eastAsia"/>
                <w:b/>
                <w:bCs/>
                <w:color w:val="auto"/>
                <w:lang w:val="en-US" w:eastAsia="zh-CN"/>
              </w:rPr>
              <w:t>1</w:t>
            </w:r>
            <w:r>
              <w:rPr>
                <w:b/>
                <w:bCs/>
                <w:color w:val="auto"/>
              </w:rPr>
              <w:t xml:space="preserve">  </w:t>
            </w:r>
            <w:r>
              <w:rPr>
                <w:rFonts w:hint="eastAsia"/>
                <w:b/>
                <w:bCs/>
                <w:color w:val="auto"/>
              </w:rPr>
              <w:t>无锡玉祁永新污水处理有限公司处理工艺流程图</w:t>
            </w:r>
          </w:p>
          <w:p>
            <w:pPr>
              <w:pStyle w:val="18"/>
              <w:adjustRightInd w:val="0"/>
              <w:snapToGrid w:val="0"/>
              <w:spacing w:after="0" w:line="360" w:lineRule="auto"/>
              <w:ind w:left="0" w:leftChars="0" w:firstLine="480"/>
              <w:jc w:val="left"/>
              <w:rPr>
                <w:color w:val="auto"/>
                <w:sz w:val="24"/>
              </w:rPr>
            </w:pPr>
            <w:r>
              <w:rPr>
                <w:color w:val="auto"/>
                <w:sz w:val="24"/>
                <w:szCs w:val="22"/>
              </w:rPr>
              <w:t>无锡玉祁永新污水处理有限公司</w:t>
            </w:r>
            <w:r>
              <w:rPr>
                <w:color w:val="auto"/>
                <w:sz w:val="24"/>
              </w:rPr>
              <w:t>设施运行情况正常，出水水质情况正常，COD、氨氮、总磷优于《太湖地区城镇污水处理厂及重点工业行业主要水污染物排放限值》（DB32/1072-2018）中表2标准，达到《地表水环境质量标准》（GB3838-2002）中</w:t>
            </w:r>
            <w:r>
              <w:rPr>
                <w:rFonts w:hint="default" w:ascii="Times New Roman" w:hAnsi="Times New Roman" w:cs="Times New Roman"/>
                <w:bCs/>
                <w:color w:val="auto"/>
                <w:sz w:val="24"/>
                <w:szCs w:val="22"/>
              </w:rPr>
              <w:t>Ⅳ类</w:t>
            </w:r>
            <w:r>
              <w:rPr>
                <w:color w:val="auto"/>
                <w:sz w:val="24"/>
              </w:rPr>
              <w:t>标准，其他指标执行《城镇污水处理厂污染物排放标准》（GB18918-2002）中一级标准的A标准</w:t>
            </w:r>
            <w:r>
              <w:rPr>
                <w:rFonts w:hint="eastAsia"/>
                <w:color w:val="auto"/>
                <w:sz w:val="24"/>
              </w:rPr>
              <w:t>后</w:t>
            </w:r>
            <w:r>
              <w:rPr>
                <w:color w:val="auto"/>
                <w:sz w:val="24"/>
              </w:rPr>
              <w:t>排入横港。</w:t>
            </w:r>
          </w:p>
          <w:p>
            <w:pPr>
              <w:pStyle w:val="18"/>
              <w:adjustRightInd w:val="0"/>
              <w:snapToGrid w:val="0"/>
              <w:spacing w:after="0" w:line="360" w:lineRule="auto"/>
              <w:ind w:left="0" w:leftChars="0" w:firstLine="480"/>
              <w:jc w:val="left"/>
              <w:rPr>
                <w:color w:val="auto"/>
                <w:szCs w:val="21"/>
              </w:rPr>
            </w:pPr>
            <w:r>
              <w:rPr>
                <w:color w:val="auto"/>
                <w:sz w:val="24"/>
              </w:rPr>
              <w:t>废水处理工艺具有处理效果稳定可靠，抗冲击负荷能力强，占地面积省等优点，主要针对城市生活污水和生产废水的处理，可有效处理本项目接管废水。</w:t>
            </w:r>
          </w:p>
          <w:p>
            <w:pPr>
              <w:adjustRightInd w:val="0"/>
              <w:snapToGrid w:val="0"/>
              <w:spacing w:line="360" w:lineRule="auto"/>
              <w:ind w:firstLine="493"/>
              <w:rPr>
                <w:color w:val="auto"/>
                <w:sz w:val="24"/>
              </w:rPr>
            </w:pPr>
            <w:r>
              <w:rPr>
                <w:color w:val="auto"/>
                <w:sz w:val="24"/>
              </w:rPr>
              <w:t>③接管水质可行性分析</w:t>
            </w:r>
          </w:p>
          <w:p>
            <w:pPr>
              <w:spacing w:line="360" w:lineRule="auto"/>
              <w:ind w:firstLine="480" w:firstLineChars="200"/>
              <w:rPr>
                <w:color w:val="auto"/>
                <w:sz w:val="24"/>
              </w:rPr>
            </w:pPr>
            <w:r>
              <w:rPr>
                <w:color w:val="auto"/>
                <w:sz w:val="24"/>
              </w:rPr>
              <w:t>本项目产生的污水主要为生活污水</w:t>
            </w:r>
            <w:r>
              <w:rPr>
                <w:rFonts w:hint="eastAsia"/>
                <w:color w:val="auto"/>
                <w:sz w:val="24"/>
              </w:rPr>
              <w:t>和</w:t>
            </w:r>
            <w:r>
              <w:rPr>
                <w:color w:val="auto"/>
                <w:sz w:val="24"/>
              </w:rPr>
              <w:t>冷却排水，经对无锡市生活污水的类比调查，生活污水水质较单一、稳定，</w:t>
            </w:r>
            <w:r>
              <w:rPr>
                <w:rFonts w:hint="eastAsia"/>
                <w:color w:val="auto"/>
                <w:sz w:val="24"/>
              </w:rPr>
              <w:t>冷却排水水质</w:t>
            </w:r>
            <w:r>
              <w:rPr>
                <w:color w:val="auto"/>
                <w:sz w:val="24"/>
              </w:rPr>
              <w:t>较为单一</w:t>
            </w:r>
            <w:r>
              <w:rPr>
                <w:rFonts w:hint="eastAsia"/>
                <w:color w:val="auto"/>
                <w:sz w:val="24"/>
              </w:rPr>
              <w:t>，</w:t>
            </w:r>
            <w:r>
              <w:rPr>
                <w:color w:val="auto"/>
                <w:sz w:val="24"/>
              </w:rPr>
              <w:t>在无锡玉祁永新污水处理有限公司的能力范围内，因此无锡玉祁永新污水处理有限公司有能力接纳本项目产生的生活污水</w:t>
            </w:r>
            <w:r>
              <w:rPr>
                <w:rFonts w:hint="eastAsia"/>
                <w:color w:val="auto"/>
                <w:sz w:val="24"/>
              </w:rPr>
              <w:t>和</w:t>
            </w:r>
            <w:r>
              <w:rPr>
                <w:color w:val="auto"/>
                <w:sz w:val="24"/>
              </w:rPr>
              <w:t>冷却排水，建设项目不会对无锡玉祁永新污水处理有限公司正常运行造成影响。</w:t>
            </w:r>
          </w:p>
          <w:p>
            <w:pPr>
              <w:adjustRightInd w:val="0"/>
              <w:snapToGrid w:val="0"/>
              <w:spacing w:line="360" w:lineRule="auto"/>
              <w:ind w:firstLine="493"/>
              <w:rPr>
                <w:color w:val="auto"/>
                <w:sz w:val="24"/>
              </w:rPr>
            </w:pPr>
            <w:r>
              <w:rPr>
                <w:rFonts w:hint="eastAsia"/>
                <w:color w:val="auto"/>
                <w:sz w:val="24"/>
              </w:rPr>
              <w:t>④</w:t>
            </w:r>
            <w:r>
              <w:rPr>
                <w:color w:val="auto"/>
                <w:sz w:val="24"/>
              </w:rPr>
              <w:t>管网配套可行性分析</w:t>
            </w:r>
          </w:p>
          <w:p>
            <w:pPr>
              <w:adjustRightInd w:val="0"/>
              <w:snapToGrid w:val="0"/>
              <w:spacing w:line="360" w:lineRule="auto"/>
              <w:ind w:firstLine="480" w:firstLineChars="200"/>
              <w:rPr>
                <w:color w:val="auto"/>
                <w:sz w:val="24"/>
              </w:rPr>
            </w:pPr>
            <w:r>
              <w:rPr>
                <w:color w:val="auto"/>
                <w:sz w:val="24"/>
              </w:rPr>
              <w:t>本项目</w:t>
            </w:r>
            <w:r>
              <w:rPr>
                <w:rFonts w:hint="eastAsia"/>
                <w:color w:val="auto"/>
                <w:sz w:val="24"/>
              </w:rPr>
              <w:t>所在地位于</w:t>
            </w:r>
            <w:r>
              <w:rPr>
                <w:color w:val="auto"/>
                <w:sz w:val="24"/>
              </w:rPr>
              <w:t>无锡玉祁永新污水处理有限公司</w:t>
            </w:r>
            <w:r>
              <w:rPr>
                <w:rFonts w:hint="eastAsia"/>
                <w:color w:val="auto"/>
                <w:sz w:val="24"/>
              </w:rPr>
              <w:t>接管范围内，</w:t>
            </w:r>
            <w:r>
              <w:rPr>
                <w:color w:val="auto"/>
                <w:sz w:val="24"/>
              </w:rPr>
              <w:t>污水管网已经铺设</w:t>
            </w:r>
            <w:r>
              <w:rPr>
                <w:rFonts w:hint="eastAsia"/>
                <w:color w:val="auto"/>
                <w:sz w:val="24"/>
              </w:rPr>
              <w:t>到位</w:t>
            </w:r>
            <w:r>
              <w:rPr>
                <w:color w:val="auto"/>
                <w:sz w:val="24"/>
              </w:rPr>
              <w:t>。因此，本项目建设地具备污水集中处理的环保基础设施，项目建成后所有污水能够顺利接入污水管网。</w:t>
            </w:r>
          </w:p>
          <w:p>
            <w:pPr>
              <w:pStyle w:val="18"/>
              <w:spacing w:after="0" w:line="360" w:lineRule="auto"/>
              <w:ind w:left="0" w:leftChars="0" w:firstLine="480"/>
              <w:rPr>
                <w:color w:val="auto"/>
                <w:sz w:val="24"/>
                <w:szCs w:val="24"/>
              </w:rPr>
            </w:pPr>
            <w:r>
              <w:rPr>
                <w:color w:val="auto"/>
                <w:sz w:val="24"/>
                <w:szCs w:val="24"/>
              </w:rPr>
              <w:t>综上所述，从水质、水量、时间、空间等方面来看，本项目营运期产生的污水接入</w:t>
            </w:r>
            <w:r>
              <w:rPr>
                <w:color w:val="auto"/>
                <w:sz w:val="24"/>
              </w:rPr>
              <w:t>无锡玉祁永新污水处理有限公司</w:t>
            </w:r>
            <w:r>
              <w:rPr>
                <w:color w:val="auto"/>
                <w:sz w:val="24"/>
                <w:szCs w:val="24"/>
              </w:rPr>
              <w:t>集中处理是切实可行的。</w:t>
            </w:r>
          </w:p>
          <w:p>
            <w:pPr>
              <w:adjustRightInd w:val="0"/>
              <w:snapToGrid w:val="0"/>
              <w:spacing w:line="360" w:lineRule="auto"/>
              <w:ind w:firstLine="493"/>
              <w:rPr>
                <w:color w:val="auto"/>
                <w:sz w:val="24"/>
              </w:rPr>
            </w:pPr>
            <w:r>
              <w:rPr>
                <w:rFonts w:hint="eastAsia"/>
                <w:color w:val="auto"/>
                <w:sz w:val="24"/>
              </w:rPr>
              <w:t>⑤</w:t>
            </w:r>
            <w:r>
              <w:rPr>
                <w:color w:val="auto"/>
                <w:sz w:val="24"/>
              </w:rPr>
              <w:t>地表水环境影响</w:t>
            </w:r>
          </w:p>
          <w:p>
            <w:pPr>
              <w:pStyle w:val="19"/>
              <w:autoSpaceDE w:val="0"/>
              <w:autoSpaceDN w:val="0"/>
              <w:adjustRightInd w:val="0"/>
              <w:spacing w:after="0" w:line="360" w:lineRule="auto"/>
              <w:ind w:firstLine="480" w:firstLineChars="200"/>
              <w:rPr>
                <w:color w:val="auto"/>
                <w:sz w:val="24"/>
                <w:szCs w:val="24"/>
              </w:rPr>
            </w:pPr>
            <w:r>
              <w:rPr>
                <w:color w:val="auto"/>
                <w:sz w:val="24"/>
                <w:szCs w:val="24"/>
              </w:rPr>
              <w:t>水污染物经</w:t>
            </w:r>
            <w:r>
              <w:rPr>
                <w:color w:val="auto"/>
                <w:sz w:val="24"/>
              </w:rPr>
              <w:t>无锡玉祁永新污水处理有限公司</w:t>
            </w:r>
            <w:r>
              <w:rPr>
                <w:color w:val="auto"/>
                <w:sz w:val="24"/>
                <w:szCs w:val="24"/>
              </w:rPr>
              <w:t>处理后的出水浓度COD、NH</w:t>
            </w:r>
            <w:r>
              <w:rPr>
                <w:color w:val="auto"/>
                <w:sz w:val="24"/>
                <w:szCs w:val="24"/>
                <w:vertAlign w:val="subscript"/>
              </w:rPr>
              <w:t>3</w:t>
            </w:r>
            <w:r>
              <w:rPr>
                <w:color w:val="auto"/>
                <w:sz w:val="24"/>
                <w:szCs w:val="24"/>
              </w:rPr>
              <w:t>-N、TP优于</w:t>
            </w:r>
            <w:r>
              <w:rPr>
                <w:color w:val="auto"/>
                <w:sz w:val="24"/>
              </w:rPr>
              <w:t>《太湖地区城镇污水处理厂及重点工业行业主要水污染物排放限值》（DB32/1072-2018）中表2标准</w:t>
            </w:r>
            <w:r>
              <w:rPr>
                <w:color w:val="auto"/>
                <w:sz w:val="24"/>
                <w:szCs w:val="24"/>
              </w:rPr>
              <w:t>，达到《地表水环境质量标准》（GB3838-2002）中</w:t>
            </w:r>
            <w:r>
              <w:rPr>
                <w:rFonts w:hint="eastAsia"/>
                <w:color w:val="auto"/>
                <w:sz w:val="24"/>
                <w:szCs w:val="24"/>
              </w:rPr>
              <w:t>Ⅳ类</w:t>
            </w:r>
            <w:r>
              <w:rPr>
                <w:color w:val="auto"/>
                <w:sz w:val="24"/>
                <w:szCs w:val="24"/>
              </w:rPr>
              <w:t>标准，TN≤10mg/L，其他指标执行《城镇污水处理厂污染物排放标准》（GB18918-2002）表1中的一级A标准：COD≤30mg/L、SS≤10mg/L、NH</w:t>
            </w:r>
            <w:r>
              <w:rPr>
                <w:color w:val="auto"/>
                <w:sz w:val="24"/>
                <w:szCs w:val="24"/>
                <w:vertAlign w:val="subscript"/>
              </w:rPr>
              <w:t>3</w:t>
            </w:r>
            <w:r>
              <w:rPr>
                <w:color w:val="auto"/>
                <w:sz w:val="24"/>
                <w:szCs w:val="24"/>
              </w:rPr>
              <w:t>-N≤1.5mg/L、TN≤10mg/L、TP≤0.3mg/L，则本项目水污染物的最终排放量分别为：废水量</w:t>
            </w:r>
            <w:r>
              <w:rPr>
                <w:rFonts w:hint="eastAsia"/>
                <w:color w:val="auto"/>
                <w:sz w:val="24"/>
                <w:szCs w:val="24"/>
                <w:lang w:val="en-US" w:eastAsia="zh-CN"/>
              </w:rPr>
              <w:t>977</w:t>
            </w:r>
            <w:r>
              <w:rPr>
                <w:color w:val="auto"/>
                <w:sz w:val="24"/>
                <w:szCs w:val="24"/>
              </w:rPr>
              <w:t>t/a，COD 0.02</w:t>
            </w:r>
            <w:r>
              <w:rPr>
                <w:rFonts w:hint="eastAsia"/>
                <w:color w:val="auto"/>
                <w:sz w:val="24"/>
                <w:szCs w:val="24"/>
                <w:lang w:eastAsia="zh-CN"/>
              </w:rPr>
              <w:t>9</w:t>
            </w:r>
            <w:r>
              <w:rPr>
                <w:rFonts w:hint="eastAsia"/>
                <w:color w:val="auto"/>
                <w:sz w:val="24"/>
                <w:szCs w:val="24"/>
                <w:lang w:val="en-US" w:eastAsia="zh-CN"/>
              </w:rPr>
              <w:t>3</w:t>
            </w:r>
            <w:r>
              <w:rPr>
                <w:color w:val="auto"/>
                <w:sz w:val="24"/>
                <w:szCs w:val="24"/>
              </w:rPr>
              <w:t>t/a、SS 0.009</w:t>
            </w:r>
            <w:r>
              <w:rPr>
                <w:rFonts w:hint="eastAsia"/>
                <w:color w:val="auto"/>
                <w:sz w:val="24"/>
                <w:szCs w:val="24"/>
                <w:lang w:eastAsia="zh-CN"/>
              </w:rPr>
              <w:t>8</w:t>
            </w:r>
            <w:r>
              <w:rPr>
                <w:color w:val="auto"/>
                <w:sz w:val="24"/>
                <w:szCs w:val="24"/>
              </w:rPr>
              <w:t>t/a、NH</w:t>
            </w:r>
            <w:r>
              <w:rPr>
                <w:color w:val="auto"/>
                <w:sz w:val="24"/>
                <w:szCs w:val="24"/>
                <w:vertAlign w:val="subscript"/>
              </w:rPr>
              <w:t>3</w:t>
            </w:r>
            <w:r>
              <w:rPr>
                <w:color w:val="auto"/>
                <w:sz w:val="24"/>
                <w:szCs w:val="24"/>
              </w:rPr>
              <w:t>-N 0.001</w:t>
            </w:r>
            <w:r>
              <w:rPr>
                <w:rFonts w:hint="eastAsia"/>
                <w:color w:val="auto"/>
                <w:sz w:val="24"/>
                <w:szCs w:val="24"/>
                <w:lang w:val="en-US" w:eastAsia="zh-CN"/>
              </w:rPr>
              <w:t>4</w:t>
            </w:r>
            <w:r>
              <w:rPr>
                <w:color w:val="auto"/>
                <w:sz w:val="24"/>
                <w:szCs w:val="24"/>
              </w:rPr>
              <w:t>t/a、TN 0.009</w:t>
            </w:r>
            <w:r>
              <w:rPr>
                <w:rFonts w:hint="eastAsia"/>
                <w:color w:val="auto"/>
                <w:sz w:val="24"/>
                <w:szCs w:val="24"/>
                <w:lang w:val="en-US" w:eastAsia="zh-CN"/>
              </w:rPr>
              <w:t>0</w:t>
            </w:r>
            <w:r>
              <w:rPr>
                <w:color w:val="auto"/>
                <w:sz w:val="24"/>
                <w:szCs w:val="24"/>
              </w:rPr>
              <w:t>t/a、TP0.0003t/a</w:t>
            </w:r>
            <w:r>
              <w:rPr>
                <w:rFonts w:hint="eastAsia"/>
                <w:color w:val="auto"/>
                <w:sz w:val="24"/>
                <w:szCs w:val="24"/>
              </w:rPr>
              <w:t>。</w:t>
            </w:r>
          </w:p>
          <w:p>
            <w:pPr>
              <w:snapToGrid w:val="0"/>
              <w:spacing w:line="360" w:lineRule="auto"/>
              <w:ind w:firstLine="482" w:firstLineChars="200"/>
              <w:rPr>
                <w:b/>
                <w:bCs/>
                <w:color w:val="auto"/>
                <w:kern w:val="0"/>
                <w:sz w:val="24"/>
              </w:rPr>
            </w:pPr>
            <w:r>
              <w:rPr>
                <w:b/>
                <w:bCs/>
                <w:color w:val="auto"/>
                <w:kern w:val="0"/>
                <w:sz w:val="24"/>
              </w:rPr>
              <w:t>（5）地表水环境影响评价结论</w:t>
            </w:r>
          </w:p>
          <w:p>
            <w:pPr>
              <w:spacing w:line="360" w:lineRule="auto"/>
              <w:ind w:firstLine="480"/>
              <w:rPr>
                <w:color w:val="auto"/>
                <w:sz w:val="24"/>
              </w:rPr>
            </w:pPr>
            <w:r>
              <w:rPr>
                <w:color w:val="auto"/>
                <w:sz w:val="24"/>
              </w:rPr>
              <w:t>本项目位于受纳水体环境质量达标区域，</w:t>
            </w:r>
            <w:r>
              <w:rPr>
                <w:rFonts w:hint="eastAsia"/>
                <w:color w:val="auto"/>
                <w:sz w:val="24"/>
              </w:rPr>
              <w:t>冷却排水</w:t>
            </w:r>
            <w:r>
              <w:rPr>
                <w:color w:val="auto"/>
                <w:sz w:val="24"/>
              </w:rPr>
              <w:t>与经化粪池</w:t>
            </w:r>
            <w:r>
              <w:rPr>
                <w:rFonts w:hint="eastAsia"/>
                <w:color w:val="auto"/>
                <w:sz w:val="24"/>
              </w:rPr>
              <w:t>预</w:t>
            </w:r>
            <w:r>
              <w:rPr>
                <w:color w:val="auto"/>
                <w:sz w:val="24"/>
              </w:rPr>
              <w:t>处理后</w:t>
            </w:r>
            <w:r>
              <w:rPr>
                <w:rFonts w:hint="eastAsia"/>
                <w:color w:val="auto"/>
                <w:sz w:val="24"/>
              </w:rPr>
              <w:t>的</w:t>
            </w:r>
            <w:r>
              <w:rPr>
                <w:color w:val="auto"/>
                <w:sz w:val="24"/>
              </w:rPr>
              <w:t>生活污水</w:t>
            </w:r>
            <w:r>
              <w:rPr>
                <w:rFonts w:hint="eastAsia"/>
                <w:color w:val="auto"/>
                <w:sz w:val="24"/>
              </w:rPr>
              <w:t>一同</w:t>
            </w:r>
            <w:r>
              <w:rPr>
                <w:color w:val="auto"/>
                <w:sz w:val="24"/>
              </w:rPr>
              <w:t>接管无锡玉祁永新污水处理有限公司集中处理，满足污水处理厂接管标准的要求，从水质水量、接管标准及建设进度等方面综合考虑，废水接管无锡玉祁永新污水处理有限公司处理是可行的；经无锡玉祁永新污水处理有限公司处理后尾水排入横港，由于各类水污染物排放浓度及排放量均较小，对周围水环境影响较小。因此，项目对地表水环境的影响可以接受。</w:t>
            </w:r>
          </w:p>
        </w:tc>
      </w:tr>
    </w:tbl>
    <w:p>
      <w:pPr>
        <w:pStyle w:val="26"/>
        <w:jc w:val="center"/>
        <w:outlineLvl w:val="0"/>
        <w:rPr>
          <w:rFonts w:ascii="Times New Roman" w:hAnsi="Times New Roman"/>
          <w:snapToGrid w:val="0"/>
          <w:color w:val="auto"/>
          <w:sz w:val="30"/>
          <w:szCs w:val="30"/>
        </w:rPr>
        <w:sectPr>
          <w:pgSz w:w="11906" w:h="16838"/>
          <w:pgMar w:top="1701" w:right="1531" w:bottom="1701" w:left="1531" w:header="851" w:footer="851" w:gutter="0"/>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3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8" w:hRule="atLeast"/>
        </w:trPr>
        <w:tc>
          <w:tcPr>
            <w:tcW w:w="478" w:type="dxa"/>
          </w:tcPr>
          <w:p>
            <w:pPr>
              <w:pStyle w:val="26"/>
              <w:jc w:val="center"/>
              <w:outlineLvl w:val="0"/>
              <w:rPr>
                <w:rFonts w:ascii="Times New Roman" w:hAnsi="Times New Roman"/>
                <w:snapToGrid w:val="0"/>
                <w:color w:val="auto"/>
                <w:sz w:val="30"/>
                <w:szCs w:val="30"/>
              </w:rPr>
            </w:pPr>
          </w:p>
        </w:tc>
        <w:tc>
          <w:tcPr>
            <w:tcW w:w="13174" w:type="dxa"/>
          </w:tcPr>
          <w:p>
            <w:pPr>
              <w:adjustRightInd w:val="0"/>
              <w:snapToGrid w:val="0"/>
              <w:spacing w:line="360" w:lineRule="auto"/>
              <w:rPr>
                <w:b/>
                <w:bCs/>
                <w:color w:val="auto"/>
                <w:kern w:val="0"/>
                <w:sz w:val="24"/>
              </w:rPr>
            </w:pPr>
            <w:r>
              <w:rPr>
                <w:b/>
                <w:bCs/>
                <w:color w:val="auto"/>
                <w:kern w:val="0"/>
                <w:sz w:val="24"/>
              </w:rPr>
              <w:t>3、噪声</w:t>
            </w:r>
          </w:p>
          <w:p>
            <w:pPr>
              <w:adjustRightInd w:val="0"/>
              <w:snapToGrid w:val="0"/>
              <w:spacing w:line="360" w:lineRule="auto"/>
              <w:ind w:firstLine="482" w:firstLineChars="200"/>
              <w:rPr>
                <w:color w:val="auto"/>
                <w:szCs w:val="21"/>
              </w:rPr>
            </w:pPr>
            <w:r>
              <w:rPr>
                <w:b/>
                <w:bCs/>
                <w:color w:val="auto"/>
                <w:sz w:val="24"/>
              </w:rPr>
              <w:t>（1）噪声源及降噪情况</w:t>
            </w:r>
          </w:p>
          <w:p>
            <w:pPr>
              <w:pStyle w:val="26"/>
              <w:adjustRightInd w:val="0"/>
              <w:snapToGrid w:val="0"/>
              <w:spacing w:before="0" w:beforeAutospacing="0" w:after="0" w:afterAutospacing="0" w:line="360" w:lineRule="auto"/>
              <w:ind w:firstLine="480" w:firstLineChars="200"/>
              <w:outlineLvl w:val="0"/>
              <w:rPr>
                <w:rFonts w:ascii="Times New Roman" w:hAnsi="Times New Roman"/>
                <w:color w:val="auto"/>
              </w:rPr>
            </w:pPr>
            <w:r>
              <w:rPr>
                <w:rFonts w:ascii="Times New Roman" w:hAnsi="Times New Roman"/>
                <w:color w:val="auto"/>
              </w:rPr>
              <w:t>本项目噪声源主要为</w:t>
            </w:r>
            <w:r>
              <w:rPr>
                <w:rFonts w:hint="eastAsia" w:ascii="Times New Roman" w:hAnsi="Times New Roman"/>
                <w:color w:val="auto"/>
              </w:rPr>
              <w:t>双面压机</w:t>
            </w:r>
            <w:r>
              <w:rPr>
                <w:rFonts w:hint="eastAsia" w:ascii="Times New Roman" w:hAnsi="Times New Roman"/>
                <w:color w:val="auto"/>
                <w:szCs w:val="24"/>
              </w:rPr>
              <w:t>、</w:t>
            </w:r>
            <w:r>
              <w:rPr>
                <w:rFonts w:ascii="Times New Roman" w:hAnsi="Times New Roman"/>
                <w:color w:val="auto"/>
                <w:szCs w:val="24"/>
              </w:rPr>
              <w:t>废气设施风机</w:t>
            </w:r>
            <w:r>
              <w:rPr>
                <w:rFonts w:hint="eastAsia" w:ascii="Times New Roman" w:hAnsi="Times New Roman"/>
                <w:color w:val="auto"/>
                <w:szCs w:val="24"/>
              </w:rPr>
              <w:t>、</w:t>
            </w:r>
            <w:r>
              <w:rPr>
                <w:rFonts w:ascii="Times New Roman" w:hAnsi="Times New Roman"/>
                <w:color w:val="auto"/>
                <w:szCs w:val="24"/>
              </w:rPr>
              <w:t>冷却塔、空压机</w:t>
            </w:r>
            <w:r>
              <w:rPr>
                <w:rFonts w:ascii="Times New Roman" w:hAnsi="Times New Roman"/>
                <w:color w:val="auto"/>
              </w:rPr>
              <w:t>等</w:t>
            </w:r>
            <w:r>
              <w:rPr>
                <w:rFonts w:ascii="Times New Roman" w:hAnsi="Times New Roman"/>
                <w:color w:val="auto"/>
                <w:szCs w:val="24"/>
              </w:rPr>
              <w:t>设备</w:t>
            </w:r>
            <w:r>
              <w:rPr>
                <w:rFonts w:ascii="Times New Roman" w:hAnsi="Times New Roman"/>
                <w:color w:val="auto"/>
              </w:rPr>
              <w:t>工作时产生的噪声。</w:t>
            </w:r>
            <w:r>
              <w:rPr>
                <w:rFonts w:ascii="Times New Roman" w:hAnsi="Times New Roman"/>
                <w:color w:val="auto"/>
                <w:szCs w:val="24"/>
              </w:rPr>
              <w:t>针对本项目主要噪声源，建设单位拟采取以下降噪措施</w:t>
            </w:r>
            <w:r>
              <w:rPr>
                <w:rFonts w:ascii="Times New Roman" w:hAnsi="Times New Roman"/>
                <w:color w:val="auto"/>
              </w:rPr>
              <w:t>：</w:t>
            </w:r>
          </w:p>
          <w:p>
            <w:pPr>
              <w:snapToGrid w:val="0"/>
              <w:spacing w:line="360" w:lineRule="auto"/>
              <w:ind w:firstLine="480" w:firstLineChars="200"/>
              <w:rPr>
                <w:color w:val="auto"/>
                <w:sz w:val="24"/>
              </w:rPr>
            </w:pPr>
            <w:r>
              <w:rPr>
                <w:color w:val="auto"/>
                <w:sz w:val="24"/>
              </w:rPr>
              <w:t>①控制设备噪声</w:t>
            </w:r>
          </w:p>
          <w:p>
            <w:pPr>
              <w:snapToGrid w:val="0"/>
              <w:spacing w:line="360" w:lineRule="auto"/>
              <w:ind w:firstLine="480" w:firstLineChars="200"/>
              <w:rPr>
                <w:color w:val="auto"/>
                <w:sz w:val="24"/>
              </w:rPr>
            </w:pPr>
            <w:r>
              <w:rPr>
                <w:color w:val="auto"/>
                <w:sz w:val="24"/>
              </w:rPr>
              <w:t>在设备选型时选用先进的低噪声设备，在满足工艺设计的前提下，尽量选用满足国际标准的低噪声、低振动型号的设备，降低噪声源强。</w:t>
            </w:r>
          </w:p>
          <w:p>
            <w:pPr>
              <w:spacing w:line="360" w:lineRule="auto"/>
              <w:ind w:firstLine="480" w:firstLineChars="200"/>
              <w:rPr>
                <w:color w:val="auto"/>
                <w:sz w:val="24"/>
              </w:rPr>
            </w:pPr>
            <w:r>
              <w:rPr>
                <w:color w:val="auto"/>
                <w:sz w:val="24"/>
              </w:rPr>
              <w:t>②厂房隔声</w:t>
            </w:r>
          </w:p>
          <w:p>
            <w:pPr>
              <w:spacing w:line="360" w:lineRule="auto"/>
              <w:ind w:firstLine="480" w:firstLineChars="200"/>
              <w:rPr>
                <w:color w:val="auto"/>
                <w:sz w:val="24"/>
              </w:rPr>
            </w:pPr>
            <w:r>
              <w:rPr>
                <w:color w:val="auto"/>
                <w:sz w:val="24"/>
              </w:rPr>
              <w:t>车间墙体隔声为本项目主要噪声防治措施，一般性的生产性厂房隔音量为20dB(A)。</w:t>
            </w:r>
          </w:p>
          <w:p>
            <w:pPr>
              <w:snapToGrid w:val="0"/>
              <w:spacing w:line="360" w:lineRule="auto"/>
              <w:ind w:firstLine="480" w:firstLineChars="200"/>
              <w:rPr>
                <w:color w:val="auto"/>
                <w:sz w:val="24"/>
              </w:rPr>
            </w:pPr>
            <w:r>
              <w:rPr>
                <w:color w:val="auto"/>
                <w:sz w:val="24"/>
              </w:rPr>
              <w:t>③强化生产管理</w:t>
            </w:r>
          </w:p>
          <w:p>
            <w:pPr>
              <w:snapToGrid w:val="0"/>
              <w:spacing w:line="360" w:lineRule="auto"/>
              <w:ind w:firstLine="480" w:firstLineChars="200"/>
              <w:rPr>
                <w:color w:val="auto"/>
                <w:sz w:val="24"/>
              </w:rPr>
            </w:pPr>
            <w:r>
              <w:rPr>
                <w:color w:val="auto"/>
                <w:sz w:val="24"/>
              </w:rPr>
              <w:t>确保各类防治措施有效运行，各设备均保持良好运行状态，防止突发噪声。</w:t>
            </w:r>
          </w:p>
          <w:p>
            <w:pPr>
              <w:pStyle w:val="26"/>
              <w:adjustRightInd w:val="0"/>
              <w:snapToGrid w:val="0"/>
              <w:spacing w:before="0" w:beforeAutospacing="0" w:after="0" w:afterAutospacing="0" w:line="360" w:lineRule="auto"/>
              <w:ind w:firstLine="480" w:firstLineChars="200"/>
              <w:outlineLvl w:val="0"/>
              <w:rPr>
                <w:rFonts w:ascii="Times New Roman" w:hAnsi="Times New Roman"/>
                <w:color w:val="auto"/>
              </w:rPr>
            </w:pPr>
            <w:r>
              <w:rPr>
                <w:rFonts w:ascii="Times New Roman" w:hAnsi="Times New Roman"/>
                <w:color w:val="auto"/>
                <w:szCs w:val="24"/>
              </w:rPr>
              <w:t>综上所述，本项目噪声源采取上述降噪措施后，设计降噪量达20dB(A)。建设项目主要噪声源强情况见表4-</w:t>
            </w:r>
            <w:r>
              <w:rPr>
                <w:rFonts w:hint="eastAsia" w:ascii="Times New Roman" w:hAnsi="Times New Roman"/>
                <w:color w:val="auto"/>
                <w:szCs w:val="24"/>
                <w:lang w:val="en-US" w:eastAsia="zh-CN"/>
              </w:rPr>
              <w:t>10</w:t>
            </w:r>
            <w:r>
              <w:rPr>
                <w:rFonts w:ascii="Times New Roman" w:hAnsi="Times New Roman"/>
                <w:color w:val="auto"/>
                <w:szCs w:val="24"/>
              </w:rPr>
              <w:t>。</w:t>
            </w: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rFonts w:cs="宋体"/>
                <w:b/>
                <w:bCs/>
                <w:color w:val="auto"/>
                <w:sz w:val="24"/>
                <w:szCs w:val="22"/>
              </w:rPr>
            </w:pPr>
          </w:p>
          <w:p>
            <w:pPr>
              <w:adjustRightInd w:val="0"/>
              <w:snapToGrid w:val="0"/>
              <w:jc w:val="center"/>
              <w:rPr>
                <w:b/>
                <w:bCs/>
                <w:color w:val="auto"/>
              </w:rPr>
            </w:pPr>
            <w:r>
              <w:rPr>
                <w:rFonts w:hint="eastAsia" w:cs="宋体"/>
                <w:b/>
                <w:bCs/>
                <w:color w:val="auto"/>
                <w:sz w:val="24"/>
                <w:szCs w:val="22"/>
              </w:rPr>
              <w:t>表4-</w:t>
            </w:r>
            <w:r>
              <w:rPr>
                <w:rFonts w:hint="eastAsia" w:cs="宋体"/>
                <w:b/>
                <w:bCs/>
                <w:color w:val="auto"/>
                <w:sz w:val="24"/>
                <w:szCs w:val="22"/>
                <w:lang w:val="en-US" w:eastAsia="zh-CN"/>
              </w:rPr>
              <w:t>10</w:t>
            </w:r>
            <w:r>
              <w:rPr>
                <w:rFonts w:cs="宋体"/>
                <w:b/>
                <w:bCs/>
                <w:color w:val="auto"/>
                <w:sz w:val="24"/>
                <w:szCs w:val="22"/>
              </w:rPr>
              <w:t xml:space="preserve">  </w:t>
            </w:r>
            <w:r>
              <w:rPr>
                <w:rFonts w:hint="eastAsia" w:cs="宋体"/>
                <w:b/>
                <w:bCs/>
                <w:color w:val="auto"/>
                <w:sz w:val="24"/>
                <w:szCs w:val="22"/>
              </w:rPr>
              <w:t>工业企业噪声源强调查清单（室外声源）</w:t>
            </w:r>
          </w:p>
          <w:tbl>
            <w:tblPr>
              <w:tblStyle w:val="28"/>
              <w:tblW w:w="12951"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
            <w:tblGrid>
              <w:gridCol w:w="543"/>
              <w:gridCol w:w="1277"/>
              <w:gridCol w:w="1274"/>
              <w:gridCol w:w="710"/>
              <w:gridCol w:w="1132"/>
              <w:gridCol w:w="710"/>
              <w:gridCol w:w="707"/>
              <w:gridCol w:w="710"/>
              <w:gridCol w:w="1559"/>
              <w:gridCol w:w="852"/>
              <w:gridCol w:w="995"/>
              <w:gridCol w:w="1417"/>
              <w:gridCol w:w="1065"/>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restart"/>
                  <w:tcBorders>
                    <w:tl2br w:val="nil"/>
                    <w:tr2bl w:val="nil"/>
                  </w:tcBorders>
                  <w:vAlign w:val="center"/>
                </w:tcPr>
                <w:p>
                  <w:pPr>
                    <w:pStyle w:val="117"/>
                    <w:widowControl w:val="0"/>
                    <w:ind w:lef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493" w:type="pct"/>
                  <w:vMerge w:val="restart"/>
                  <w:tcBorders>
                    <w:tl2br w:val="nil"/>
                    <w:tr2bl w:val="nil"/>
                  </w:tcBorders>
                  <w:vAlign w:val="center"/>
                </w:tcPr>
                <w:p>
                  <w:pPr>
                    <w:pStyle w:val="117"/>
                    <w:widowControl w:val="0"/>
                    <w:ind w:lef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建筑物名称</w:t>
                  </w:r>
                </w:p>
              </w:tc>
              <w:tc>
                <w:tcPr>
                  <w:tcW w:w="492" w:type="pct"/>
                  <w:vMerge w:val="restart"/>
                  <w:tcBorders>
                    <w:tl2br w:val="nil"/>
                    <w:tr2bl w:val="nil"/>
                  </w:tcBorders>
                  <w:vAlign w:val="center"/>
                </w:tcPr>
                <w:p>
                  <w:pPr>
                    <w:pStyle w:val="117"/>
                    <w:widowControl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声源名称</w:t>
                  </w:r>
                </w:p>
              </w:tc>
              <w:tc>
                <w:tcPr>
                  <w:tcW w:w="274" w:type="pct"/>
                  <w:vMerge w:val="restart"/>
                  <w:tcBorders>
                    <w:tl2br w:val="nil"/>
                    <w:tr2bl w:val="nil"/>
                  </w:tcBorders>
                  <w:vAlign w:val="center"/>
                </w:tcPr>
                <w:p>
                  <w:pPr>
                    <w:pStyle w:val="117"/>
                    <w:widowControl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型号</w:t>
                  </w:r>
                </w:p>
              </w:tc>
              <w:tc>
                <w:tcPr>
                  <w:tcW w:w="437" w:type="pct"/>
                  <w:vMerge w:val="restart"/>
                  <w:tcBorders>
                    <w:tl2br w:val="nil"/>
                    <w:tr2bl w:val="nil"/>
                  </w:tcBorders>
                  <w:vAlign w:val="center"/>
                </w:tcPr>
                <w:p>
                  <w:pPr>
                    <w:pStyle w:val="117"/>
                    <w:widowControl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数量（套）</w:t>
                  </w:r>
                </w:p>
              </w:tc>
              <w:tc>
                <w:tcPr>
                  <w:tcW w:w="821" w:type="pct"/>
                  <w:gridSpan w:val="3"/>
                  <w:tcBorders>
                    <w:tl2br w:val="nil"/>
                    <w:tr2bl w:val="nil"/>
                  </w:tcBorders>
                  <w:vAlign w:val="center"/>
                </w:tcPr>
                <w:p>
                  <w:pPr>
                    <w:pStyle w:val="117"/>
                    <w:widowControl w:val="0"/>
                    <w:jc w:val="center"/>
                    <w:rPr>
                      <w:rFonts w:ascii="Times New Roman" w:hAnsi="Times New Roman" w:eastAsia="Times New Roman" w:cs="Times New Roman"/>
                      <w:b/>
                      <w:bCs/>
                      <w:color w:val="auto"/>
                      <w:sz w:val="21"/>
                      <w:szCs w:val="21"/>
                    </w:rPr>
                  </w:pPr>
                  <w:r>
                    <w:rPr>
                      <w:rFonts w:ascii="Times New Roman" w:hAnsi="Times New Roman" w:cs="Times New Roman"/>
                      <w:b/>
                      <w:bCs/>
                      <w:color w:val="auto"/>
                      <w:sz w:val="21"/>
                      <w:szCs w:val="21"/>
                    </w:rPr>
                    <w:t>空间相对位置</w:t>
                  </w:r>
                  <w:r>
                    <w:rPr>
                      <w:rFonts w:ascii="Times New Roman" w:hAnsi="Times New Roman" w:eastAsia="Times New Roman" w:cs="Times New Roman"/>
                      <w:b/>
                      <w:bCs/>
                      <w:color w:val="auto"/>
                      <w:sz w:val="21"/>
                      <w:szCs w:val="21"/>
                    </w:rPr>
                    <w:t>/m</w:t>
                  </w:r>
                </w:p>
              </w:tc>
              <w:tc>
                <w:tcPr>
                  <w:tcW w:w="1315" w:type="pct"/>
                  <w:gridSpan w:val="3"/>
                  <w:tcBorders>
                    <w:left w:val="single" w:color="000000" w:sz="8" w:space="0"/>
                    <w:tl2br w:val="nil"/>
                    <w:tr2bl w:val="nil"/>
                  </w:tcBorders>
                  <w:vAlign w:val="center"/>
                </w:tcPr>
                <w:p>
                  <w:pPr>
                    <w:pStyle w:val="117"/>
                    <w:widowControl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声源源强</w:t>
                  </w:r>
                </w:p>
              </w:tc>
              <w:tc>
                <w:tcPr>
                  <w:tcW w:w="547" w:type="pct"/>
                  <w:vMerge w:val="restart"/>
                  <w:tcBorders>
                    <w:tl2br w:val="nil"/>
                    <w:tr2bl w:val="nil"/>
                  </w:tcBorders>
                  <w:vAlign w:val="center"/>
                </w:tcPr>
                <w:p>
                  <w:pPr>
                    <w:pStyle w:val="117"/>
                    <w:widowControl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声源控制措施</w:t>
                  </w:r>
                </w:p>
              </w:tc>
              <w:tc>
                <w:tcPr>
                  <w:tcW w:w="411" w:type="pct"/>
                  <w:vMerge w:val="restart"/>
                  <w:tcBorders>
                    <w:tl2br w:val="nil"/>
                    <w:tr2bl w:val="nil"/>
                  </w:tcBorders>
                  <w:vAlign w:val="center"/>
                </w:tcPr>
                <w:p>
                  <w:pPr>
                    <w:pStyle w:val="117"/>
                    <w:widowControl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运行时段</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ind w:firstLine="420"/>
                    <w:jc w:val="center"/>
                    <w:rPr>
                      <w:color w:val="auto"/>
                      <w:szCs w:val="21"/>
                    </w:rPr>
                  </w:pPr>
                </w:p>
              </w:tc>
              <w:tc>
                <w:tcPr>
                  <w:tcW w:w="493" w:type="pct"/>
                  <w:vMerge w:val="continue"/>
                  <w:tcBorders>
                    <w:tl2br w:val="nil"/>
                    <w:tr2bl w:val="nil"/>
                  </w:tcBorders>
                  <w:vAlign w:val="center"/>
                </w:tcPr>
                <w:p>
                  <w:pPr>
                    <w:ind w:firstLine="420"/>
                    <w:jc w:val="center"/>
                    <w:rPr>
                      <w:color w:val="auto"/>
                      <w:szCs w:val="21"/>
                    </w:rPr>
                  </w:pPr>
                </w:p>
              </w:tc>
              <w:tc>
                <w:tcPr>
                  <w:tcW w:w="492" w:type="pct"/>
                  <w:vMerge w:val="continue"/>
                  <w:tcBorders>
                    <w:tl2br w:val="nil"/>
                    <w:tr2bl w:val="nil"/>
                  </w:tcBorders>
                  <w:vAlign w:val="center"/>
                </w:tcPr>
                <w:p>
                  <w:pPr>
                    <w:ind w:firstLine="420"/>
                    <w:jc w:val="center"/>
                    <w:rPr>
                      <w:color w:val="auto"/>
                      <w:szCs w:val="21"/>
                    </w:rPr>
                  </w:pPr>
                </w:p>
              </w:tc>
              <w:tc>
                <w:tcPr>
                  <w:tcW w:w="274" w:type="pct"/>
                  <w:vMerge w:val="continue"/>
                  <w:tcBorders>
                    <w:tl2br w:val="nil"/>
                    <w:tr2bl w:val="nil"/>
                  </w:tcBorders>
                  <w:vAlign w:val="center"/>
                </w:tcPr>
                <w:p>
                  <w:pPr>
                    <w:ind w:firstLine="420"/>
                    <w:jc w:val="center"/>
                    <w:rPr>
                      <w:color w:val="auto"/>
                      <w:szCs w:val="21"/>
                    </w:rPr>
                  </w:pPr>
                </w:p>
              </w:tc>
              <w:tc>
                <w:tcPr>
                  <w:tcW w:w="437" w:type="pct"/>
                  <w:vMerge w:val="continue"/>
                  <w:tcBorders>
                    <w:tl2br w:val="nil"/>
                    <w:tr2bl w:val="nil"/>
                  </w:tcBorders>
                  <w:vAlign w:val="center"/>
                </w:tcPr>
                <w:p>
                  <w:pPr>
                    <w:ind w:firstLine="420"/>
                    <w:jc w:val="center"/>
                    <w:rPr>
                      <w:color w:val="auto"/>
                      <w:szCs w:val="21"/>
                    </w:rPr>
                  </w:pPr>
                </w:p>
              </w:tc>
              <w:tc>
                <w:tcPr>
                  <w:tcW w:w="274" w:type="pct"/>
                  <w:tcBorders>
                    <w:tl2br w:val="nil"/>
                    <w:tr2bl w:val="nil"/>
                  </w:tcBorders>
                  <w:vAlign w:val="center"/>
                </w:tcPr>
                <w:p>
                  <w:pPr>
                    <w:pStyle w:val="117"/>
                    <w:widowControl w:val="0"/>
                    <w:ind w:left="30"/>
                    <w:jc w:val="center"/>
                    <w:rPr>
                      <w:rFonts w:ascii="Times New Roman" w:hAnsi="Times New Roman" w:cs="Times New Roman"/>
                      <w:b/>
                      <w:bCs/>
                      <w:i/>
                      <w:color w:val="auto"/>
                      <w:sz w:val="21"/>
                      <w:szCs w:val="21"/>
                    </w:rPr>
                  </w:pPr>
                  <w:r>
                    <w:rPr>
                      <w:rFonts w:ascii="Times New Roman" w:hAnsi="Times New Roman" w:cs="Times New Roman"/>
                      <w:b/>
                      <w:bCs/>
                      <w:i/>
                      <w:color w:val="auto"/>
                      <w:sz w:val="21"/>
                      <w:szCs w:val="21"/>
                    </w:rPr>
                    <w:t>X</w:t>
                  </w:r>
                </w:p>
              </w:tc>
              <w:tc>
                <w:tcPr>
                  <w:tcW w:w="273" w:type="pct"/>
                  <w:tcBorders>
                    <w:tl2br w:val="nil"/>
                    <w:tr2bl w:val="nil"/>
                  </w:tcBorders>
                  <w:vAlign w:val="center"/>
                </w:tcPr>
                <w:p>
                  <w:pPr>
                    <w:pStyle w:val="117"/>
                    <w:widowControl w:val="0"/>
                    <w:ind w:left="31"/>
                    <w:jc w:val="center"/>
                    <w:rPr>
                      <w:rFonts w:ascii="Times New Roman" w:hAnsi="Times New Roman" w:cs="Times New Roman"/>
                      <w:b/>
                      <w:bCs/>
                      <w:i/>
                      <w:color w:val="auto"/>
                      <w:sz w:val="21"/>
                      <w:szCs w:val="21"/>
                    </w:rPr>
                  </w:pPr>
                  <w:r>
                    <w:rPr>
                      <w:rFonts w:ascii="Times New Roman" w:hAnsi="Times New Roman" w:cs="Times New Roman"/>
                      <w:b/>
                      <w:bCs/>
                      <w:i/>
                      <w:color w:val="auto"/>
                      <w:sz w:val="21"/>
                      <w:szCs w:val="21"/>
                    </w:rPr>
                    <w:t>Y</w:t>
                  </w:r>
                </w:p>
              </w:tc>
              <w:tc>
                <w:tcPr>
                  <w:tcW w:w="274" w:type="pct"/>
                  <w:tcBorders>
                    <w:tl2br w:val="nil"/>
                    <w:tr2bl w:val="nil"/>
                  </w:tcBorders>
                  <w:vAlign w:val="center"/>
                </w:tcPr>
                <w:p>
                  <w:pPr>
                    <w:pStyle w:val="117"/>
                    <w:widowControl w:val="0"/>
                    <w:ind w:left="33"/>
                    <w:jc w:val="center"/>
                    <w:rPr>
                      <w:rFonts w:ascii="Times New Roman" w:hAnsi="Times New Roman" w:cs="Times New Roman"/>
                      <w:b/>
                      <w:bCs/>
                      <w:i/>
                      <w:color w:val="auto"/>
                      <w:sz w:val="21"/>
                      <w:szCs w:val="21"/>
                    </w:rPr>
                  </w:pPr>
                  <w:r>
                    <w:rPr>
                      <w:rFonts w:ascii="Times New Roman" w:hAnsi="Times New Roman" w:cs="Times New Roman"/>
                      <w:b/>
                      <w:bCs/>
                      <w:i/>
                      <w:color w:val="auto"/>
                      <w:sz w:val="21"/>
                      <w:szCs w:val="21"/>
                    </w:rPr>
                    <w:t>Z</w:t>
                  </w:r>
                </w:p>
              </w:tc>
              <w:tc>
                <w:tcPr>
                  <w:tcW w:w="602" w:type="pct"/>
                  <w:tcBorders>
                    <w:left w:val="single" w:color="000000" w:sz="8" w:space="0"/>
                    <w:tl2br w:val="nil"/>
                    <w:tr2bl w:val="nil"/>
                  </w:tcBorders>
                  <w:vAlign w:val="center"/>
                </w:tcPr>
                <w:p>
                  <w:pPr>
                    <w:pStyle w:val="117"/>
                    <w:widowControl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声功率级</w:t>
                  </w:r>
                  <w:r>
                    <w:rPr>
                      <w:rFonts w:ascii="Times New Roman" w:hAnsi="Times New Roman" w:cs="Times New Roman"/>
                      <w:b/>
                      <w:bCs/>
                      <w:color w:val="auto"/>
                      <w:sz w:val="21"/>
                      <w:szCs w:val="21"/>
                    </w:rPr>
                    <w:t>/dB(A)</w:t>
                  </w:r>
                </w:p>
              </w:tc>
              <w:tc>
                <w:tcPr>
                  <w:tcW w:w="713" w:type="pct"/>
                  <w:gridSpan w:val="2"/>
                  <w:tcBorders>
                    <w:left w:val="single" w:color="000000" w:sz="8" w:space="0"/>
                    <w:tl2br w:val="nil"/>
                    <w:tr2bl w:val="nil"/>
                  </w:tcBorders>
                  <w:vAlign w:val="center"/>
                </w:tcPr>
                <w:p>
                  <w:pPr>
                    <w:pStyle w:val="117"/>
                    <w:widowControl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距厂区</w:t>
                  </w:r>
                  <w:r>
                    <w:rPr>
                      <w:rFonts w:ascii="Times New Roman" w:hAnsi="Times New Roman" w:cs="Times New Roman"/>
                      <w:b/>
                      <w:bCs/>
                      <w:color w:val="auto"/>
                      <w:sz w:val="21"/>
                      <w:szCs w:val="21"/>
                    </w:rPr>
                    <w:t>边</w:t>
                  </w:r>
                  <w:r>
                    <w:rPr>
                      <w:rFonts w:hint="eastAsia" w:ascii="Times New Roman" w:hAnsi="Times New Roman" w:cs="Times New Roman"/>
                      <w:b/>
                      <w:bCs/>
                      <w:color w:val="auto"/>
                      <w:sz w:val="21"/>
                      <w:szCs w:val="21"/>
                    </w:rPr>
                    <w:t>界距离/m</w:t>
                  </w:r>
                </w:p>
              </w:tc>
              <w:tc>
                <w:tcPr>
                  <w:tcW w:w="547" w:type="pct"/>
                  <w:vMerge w:val="continue"/>
                  <w:tcBorders>
                    <w:tl2br w:val="nil"/>
                    <w:tr2bl w:val="nil"/>
                  </w:tcBorders>
                  <w:vAlign w:val="center"/>
                </w:tcPr>
                <w:p>
                  <w:pPr>
                    <w:ind w:firstLine="420"/>
                    <w:jc w:val="center"/>
                    <w:rPr>
                      <w:color w:val="auto"/>
                      <w:szCs w:val="21"/>
                    </w:rPr>
                  </w:pPr>
                </w:p>
              </w:tc>
              <w:tc>
                <w:tcPr>
                  <w:tcW w:w="411" w:type="pct"/>
                  <w:vMerge w:val="continue"/>
                  <w:tcBorders>
                    <w:tl2br w:val="nil"/>
                    <w:tr2bl w:val="nil"/>
                  </w:tcBorders>
                  <w:vAlign w:val="center"/>
                </w:tcPr>
                <w:p>
                  <w:pPr>
                    <w:ind w:firstLine="42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restart"/>
                  <w:tcBorders>
                    <w:tl2br w:val="nil"/>
                    <w:tr2bl w:val="nil"/>
                  </w:tcBorders>
                  <w:vAlign w:val="center"/>
                </w:tcPr>
                <w:p>
                  <w:pPr>
                    <w:pStyle w:val="117"/>
                    <w:widowControl w:val="0"/>
                    <w:ind w:left="17"/>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493" w:type="pct"/>
                  <w:vMerge w:val="restart"/>
                  <w:tcBorders>
                    <w:tl2br w:val="nil"/>
                    <w:tr2bl w:val="nil"/>
                  </w:tcBorders>
                  <w:vAlign w:val="center"/>
                </w:tcPr>
                <w:p>
                  <w:pPr>
                    <w:pStyle w:val="117"/>
                    <w:widowControl w:val="0"/>
                    <w:ind w:left="17"/>
                    <w:jc w:val="center"/>
                    <w:rPr>
                      <w:rFonts w:ascii="Times New Roman" w:hAnsi="Times New Roman" w:cs="Times New Roman"/>
                      <w:color w:val="auto"/>
                      <w:sz w:val="21"/>
                      <w:szCs w:val="21"/>
                    </w:rPr>
                  </w:pPr>
                  <w:r>
                    <w:rPr>
                      <w:rFonts w:ascii="Times New Roman" w:hAnsi="Times New Roman" w:cs="Times New Roman"/>
                      <w:color w:val="auto"/>
                      <w:sz w:val="21"/>
                      <w:szCs w:val="21"/>
                    </w:rPr>
                    <w:t>生产车间</w:t>
                  </w:r>
                  <w:r>
                    <w:rPr>
                      <w:rFonts w:hint="eastAsia" w:ascii="Times New Roman" w:hAnsi="Times New Roman" w:cs="Times New Roman"/>
                      <w:color w:val="auto"/>
                      <w:sz w:val="21"/>
                      <w:szCs w:val="21"/>
                    </w:rPr>
                    <w:t>外</w:t>
                  </w:r>
                </w:p>
              </w:tc>
              <w:tc>
                <w:tcPr>
                  <w:tcW w:w="492"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废气设施</w:t>
                  </w:r>
                  <w:r>
                    <w:rPr>
                      <w:rFonts w:ascii="Times New Roman" w:hAnsi="Times New Roman" w:cs="Times New Roman"/>
                      <w:color w:val="auto"/>
                      <w:sz w:val="21"/>
                      <w:szCs w:val="21"/>
                    </w:rPr>
                    <w:t>风机</w:t>
                  </w:r>
                </w:p>
              </w:tc>
              <w:tc>
                <w:tcPr>
                  <w:tcW w:w="274"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437"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274"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w:t>
                  </w:r>
                </w:p>
              </w:tc>
              <w:tc>
                <w:tcPr>
                  <w:tcW w:w="273"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101</w:t>
                  </w:r>
                </w:p>
              </w:tc>
              <w:tc>
                <w:tcPr>
                  <w:tcW w:w="274"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602"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384" w:type="pct"/>
                  <w:tcBorders>
                    <w:tl2br w:val="nil"/>
                    <w:tr2bl w:val="nil"/>
                  </w:tcBorders>
                  <w:vAlign w:val="center"/>
                </w:tcPr>
                <w:p>
                  <w:pPr>
                    <w:widowControl/>
                    <w:jc w:val="center"/>
                    <w:rPr>
                      <w:color w:val="auto"/>
                      <w:kern w:val="0"/>
                      <w:szCs w:val="18"/>
                    </w:rPr>
                  </w:pPr>
                  <w:r>
                    <w:rPr>
                      <w:color w:val="auto"/>
                      <w:szCs w:val="18"/>
                    </w:rPr>
                    <w:t>166</w:t>
                  </w:r>
                </w:p>
              </w:tc>
              <w:tc>
                <w:tcPr>
                  <w:tcW w:w="547"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加装隔声罩和消声器</w:t>
                  </w:r>
                </w:p>
              </w:tc>
              <w:tc>
                <w:tcPr>
                  <w:tcW w:w="411"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4</w:t>
                  </w:r>
                  <w:r>
                    <w:rPr>
                      <w:rFonts w:ascii="Times New Roman" w:hAnsi="Times New Roman" w:cs="Times New Roman"/>
                      <w:color w:val="auto"/>
                      <w:sz w:val="21"/>
                      <w:szCs w:val="21"/>
                    </w:rPr>
                    <w:t>0h</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3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3"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60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南</w:t>
                  </w:r>
                </w:p>
              </w:tc>
              <w:tc>
                <w:tcPr>
                  <w:tcW w:w="384" w:type="pct"/>
                  <w:tcBorders>
                    <w:tl2br w:val="nil"/>
                    <w:tr2bl w:val="nil"/>
                  </w:tcBorders>
                  <w:vAlign w:val="center"/>
                </w:tcPr>
                <w:p>
                  <w:pPr>
                    <w:jc w:val="center"/>
                    <w:rPr>
                      <w:color w:val="auto"/>
                      <w:szCs w:val="18"/>
                    </w:rPr>
                  </w:pPr>
                  <w:r>
                    <w:rPr>
                      <w:color w:val="auto"/>
                      <w:szCs w:val="18"/>
                    </w:rPr>
                    <w:t>101</w:t>
                  </w:r>
                </w:p>
              </w:tc>
              <w:tc>
                <w:tcPr>
                  <w:tcW w:w="54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11"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3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3"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60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西</w:t>
                  </w:r>
                </w:p>
              </w:tc>
              <w:tc>
                <w:tcPr>
                  <w:tcW w:w="384" w:type="pct"/>
                  <w:tcBorders>
                    <w:tl2br w:val="nil"/>
                    <w:tr2bl w:val="nil"/>
                  </w:tcBorders>
                  <w:vAlign w:val="center"/>
                </w:tcPr>
                <w:p>
                  <w:pPr>
                    <w:jc w:val="center"/>
                    <w:rPr>
                      <w:color w:val="auto"/>
                      <w:szCs w:val="18"/>
                    </w:rPr>
                  </w:pPr>
                  <w:r>
                    <w:rPr>
                      <w:color w:val="auto"/>
                      <w:szCs w:val="18"/>
                    </w:rPr>
                    <w:t>9</w:t>
                  </w:r>
                </w:p>
              </w:tc>
              <w:tc>
                <w:tcPr>
                  <w:tcW w:w="54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11"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3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3"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60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北</w:t>
                  </w:r>
                </w:p>
              </w:tc>
              <w:tc>
                <w:tcPr>
                  <w:tcW w:w="384" w:type="pct"/>
                  <w:tcBorders>
                    <w:tl2br w:val="nil"/>
                    <w:tr2bl w:val="nil"/>
                  </w:tcBorders>
                  <w:vAlign w:val="center"/>
                </w:tcPr>
                <w:p>
                  <w:pPr>
                    <w:jc w:val="center"/>
                    <w:rPr>
                      <w:color w:val="auto"/>
                      <w:szCs w:val="18"/>
                    </w:rPr>
                  </w:pPr>
                  <w:r>
                    <w:rPr>
                      <w:color w:val="auto"/>
                      <w:szCs w:val="18"/>
                    </w:rPr>
                    <w:t>41</w:t>
                  </w:r>
                </w:p>
              </w:tc>
              <w:tc>
                <w:tcPr>
                  <w:tcW w:w="54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11"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restart"/>
                  <w:tcBorders>
                    <w:tl2br w:val="nil"/>
                    <w:tr2bl w:val="nil"/>
                  </w:tcBorders>
                  <w:vAlign w:val="center"/>
                </w:tcPr>
                <w:p>
                  <w:pPr>
                    <w:pStyle w:val="117"/>
                    <w:widowControl w:val="0"/>
                    <w:ind w:left="17"/>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w:t>
                  </w: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冷却塔</w:t>
                  </w:r>
                </w:p>
              </w:tc>
              <w:tc>
                <w:tcPr>
                  <w:tcW w:w="274"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437"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274"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w:t>
                  </w:r>
                </w:p>
              </w:tc>
              <w:tc>
                <w:tcPr>
                  <w:tcW w:w="273"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106</w:t>
                  </w:r>
                </w:p>
              </w:tc>
              <w:tc>
                <w:tcPr>
                  <w:tcW w:w="274"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602"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70</w:t>
                  </w: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384" w:type="pct"/>
                  <w:tcBorders>
                    <w:tl2br w:val="nil"/>
                    <w:tr2bl w:val="nil"/>
                  </w:tcBorders>
                  <w:vAlign w:val="center"/>
                </w:tcPr>
                <w:p>
                  <w:pPr>
                    <w:jc w:val="center"/>
                    <w:rPr>
                      <w:color w:val="auto"/>
                      <w:szCs w:val="18"/>
                    </w:rPr>
                  </w:pPr>
                  <w:r>
                    <w:rPr>
                      <w:color w:val="auto"/>
                      <w:szCs w:val="18"/>
                    </w:rPr>
                    <w:t>166</w:t>
                  </w:r>
                </w:p>
              </w:tc>
              <w:tc>
                <w:tcPr>
                  <w:tcW w:w="547"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411"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4</w:t>
                  </w:r>
                  <w:r>
                    <w:rPr>
                      <w:rFonts w:ascii="Times New Roman" w:hAnsi="Times New Roman" w:cs="Times New Roman"/>
                      <w:color w:val="auto"/>
                      <w:sz w:val="21"/>
                      <w:szCs w:val="21"/>
                    </w:rPr>
                    <w:t>0h</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3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3"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60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南</w:t>
                  </w:r>
                </w:p>
              </w:tc>
              <w:tc>
                <w:tcPr>
                  <w:tcW w:w="384" w:type="pct"/>
                  <w:tcBorders>
                    <w:tl2br w:val="nil"/>
                    <w:tr2bl w:val="nil"/>
                  </w:tcBorders>
                  <w:vAlign w:val="center"/>
                </w:tcPr>
                <w:p>
                  <w:pPr>
                    <w:jc w:val="center"/>
                    <w:rPr>
                      <w:color w:val="auto"/>
                      <w:szCs w:val="18"/>
                    </w:rPr>
                  </w:pPr>
                  <w:r>
                    <w:rPr>
                      <w:color w:val="auto"/>
                      <w:szCs w:val="18"/>
                    </w:rPr>
                    <w:t>106</w:t>
                  </w:r>
                </w:p>
              </w:tc>
              <w:tc>
                <w:tcPr>
                  <w:tcW w:w="54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11"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3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3"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60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西</w:t>
                  </w:r>
                </w:p>
              </w:tc>
              <w:tc>
                <w:tcPr>
                  <w:tcW w:w="384" w:type="pct"/>
                  <w:tcBorders>
                    <w:tl2br w:val="nil"/>
                    <w:tr2bl w:val="nil"/>
                  </w:tcBorders>
                  <w:vAlign w:val="center"/>
                </w:tcPr>
                <w:p>
                  <w:pPr>
                    <w:jc w:val="center"/>
                    <w:rPr>
                      <w:color w:val="auto"/>
                      <w:szCs w:val="18"/>
                    </w:rPr>
                  </w:pPr>
                  <w:r>
                    <w:rPr>
                      <w:color w:val="auto"/>
                      <w:szCs w:val="18"/>
                    </w:rPr>
                    <w:t>9</w:t>
                  </w:r>
                </w:p>
              </w:tc>
              <w:tc>
                <w:tcPr>
                  <w:tcW w:w="54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11"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3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3"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60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北</w:t>
                  </w:r>
                </w:p>
              </w:tc>
              <w:tc>
                <w:tcPr>
                  <w:tcW w:w="384" w:type="pct"/>
                  <w:tcBorders>
                    <w:tl2br w:val="nil"/>
                    <w:tr2bl w:val="nil"/>
                  </w:tcBorders>
                  <w:vAlign w:val="center"/>
                </w:tcPr>
                <w:p>
                  <w:pPr>
                    <w:jc w:val="center"/>
                    <w:rPr>
                      <w:color w:val="auto"/>
                      <w:szCs w:val="18"/>
                    </w:rPr>
                  </w:pPr>
                  <w:r>
                    <w:rPr>
                      <w:color w:val="auto"/>
                      <w:szCs w:val="18"/>
                    </w:rPr>
                    <w:t>36</w:t>
                  </w:r>
                </w:p>
              </w:tc>
              <w:tc>
                <w:tcPr>
                  <w:tcW w:w="54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11"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restart"/>
                  <w:tcBorders>
                    <w:tl2br w:val="nil"/>
                    <w:tr2bl w:val="nil"/>
                  </w:tcBorders>
                  <w:vAlign w:val="center"/>
                </w:tcPr>
                <w:p>
                  <w:pPr>
                    <w:pStyle w:val="117"/>
                    <w:widowControl w:val="0"/>
                    <w:ind w:left="17"/>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color w:val="auto"/>
                      <w:kern w:val="2"/>
                      <w:sz w:val="21"/>
                      <w:szCs w:val="21"/>
                    </w:rPr>
                    <w:t>空压机</w:t>
                  </w:r>
                </w:p>
              </w:tc>
              <w:tc>
                <w:tcPr>
                  <w:tcW w:w="274"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437"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274"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w:t>
                  </w:r>
                </w:p>
              </w:tc>
              <w:tc>
                <w:tcPr>
                  <w:tcW w:w="273"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127</w:t>
                  </w:r>
                </w:p>
              </w:tc>
              <w:tc>
                <w:tcPr>
                  <w:tcW w:w="274"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602" w:type="pct"/>
                  <w:vMerge w:val="restart"/>
                  <w:tcBorders>
                    <w:tl2br w:val="nil"/>
                    <w:tr2bl w:val="nil"/>
                  </w:tcBorders>
                  <w:vAlign w:val="center"/>
                </w:tcPr>
                <w:p>
                  <w:pPr>
                    <w:pStyle w:val="117"/>
                    <w:widowControl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东</w:t>
                  </w:r>
                </w:p>
              </w:tc>
              <w:tc>
                <w:tcPr>
                  <w:tcW w:w="384" w:type="pct"/>
                  <w:tcBorders>
                    <w:tl2br w:val="nil"/>
                    <w:tr2bl w:val="nil"/>
                  </w:tcBorders>
                  <w:vAlign w:val="center"/>
                </w:tcPr>
                <w:p>
                  <w:pPr>
                    <w:jc w:val="center"/>
                    <w:rPr>
                      <w:color w:val="auto"/>
                      <w:szCs w:val="18"/>
                    </w:rPr>
                  </w:pPr>
                  <w:r>
                    <w:rPr>
                      <w:color w:val="auto"/>
                      <w:szCs w:val="18"/>
                    </w:rPr>
                    <w:t>166</w:t>
                  </w:r>
                </w:p>
              </w:tc>
              <w:tc>
                <w:tcPr>
                  <w:tcW w:w="547"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411" w:type="pct"/>
                  <w:vMerge w:val="restar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4</w:t>
                  </w:r>
                  <w:r>
                    <w:rPr>
                      <w:rFonts w:ascii="Times New Roman" w:hAnsi="Times New Roman" w:cs="Times New Roman"/>
                      <w:color w:val="auto"/>
                      <w:sz w:val="21"/>
                      <w:szCs w:val="21"/>
                    </w:rPr>
                    <w:t>0h</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3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3"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60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南</w:t>
                  </w:r>
                </w:p>
              </w:tc>
              <w:tc>
                <w:tcPr>
                  <w:tcW w:w="384" w:type="pct"/>
                  <w:tcBorders>
                    <w:tl2br w:val="nil"/>
                    <w:tr2bl w:val="nil"/>
                  </w:tcBorders>
                  <w:vAlign w:val="center"/>
                </w:tcPr>
                <w:p>
                  <w:pPr>
                    <w:jc w:val="center"/>
                    <w:rPr>
                      <w:color w:val="auto"/>
                      <w:szCs w:val="18"/>
                    </w:rPr>
                  </w:pPr>
                  <w:r>
                    <w:rPr>
                      <w:color w:val="auto"/>
                      <w:szCs w:val="18"/>
                    </w:rPr>
                    <w:t>127</w:t>
                  </w:r>
                </w:p>
              </w:tc>
              <w:tc>
                <w:tcPr>
                  <w:tcW w:w="54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11"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3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3"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60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西</w:t>
                  </w:r>
                </w:p>
              </w:tc>
              <w:tc>
                <w:tcPr>
                  <w:tcW w:w="384" w:type="pct"/>
                  <w:tcBorders>
                    <w:tl2br w:val="nil"/>
                    <w:tr2bl w:val="nil"/>
                  </w:tcBorders>
                  <w:vAlign w:val="center"/>
                </w:tcPr>
                <w:p>
                  <w:pPr>
                    <w:jc w:val="center"/>
                    <w:rPr>
                      <w:color w:val="auto"/>
                      <w:szCs w:val="18"/>
                    </w:rPr>
                  </w:pPr>
                  <w:r>
                    <w:rPr>
                      <w:color w:val="auto"/>
                      <w:szCs w:val="18"/>
                    </w:rPr>
                    <w:t>9</w:t>
                  </w:r>
                </w:p>
              </w:tc>
              <w:tc>
                <w:tcPr>
                  <w:tcW w:w="54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11"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210"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3" w:type="pct"/>
                  <w:vMerge w:val="continue"/>
                  <w:tcBorders>
                    <w:tl2br w:val="nil"/>
                    <w:tr2bl w:val="nil"/>
                  </w:tcBorders>
                  <w:vAlign w:val="center"/>
                </w:tcPr>
                <w:p>
                  <w:pPr>
                    <w:pStyle w:val="117"/>
                    <w:widowControl w:val="0"/>
                    <w:ind w:left="17"/>
                    <w:jc w:val="center"/>
                    <w:rPr>
                      <w:rFonts w:ascii="Times New Roman" w:hAnsi="Times New Roman" w:cs="Times New Roman"/>
                      <w:color w:val="auto"/>
                      <w:sz w:val="21"/>
                      <w:szCs w:val="21"/>
                    </w:rPr>
                  </w:pPr>
                </w:p>
              </w:tc>
              <w:tc>
                <w:tcPr>
                  <w:tcW w:w="49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3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3"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274"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602"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329" w:type="pct"/>
                  <w:tcBorders>
                    <w:tl2br w:val="nil"/>
                    <w:tr2bl w:val="nil"/>
                  </w:tcBorders>
                  <w:vAlign w:val="center"/>
                </w:tcPr>
                <w:p>
                  <w:pPr>
                    <w:pStyle w:val="117"/>
                    <w:widowControl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北</w:t>
                  </w:r>
                </w:p>
              </w:tc>
              <w:tc>
                <w:tcPr>
                  <w:tcW w:w="384" w:type="pct"/>
                  <w:tcBorders>
                    <w:tl2br w:val="nil"/>
                    <w:tr2bl w:val="nil"/>
                  </w:tcBorders>
                  <w:vAlign w:val="center"/>
                </w:tcPr>
                <w:p>
                  <w:pPr>
                    <w:jc w:val="center"/>
                    <w:rPr>
                      <w:color w:val="auto"/>
                      <w:szCs w:val="18"/>
                    </w:rPr>
                  </w:pPr>
                  <w:r>
                    <w:rPr>
                      <w:color w:val="auto"/>
                      <w:szCs w:val="18"/>
                    </w:rPr>
                    <w:t>15</w:t>
                  </w:r>
                </w:p>
              </w:tc>
              <w:tc>
                <w:tcPr>
                  <w:tcW w:w="547"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c>
                <w:tcPr>
                  <w:tcW w:w="411" w:type="pct"/>
                  <w:vMerge w:val="continue"/>
                  <w:tcBorders>
                    <w:tl2br w:val="nil"/>
                    <w:tr2bl w:val="nil"/>
                  </w:tcBorders>
                  <w:vAlign w:val="center"/>
                </w:tcPr>
                <w:p>
                  <w:pPr>
                    <w:pStyle w:val="117"/>
                    <w:widowControl w:val="0"/>
                    <w:jc w:val="center"/>
                    <w:rPr>
                      <w:rFonts w:ascii="Times New Roman" w:hAnsi="Times New Roman" w:cs="Times New Roman"/>
                      <w:color w:val="auto"/>
                      <w:sz w:val="21"/>
                      <w:szCs w:val="21"/>
                    </w:rPr>
                  </w:pPr>
                </w:p>
              </w:tc>
            </w:tr>
          </w:tbl>
          <w:p>
            <w:pPr>
              <w:pStyle w:val="14"/>
              <w:adjustRightInd w:val="0"/>
              <w:spacing w:line="360" w:lineRule="auto"/>
              <w:ind w:left="0" w:leftChars="0" w:right="0" w:firstLine="0" w:firstLineChars="0"/>
              <w:rPr>
                <w:color w:val="auto"/>
                <w:szCs w:val="21"/>
              </w:rPr>
            </w:pPr>
            <w:r>
              <w:rPr>
                <w:rFonts w:hint="eastAsia"/>
                <w:color w:val="auto"/>
                <w:szCs w:val="21"/>
              </w:rPr>
              <w:t>注：选取厂界西南角为0点，XYZ为设备相对0点位置。</w:t>
            </w:r>
          </w:p>
          <w:p>
            <w:pPr>
              <w:adjustRightInd w:val="0"/>
              <w:snapToGrid w:val="0"/>
              <w:jc w:val="center"/>
              <w:rPr>
                <w:b/>
                <w:bCs/>
                <w:color w:val="auto"/>
                <w:sz w:val="24"/>
                <w:szCs w:val="22"/>
              </w:rPr>
            </w:pPr>
          </w:p>
          <w:p>
            <w:pPr>
              <w:adjustRightInd w:val="0"/>
              <w:snapToGrid w:val="0"/>
              <w:jc w:val="center"/>
              <w:rPr>
                <w:b/>
                <w:bCs/>
                <w:color w:val="auto"/>
                <w:sz w:val="24"/>
                <w:szCs w:val="22"/>
              </w:rPr>
            </w:pPr>
          </w:p>
          <w:p>
            <w:pPr>
              <w:adjustRightInd w:val="0"/>
              <w:snapToGrid w:val="0"/>
              <w:jc w:val="center"/>
              <w:rPr>
                <w:b/>
                <w:bCs/>
                <w:color w:val="auto"/>
                <w:sz w:val="24"/>
                <w:szCs w:val="22"/>
              </w:rPr>
            </w:pPr>
          </w:p>
          <w:p>
            <w:pPr>
              <w:adjustRightInd w:val="0"/>
              <w:snapToGrid w:val="0"/>
              <w:jc w:val="center"/>
              <w:rPr>
                <w:b/>
                <w:bCs/>
                <w:color w:val="auto"/>
                <w:sz w:val="24"/>
                <w:szCs w:val="22"/>
              </w:rPr>
            </w:pPr>
          </w:p>
          <w:p>
            <w:pPr>
              <w:adjustRightInd w:val="0"/>
              <w:snapToGrid w:val="0"/>
              <w:jc w:val="center"/>
              <w:rPr>
                <w:b/>
                <w:bCs/>
                <w:color w:val="auto"/>
                <w:sz w:val="24"/>
                <w:szCs w:val="22"/>
              </w:rPr>
            </w:pPr>
          </w:p>
          <w:p>
            <w:pPr>
              <w:adjustRightInd w:val="0"/>
              <w:snapToGrid w:val="0"/>
              <w:jc w:val="center"/>
              <w:rPr>
                <w:b/>
                <w:bCs/>
                <w:color w:val="auto"/>
                <w:sz w:val="24"/>
                <w:szCs w:val="22"/>
              </w:rPr>
            </w:pPr>
          </w:p>
          <w:p>
            <w:pPr>
              <w:adjustRightInd w:val="0"/>
              <w:snapToGrid w:val="0"/>
              <w:jc w:val="center"/>
              <w:rPr>
                <w:b/>
                <w:bCs/>
                <w:color w:val="auto"/>
                <w:sz w:val="24"/>
                <w:szCs w:val="22"/>
              </w:rPr>
            </w:pPr>
          </w:p>
          <w:p>
            <w:pPr>
              <w:adjustRightInd w:val="0"/>
              <w:snapToGrid w:val="0"/>
              <w:jc w:val="center"/>
              <w:rPr>
                <w:b/>
                <w:bCs/>
                <w:color w:val="auto"/>
                <w:sz w:val="24"/>
                <w:szCs w:val="22"/>
              </w:rPr>
            </w:pPr>
          </w:p>
          <w:p>
            <w:pPr>
              <w:adjustRightInd w:val="0"/>
              <w:snapToGrid w:val="0"/>
              <w:jc w:val="center"/>
              <w:rPr>
                <w:b/>
                <w:bCs/>
                <w:color w:val="auto"/>
                <w:sz w:val="24"/>
                <w:szCs w:val="22"/>
              </w:rPr>
            </w:pPr>
          </w:p>
          <w:p>
            <w:pPr>
              <w:adjustRightInd w:val="0"/>
              <w:snapToGrid w:val="0"/>
              <w:jc w:val="center"/>
              <w:rPr>
                <w:b/>
                <w:bCs/>
                <w:color w:val="auto"/>
                <w:sz w:val="24"/>
                <w:szCs w:val="22"/>
              </w:rPr>
            </w:pPr>
          </w:p>
          <w:p>
            <w:pPr>
              <w:adjustRightInd w:val="0"/>
              <w:snapToGrid w:val="0"/>
              <w:jc w:val="center"/>
              <w:rPr>
                <w:b/>
                <w:bCs/>
                <w:color w:val="auto"/>
                <w:sz w:val="24"/>
                <w:szCs w:val="22"/>
              </w:rPr>
            </w:pPr>
            <w:r>
              <w:rPr>
                <w:b/>
                <w:bCs/>
                <w:color w:val="auto"/>
                <w:sz w:val="24"/>
                <w:szCs w:val="22"/>
              </w:rPr>
              <w:t>表4-</w:t>
            </w:r>
            <w:r>
              <w:rPr>
                <w:rFonts w:hint="eastAsia"/>
                <w:b/>
                <w:bCs/>
                <w:color w:val="auto"/>
                <w:sz w:val="24"/>
                <w:szCs w:val="22"/>
                <w:lang w:val="en-US" w:eastAsia="zh-CN"/>
              </w:rPr>
              <w:t>11</w:t>
            </w:r>
            <w:r>
              <w:rPr>
                <w:b/>
                <w:bCs/>
                <w:color w:val="auto"/>
                <w:sz w:val="24"/>
                <w:szCs w:val="22"/>
              </w:rPr>
              <w:t xml:space="preserve">  工业企业噪声源强调查清单（室内声源）</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818"/>
              <w:gridCol w:w="625"/>
              <w:gridCol w:w="749"/>
              <w:gridCol w:w="998"/>
              <w:gridCol w:w="500"/>
              <w:gridCol w:w="498"/>
              <w:gridCol w:w="500"/>
              <w:gridCol w:w="625"/>
              <w:gridCol w:w="622"/>
              <w:gridCol w:w="625"/>
              <w:gridCol w:w="625"/>
              <w:gridCol w:w="998"/>
              <w:gridCol w:w="998"/>
              <w:gridCol w:w="1560"/>
              <w:gridCol w:w="15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restart"/>
                  <w:tcBorders>
                    <w:tl2br w:val="nil"/>
                    <w:tr2bl w:val="nil"/>
                  </w:tcBorders>
                  <w:vAlign w:val="center"/>
                </w:tcPr>
                <w:p>
                  <w:pPr>
                    <w:pStyle w:val="112"/>
                    <w:adjustRightInd w:val="0"/>
                    <w:rPr>
                      <w:b/>
                      <w:bCs w:val="0"/>
                      <w:color w:val="auto"/>
                      <w:szCs w:val="21"/>
                    </w:rPr>
                  </w:pPr>
                  <w:r>
                    <w:rPr>
                      <w:b/>
                      <w:bCs w:val="0"/>
                      <w:color w:val="auto"/>
                      <w:szCs w:val="21"/>
                    </w:rPr>
                    <w:t>建筑物名称</w:t>
                  </w:r>
                </w:p>
              </w:tc>
              <w:tc>
                <w:tcPr>
                  <w:tcW w:w="316" w:type="pct"/>
                  <w:vMerge w:val="restart"/>
                  <w:tcBorders>
                    <w:tl2br w:val="nil"/>
                    <w:tr2bl w:val="nil"/>
                  </w:tcBorders>
                  <w:vAlign w:val="center"/>
                </w:tcPr>
                <w:p>
                  <w:pPr>
                    <w:pStyle w:val="112"/>
                    <w:adjustRightInd w:val="0"/>
                    <w:rPr>
                      <w:b/>
                      <w:bCs w:val="0"/>
                      <w:color w:val="auto"/>
                      <w:szCs w:val="21"/>
                    </w:rPr>
                  </w:pPr>
                  <w:r>
                    <w:rPr>
                      <w:b/>
                      <w:bCs w:val="0"/>
                      <w:color w:val="auto"/>
                      <w:szCs w:val="21"/>
                    </w:rPr>
                    <w:t>声源名称</w:t>
                  </w:r>
                </w:p>
              </w:tc>
              <w:tc>
                <w:tcPr>
                  <w:tcW w:w="241" w:type="pct"/>
                  <w:vMerge w:val="restart"/>
                  <w:tcBorders>
                    <w:tl2br w:val="nil"/>
                    <w:tr2bl w:val="nil"/>
                  </w:tcBorders>
                  <w:vAlign w:val="center"/>
                </w:tcPr>
                <w:p>
                  <w:pPr>
                    <w:pStyle w:val="112"/>
                    <w:adjustRightInd w:val="0"/>
                    <w:rPr>
                      <w:b/>
                      <w:bCs w:val="0"/>
                      <w:color w:val="auto"/>
                      <w:szCs w:val="21"/>
                    </w:rPr>
                  </w:pPr>
                  <w:r>
                    <w:rPr>
                      <w:b/>
                      <w:bCs w:val="0"/>
                      <w:color w:val="auto"/>
                      <w:szCs w:val="21"/>
                    </w:rPr>
                    <w:t>数量(台)</w:t>
                  </w:r>
                </w:p>
              </w:tc>
              <w:tc>
                <w:tcPr>
                  <w:tcW w:w="289" w:type="pct"/>
                  <w:vMerge w:val="restart"/>
                  <w:tcBorders>
                    <w:tl2br w:val="nil"/>
                    <w:tr2bl w:val="nil"/>
                  </w:tcBorders>
                  <w:vAlign w:val="center"/>
                </w:tcPr>
                <w:p>
                  <w:pPr>
                    <w:pStyle w:val="112"/>
                    <w:adjustRightInd w:val="0"/>
                    <w:rPr>
                      <w:b/>
                      <w:bCs w:val="0"/>
                      <w:color w:val="auto"/>
                      <w:szCs w:val="21"/>
                    </w:rPr>
                  </w:pPr>
                  <w:r>
                    <w:rPr>
                      <w:b/>
                      <w:bCs w:val="0"/>
                      <w:color w:val="auto"/>
                      <w:szCs w:val="21"/>
                    </w:rPr>
                    <w:t>声功率级/dB(A)</w:t>
                  </w:r>
                </w:p>
              </w:tc>
              <w:tc>
                <w:tcPr>
                  <w:tcW w:w="385" w:type="pct"/>
                  <w:vMerge w:val="restart"/>
                  <w:tcBorders>
                    <w:tl2br w:val="nil"/>
                    <w:tr2bl w:val="nil"/>
                  </w:tcBorders>
                  <w:vAlign w:val="center"/>
                </w:tcPr>
                <w:p>
                  <w:pPr>
                    <w:pStyle w:val="112"/>
                    <w:adjustRightInd w:val="0"/>
                    <w:rPr>
                      <w:b/>
                      <w:bCs w:val="0"/>
                      <w:color w:val="auto"/>
                      <w:szCs w:val="21"/>
                    </w:rPr>
                  </w:pPr>
                  <w:r>
                    <w:rPr>
                      <w:b/>
                      <w:bCs w:val="0"/>
                      <w:color w:val="auto"/>
                      <w:szCs w:val="21"/>
                    </w:rPr>
                    <w:t>声源控制措施</w:t>
                  </w:r>
                </w:p>
              </w:tc>
              <w:tc>
                <w:tcPr>
                  <w:tcW w:w="578" w:type="pct"/>
                  <w:gridSpan w:val="3"/>
                  <w:tcBorders>
                    <w:tl2br w:val="nil"/>
                    <w:tr2bl w:val="nil"/>
                  </w:tcBorders>
                  <w:vAlign w:val="center"/>
                </w:tcPr>
                <w:p>
                  <w:pPr>
                    <w:pStyle w:val="112"/>
                    <w:adjustRightInd w:val="0"/>
                    <w:rPr>
                      <w:b/>
                      <w:bCs w:val="0"/>
                      <w:color w:val="auto"/>
                      <w:szCs w:val="21"/>
                    </w:rPr>
                  </w:pPr>
                  <w:r>
                    <w:rPr>
                      <w:b/>
                      <w:bCs w:val="0"/>
                      <w:color w:val="auto"/>
                      <w:szCs w:val="21"/>
                    </w:rPr>
                    <w:t>空间相对位置</w:t>
                  </w:r>
                </w:p>
              </w:tc>
              <w:tc>
                <w:tcPr>
                  <w:tcW w:w="481" w:type="pct"/>
                  <w:gridSpan w:val="2"/>
                  <w:vMerge w:val="restart"/>
                  <w:tcBorders>
                    <w:tl2br w:val="nil"/>
                    <w:tr2bl w:val="nil"/>
                  </w:tcBorders>
                  <w:vAlign w:val="center"/>
                </w:tcPr>
                <w:p>
                  <w:pPr>
                    <w:pStyle w:val="112"/>
                    <w:adjustRightInd w:val="0"/>
                    <w:rPr>
                      <w:b/>
                      <w:bCs w:val="0"/>
                      <w:color w:val="auto"/>
                      <w:szCs w:val="21"/>
                    </w:rPr>
                  </w:pPr>
                  <w:r>
                    <w:rPr>
                      <w:b/>
                      <w:bCs w:val="0"/>
                      <w:color w:val="auto"/>
                      <w:szCs w:val="21"/>
                    </w:rPr>
                    <w:t>距室内边界距离/m</w:t>
                  </w:r>
                </w:p>
              </w:tc>
              <w:tc>
                <w:tcPr>
                  <w:tcW w:w="482" w:type="pct"/>
                  <w:gridSpan w:val="2"/>
                  <w:vMerge w:val="restart"/>
                  <w:tcBorders>
                    <w:tl2br w:val="nil"/>
                    <w:tr2bl w:val="nil"/>
                  </w:tcBorders>
                  <w:vAlign w:val="center"/>
                </w:tcPr>
                <w:p>
                  <w:pPr>
                    <w:pStyle w:val="112"/>
                    <w:adjustRightInd w:val="0"/>
                    <w:rPr>
                      <w:b/>
                      <w:bCs w:val="0"/>
                      <w:color w:val="auto"/>
                      <w:szCs w:val="21"/>
                    </w:rPr>
                  </w:pPr>
                  <w:r>
                    <w:rPr>
                      <w:b/>
                      <w:bCs w:val="0"/>
                      <w:color w:val="auto"/>
                      <w:szCs w:val="21"/>
                    </w:rPr>
                    <w:t>室内边界声级/dB(A)</w:t>
                  </w:r>
                </w:p>
              </w:tc>
              <w:tc>
                <w:tcPr>
                  <w:tcW w:w="385" w:type="pct"/>
                  <w:vMerge w:val="restart"/>
                  <w:tcBorders>
                    <w:tl2br w:val="nil"/>
                    <w:tr2bl w:val="nil"/>
                  </w:tcBorders>
                  <w:vAlign w:val="center"/>
                </w:tcPr>
                <w:p>
                  <w:pPr>
                    <w:pStyle w:val="112"/>
                    <w:adjustRightInd w:val="0"/>
                    <w:rPr>
                      <w:b/>
                      <w:bCs w:val="0"/>
                      <w:color w:val="auto"/>
                      <w:szCs w:val="21"/>
                    </w:rPr>
                  </w:pPr>
                  <w:r>
                    <w:rPr>
                      <w:b/>
                      <w:bCs w:val="0"/>
                      <w:color w:val="auto"/>
                      <w:szCs w:val="21"/>
                    </w:rPr>
                    <w:t>运行时段</w:t>
                  </w:r>
                </w:p>
              </w:tc>
              <w:tc>
                <w:tcPr>
                  <w:tcW w:w="385" w:type="pct"/>
                  <w:vMerge w:val="restart"/>
                  <w:tcBorders>
                    <w:tl2br w:val="nil"/>
                    <w:tr2bl w:val="nil"/>
                  </w:tcBorders>
                  <w:vAlign w:val="center"/>
                </w:tcPr>
                <w:p>
                  <w:pPr>
                    <w:pStyle w:val="112"/>
                    <w:adjustRightInd w:val="0"/>
                    <w:rPr>
                      <w:b/>
                      <w:bCs w:val="0"/>
                      <w:color w:val="auto"/>
                      <w:szCs w:val="21"/>
                    </w:rPr>
                  </w:pPr>
                  <w:r>
                    <w:rPr>
                      <w:b/>
                      <w:bCs w:val="0"/>
                      <w:color w:val="auto"/>
                      <w:szCs w:val="21"/>
                    </w:rPr>
                    <w:t>建筑物插入损失/dB(A)</w:t>
                  </w:r>
                </w:p>
              </w:tc>
              <w:tc>
                <w:tcPr>
                  <w:tcW w:w="1204" w:type="pct"/>
                  <w:gridSpan w:val="2"/>
                  <w:tcBorders>
                    <w:tl2br w:val="nil"/>
                    <w:tr2bl w:val="nil"/>
                  </w:tcBorders>
                  <w:vAlign w:val="center"/>
                </w:tcPr>
                <w:p>
                  <w:pPr>
                    <w:pStyle w:val="112"/>
                    <w:adjustRightInd w:val="0"/>
                    <w:rPr>
                      <w:b/>
                      <w:bCs w:val="0"/>
                      <w:color w:val="auto"/>
                      <w:szCs w:val="21"/>
                    </w:rPr>
                  </w:pPr>
                  <w:r>
                    <w:rPr>
                      <w:b/>
                      <w:bCs w:val="0"/>
                      <w:color w:val="auto"/>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vAlign w:val="center"/>
                </w:tcPr>
                <w:p>
                  <w:pPr>
                    <w:pStyle w:val="112"/>
                    <w:adjustRightInd w:val="0"/>
                    <w:rPr>
                      <w:b/>
                      <w:bCs w:val="0"/>
                      <w:color w:val="auto"/>
                      <w:szCs w:val="21"/>
                    </w:rPr>
                  </w:pPr>
                </w:p>
              </w:tc>
              <w:tc>
                <w:tcPr>
                  <w:tcW w:w="316" w:type="pct"/>
                  <w:vMerge w:val="continue"/>
                  <w:tcBorders>
                    <w:tl2br w:val="nil"/>
                    <w:tr2bl w:val="nil"/>
                  </w:tcBorders>
                  <w:vAlign w:val="center"/>
                </w:tcPr>
                <w:p>
                  <w:pPr>
                    <w:pStyle w:val="112"/>
                    <w:adjustRightInd w:val="0"/>
                    <w:rPr>
                      <w:b/>
                      <w:bCs w:val="0"/>
                      <w:color w:val="auto"/>
                      <w:szCs w:val="21"/>
                    </w:rPr>
                  </w:pPr>
                </w:p>
              </w:tc>
              <w:tc>
                <w:tcPr>
                  <w:tcW w:w="241" w:type="pct"/>
                  <w:vMerge w:val="continue"/>
                  <w:tcBorders>
                    <w:tl2br w:val="nil"/>
                    <w:tr2bl w:val="nil"/>
                  </w:tcBorders>
                  <w:vAlign w:val="center"/>
                </w:tcPr>
                <w:p>
                  <w:pPr>
                    <w:pStyle w:val="112"/>
                    <w:adjustRightInd w:val="0"/>
                    <w:rPr>
                      <w:b/>
                      <w:bCs w:val="0"/>
                      <w:color w:val="auto"/>
                      <w:szCs w:val="21"/>
                    </w:rPr>
                  </w:pPr>
                </w:p>
              </w:tc>
              <w:tc>
                <w:tcPr>
                  <w:tcW w:w="289" w:type="pct"/>
                  <w:vMerge w:val="continue"/>
                  <w:tcBorders>
                    <w:tl2br w:val="nil"/>
                    <w:tr2bl w:val="nil"/>
                  </w:tcBorders>
                  <w:vAlign w:val="center"/>
                </w:tcPr>
                <w:p>
                  <w:pPr>
                    <w:pStyle w:val="112"/>
                    <w:adjustRightInd w:val="0"/>
                    <w:rPr>
                      <w:b/>
                      <w:bCs w:val="0"/>
                      <w:color w:val="auto"/>
                      <w:szCs w:val="21"/>
                    </w:rPr>
                  </w:pPr>
                </w:p>
              </w:tc>
              <w:tc>
                <w:tcPr>
                  <w:tcW w:w="385" w:type="pct"/>
                  <w:vMerge w:val="continue"/>
                  <w:tcBorders>
                    <w:tl2br w:val="nil"/>
                    <w:tr2bl w:val="nil"/>
                  </w:tcBorders>
                  <w:vAlign w:val="center"/>
                </w:tcPr>
                <w:p>
                  <w:pPr>
                    <w:pStyle w:val="112"/>
                    <w:adjustRightInd w:val="0"/>
                    <w:rPr>
                      <w:b/>
                      <w:bCs w:val="0"/>
                      <w:color w:val="auto"/>
                      <w:szCs w:val="21"/>
                    </w:rPr>
                  </w:pPr>
                </w:p>
              </w:tc>
              <w:tc>
                <w:tcPr>
                  <w:tcW w:w="193" w:type="pct"/>
                  <w:tcBorders>
                    <w:tl2br w:val="nil"/>
                    <w:tr2bl w:val="nil"/>
                  </w:tcBorders>
                  <w:vAlign w:val="center"/>
                </w:tcPr>
                <w:p>
                  <w:pPr>
                    <w:pStyle w:val="112"/>
                    <w:adjustRightInd w:val="0"/>
                    <w:rPr>
                      <w:b/>
                      <w:bCs w:val="0"/>
                      <w:color w:val="auto"/>
                      <w:szCs w:val="21"/>
                    </w:rPr>
                  </w:pPr>
                  <w:r>
                    <w:rPr>
                      <w:b/>
                      <w:bCs w:val="0"/>
                      <w:color w:val="auto"/>
                      <w:szCs w:val="21"/>
                    </w:rPr>
                    <w:t>X</w:t>
                  </w:r>
                </w:p>
              </w:tc>
              <w:tc>
                <w:tcPr>
                  <w:tcW w:w="192" w:type="pct"/>
                  <w:tcBorders>
                    <w:tl2br w:val="nil"/>
                    <w:tr2bl w:val="nil"/>
                  </w:tcBorders>
                  <w:vAlign w:val="center"/>
                </w:tcPr>
                <w:p>
                  <w:pPr>
                    <w:pStyle w:val="112"/>
                    <w:adjustRightInd w:val="0"/>
                    <w:rPr>
                      <w:b/>
                      <w:bCs w:val="0"/>
                      <w:color w:val="auto"/>
                      <w:szCs w:val="21"/>
                    </w:rPr>
                  </w:pPr>
                  <w:r>
                    <w:rPr>
                      <w:b/>
                      <w:bCs w:val="0"/>
                      <w:color w:val="auto"/>
                      <w:szCs w:val="21"/>
                    </w:rPr>
                    <w:t>Y</w:t>
                  </w:r>
                </w:p>
              </w:tc>
              <w:tc>
                <w:tcPr>
                  <w:tcW w:w="193" w:type="pct"/>
                  <w:tcBorders>
                    <w:tl2br w:val="nil"/>
                    <w:tr2bl w:val="nil"/>
                  </w:tcBorders>
                  <w:vAlign w:val="center"/>
                </w:tcPr>
                <w:p>
                  <w:pPr>
                    <w:pStyle w:val="112"/>
                    <w:adjustRightInd w:val="0"/>
                    <w:rPr>
                      <w:b/>
                      <w:bCs w:val="0"/>
                      <w:color w:val="auto"/>
                      <w:szCs w:val="21"/>
                    </w:rPr>
                  </w:pPr>
                  <w:r>
                    <w:rPr>
                      <w:b/>
                      <w:bCs w:val="0"/>
                      <w:color w:val="auto"/>
                      <w:szCs w:val="21"/>
                    </w:rPr>
                    <w:t>Z</w:t>
                  </w:r>
                </w:p>
              </w:tc>
              <w:tc>
                <w:tcPr>
                  <w:tcW w:w="481" w:type="pct"/>
                  <w:gridSpan w:val="2"/>
                  <w:vMerge w:val="continue"/>
                  <w:tcBorders>
                    <w:tl2br w:val="nil"/>
                    <w:tr2bl w:val="nil"/>
                  </w:tcBorders>
                  <w:vAlign w:val="center"/>
                </w:tcPr>
                <w:p>
                  <w:pPr>
                    <w:pStyle w:val="112"/>
                    <w:adjustRightInd w:val="0"/>
                    <w:rPr>
                      <w:b/>
                      <w:bCs w:val="0"/>
                      <w:color w:val="auto"/>
                      <w:szCs w:val="21"/>
                    </w:rPr>
                  </w:pPr>
                </w:p>
              </w:tc>
              <w:tc>
                <w:tcPr>
                  <w:tcW w:w="482" w:type="pct"/>
                  <w:gridSpan w:val="2"/>
                  <w:vMerge w:val="continue"/>
                  <w:tcBorders>
                    <w:tl2br w:val="nil"/>
                    <w:tr2bl w:val="nil"/>
                  </w:tcBorders>
                  <w:vAlign w:val="center"/>
                </w:tcPr>
                <w:p>
                  <w:pPr>
                    <w:pStyle w:val="112"/>
                    <w:adjustRightInd w:val="0"/>
                    <w:rPr>
                      <w:b/>
                      <w:bCs w:val="0"/>
                      <w:color w:val="auto"/>
                      <w:szCs w:val="21"/>
                    </w:rPr>
                  </w:pPr>
                </w:p>
              </w:tc>
              <w:tc>
                <w:tcPr>
                  <w:tcW w:w="385" w:type="pct"/>
                  <w:vMerge w:val="continue"/>
                  <w:tcBorders>
                    <w:tl2br w:val="nil"/>
                    <w:tr2bl w:val="nil"/>
                  </w:tcBorders>
                  <w:vAlign w:val="center"/>
                </w:tcPr>
                <w:p>
                  <w:pPr>
                    <w:pStyle w:val="112"/>
                    <w:adjustRightInd w:val="0"/>
                    <w:rPr>
                      <w:b/>
                      <w:bCs w:val="0"/>
                      <w:color w:val="auto"/>
                      <w:szCs w:val="21"/>
                    </w:rPr>
                  </w:pPr>
                </w:p>
              </w:tc>
              <w:tc>
                <w:tcPr>
                  <w:tcW w:w="385" w:type="pct"/>
                  <w:vMerge w:val="continue"/>
                  <w:tcBorders>
                    <w:tl2br w:val="nil"/>
                    <w:tr2bl w:val="nil"/>
                  </w:tcBorders>
                  <w:vAlign w:val="center"/>
                </w:tcPr>
                <w:p>
                  <w:pPr>
                    <w:pStyle w:val="112"/>
                    <w:adjustRightInd w:val="0"/>
                    <w:rPr>
                      <w:b/>
                      <w:bCs w:val="0"/>
                      <w:color w:val="auto"/>
                      <w:szCs w:val="21"/>
                    </w:rPr>
                  </w:pPr>
                </w:p>
              </w:tc>
              <w:tc>
                <w:tcPr>
                  <w:tcW w:w="602" w:type="pct"/>
                  <w:tcBorders>
                    <w:tl2br w:val="nil"/>
                    <w:tr2bl w:val="nil"/>
                  </w:tcBorders>
                  <w:vAlign w:val="center"/>
                </w:tcPr>
                <w:p>
                  <w:pPr>
                    <w:pStyle w:val="112"/>
                    <w:adjustRightInd w:val="0"/>
                    <w:rPr>
                      <w:b/>
                      <w:bCs w:val="0"/>
                      <w:color w:val="auto"/>
                      <w:szCs w:val="21"/>
                    </w:rPr>
                  </w:pPr>
                  <w:r>
                    <w:rPr>
                      <w:b/>
                      <w:bCs w:val="0"/>
                      <w:color w:val="auto"/>
                      <w:szCs w:val="21"/>
                    </w:rPr>
                    <w:t>声压级/dB(A)</w:t>
                  </w:r>
                </w:p>
              </w:tc>
              <w:tc>
                <w:tcPr>
                  <w:tcW w:w="602" w:type="pct"/>
                  <w:tcBorders>
                    <w:tl2br w:val="nil"/>
                    <w:tr2bl w:val="nil"/>
                  </w:tcBorders>
                  <w:vAlign w:val="center"/>
                </w:tcPr>
                <w:p>
                  <w:pPr>
                    <w:pStyle w:val="112"/>
                    <w:adjustRightInd w:val="0"/>
                    <w:rPr>
                      <w:b/>
                      <w:bCs w:val="0"/>
                      <w:color w:val="auto"/>
                      <w:szCs w:val="21"/>
                    </w:rPr>
                  </w:pPr>
                  <w:r>
                    <w:rPr>
                      <w:rFonts w:hint="eastAsia"/>
                      <w:b/>
                      <w:bCs w:val="0"/>
                      <w:color w:val="auto"/>
                      <w:szCs w:val="21"/>
                    </w:rPr>
                    <w:t>建筑物外</w:t>
                  </w:r>
                  <w:r>
                    <w:rPr>
                      <w:b/>
                      <w:bCs w:val="0"/>
                      <w:color w:val="auto"/>
                      <w:szCs w:val="21"/>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restart"/>
                  <w:tcBorders>
                    <w:tl2br w:val="nil"/>
                    <w:tr2bl w:val="nil"/>
                  </w:tcBorders>
                  <w:vAlign w:val="center"/>
                </w:tcPr>
                <w:p>
                  <w:pPr>
                    <w:adjustRightInd w:val="0"/>
                    <w:snapToGrid w:val="0"/>
                    <w:jc w:val="center"/>
                    <w:rPr>
                      <w:color w:val="auto"/>
                      <w:szCs w:val="21"/>
                    </w:rPr>
                  </w:pPr>
                  <w:r>
                    <w:rPr>
                      <w:color w:val="auto"/>
                      <w:szCs w:val="21"/>
                    </w:rPr>
                    <w:t>车间</w:t>
                  </w:r>
                  <w:r>
                    <w:rPr>
                      <w:rFonts w:hint="eastAsia"/>
                      <w:color w:val="auto"/>
                      <w:szCs w:val="21"/>
                    </w:rPr>
                    <w:t>二</w:t>
                  </w:r>
                </w:p>
              </w:tc>
              <w:tc>
                <w:tcPr>
                  <w:tcW w:w="316" w:type="pct"/>
                  <w:vMerge w:val="restart"/>
                  <w:tcBorders>
                    <w:tl2br w:val="nil"/>
                    <w:tr2bl w:val="nil"/>
                  </w:tcBorders>
                  <w:vAlign w:val="center"/>
                </w:tcPr>
                <w:p>
                  <w:pPr>
                    <w:pStyle w:val="114"/>
                    <w:adjustRightInd w:val="0"/>
                    <w:snapToGrid w:val="0"/>
                    <w:spacing w:line="240" w:lineRule="auto"/>
                    <w:ind w:firstLine="0"/>
                    <w:jc w:val="center"/>
                    <w:rPr>
                      <w:b/>
                      <w:bCs/>
                      <w:color w:val="auto"/>
                      <w:sz w:val="21"/>
                      <w:szCs w:val="21"/>
                    </w:rPr>
                  </w:pPr>
                  <w:r>
                    <w:rPr>
                      <w:rFonts w:hint="eastAsia"/>
                      <w:color w:val="auto"/>
                      <w:sz w:val="21"/>
                      <w:szCs w:val="21"/>
                    </w:rPr>
                    <w:t>双面压机</w:t>
                  </w:r>
                </w:p>
              </w:tc>
              <w:tc>
                <w:tcPr>
                  <w:tcW w:w="241" w:type="pct"/>
                  <w:vMerge w:val="restart"/>
                  <w:tcBorders>
                    <w:tl2br w:val="nil"/>
                    <w:tr2bl w:val="nil"/>
                  </w:tcBorders>
                  <w:vAlign w:val="center"/>
                </w:tcPr>
                <w:p>
                  <w:pPr>
                    <w:pStyle w:val="112"/>
                    <w:adjustRightInd w:val="0"/>
                    <w:rPr>
                      <w:rFonts w:hint="eastAsia" w:eastAsia="宋体"/>
                      <w:color w:val="auto"/>
                      <w:szCs w:val="21"/>
                      <w:lang w:eastAsia="zh-CN"/>
                    </w:rPr>
                  </w:pPr>
                  <w:r>
                    <w:rPr>
                      <w:color w:val="auto"/>
                      <w:szCs w:val="21"/>
                    </w:rPr>
                    <w:t>1</w:t>
                  </w:r>
                  <w:r>
                    <w:rPr>
                      <w:rFonts w:hint="eastAsia"/>
                      <w:color w:val="auto"/>
                      <w:szCs w:val="21"/>
                      <w:lang w:val="en-US" w:eastAsia="zh-CN"/>
                    </w:rPr>
                    <w:t>6</w:t>
                  </w:r>
                </w:p>
              </w:tc>
              <w:tc>
                <w:tcPr>
                  <w:tcW w:w="289" w:type="pct"/>
                  <w:vMerge w:val="restart"/>
                  <w:tcBorders>
                    <w:tl2br w:val="nil"/>
                    <w:tr2bl w:val="nil"/>
                  </w:tcBorders>
                  <w:vAlign w:val="center"/>
                </w:tcPr>
                <w:p>
                  <w:pPr>
                    <w:adjustRightInd w:val="0"/>
                    <w:snapToGrid w:val="0"/>
                    <w:jc w:val="center"/>
                    <w:rPr>
                      <w:color w:val="auto"/>
                      <w:szCs w:val="21"/>
                    </w:rPr>
                  </w:pPr>
                  <w:r>
                    <w:rPr>
                      <w:color w:val="auto"/>
                      <w:szCs w:val="21"/>
                    </w:rPr>
                    <w:t>70</w:t>
                  </w:r>
                </w:p>
              </w:tc>
              <w:tc>
                <w:tcPr>
                  <w:tcW w:w="385" w:type="pct"/>
                  <w:vMerge w:val="restart"/>
                  <w:tcBorders>
                    <w:tl2br w:val="nil"/>
                    <w:tr2bl w:val="nil"/>
                  </w:tcBorders>
                  <w:vAlign w:val="center"/>
                </w:tcPr>
                <w:p>
                  <w:pPr>
                    <w:pStyle w:val="112"/>
                    <w:adjustRightInd w:val="0"/>
                    <w:rPr>
                      <w:color w:val="auto"/>
                      <w:szCs w:val="21"/>
                    </w:rPr>
                  </w:pPr>
                  <w:r>
                    <w:rPr>
                      <w:rFonts w:hint="eastAsia"/>
                      <w:color w:val="auto"/>
                      <w:szCs w:val="21"/>
                    </w:rPr>
                    <w:t>厂房隔声、距离衰减</w:t>
                  </w:r>
                </w:p>
              </w:tc>
              <w:tc>
                <w:tcPr>
                  <w:tcW w:w="193" w:type="pct"/>
                  <w:vMerge w:val="restart"/>
                  <w:tcBorders>
                    <w:tl2br w:val="nil"/>
                    <w:tr2bl w:val="nil"/>
                  </w:tcBorders>
                  <w:vAlign w:val="center"/>
                </w:tcPr>
                <w:p>
                  <w:pPr>
                    <w:pStyle w:val="112"/>
                    <w:adjustRightInd w:val="0"/>
                    <w:rPr>
                      <w:color w:val="auto"/>
                      <w:szCs w:val="21"/>
                    </w:rPr>
                  </w:pPr>
                  <w:r>
                    <w:rPr>
                      <w:rFonts w:hint="eastAsia"/>
                      <w:color w:val="auto"/>
                      <w:szCs w:val="21"/>
                    </w:rPr>
                    <w:t>9</w:t>
                  </w:r>
                </w:p>
              </w:tc>
              <w:tc>
                <w:tcPr>
                  <w:tcW w:w="192" w:type="pct"/>
                  <w:vMerge w:val="restart"/>
                  <w:tcBorders>
                    <w:tl2br w:val="nil"/>
                    <w:tr2bl w:val="nil"/>
                  </w:tcBorders>
                  <w:vAlign w:val="center"/>
                </w:tcPr>
                <w:p>
                  <w:pPr>
                    <w:pStyle w:val="112"/>
                    <w:adjustRightInd w:val="0"/>
                    <w:rPr>
                      <w:color w:val="auto"/>
                      <w:szCs w:val="21"/>
                    </w:rPr>
                  </w:pPr>
                  <w:r>
                    <w:rPr>
                      <w:rFonts w:hint="eastAsia"/>
                      <w:color w:val="auto"/>
                      <w:szCs w:val="21"/>
                    </w:rPr>
                    <w:t>81</w:t>
                  </w:r>
                </w:p>
              </w:tc>
              <w:tc>
                <w:tcPr>
                  <w:tcW w:w="193" w:type="pct"/>
                  <w:vMerge w:val="restart"/>
                  <w:tcBorders>
                    <w:tl2br w:val="nil"/>
                    <w:tr2bl w:val="nil"/>
                  </w:tcBorders>
                  <w:vAlign w:val="center"/>
                </w:tcPr>
                <w:p>
                  <w:pPr>
                    <w:pStyle w:val="112"/>
                    <w:adjustRightInd w:val="0"/>
                    <w:rPr>
                      <w:color w:val="auto"/>
                      <w:szCs w:val="21"/>
                    </w:rPr>
                  </w:pPr>
                  <w:r>
                    <w:rPr>
                      <w:rFonts w:hint="eastAsia"/>
                      <w:color w:val="auto"/>
                      <w:szCs w:val="21"/>
                    </w:rPr>
                    <w:t>1</w:t>
                  </w:r>
                </w:p>
              </w:tc>
              <w:tc>
                <w:tcPr>
                  <w:tcW w:w="241" w:type="pct"/>
                  <w:tcBorders>
                    <w:tl2br w:val="nil"/>
                    <w:tr2bl w:val="nil"/>
                  </w:tcBorders>
                  <w:vAlign w:val="center"/>
                </w:tcPr>
                <w:p>
                  <w:pPr>
                    <w:pStyle w:val="112"/>
                    <w:adjustRightInd w:val="0"/>
                    <w:rPr>
                      <w:color w:val="auto"/>
                      <w:szCs w:val="21"/>
                    </w:rPr>
                  </w:pPr>
                  <w:r>
                    <w:rPr>
                      <w:color w:val="auto"/>
                      <w:szCs w:val="21"/>
                    </w:rPr>
                    <w:t>东</w:t>
                  </w:r>
                </w:p>
              </w:tc>
              <w:tc>
                <w:tcPr>
                  <w:tcW w:w="240" w:type="pct"/>
                  <w:tcBorders>
                    <w:tl2br w:val="nil"/>
                    <w:tr2bl w:val="nil"/>
                  </w:tcBorders>
                  <w:vAlign w:val="center"/>
                </w:tcPr>
                <w:p>
                  <w:pPr>
                    <w:widowControl/>
                    <w:jc w:val="center"/>
                    <w:rPr>
                      <w:color w:val="auto"/>
                      <w:kern w:val="0"/>
                      <w:szCs w:val="21"/>
                    </w:rPr>
                  </w:pPr>
                  <w:r>
                    <w:rPr>
                      <w:color w:val="auto"/>
                      <w:szCs w:val="21"/>
                    </w:rPr>
                    <w:t>15</w:t>
                  </w:r>
                </w:p>
              </w:tc>
              <w:tc>
                <w:tcPr>
                  <w:tcW w:w="241" w:type="pct"/>
                  <w:tcBorders>
                    <w:tl2br w:val="nil"/>
                    <w:tr2bl w:val="nil"/>
                  </w:tcBorders>
                  <w:vAlign w:val="center"/>
                </w:tcPr>
                <w:p>
                  <w:pPr>
                    <w:pStyle w:val="112"/>
                    <w:adjustRightInd w:val="0"/>
                    <w:rPr>
                      <w:color w:val="auto"/>
                      <w:szCs w:val="21"/>
                    </w:rPr>
                  </w:pPr>
                  <w:r>
                    <w:rPr>
                      <w:color w:val="auto"/>
                      <w:szCs w:val="21"/>
                    </w:rPr>
                    <w:t>东</w:t>
                  </w:r>
                </w:p>
              </w:tc>
              <w:tc>
                <w:tcPr>
                  <w:tcW w:w="625" w:type="dxa"/>
                  <w:tcBorders>
                    <w:tl2br w:val="nil"/>
                    <w:tr2bl w:val="nil"/>
                  </w:tcBorders>
                  <w:vAlign w:val="center"/>
                </w:tcPr>
                <w:p>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57.0 </w:t>
                  </w:r>
                </w:p>
              </w:tc>
              <w:tc>
                <w:tcPr>
                  <w:tcW w:w="385" w:type="pct"/>
                  <w:vMerge w:val="restart"/>
                  <w:tcBorders>
                    <w:tl2br w:val="nil"/>
                    <w:tr2bl w:val="nil"/>
                  </w:tcBorders>
                  <w:vAlign w:val="center"/>
                </w:tcPr>
                <w:p>
                  <w:pPr>
                    <w:pStyle w:val="112"/>
                    <w:adjustRightInd w:val="0"/>
                    <w:rPr>
                      <w:color w:val="auto"/>
                      <w:szCs w:val="21"/>
                    </w:rPr>
                  </w:pPr>
                  <w:r>
                    <w:rPr>
                      <w:color w:val="auto"/>
                      <w:szCs w:val="21"/>
                    </w:rPr>
                    <w:t>20</w:t>
                  </w:r>
                  <w:r>
                    <w:rPr>
                      <w:rFonts w:hint="eastAsia"/>
                      <w:color w:val="auto"/>
                      <w:szCs w:val="21"/>
                      <w:lang w:val="en-US" w:eastAsia="zh-CN"/>
                    </w:rPr>
                    <w:t>4</w:t>
                  </w:r>
                  <w:r>
                    <w:rPr>
                      <w:color w:val="auto"/>
                      <w:szCs w:val="21"/>
                    </w:rPr>
                    <w:t>0h</w:t>
                  </w:r>
                </w:p>
              </w:tc>
              <w:tc>
                <w:tcPr>
                  <w:tcW w:w="385" w:type="pct"/>
                  <w:vMerge w:val="restart"/>
                  <w:tcBorders>
                    <w:tl2br w:val="nil"/>
                    <w:tr2bl w:val="nil"/>
                  </w:tcBorders>
                  <w:vAlign w:val="center"/>
                </w:tcPr>
                <w:p>
                  <w:pPr>
                    <w:pStyle w:val="112"/>
                    <w:adjustRightInd w:val="0"/>
                    <w:rPr>
                      <w:rFonts w:hint="eastAsia" w:eastAsia="宋体"/>
                      <w:color w:val="auto"/>
                      <w:szCs w:val="21"/>
                      <w:lang w:eastAsia="zh-CN"/>
                    </w:rPr>
                  </w:pPr>
                  <w:r>
                    <w:rPr>
                      <w:color w:val="auto"/>
                      <w:spacing w:val="-11"/>
                      <w:szCs w:val="21"/>
                    </w:rPr>
                    <w:t>≥2</w:t>
                  </w:r>
                  <w:r>
                    <w:rPr>
                      <w:rFonts w:hint="eastAsia"/>
                      <w:color w:val="auto"/>
                      <w:spacing w:val="-11"/>
                      <w:szCs w:val="21"/>
                      <w:lang w:val="en-US" w:eastAsia="zh-CN"/>
                    </w:rPr>
                    <w:t>0</w:t>
                  </w:r>
                </w:p>
              </w:tc>
              <w:tc>
                <w:tcPr>
                  <w:tcW w:w="602" w:type="pct"/>
                  <w:vMerge w:val="restart"/>
                  <w:tcBorders>
                    <w:tl2br w:val="nil"/>
                    <w:tr2bl w:val="nil"/>
                  </w:tcBorders>
                  <w:vAlign w:val="center"/>
                </w:tcPr>
                <w:p>
                  <w:pPr>
                    <w:pStyle w:val="112"/>
                    <w:adjustRightInd w:val="0"/>
                    <w:rPr>
                      <w:rFonts w:hint="default" w:eastAsia="宋体"/>
                      <w:color w:val="auto"/>
                      <w:szCs w:val="21"/>
                      <w:lang w:val="en-US" w:eastAsia="zh-CN"/>
                    </w:rPr>
                  </w:pPr>
                  <w:r>
                    <w:rPr>
                      <w:color w:val="auto"/>
                      <w:szCs w:val="21"/>
                    </w:rPr>
                    <w:t>东</w:t>
                  </w:r>
                  <w:r>
                    <w:rPr>
                      <w:rFonts w:hint="eastAsia"/>
                      <w:color w:val="auto"/>
                      <w:szCs w:val="21"/>
                    </w:rPr>
                    <w:t>：</w:t>
                  </w:r>
                  <w:r>
                    <w:rPr>
                      <w:color w:val="auto"/>
                      <w:szCs w:val="21"/>
                    </w:rPr>
                    <w:t>5</w:t>
                  </w:r>
                  <w:r>
                    <w:rPr>
                      <w:rFonts w:hint="eastAsia"/>
                      <w:color w:val="auto"/>
                      <w:szCs w:val="21"/>
                      <w:lang w:val="en-US" w:eastAsia="zh-CN"/>
                    </w:rPr>
                    <w:t>9.3</w:t>
                  </w:r>
                </w:p>
                <w:p>
                  <w:pPr>
                    <w:pStyle w:val="112"/>
                    <w:adjustRightInd w:val="0"/>
                    <w:rPr>
                      <w:rFonts w:hint="default" w:eastAsia="宋体"/>
                      <w:color w:val="auto"/>
                      <w:szCs w:val="21"/>
                      <w:lang w:val="en-US" w:eastAsia="zh-CN"/>
                    </w:rPr>
                  </w:pPr>
                  <w:r>
                    <w:rPr>
                      <w:color w:val="auto"/>
                      <w:szCs w:val="21"/>
                    </w:rPr>
                    <w:t>南</w:t>
                  </w:r>
                  <w:r>
                    <w:rPr>
                      <w:rFonts w:hint="eastAsia"/>
                      <w:color w:val="auto"/>
                      <w:szCs w:val="21"/>
                    </w:rPr>
                    <w:t>：</w:t>
                  </w:r>
                  <w:r>
                    <w:rPr>
                      <w:color w:val="auto"/>
                      <w:szCs w:val="21"/>
                    </w:rPr>
                    <w:t>6</w:t>
                  </w:r>
                  <w:r>
                    <w:rPr>
                      <w:rFonts w:hint="eastAsia"/>
                      <w:color w:val="auto"/>
                      <w:szCs w:val="21"/>
                      <w:lang w:val="en-US" w:eastAsia="zh-CN"/>
                    </w:rPr>
                    <w:t>4.2</w:t>
                  </w:r>
                </w:p>
                <w:p>
                  <w:pPr>
                    <w:pStyle w:val="112"/>
                    <w:adjustRightInd w:val="0"/>
                    <w:rPr>
                      <w:rFonts w:hint="default" w:eastAsia="宋体"/>
                      <w:color w:val="auto"/>
                      <w:szCs w:val="21"/>
                      <w:lang w:val="en-US" w:eastAsia="zh-CN"/>
                    </w:rPr>
                  </w:pPr>
                  <w:r>
                    <w:rPr>
                      <w:color w:val="auto"/>
                      <w:szCs w:val="21"/>
                    </w:rPr>
                    <w:t>西</w:t>
                  </w:r>
                  <w:r>
                    <w:rPr>
                      <w:rFonts w:hint="eastAsia"/>
                      <w:color w:val="auto"/>
                      <w:szCs w:val="21"/>
                    </w:rPr>
                    <w:t>：</w:t>
                  </w:r>
                  <w:r>
                    <w:rPr>
                      <w:rFonts w:hint="eastAsia"/>
                      <w:color w:val="auto"/>
                      <w:szCs w:val="21"/>
                      <w:lang w:val="en-US" w:eastAsia="zh-CN"/>
                    </w:rPr>
                    <w:t>60.4</w:t>
                  </w:r>
                </w:p>
                <w:p>
                  <w:pPr>
                    <w:pStyle w:val="112"/>
                    <w:adjustRightInd w:val="0"/>
                    <w:rPr>
                      <w:rFonts w:hint="default" w:eastAsia="宋体"/>
                      <w:color w:val="auto"/>
                      <w:szCs w:val="21"/>
                      <w:lang w:val="en-US" w:eastAsia="zh-CN"/>
                    </w:rPr>
                  </w:pPr>
                  <w:r>
                    <w:rPr>
                      <w:color w:val="auto"/>
                      <w:szCs w:val="21"/>
                    </w:rPr>
                    <w:t>北</w:t>
                  </w:r>
                  <w:r>
                    <w:rPr>
                      <w:rFonts w:hint="eastAsia"/>
                      <w:color w:val="auto"/>
                      <w:szCs w:val="21"/>
                    </w:rPr>
                    <w:t>：</w:t>
                  </w:r>
                  <w:r>
                    <w:rPr>
                      <w:color w:val="auto"/>
                      <w:szCs w:val="21"/>
                    </w:rPr>
                    <w:t>6</w:t>
                  </w:r>
                  <w:r>
                    <w:rPr>
                      <w:rFonts w:hint="eastAsia"/>
                      <w:color w:val="auto"/>
                      <w:szCs w:val="21"/>
                      <w:lang w:val="en-US" w:eastAsia="zh-CN"/>
                    </w:rPr>
                    <w:t>4.2</w:t>
                  </w:r>
                </w:p>
              </w:tc>
              <w:tc>
                <w:tcPr>
                  <w:tcW w:w="602" w:type="pct"/>
                  <w:vMerge w:val="restart"/>
                  <w:tcBorders>
                    <w:tl2br w:val="nil"/>
                    <w:tr2bl w:val="nil"/>
                  </w:tcBorders>
                  <w:vAlign w:val="center"/>
                </w:tcPr>
                <w:p>
                  <w:pPr>
                    <w:pStyle w:val="112"/>
                    <w:adjustRightInd w:val="0"/>
                    <w:rPr>
                      <w:color w:val="auto"/>
                      <w:szCs w:val="21"/>
                    </w:rPr>
                  </w:pPr>
                  <w:r>
                    <w:rPr>
                      <w:rFonts w:hint="eastAsia"/>
                      <w:color w:val="auto"/>
                      <w:szCs w:val="21"/>
                    </w:rPr>
                    <w:t>东厂界：</w:t>
                  </w:r>
                  <w:r>
                    <w:rPr>
                      <w:color w:val="auto"/>
                      <w:szCs w:val="21"/>
                    </w:rPr>
                    <w:t>60</w:t>
                  </w:r>
                  <w:r>
                    <w:rPr>
                      <w:rFonts w:hint="eastAsia"/>
                      <w:color w:val="auto"/>
                      <w:szCs w:val="21"/>
                    </w:rPr>
                    <w:t>米</w:t>
                  </w:r>
                </w:p>
                <w:p>
                  <w:pPr>
                    <w:pStyle w:val="112"/>
                    <w:adjustRightInd w:val="0"/>
                    <w:rPr>
                      <w:color w:val="auto"/>
                      <w:szCs w:val="21"/>
                    </w:rPr>
                  </w:pPr>
                  <w:r>
                    <w:rPr>
                      <w:rFonts w:hint="eastAsia"/>
                      <w:color w:val="auto"/>
                      <w:szCs w:val="21"/>
                    </w:rPr>
                    <w:t>南厂界：</w:t>
                  </w:r>
                  <w:r>
                    <w:rPr>
                      <w:color w:val="auto"/>
                      <w:szCs w:val="21"/>
                    </w:rPr>
                    <w:t>80</w:t>
                  </w:r>
                  <w:r>
                    <w:rPr>
                      <w:rFonts w:hint="eastAsia"/>
                      <w:color w:val="auto"/>
                      <w:szCs w:val="21"/>
                    </w:rPr>
                    <w:t>米</w:t>
                  </w:r>
                </w:p>
                <w:p>
                  <w:pPr>
                    <w:pStyle w:val="112"/>
                    <w:adjustRightInd w:val="0"/>
                    <w:rPr>
                      <w:color w:val="auto"/>
                      <w:szCs w:val="21"/>
                    </w:rPr>
                  </w:pPr>
                  <w:r>
                    <w:rPr>
                      <w:rFonts w:hint="eastAsia"/>
                      <w:color w:val="auto"/>
                      <w:szCs w:val="21"/>
                    </w:rPr>
                    <w:t>西厂界：</w:t>
                  </w:r>
                  <w:r>
                    <w:rPr>
                      <w:color w:val="auto"/>
                      <w:szCs w:val="21"/>
                    </w:rPr>
                    <w:t>10</w:t>
                  </w:r>
                  <w:r>
                    <w:rPr>
                      <w:rFonts w:hint="eastAsia"/>
                      <w:color w:val="auto"/>
                      <w:szCs w:val="21"/>
                    </w:rPr>
                    <w:t>米</w:t>
                  </w:r>
                </w:p>
                <w:p>
                  <w:pPr>
                    <w:pStyle w:val="112"/>
                    <w:adjustRightInd w:val="0"/>
                    <w:rPr>
                      <w:color w:val="auto"/>
                      <w:szCs w:val="21"/>
                    </w:rPr>
                  </w:pPr>
                  <w:r>
                    <w:rPr>
                      <w:rFonts w:hint="eastAsia"/>
                      <w:color w:val="auto"/>
                      <w:szCs w:val="21"/>
                    </w:rPr>
                    <w:t>北厂界：</w:t>
                  </w:r>
                  <w:r>
                    <w:rPr>
                      <w:color w:val="auto"/>
                      <w:szCs w:val="21"/>
                    </w:rPr>
                    <w:t>8</w:t>
                  </w:r>
                  <w:r>
                    <w:rPr>
                      <w:rFonts w:hint="eastAsia"/>
                      <w:color w:val="auto"/>
                      <w:szCs w:val="21"/>
                    </w:rPr>
                    <w:t>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vAlign w:val="center"/>
                </w:tcPr>
                <w:p>
                  <w:pPr>
                    <w:adjustRightInd w:val="0"/>
                    <w:snapToGrid w:val="0"/>
                    <w:jc w:val="center"/>
                    <w:rPr>
                      <w:color w:val="auto"/>
                      <w:szCs w:val="21"/>
                    </w:rPr>
                  </w:pPr>
                </w:p>
              </w:tc>
              <w:tc>
                <w:tcPr>
                  <w:tcW w:w="316" w:type="pct"/>
                  <w:vMerge w:val="continue"/>
                  <w:tcBorders>
                    <w:tl2br w:val="nil"/>
                    <w:tr2bl w:val="nil"/>
                  </w:tcBorders>
                  <w:vAlign w:val="center"/>
                </w:tcPr>
                <w:p>
                  <w:pPr>
                    <w:pStyle w:val="114"/>
                    <w:adjustRightInd w:val="0"/>
                    <w:snapToGrid w:val="0"/>
                    <w:spacing w:line="240" w:lineRule="auto"/>
                    <w:ind w:firstLine="0"/>
                    <w:jc w:val="center"/>
                    <w:rPr>
                      <w:color w:val="auto"/>
                      <w:kern w:val="2"/>
                      <w:sz w:val="21"/>
                      <w:szCs w:val="21"/>
                    </w:rPr>
                  </w:pPr>
                </w:p>
              </w:tc>
              <w:tc>
                <w:tcPr>
                  <w:tcW w:w="241" w:type="pct"/>
                  <w:vMerge w:val="continue"/>
                  <w:tcBorders>
                    <w:tl2br w:val="nil"/>
                    <w:tr2bl w:val="nil"/>
                  </w:tcBorders>
                  <w:vAlign w:val="center"/>
                </w:tcPr>
                <w:p>
                  <w:pPr>
                    <w:pStyle w:val="112"/>
                    <w:adjustRightInd w:val="0"/>
                    <w:rPr>
                      <w:color w:val="auto"/>
                      <w:szCs w:val="21"/>
                    </w:rPr>
                  </w:pPr>
                </w:p>
              </w:tc>
              <w:tc>
                <w:tcPr>
                  <w:tcW w:w="289" w:type="pct"/>
                  <w:vMerge w:val="continue"/>
                  <w:tcBorders>
                    <w:tl2br w:val="nil"/>
                    <w:tr2bl w:val="nil"/>
                  </w:tcBorders>
                  <w:vAlign w:val="center"/>
                </w:tcPr>
                <w:p>
                  <w:pPr>
                    <w:adjustRightInd w:val="0"/>
                    <w:snapToGrid w:val="0"/>
                    <w:jc w:val="center"/>
                    <w:rPr>
                      <w:color w:val="auto"/>
                      <w:szCs w:val="21"/>
                    </w:rPr>
                  </w:pPr>
                </w:p>
              </w:tc>
              <w:tc>
                <w:tcPr>
                  <w:tcW w:w="385" w:type="pct"/>
                  <w:vMerge w:val="continue"/>
                  <w:tcBorders>
                    <w:tl2br w:val="nil"/>
                    <w:tr2bl w:val="nil"/>
                  </w:tcBorders>
                  <w:vAlign w:val="center"/>
                </w:tcPr>
                <w:p>
                  <w:pPr>
                    <w:pStyle w:val="112"/>
                    <w:adjustRightInd w:val="0"/>
                    <w:rPr>
                      <w:color w:val="auto"/>
                      <w:spacing w:val="-11"/>
                      <w:szCs w:val="21"/>
                    </w:rPr>
                  </w:pPr>
                </w:p>
              </w:tc>
              <w:tc>
                <w:tcPr>
                  <w:tcW w:w="193" w:type="pct"/>
                  <w:vMerge w:val="continue"/>
                  <w:tcBorders>
                    <w:tl2br w:val="nil"/>
                    <w:tr2bl w:val="nil"/>
                  </w:tcBorders>
                  <w:vAlign w:val="center"/>
                </w:tcPr>
                <w:p>
                  <w:pPr>
                    <w:pStyle w:val="112"/>
                    <w:adjustRightInd w:val="0"/>
                    <w:rPr>
                      <w:color w:val="auto"/>
                      <w:szCs w:val="21"/>
                    </w:rPr>
                  </w:pPr>
                </w:p>
              </w:tc>
              <w:tc>
                <w:tcPr>
                  <w:tcW w:w="192" w:type="pct"/>
                  <w:vMerge w:val="continue"/>
                  <w:tcBorders>
                    <w:tl2br w:val="nil"/>
                    <w:tr2bl w:val="nil"/>
                  </w:tcBorders>
                  <w:vAlign w:val="center"/>
                </w:tcPr>
                <w:p>
                  <w:pPr>
                    <w:pStyle w:val="112"/>
                    <w:adjustRightInd w:val="0"/>
                    <w:rPr>
                      <w:color w:val="auto"/>
                      <w:szCs w:val="21"/>
                    </w:rPr>
                  </w:pPr>
                </w:p>
              </w:tc>
              <w:tc>
                <w:tcPr>
                  <w:tcW w:w="193" w:type="pct"/>
                  <w:vMerge w:val="continue"/>
                  <w:tcBorders>
                    <w:tl2br w:val="nil"/>
                    <w:tr2bl w:val="nil"/>
                  </w:tcBorders>
                  <w:vAlign w:val="center"/>
                </w:tcPr>
                <w:p>
                  <w:pPr>
                    <w:pStyle w:val="112"/>
                    <w:adjustRightInd w:val="0"/>
                    <w:rPr>
                      <w:color w:val="auto"/>
                      <w:szCs w:val="21"/>
                    </w:rPr>
                  </w:pPr>
                </w:p>
              </w:tc>
              <w:tc>
                <w:tcPr>
                  <w:tcW w:w="241" w:type="pct"/>
                  <w:tcBorders>
                    <w:tl2br w:val="nil"/>
                    <w:tr2bl w:val="nil"/>
                  </w:tcBorders>
                  <w:vAlign w:val="center"/>
                </w:tcPr>
                <w:p>
                  <w:pPr>
                    <w:pStyle w:val="112"/>
                    <w:adjustRightInd w:val="0"/>
                    <w:rPr>
                      <w:color w:val="auto"/>
                      <w:szCs w:val="21"/>
                    </w:rPr>
                  </w:pPr>
                  <w:r>
                    <w:rPr>
                      <w:color w:val="auto"/>
                      <w:szCs w:val="21"/>
                    </w:rPr>
                    <w:t>南</w:t>
                  </w:r>
                </w:p>
              </w:tc>
              <w:tc>
                <w:tcPr>
                  <w:tcW w:w="240" w:type="pct"/>
                  <w:tcBorders>
                    <w:tl2br w:val="nil"/>
                    <w:tr2bl w:val="nil"/>
                  </w:tcBorders>
                  <w:vAlign w:val="center"/>
                </w:tcPr>
                <w:p>
                  <w:pPr>
                    <w:jc w:val="center"/>
                    <w:rPr>
                      <w:color w:val="auto"/>
                      <w:szCs w:val="21"/>
                    </w:rPr>
                  </w:pPr>
                  <w:r>
                    <w:rPr>
                      <w:color w:val="auto"/>
                      <w:szCs w:val="21"/>
                    </w:rPr>
                    <w:t>3</w:t>
                  </w:r>
                </w:p>
              </w:tc>
              <w:tc>
                <w:tcPr>
                  <w:tcW w:w="241" w:type="pct"/>
                  <w:tcBorders>
                    <w:tl2br w:val="nil"/>
                    <w:tr2bl w:val="nil"/>
                  </w:tcBorders>
                  <w:vAlign w:val="center"/>
                </w:tcPr>
                <w:p>
                  <w:pPr>
                    <w:pStyle w:val="112"/>
                    <w:adjustRightInd w:val="0"/>
                    <w:rPr>
                      <w:color w:val="auto"/>
                      <w:szCs w:val="21"/>
                    </w:rPr>
                  </w:pPr>
                  <w:r>
                    <w:rPr>
                      <w:color w:val="auto"/>
                      <w:szCs w:val="21"/>
                    </w:rPr>
                    <w:t>南</w:t>
                  </w:r>
                </w:p>
              </w:tc>
              <w:tc>
                <w:tcPr>
                  <w:tcW w:w="625" w:type="dxa"/>
                  <w:tcBorders>
                    <w:tl2br w:val="nil"/>
                    <w:tr2bl w:val="nil"/>
                  </w:tcBorders>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62.7 </w:t>
                  </w:r>
                </w:p>
              </w:tc>
              <w:tc>
                <w:tcPr>
                  <w:tcW w:w="385" w:type="pct"/>
                  <w:vMerge w:val="continue"/>
                  <w:tcBorders>
                    <w:tl2br w:val="nil"/>
                    <w:tr2bl w:val="nil"/>
                  </w:tcBorders>
                  <w:vAlign w:val="center"/>
                </w:tcPr>
                <w:p>
                  <w:pPr>
                    <w:pStyle w:val="112"/>
                    <w:adjustRightInd w:val="0"/>
                    <w:rPr>
                      <w:color w:val="auto"/>
                      <w:szCs w:val="21"/>
                    </w:rPr>
                  </w:pPr>
                </w:p>
              </w:tc>
              <w:tc>
                <w:tcPr>
                  <w:tcW w:w="385" w:type="pct"/>
                  <w:vMerge w:val="continue"/>
                  <w:tcBorders>
                    <w:tl2br w:val="nil"/>
                    <w:tr2bl w:val="nil"/>
                  </w:tcBorders>
                  <w:vAlign w:val="center"/>
                </w:tcPr>
                <w:p>
                  <w:pPr>
                    <w:pStyle w:val="112"/>
                    <w:adjustRightInd w:val="0"/>
                    <w:rPr>
                      <w:color w:val="auto"/>
                      <w:spacing w:val="-11"/>
                      <w:szCs w:val="21"/>
                    </w:rPr>
                  </w:pPr>
                </w:p>
              </w:tc>
              <w:tc>
                <w:tcPr>
                  <w:tcW w:w="602" w:type="pct"/>
                  <w:vMerge w:val="continue"/>
                  <w:tcBorders>
                    <w:tl2br w:val="nil"/>
                    <w:tr2bl w:val="nil"/>
                  </w:tcBorders>
                  <w:vAlign w:val="center"/>
                </w:tcPr>
                <w:p>
                  <w:pPr>
                    <w:widowControl/>
                    <w:adjustRightInd w:val="0"/>
                    <w:snapToGrid w:val="0"/>
                    <w:jc w:val="center"/>
                    <w:textAlignment w:val="bottom"/>
                    <w:rPr>
                      <w:color w:val="auto"/>
                      <w:szCs w:val="21"/>
                    </w:rPr>
                  </w:pPr>
                </w:p>
              </w:tc>
              <w:tc>
                <w:tcPr>
                  <w:tcW w:w="602" w:type="pct"/>
                  <w:vMerge w:val="continue"/>
                  <w:tcBorders>
                    <w:tl2br w:val="nil"/>
                    <w:tr2bl w:val="nil"/>
                  </w:tcBorders>
                  <w:vAlign w:val="center"/>
                </w:tcPr>
                <w:p>
                  <w:pPr>
                    <w:widowControl/>
                    <w:adjustRightInd w:val="0"/>
                    <w:snapToGrid w:val="0"/>
                    <w:jc w:val="center"/>
                    <w:textAlignment w:val="bottom"/>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vAlign w:val="center"/>
                </w:tcPr>
                <w:p>
                  <w:pPr>
                    <w:adjustRightInd w:val="0"/>
                    <w:snapToGrid w:val="0"/>
                    <w:jc w:val="center"/>
                    <w:rPr>
                      <w:color w:val="auto"/>
                      <w:szCs w:val="21"/>
                    </w:rPr>
                  </w:pPr>
                </w:p>
              </w:tc>
              <w:tc>
                <w:tcPr>
                  <w:tcW w:w="316" w:type="pct"/>
                  <w:vMerge w:val="continue"/>
                  <w:tcBorders>
                    <w:tl2br w:val="nil"/>
                    <w:tr2bl w:val="nil"/>
                  </w:tcBorders>
                  <w:vAlign w:val="center"/>
                </w:tcPr>
                <w:p>
                  <w:pPr>
                    <w:pStyle w:val="114"/>
                    <w:adjustRightInd w:val="0"/>
                    <w:snapToGrid w:val="0"/>
                    <w:spacing w:line="240" w:lineRule="auto"/>
                    <w:ind w:firstLine="0"/>
                    <w:jc w:val="center"/>
                    <w:rPr>
                      <w:color w:val="auto"/>
                      <w:kern w:val="2"/>
                      <w:sz w:val="21"/>
                      <w:szCs w:val="21"/>
                    </w:rPr>
                  </w:pPr>
                </w:p>
              </w:tc>
              <w:tc>
                <w:tcPr>
                  <w:tcW w:w="241" w:type="pct"/>
                  <w:vMerge w:val="continue"/>
                  <w:tcBorders>
                    <w:tl2br w:val="nil"/>
                    <w:tr2bl w:val="nil"/>
                  </w:tcBorders>
                  <w:vAlign w:val="center"/>
                </w:tcPr>
                <w:p>
                  <w:pPr>
                    <w:pStyle w:val="112"/>
                    <w:adjustRightInd w:val="0"/>
                    <w:rPr>
                      <w:color w:val="auto"/>
                      <w:szCs w:val="21"/>
                    </w:rPr>
                  </w:pPr>
                </w:p>
              </w:tc>
              <w:tc>
                <w:tcPr>
                  <w:tcW w:w="289" w:type="pct"/>
                  <w:vMerge w:val="continue"/>
                  <w:tcBorders>
                    <w:tl2br w:val="nil"/>
                    <w:tr2bl w:val="nil"/>
                  </w:tcBorders>
                  <w:vAlign w:val="center"/>
                </w:tcPr>
                <w:p>
                  <w:pPr>
                    <w:adjustRightInd w:val="0"/>
                    <w:snapToGrid w:val="0"/>
                    <w:jc w:val="center"/>
                    <w:rPr>
                      <w:color w:val="auto"/>
                      <w:szCs w:val="21"/>
                    </w:rPr>
                  </w:pPr>
                </w:p>
              </w:tc>
              <w:tc>
                <w:tcPr>
                  <w:tcW w:w="385" w:type="pct"/>
                  <w:vMerge w:val="continue"/>
                  <w:tcBorders>
                    <w:tl2br w:val="nil"/>
                    <w:tr2bl w:val="nil"/>
                  </w:tcBorders>
                  <w:vAlign w:val="center"/>
                </w:tcPr>
                <w:p>
                  <w:pPr>
                    <w:pStyle w:val="112"/>
                    <w:adjustRightInd w:val="0"/>
                    <w:rPr>
                      <w:color w:val="auto"/>
                      <w:spacing w:val="-11"/>
                      <w:szCs w:val="21"/>
                    </w:rPr>
                  </w:pPr>
                </w:p>
              </w:tc>
              <w:tc>
                <w:tcPr>
                  <w:tcW w:w="193" w:type="pct"/>
                  <w:vMerge w:val="continue"/>
                  <w:tcBorders>
                    <w:tl2br w:val="nil"/>
                    <w:tr2bl w:val="nil"/>
                  </w:tcBorders>
                  <w:vAlign w:val="center"/>
                </w:tcPr>
                <w:p>
                  <w:pPr>
                    <w:pStyle w:val="112"/>
                    <w:adjustRightInd w:val="0"/>
                    <w:rPr>
                      <w:color w:val="auto"/>
                      <w:szCs w:val="21"/>
                    </w:rPr>
                  </w:pPr>
                </w:p>
              </w:tc>
              <w:tc>
                <w:tcPr>
                  <w:tcW w:w="192" w:type="pct"/>
                  <w:vMerge w:val="continue"/>
                  <w:tcBorders>
                    <w:tl2br w:val="nil"/>
                    <w:tr2bl w:val="nil"/>
                  </w:tcBorders>
                  <w:vAlign w:val="center"/>
                </w:tcPr>
                <w:p>
                  <w:pPr>
                    <w:pStyle w:val="112"/>
                    <w:adjustRightInd w:val="0"/>
                    <w:rPr>
                      <w:color w:val="auto"/>
                      <w:szCs w:val="21"/>
                    </w:rPr>
                  </w:pPr>
                </w:p>
              </w:tc>
              <w:tc>
                <w:tcPr>
                  <w:tcW w:w="193" w:type="pct"/>
                  <w:vMerge w:val="continue"/>
                  <w:tcBorders>
                    <w:tl2br w:val="nil"/>
                    <w:tr2bl w:val="nil"/>
                  </w:tcBorders>
                  <w:vAlign w:val="center"/>
                </w:tcPr>
                <w:p>
                  <w:pPr>
                    <w:pStyle w:val="112"/>
                    <w:adjustRightInd w:val="0"/>
                    <w:rPr>
                      <w:color w:val="auto"/>
                      <w:szCs w:val="21"/>
                    </w:rPr>
                  </w:pPr>
                </w:p>
              </w:tc>
              <w:tc>
                <w:tcPr>
                  <w:tcW w:w="241" w:type="pct"/>
                  <w:tcBorders>
                    <w:tl2br w:val="nil"/>
                    <w:tr2bl w:val="nil"/>
                  </w:tcBorders>
                  <w:vAlign w:val="center"/>
                </w:tcPr>
                <w:p>
                  <w:pPr>
                    <w:pStyle w:val="112"/>
                    <w:adjustRightInd w:val="0"/>
                    <w:rPr>
                      <w:color w:val="auto"/>
                      <w:szCs w:val="21"/>
                    </w:rPr>
                  </w:pPr>
                  <w:r>
                    <w:rPr>
                      <w:color w:val="auto"/>
                      <w:szCs w:val="21"/>
                    </w:rPr>
                    <w:t>西</w:t>
                  </w:r>
                </w:p>
              </w:tc>
              <w:tc>
                <w:tcPr>
                  <w:tcW w:w="240" w:type="pct"/>
                  <w:tcBorders>
                    <w:tl2br w:val="nil"/>
                    <w:tr2bl w:val="nil"/>
                  </w:tcBorders>
                  <w:vAlign w:val="center"/>
                </w:tcPr>
                <w:p>
                  <w:pPr>
                    <w:jc w:val="center"/>
                    <w:rPr>
                      <w:color w:val="auto"/>
                      <w:szCs w:val="21"/>
                    </w:rPr>
                  </w:pPr>
                  <w:r>
                    <w:rPr>
                      <w:color w:val="auto"/>
                      <w:szCs w:val="21"/>
                    </w:rPr>
                    <w:t>8</w:t>
                  </w:r>
                </w:p>
              </w:tc>
              <w:tc>
                <w:tcPr>
                  <w:tcW w:w="241" w:type="pct"/>
                  <w:tcBorders>
                    <w:tl2br w:val="nil"/>
                    <w:tr2bl w:val="nil"/>
                  </w:tcBorders>
                  <w:vAlign w:val="center"/>
                </w:tcPr>
                <w:p>
                  <w:pPr>
                    <w:pStyle w:val="112"/>
                    <w:adjustRightInd w:val="0"/>
                    <w:rPr>
                      <w:color w:val="auto"/>
                      <w:szCs w:val="21"/>
                    </w:rPr>
                  </w:pPr>
                  <w:r>
                    <w:rPr>
                      <w:color w:val="auto"/>
                      <w:szCs w:val="21"/>
                    </w:rPr>
                    <w:t>西</w:t>
                  </w:r>
                </w:p>
              </w:tc>
              <w:tc>
                <w:tcPr>
                  <w:tcW w:w="625" w:type="dxa"/>
                  <w:tcBorders>
                    <w:tl2br w:val="nil"/>
                    <w:tr2bl w:val="nil"/>
                  </w:tcBorders>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58.1 </w:t>
                  </w:r>
                </w:p>
              </w:tc>
              <w:tc>
                <w:tcPr>
                  <w:tcW w:w="385" w:type="pct"/>
                  <w:vMerge w:val="continue"/>
                  <w:tcBorders>
                    <w:tl2br w:val="nil"/>
                    <w:tr2bl w:val="nil"/>
                  </w:tcBorders>
                  <w:vAlign w:val="center"/>
                </w:tcPr>
                <w:p>
                  <w:pPr>
                    <w:pStyle w:val="112"/>
                    <w:adjustRightInd w:val="0"/>
                    <w:rPr>
                      <w:color w:val="auto"/>
                      <w:szCs w:val="21"/>
                    </w:rPr>
                  </w:pPr>
                </w:p>
              </w:tc>
              <w:tc>
                <w:tcPr>
                  <w:tcW w:w="385" w:type="pct"/>
                  <w:vMerge w:val="continue"/>
                  <w:tcBorders>
                    <w:tl2br w:val="nil"/>
                    <w:tr2bl w:val="nil"/>
                  </w:tcBorders>
                  <w:vAlign w:val="center"/>
                </w:tcPr>
                <w:p>
                  <w:pPr>
                    <w:pStyle w:val="112"/>
                    <w:adjustRightInd w:val="0"/>
                    <w:rPr>
                      <w:color w:val="auto"/>
                      <w:spacing w:val="-11"/>
                      <w:szCs w:val="21"/>
                    </w:rPr>
                  </w:pPr>
                </w:p>
              </w:tc>
              <w:tc>
                <w:tcPr>
                  <w:tcW w:w="602" w:type="pct"/>
                  <w:vMerge w:val="continue"/>
                  <w:tcBorders>
                    <w:tl2br w:val="nil"/>
                    <w:tr2bl w:val="nil"/>
                  </w:tcBorders>
                  <w:vAlign w:val="center"/>
                </w:tcPr>
                <w:p>
                  <w:pPr>
                    <w:widowControl/>
                    <w:adjustRightInd w:val="0"/>
                    <w:snapToGrid w:val="0"/>
                    <w:jc w:val="center"/>
                    <w:textAlignment w:val="bottom"/>
                    <w:rPr>
                      <w:color w:val="auto"/>
                      <w:szCs w:val="21"/>
                    </w:rPr>
                  </w:pPr>
                </w:p>
              </w:tc>
              <w:tc>
                <w:tcPr>
                  <w:tcW w:w="602" w:type="pct"/>
                  <w:vMerge w:val="continue"/>
                  <w:tcBorders>
                    <w:tl2br w:val="nil"/>
                    <w:tr2bl w:val="nil"/>
                  </w:tcBorders>
                  <w:vAlign w:val="center"/>
                </w:tcPr>
                <w:p>
                  <w:pPr>
                    <w:widowControl/>
                    <w:adjustRightInd w:val="0"/>
                    <w:snapToGrid w:val="0"/>
                    <w:jc w:val="center"/>
                    <w:textAlignment w:val="bottom"/>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vAlign w:val="center"/>
                </w:tcPr>
                <w:p>
                  <w:pPr>
                    <w:adjustRightInd w:val="0"/>
                    <w:snapToGrid w:val="0"/>
                    <w:jc w:val="center"/>
                    <w:rPr>
                      <w:color w:val="auto"/>
                      <w:szCs w:val="21"/>
                    </w:rPr>
                  </w:pPr>
                </w:p>
              </w:tc>
              <w:tc>
                <w:tcPr>
                  <w:tcW w:w="316" w:type="pct"/>
                  <w:vMerge w:val="continue"/>
                  <w:tcBorders>
                    <w:tl2br w:val="nil"/>
                    <w:tr2bl w:val="nil"/>
                  </w:tcBorders>
                  <w:vAlign w:val="center"/>
                </w:tcPr>
                <w:p>
                  <w:pPr>
                    <w:pStyle w:val="114"/>
                    <w:adjustRightInd w:val="0"/>
                    <w:snapToGrid w:val="0"/>
                    <w:spacing w:line="240" w:lineRule="auto"/>
                    <w:ind w:firstLine="0"/>
                    <w:jc w:val="center"/>
                    <w:rPr>
                      <w:color w:val="auto"/>
                      <w:kern w:val="2"/>
                      <w:sz w:val="21"/>
                      <w:szCs w:val="21"/>
                    </w:rPr>
                  </w:pPr>
                </w:p>
              </w:tc>
              <w:tc>
                <w:tcPr>
                  <w:tcW w:w="241" w:type="pct"/>
                  <w:vMerge w:val="continue"/>
                  <w:tcBorders>
                    <w:tl2br w:val="nil"/>
                    <w:tr2bl w:val="nil"/>
                  </w:tcBorders>
                  <w:vAlign w:val="center"/>
                </w:tcPr>
                <w:p>
                  <w:pPr>
                    <w:pStyle w:val="112"/>
                    <w:adjustRightInd w:val="0"/>
                    <w:rPr>
                      <w:color w:val="auto"/>
                      <w:szCs w:val="21"/>
                    </w:rPr>
                  </w:pPr>
                </w:p>
              </w:tc>
              <w:tc>
                <w:tcPr>
                  <w:tcW w:w="289" w:type="pct"/>
                  <w:vMerge w:val="continue"/>
                  <w:tcBorders>
                    <w:tl2br w:val="nil"/>
                    <w:tr2bl w:val="nil"/>
                  </w:tcBorders>
                  <w:vAlign w:val="center"/>
                </w:tcPr>
                <w:p>
                  <w:pPr>
                    <w:adjustRightInd w:val="0"/>
                    <w:snapToGrid w:val="0"/>
                    <w:jc w:val="center"/>
                    <w:rPr>
                      <w:color w:val="auto"/>
                      <w:szCs w:val="21"/>
                    </w:rPr>
                  </w:pPr>
                </w:p>
              </w:tc>
              <w:tc>
                <w:tcPr>
                  <w:tcW w:w="385" w:type="pct"/>
                  <w:vMerge w:val="continue"/>
                  <w:tcBorders>
                    <w:tl2br w:val="nil"/>
                    <w:tr2bl w:val="nil"/>
                  </w:tcBorders>
                  <w:vAlign w:val="center"/>
                </w:tcPr>
                <w:p>
                  <w:pPr>
                    <w:pStyle w:val="112"/>
                    <w:adjustRightInd w:val="0"/>
                    <w:rPr>
                      <w:color w:val="auto"/>
                      <w:spacing w:val="-11"/>
                      <w:szCs w:val="21"/>
                    </w:rPr>
                  </w:pPr>
                </w:p>
              </w:tc>
              <w:tc>
                <w:tcPr>
                  <w:tcW w:w="193" w:type="pct"/>
                  <w:vMerge w:val="continue"/>
                  <w:tcBorders>
                    <w:tl2br w:val="nil"/>
                    <w:tr2bl w:val="nil"/>
                  </w:tcBorders>
                  <w:vAlign w:val="center"/>
                </w:tcPr>
                <w:p>
                  <w:pPr>
                    <w:pStyle w:val="112"/>
                    <w:adjustRightInd w:val="0"/>
                    <w:rPr>
                      <w:color w:val="auto"/>
                      <w:szCs w:val="21"/>
                    </w:rPr>
                  </w:pPr>
                </w:p>
              </w:tc>
              <w:tc>
                <w:tcPr>
                  <w:tcW w:w="192" w:type="pct"/>
                  <w:vMerge w:val="continue"/>
                  <w:tcBorders>
                    <w:tl2br w:val="nil"/>
                    <w:tr2bl w:val="nil"/>
                  </w:tcBorders>
                  <w:vAlign w:val="center"/>
                </w:tcPr>
                <w:p>
                  <w:pPr>
                    <w:pStyle w:val="112"/>
                    <w:adjustRightInd w:val="0"/>
                    <w:rPr>
                      <w:color w:val="auto"/>
                      <w:szCs w:val="21"/>
                    </w:rPr>
                  </w:pPr>
                </w:p>
              </w:tc>
              <w:tc>
                <w:tcPr>
                  <w:tcW w:w="193" w:type="pct"/>
                  <w:vMerge w:val="continue"/>
                  <w:tcBorders>
                    <w:tl2br w:val="nil"/>
                    <w:tr2bl w:val="nil"/>
                  </w:tcBorders>
                  <w:vAlign w:val="center"/>
                </w:tcPr>
                <w:p>
                  <w:pPr>
                    <w:pStyle w:val="112"/>
                    <w:adjustRightInd w:val="0"/>
                    <w:rPr>
                      <w:color w:val="auto"/>
                      <w:szCs w:val="21"/>
                    </w:rPr>
                  </w:pPr>
                </w:p>
              </w:tc>
              <w:tc>
                <w:tcPr>
                  <w:tcW w:w="241" w:type="pct"/>
                  <w:tcBorders>
                    <w:tl2br w:val="nil"/>
                    <w:tr2bl w:val="nil"/>
                  </w:tcBorders>
                  <w:vAlign w:val="center"/>
                </w:tcPr>
                <w:p>
                  <w:pPr>
                    <w:pStyle w:val="112"/>
                    <w:adjustRightInd w:val="0"/>
                    <w:rPr>
                      <w:color w:val="auto"/>
                      <w:szCs w:val="21"/>
                    </w:rPr>
                  </w:pPr>
                  <w:r>
                    <w:rPr>
                      <w:color w:val="auto"/>
                      <w:szCs w:val="21"/>
                    </w:rPr>
                    <w:t>北</w:t>
                  </w:r>
                </w:p>
              </w:tc>
              <w:tc>
                <w:tcPr>
                  <w:tcW w:w="240" w:type="pct"/>
                  <w:tcBorders>
                    <w:tl2br w:val="nil"/>
                    <w:tr2bl w:val="nil"/>
                  </w:tcBorders>
                  <w:vAlign w:val="center"/>
                </w:tcPr>
                <w:p>
                  <w:pPr>
                    <w:jc w:val="center"/>
                    <w:rPr>
                      <w:color w:val="auto"/>
                      <w:szCs w:val="21"/>
                    </w:rPr>
                  </w:pPr>
                  <w:r>
                    <w:rPr>
                      <w:color w:val="auto"/>
                      <w:szCs w:val="21"/>
                    </w:rPr>
                    <w:t>3</w:t>
                  </w:r>
                </w:p>
              </w:tc>
              <w:tc>
                <w:tcPr>
                  <w:tcW w:w="241" w:type="pct"/>
                  <w:tcBorders>
                    <w:tl2br w:val="nil"/>
                    <w:tr2bl w:val="nil"/>
                  </w:tcBorders>
                  <w:vAlign w:val="center"/>
                </w:tcPr>
                <w:p>
                  <w:pPr>
                    <w:pStyle w:val="112"/>
                    <w:adjustRightInd w:val="0"/>
                    <w:rPr>
                      <w:color w:val="auto"/>
                      <w:szCs w:val="21"/>
                    </w:rPr>
                  </w:pPr>
                  <w:r>
                    <w:rPr>
                      <w:color w:val="auto"/>
                      <w:szCs w:val="21"/>
                    </w:rPr>
                    <w:t>北</w:t>
                  </w:r>
                </w:p>
              </w:tc>
              <w:tc>
                <w:tcPr>
                  <w:tcW w:w="625" w:type="dxa"/>
                  <w:tcBorders>
                    <w:tl2br w:val="nil"/>
                    <w:tr2bl w:val="nil"/>
                  </w:tcBorders>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62.7 </w:t>
                  </w:r>
                </w:p>
              </w:tc>
              <w:tc>
                <w:tcPr>
                  <w:tcW w:w="385" w:type="pct"/>
                  <w:vMerge w:val="continue"/>
                  <w:tcBorders>
                    <w:tl2br w:val="nil"/>
                    <w:tr2bl w:val="nil"/>
                  </w:tcBorders>
                  <w:vAlign w:val="center"/>
                </w:tcPr>
                <w:p>
                  <w:pPr>
                    <w:pStyle w:val="112"/>
                    <w:adjustRightInd w:val="0"/>
                    <w:rPr>
                      <w:color w:val="auto"/>
                      <w:szCs w:val="21"/>
                    </w:rPr>
                  </w:pPr>
                </w:p>
              </w:tc>
              <w:tc>
                <w:tcPr>
                  <w:tcW w:w="385" w:type="pct"/>
                  <w:vMerge w:val="continue"/>
                  <w:tcBorders>
                    <w:tl2br w:val="nil"/>
                    <w:tr2bl w:val="nil"/>
                  </w:tcBorders>
                  <w:vAlign w:val="center"/>
                </w:tcPr>
                <w:p>
                  <w:pPr>
                    <w:pStyle w:val="112"/>
                    <w:adjustRightInd w:val="0"/>
                    <w:rPr>
                      <w:color w:val="auto"/>
                      <w:spacing w:val="-11"/>
                      <w:szCs w:val="21"/>
                    </w:rPr>
                  </w:pPr>
                </w:p>
              </w:tc>
              <w:tc>
                <w:tcPr>
                  <w:tcW w:w="602" w:type="pct"/>
                  <w:vMerge w:val="continue"/>
                  <w:tcBorders>
                    <w:tl2br w:val="nil"/>
                    <w:tr2bl w:val="nil"/>
                  </w:tcBorders>
                  <w:vAlign w:val="center"/>
                </w:tcPr>
                <w:p>
                  <w:pPr>
                    <w:widowControl/>
                    <w:adjustRightInd w:val="0"/>
                    <w:snapToGrid w:val="0"/>
                    <w:jc w:val="center"/>
                    <w:textAlignment w:val="bottom"/>
                    <w:rPr>
                      <w:color w:val="auto"/>
                      <w:szCs w:val="21"/>
                    </w:rPr>
                  </w:pPr>
                </w:p>
              </w:tc>
              <w:tc>
                <w:tcPr>
                  <w:tcW w:w="602" w:type="pct"/>
                  <w:vMerge w:val="continue"/>
                  <w:tcBorders>
                    <w:tl2br w:val="nil"/>
                    <w:tr2bl w:val="nil"/>
                  </w:tcBorders>
                  <w:vAlign w:val="center"/>
                </w:tcPr>
                <w:p>
                  <w:pPr>
                    <w:widowControl/>
                    <w:adjustRightInd w:val="0"/>
                    <w:snapToGrid w:val="0"/>
                    <w:jc w:val="center"/>
                    <w:textAlignment w:val="bottom"/>
                    <w:rPr>
                      <w:color w:val="auto"/>
                      <w:szCs w:val="21"/>
                    </w:rPr>
                  </w:pPr>
                </w:p>
              </w:tc>
            </w:tr>
          </w:tbl>
          <w:p>
            <w:pPr>
              <w:pStyle w:val="14"/>
              <w:adjustRightInd w:val="0"/>
              <w:spacing w:line="360" w:lineRule="auto"/>
              <w:ind w:left="0" w:leftChars="0" w:right="0" w:firstLine="0" w:firstLineChars="0"/>
              <w:rPr>
                <w:color w:val="auto"/>
                <w:szCs w:val="21"/>
              </w:rPr>
            </w:pPr>
            <w:r>
              <w:rPr>
                <w:rFonts w:hint="eastAsia"/>
                <w:color w:val="auto"/>
                <w:szCs w:val="21"/>
              </w:rPr>
              <w:t>注：选取厂界西南角为0点，XYZ为设备相对0点位置。</w:t>
            </w:r>
          </w:p>
          <w:p>
            <w:pPr>
              <w:pStyle w:val="14"/>
              <w:adjustRightInd w:val="0"/>
              <w:spacing w:line="360" w:lineRule="auto"/>
              <w:ind w:left="0" w:leftChars="0" w:right="0" w:firstLine="0" w:firstLineChars="0"/>
              <w:rPr>
                <w:color w:val="auto"/>
              </w:rPr>
            </w:pPr>
          </w:p>
        </w:tc>
      </w:tr>
    </w:tbl>
    <w:p>
      <w:pPr>
        <w:pStyle w:val="26"/>
        <w:jc w:val="center"/>
        <w:outlineLvl w:val="0"/>
        <w:rPr>
          <w:rFonts w:ascii="Times New Roman" w:hAnsi="Times New Roman"/>
          <w:snapToGrid w:val="0"/>
          <w:color w:val="auto"/>
          <w:sz w:val="30"/>
          <w:szCs w:val="30"/>
        </w:rPr>
        <w:sectPr>
          <w:pgSz w:w="16838" w:h="11906" w:orient="landscape"/>
          <w:pgMar w:top="1531" w:right="1701" w:bottom="1531" w:left="1701" w:header="851" w:footer="851" w:gutter="0"/>
          <w:cols w:space="720" w:num="1"/>
          <w:docGrid w:linePitch="312" w:charSpace="0"/>
        </w:sect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18" w:hRule="atLeast"/>
          <w:jc w:val="center"/>
        </w:trPr>
        <w:tc>
          <w:tcPr>
            <w:tcW w:w="446" w:type="dxa"/>
          </w:tcPr>
          <w:p>
            <w:pPr>
              <w:pStyle w:val="26"/>
              <w:jc w:val="center"/>
              <w:outlineLvl w:val="0"/>
              <w:rPr>
                <w:rFonts w:ascii="Times New Roman" w:hAnsi="Times New Roman"/>
                <w:snapToGrid w:val="0"/>
                <w:color w:val="auto"/>
                <w:sz w:val="30"/>
                <w:szCs w:val="30"/>
              </w:rPr>
            </w:pPr>
          </w:p>
        </w:tc>
        <w:tc>
          <w:tcPr>
            <w:tcW w:w="8614" w:type="dxa"/>
          </w:tcPr>
          <w:p>
            <w:pPr>
              <w:adjustRightInd w:val="0"/>
              <w:snapToGrid w:val="0"/>
              <w:spacing w:before="120" w:beforeLines="50" w:line="360" w:lineRule="auto"/>
              <w:ind w:firstLine="482" w:firstLineChars="200"/>
              <w:rPr>
                <w:b/>
                <w:bCs/>
                <w:color w:val="auto"/>
                <w:kern w:val="0"/>
                <w:sz w:val="24"/>
              </w:rPr>
            </w:pPr>
            <w:r>
              <w:rPr>
                <w:b/>
                <w:bCs/>
                <w:color w:val="auto"/>
                <w:kern w:val="0"/>
                <w:sz w:val="24"/>
              </w:rPr>
              <w:t>（2）厂界达标情况分析</w:t>
            </w:r>
          </w:p>
          <w:p>
            <w:pPr>
              <w:adjustRightInd w:val="0"/>
              <w:snapToGrid w:val="0"/>
              <w:spacing w:line="360" w:lineRule="auto"/>
              <w:ind w:firstLine="480"/>
              <w:rPr>
                <w:color w:val="auto"/>
                <w:sz w:val="24"/>
              </w:rPr>
            </w:pPr>
            <w:r>
              <w:rPr>
                <w:color w:val="auto"/>
                <w:sz w:val="24"/>
              </w:rPr>
              <w:t>根据HJ2.4-2021要求，室内声源和室外声源分别按照导则附录B和附录A分别计算：</w:t>
            </w:r>
          </w:p>
          <w:p>
            <w:pPr>
              <w:adjustRightInd w:val="0"/>
              <w:snapToGrid w:val="0"/>
              <w:spacing w:line="360" w:lineRule="auto"/>
              <w:ind w:firstLine="480"/>
              <w:rPr>
                <w:color w:val="auto"/>
                <w:sz w:val="24"/>
              </w:rPr>
            </w:pPr>
            <w:r>
              <w:rPr>
                <w:color w:val="auto"/>
                <w:sz w:val="24"/>
              </w:rPr>
              <w:t>①室内声源</w:t>
            </w:r>
          </w:p>
          <w:p>
            <w:pPr>
              <w:adjustRightInd w:val="0"/>
              <w:snapToGrid w:val="0"/>
              <w:spacing w:line="360" w:lineRule="auto"/>
              <w:ind w:firstLine="480" w:firstLineChars="200"/>
              <w:rPr>
                <w:color w:val="auto"/>
                <w:sz w:val="24"/>
              </w:rPr>
            </w:pPr>
            <w:r>
              <w:rPr>
                <w:color w:val="auto"/>
                <w:sz w:val="24"/>
              </w:rPr>
              <w:t>A.计算某一室内声源靠近围护结构处产生的倍频带声压级。计算公式如下：</w:t>
            </w:r>
          </w:p>
          <w:p>
            <w:pPr>
              <w:adjustRightInd w:val="0"/>
              <w:snapToGrid w:val="0"/>
              <w:spacing w:line="360" w:lineRule="auto"/>
              <w:ind w:firstLine="480" w:firstLineChars="200"/>
              <w:jc w:val="center"/>
              <w:rPr>
                <w:color w:val="auto"/>
                <w:sz w:val="24"/>
              </w:rPr>
            </w:pPr>
            <w:r>
              <w:rPr>
                <w:color w:val="auto"/>
                <w:sz w:val="24"/>
              </w:rPr>
              <w:drawing>
                <wp:inline distT="0" distB="0" distL="114300" distR="114300">
                  <wp:extent cx="1957070" cy="544830"/>
                  <wp:effectExtent l="0" t="0" r="5080" b="7620"/>
                  <wp:docPr id="144" name="图片 10" descr="165544541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 descr="1655445419517"/>
                          <pic:cNvPicPr>
                            <a:picLocks noChangeAspect="1"/>
                          </pic:cNvPicPr>
                        </pic:nvPicPr>
                        <pic:blipFill>
                          <a:blip r:embed="rId11" cstate="print"/>
                          <a:stretch>
                            <a:fillRect/>
                          </a:stretch>
                        </pic:blipFill>
                        <pic:spPr>
                          <a:xfrm>
                            <a:off x="0" y="0"/>
                            <a:ext cx="1957070" cy="544830"/>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式中：Lp1—靠近开口处（或窗户）室内某倍频带的声压级或 A 声级，dB；</w:t>
            </w:r>
          </w:p>
          <w:p>
            <w:pPr>
              <w:adjustRightInd w:val="0"/>
              <w:snapToGrid w:val="0"/>
              <w:spacing w:line="360" w:lineRule="auto"/>
              <w:ind w:firstLine="1200" w:firstLineChars="500"/>
              <w:rPr>
                <w:color w:val="auto"/>
                <w:sz w:val="24"/>
              </w:rPr>
            </w:pPr>
            <w:r>
              <w:rPr>
                <w:color w:val="auto"/>
                <w:sz w:val="24"/>
              </w:rPr>
              <w:t>Lw—点声源声功率级（A计权或倍频带）；</w:t>
            </w:r>
          </w:p>
          <w:p>
            <w:pPr>
              <w:adjustRightInd w:val="0"/>
              <w:snapToGrid w:val="0"/>
              <w:spacing w:line="360" w:lineRule="auto"/>
              <w:ind w:firstLine="1200" w:firstLineChars="500"/>
              <w:rPr>
                <w:color w:val="auto"/>
                <w:sz w:val="24"/>
              </w:rPr>
            </w:pPr>
            <w:r>
              <w:rPr>
                <w:color w:val="auto"/>
                <w:sz w:val="24"/>
              </w:rPr>
              <w:t xml:space="preserve">Q—指向性因数，通常对无指向性声源，当声源放在房间中心时，Q=1，当放在一面墙的中心时，Q=2；当放在两面墙夹角处时，Q=4， 当放在三面墙夹角处时，Q=8； </w:t>
            </w:r>
          </w:p>
          <w:p>
            <w:pPr>
              <w:adjustRightInd w:val="0"/>
              <w:snapToGrid w:val="0"/>
              <w:spacing w:line="360" w:lineRule="auto"/>
              <w:ind w:firstLine="1200" w:firstLineChars="500"/>
              <w:rPr>
                <w:color w:val="auto"/>
                <w:sz w:val="24"/>
              </w:rPr>
            </w:pPr>
            <w:r>
              <w:rPr>
                <w:color w:val="auto"/>
                <w:sz w:val="24"/>
              </w:rPr>
              <w:t xml:space="preserve">R—房间常数，R=Sα/(1 −α) ，S为房间内表面面积，m2，α为平均吸声系数； </w:t>
            </w:r>
          </w:p>
          <w:p>
            <w:pPr>
              <w:adjustRightInd w:val="0"/>
              <w:snapToGrid w:val="0"/>
              <w:spacing w:line="360" w:lineRule="auto"/>
              <w:ind w:firstLine="1200" w:firstLineChars="500"/>
              <w:rPr>
                <w:color w:val="auto"/>
                <w:sz w:val="24"/>
              </w:rPr>
            </w:pPr>
            <w:r>
              <w:rPr>
                <w:color w:val="auto"/>
                <w:sz w:val="24"/>
              </w:rPr>
              <w:t>r—声源到靠近围护结构某点处的距离，m。</w:t>
            </w:r>
          </w:p>
          <w:p>
            <w:pPr>
              <w:adjustRightInd w:val="0"/>
              <w:snapToGrid w:val="0"/>
              <w:spacing w:line="360" w:lineRule="auto"/>
              <w:ind w:firstLine="720" w:firstLineChars="300"/>
              <w:rPr>
                <w:color w:val="auto"/>
                <w:sz w:val="24"/>
              </w:rPr>
            </w:pPr>
            <w:r>
              <w:rPr>
                <w:color w:val="auto"/>
                <w:sz w:val="24"/>
              </w:rPr>
              <w:t xml:space="preserve">B.计算出所有室内声源在围护结构处产生的i倍频带叠加声压级。计算公式如下： </w:t>
            </w:r>
          </w:p>
          <w:p>
            <w:pPr>
              <w:adjustRightInd w:val="0"/>
              <w:snapToGrid w:val="0"/>
              <w:spacing w:line="360" w:lineRule="auto"/>
              <w:ind w:firstLine="480" w:firstLineChars="200"/>
              <w:jc w:val="center"/>
              <w:rPr>
                <w:color w:val="auto"/>
                <w:sz w:val="24"/>
              </w:rPr>
            </w:pPr>
            <w:r>
              <w:rPr>
                <w:color w:val="auto"/>
                <w:sz w:val="24"/>
              </w:rPr>
              <w:drawing>
                <wp:inline distT="0" distB="0" distL="114300" distR="114300">
                  <wp:extent cx="1771650" cy="523875"/>
                  <wp:effectExtent l="0" t="0" r="0" b="9525"/>
                  <wp:docPr id="145" name="图片 11" descr="165569019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1" descr="1655690198440"/>
                          <pic:cNvPicPr>
                            <a:picLocks noChangeAspect="1"/>
                          </pic:cNvPicPr>
                        </pic:nvPicPr>
                        <pic:blipFill>
                          <a:blip r:embed="rId12" cstate="print"/>
                          <a:stretch>
                            <a:fillRect/>
                          </a:stretch>
                        </pic:blipFill>
                        <pic:spPr>
                          <a:xfrm>
                            <a:off x="0" y="0"/>
                            <a:ext cx="1771650" cy="52387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式中：Lpli(T)—靠近围护结构处室内 N个声源i倍频带的叠加声压级，dB；</w:t>
            </w:r>
          </w:p>
          <w:p>
            <w:pPr>
              <w:adjustRightInd w:val="0"/>
              <w:snapToGrid w:val="0"/>
              <w:spacing w:line="360" w:lineRule="auto"/>
              <w:ind w:firstLine="1200" w:firstLineChars="500"/>
              <w:rPr>
                <w:color w:val="auto"/>
                <w:sz w:val="24"/>
              </w:rPr>
            </w:pPr>
            <w:r>
              <w:rPr>
                <w:color w:val="auto"/>
                <w:sz w:val="24"/>
              </w:rPr>
              <w:t>Lplij —室内j 声源i倍频带的声压级，dB；</w:t>
            </w:r>
          </w:p>
          <w:p>
            <w:pPr>
              <w:adjustRightInd w:val="0"/>
              <w:snapToGrid w:val="0"/>
              <w:spacing w:line="360" w:lineRule="auto"/>
              <w:ind w:firstLine="1200" w:firstLineChars="500"/>
              <w:rPr>
                <w:color w:val="auto"/>
                <w:sz w:val="24"/>
              </w:rPr>
            </w:pPr>
            <w:r>
              <w:rPr>
                <w:color w:val="auto"/>
                <w:sz w:val="24"/>
              </w:rPr>
              <w:t>N—室内声源总数。</w:t>
            </w:r>
          </w:p>
          <w:p>
            <w:pPr>
              <w:adjustRightInd w:val="0"/>
              <w:snapToGrid w:val="0"/>
              <w:spacing w:line="360" w:lineRule="auto"/>
              <w:ind w:firstLine="480" w:firstLineChars="200"/>
              <w:rPr>
                <w:color w:val="auto"/>
                <w:sz w:val="24"/>
              </w:rPr>
            </w:pPr>
            <w:r>
              <w:rPr>
                <w:color w:val="auto"/>
                <w:sz w:val="24"/>
              </w:rPr>
              <w:t>C.计算出靠近室外维护结构处的声压级。计算公式如下：</w:t>
            </w:r>
          </w:p>
          <w:p>
            <w:pPr>
              <w:adjustRightInd w:val="0"/>
              <w:snapToGrid w:val="0"/>
              <w:spacing w:line="360" w:lineRule="auto"/>
              <w:ind w:firstLine="480" w:firstLineChars="200"/>
              <w:jc w:val="center"/>
              <w:rPr>
                <w:color w:val="auto"/>
                <w:sz w:val="24"/>
              </w:rPr>
            </w:pPr>
            <w:r>
              <w:rPr>
                <w:color w:val="auto"/>
                <w:sz w:val="24"/>
              </w:rPr>
              <w:drawing>
                <wp:inline distT="0" distB="0" distL="114300" distR="114300">
                  <wp:extent cx="2147570" cy="354330"/>
                  <wp:effectExtent l="0" t="0" r="5080" b="7620"/>
                  <wp:docPr id="146" name="图片 12" descr="165569054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2" descr="1655690543102"/>
                          <pic:cNvPicPr>
                            <a:picLocks noChangeAspect="1"/>
                          </pic:cNvPicPr>
                        </pic:nvPicPr>
                        <pic:blipFill>
                          <a:blip r:embed="rId13" cstate="print"/>
                          <a:stretch>
                            <a:fillRect/>
                          </a:stretch>
                        </pic:blipFill>
                        <pic:spPr>
                          <a:xfrm>
                            <a:off x="0" y="0"/>
                            <a:ext cx="2147570" cy="354330"/>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式中：Lp2i(T)—靠近围护结构处室外N个声源i倍频带的叠加声压级，dB；</w:t>
            </w:r>
          </w:p>
          <w:p>
            <w:pPr>
              <w:adjustRightInd w:val="0"/>
              <w:snapToGrid w:val="0"/>
              <w:spacing w:line="360" w:lineRule="auto"/>
              <w:ind w:firstLine="1200" w:firstLineChars="500"/>
              <w:rPr>
                <w:color w:val="auto"/>
                <w:sz w:val="24"/>
              </w:rPr>
            </w:pPr>
            <w:r>
              <w:rPr>
                <w:color w:val="auto"/>
                <w:sz w:val="24"/>
              </w:rPr>
              <w:t>Lp1i(T)—靠近围护结构处室内N个声源i倍频带的叠加声压级，dB；</w:t>
            </w:r>
          </w:p>
          <w:p>
            <w:pPr>
              <w:adjustRightInd w:val="0"/>
              <w:snapToGrid w:val="0"/>
              <w:spacing w:line="360" w:lineRule="auto"/>
              <w:ind w:firstLine="1200" w:firstLineChars="500"/>
              <w:rPr>
                <w:color w:val="auto"/>
                <w:sz w:val="24"/>
              </w:rPr>
            </w:pPr>
            <w:r>
              <w:rPr>
                <w:color w:val="auto"/>
                <w:sz w:val="24"/>
              </w:rPr>
              <w:t>TLi—围护结构i倍频带的的隔声量，dB；</w:t>
            </w:r>
          </w:p>
          <w:p>
            <w:pPr>
              <w:adjustRightInd w:val="0"/>
              <w:snapToGrid w:val="0"/>
              <w:spacing w:line="360" w:lineRule="auto"/>
              <w:ind w:firstLine="480" w:firstLineChars="200"/>
              <w:rPr>
                <w:color w:val="auto"/>
                <w:sz w:val="24"/>
              </w:rPr>
            </w:pPr>
            <w:r>
              <w:rPr>
                <w:color w:val="auto"/>
                <w:sz w:val="24"/>
              </w:rPr>
              <w:t>D. 将室外声源的声压级和透过面积换算成等效的室外声源，计算出中心位置位于透声面积（S）处的等效生源的倍频带声功率级。计算公式如下：</w:t>
            </w:r>
          </w:p>
          <w:p>
            <w:pPr>
              <w:adjustRightInd w:val="0"/>
              <w:snapToGrid w:val="0"/>
              <w:spacing w:line="360" w:lineRule="auto"/>
              <w:ind w:firstLine="480" w:firstLineChars="200"/>
              <w:jc w:val="center"/>
              <w:rPr>
                <w:color w:val="auto"/>
                <w:sz w:val="24"/>
              </w:rPr>
            </w:pPr>
            <w:r>
              <w:rPr>
                <w:color w:val="auto"/>
                <w:sz w:val="24"/>
              </w:rPr>
              <w:drawing>
                <wp:inline distT="0" distB="0" distL="114300" distR="114300">
                  <wp:extent cx="1626235" cy="272415"/>
                  <wp:effectExtent l="0" t="0" r="12065" b="13335"/>
                  <wp:docPr id="147" name="图片 13" descr="165544604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3" descr="1655446049476"/>
                          <pic:cNvPicPr>
                            <a:picLocks noChangeAspect="1"/>
                          </pic:cNvPicPr>
                        </pic:nvPicPr>
                        <pic:blipFill>
                          <a:blip r:embed="rId14" cstate="print"/>
                          <a:stretch>
                            <a:fillRect/>
                          </a:stretch>
                        </pic:blipFill>
                        <pic:spPr>
                          <a:xfrm>
                            <a:off x="0" y="0"/>
                            <a:ext cx="1626235" cy="272415"/>
                          </a:xfrm>
                          <a:prstGeom prst="rect">
                            <a:avLst/>
                          </a:prstGeom>
                          <a:noFill/>
                          <a:ln>
                            <a:noFill/>
                          </a:ln>
                        </pic:spPr>
                      </pic:pic>
                    </a:graphicData>
                  </a:graphic>
                </wp:inline>
              </w:drawing>
            </w:r>
          </w:p>
          <w:p>
            <w:pPr>
              <w:adjustRightInd w:val="0"/>
              <w:snapToGrid w:val="0"/>
              <w:spacing w:line="360" w:lineRule="auto"/>
              <w:ind w:firstLine="480" w:firstLineChars="200"/>
              <w:rPr>
                <w:color w:val="auto"/>
                <w:sz w:val="24"/>
              </w:rPr>
            </w:pPr>
            <w:r>
              <w:rPr>
                <w:color w:val="auto"/>
                <w:sz w:val="24"/>
              </w:rPr>
              <w:t>式中：Lw—中心位置位于透声面积（S）处的等效声源的倍频带声功率级，dB；</w:t>
            </w:r>
          </w:p>
          <w:p>
            <w:pPr>
              <w:adjustRightInd w:val="0"/>
              <w:snapToGrid w:val="0"/>
              <w:spacing w:line="360" w:lineRule="auto"/>
              <w:ind w:firstLine="1200" w:firstLineChars="500"/>
              <w:rPr>
                <w:color w:val="auto"/>
                <w:sz w:val="24"/>
              </w:rPr>
            </w:pPr>
            <w:r>
              <w:rPr>
                <w:color w:val="auto"/>
                <w:sz w:val="24"/>
              </w:rPr>
              <w:t>Lp2（T）—）靠近围护结构处室外声源的声压级，dB；</w:t>
            </w:r>
          </w:p>
          <w:p>
            <w:pPr>
              <w:adjustRightInd w:val="0"/>
              <w:snapToGrid w:val="0"/>
              <w:spacing w:line="360" w:lineRule="auto"/>
              <w:ind w:firstLine="480" w:firstLineChars="200"/>
              <w:rPr>
                <w:color w:val="auto"/>
                <w:sz w:val="24"/>
              </w:rPr>
            </w:pPr>
            <w:r>
              <w:rPr>
                <w:color w:val="auto"/>
                <w:sz w:val="24"/>
              </w:rPr>
              <w:t xml:space="preserve">      S—透声面积，m</w:t>
            </w:r>
            <w:r>
              <w:rPr>
                <w:color w:val="auto"/>
                <w:sz w:val="24"/>
                <w:vertAlign w:val="superscript"/>
              </w:rPr>
              <w:t>2</w:t>
            </w:r>
            <w:r>
              <w:rPr>
                <w:color w:val="auto"/>
                <w:sz w:val="24"/>
              </w:rPr>
              <w:t>；</w:t>
            </w:r>
          </w:p>
          <w:p>
            <w:pPr>
              <w:adjustRightInd w:val="0"/>
              <w:snapToGrid w:val="0"/>
              <w:spacing w:line="360" w:lineRule="auto"/>
              <w:ind w:firstLine="480" w:firstLineChars="200"/>
              <w:rPr>
                <w:color w:val="auto"/>
                <w:sz w:val="24"/>
              </w:rPr>
            </w:pPr>
            <w:r>
              <w:rPr>
                <w:color w:val="auto"/>
                <w:sz w:val="24"/>
              </w:rPr>
              <w:t>然后按室外声源预测方法计算预测点处的A声级。</w:t>
            </w:r>
          </w:p>
          <w:p>
            <w:pPr>
              <w:adjustRightInd w:val="0"/>
              <w:snapToGrid w:val="0"/>
              <w:spacing w:line="360" w:lineRule="auto"/>
              <w:ind w:firstLine="480" w:firstLineChars="200"/>
              <w:rPr>
                <w:color w:val="auto"/>
                <w:sz w:val="24"/>
              </w:rPr>
            </w:pPr>
            <w:r>
              <w:rPr>
                <w:color w:val="auto"/>
                <w:sz w:val="24"/>
              </w:rPr>
              <w:t>②室外声源</w:t>
            </w:r>
          </w:p>
          <w:p>
            <w:pPr>
              <w:adjustRightInd w:val="0"/>
              <w:snapToGrid w:val="0"/>
              <w:spacing w:line="360" w:lineRule="auto"/>
              <w:ind w:firstLine="480" w:firstLineChars="200"/>
              <w:rPr>
                <w:color w:val="auto"/>
                <w:sz w:val="24"/>
              </w:rPr>
            </w:pPr>
            <w:r>
              <w:rPr>
                <w:color w:val="auto"/>
                <w:sz w:val="24"/>
              </w:rPr>
              <w:t xml:space="preserve">室外声源在预测点产生的声级计算模型见附录A。项目各噪声源都按点声源处理，根据声长特点，其预测模式为： </w:t>
            </w:r>
          </w:p>
          <w:p>
            <w:pPr>
              <w:adjustRightInd w:val="0"/>
              <w:snapToGrid w:val="0"/>
              <w:spacing w:line="360" w:lineRule="auto"/>
              <w:ind w:firstLine="480"/>
              <w:jc w:val="center"/>
              <w:rPr>
                <w:color w:val="auto"/>
                <w:sz w:val="24"/>
              </w:rPr>
            </w:pPr>
            <w:r>
              <w:rPr>
                <w:color w:val="auto"/>
                <w:position w:val="-14"/>
                <w:sz w:val="24"/>
              </w:rPr>
              <w:object>
                <v:shape id="_x0000_i1026" o:spt="75" type="#_x0000_t75" style="height:13.35pt;width:209.35pt;" o:ole="t" filled="f" coordsize="21600,21600">
                  <v:path/>
                  <v:fill on="f" focussize="0,0"/>
                  <v:stroke/>
                  <v:imagedata r:id="rId16" o:title=""/>
                  <o:lock v:ext="edit" aspectratio="t"/>
                  <w10:wrap type="none"/>
                  <w10:anchorlock/>
                </v:shape>
                <o:OLEObject Type="Embed" ProgID="Equation.3" ShapeID="_x0000_i1026" DrawAspect="Content" ObjectID="_1468075725" r:id="rId15">
                  <o:LockedField>false</o:LockedField>
                </o:OLEObject>
              </w:object>
            </w:r>
          </w:p>
          <w:p>
            <w:pPr>
              <w:adjustRightInd w:val="0"/>
              <w:snapToGrid w:val="0"/>
              <w:spacing w:line="360" w:lineRule="auto"/>
              <w:ind w:firstLine="480" w:firstLineChars="200"/>
              <w:jc w:val="left"/>
              <w:rPr>
                <w:color w:val="auto"/>
                <w:sz w:val="24"/>
              </w:rPr>
            </w:pPr>
            <w:r>
              <w:rPr>
                <w:color w:val="auto"/>
                <w:sz w:val="24"/>
              </w:rPr>
              <w:t>式中：</w:t>
            </w:r>
            <w:r>
              <w:rPr>
                <w:rFonts w:eastAsia="Times New Roman"/>
                <w:i/>
                <w:color w:val="auto"/>
                <w:sz w:val="24"/>
              </w:rPr>
              <w:t>Lp</w:t>
            </w:r>
            <w:r>
              <w:rPr>
                <w:rFonts w:eastAsia="Times New Roman"/>
                <w:color w:val="auto"/>
                <w:sz w:val="24"/>
              </w:rPr>
              <w:t>(</w:t>
            </w:r>
            <w:r>
              <w:rPr>
                <w:rFonts w:eastAsia="Times New Roman"/>
                <w:i/>
                <w:color w:val="auto"/>
                <w:sz w:val="24"/>
              </w:rPr>
              <w:t>r</w:t>
            </w:r>
            <w:r>
              <w:rPr>
                <w:rFonts w:eastAsia="Times New Roman"/>
                <w:color w:val="auto"/>
                <w:sz w:val="24"/>
              </w:rPr>
              <w:t>) ——</w:t>
            </w:r>
            <w:r>
              <w:rPr>
                <w:color w:val="auto"/>
                <w:sz w:val="24"/>
              </w:rPr>
              <w:t>预测点处声压级，</w:t>
            </w:r>
            <w:r>
              <w:rPr>
                <w:rFonts w:eastAsia="Times New Roman"/>
                <w:color w:val="auto"/>
                <w:sz w:val="24"/>
              </w:rPr>
              <w:t>dB</w:t>
            </w:r>
            <w:r>
              <w:rPr>
                <w:color w:val="auto"/>
                <w:sz w:val="24"/>
              </w:rPr>
              <w:t xml:space="preserve">； </w:t>
            </w:r>
          </w:p>
          <w:p>
            <w:pPr>
              <w:adjustRightInd w:val="0"/>
              <w:snapToGrid w:val="0"/>
              <w:spacing w:line="360" w:lineRule="auto"/>
              <w:ind w:firstLine="1200" w:firstLineChars="500"/>
              <w:jc w:val="left"/>
              <w:rPr>
                <w:color w:val="auto"/>
                <w:sz w:val="24"/>
              </w:rPr>
            </w:pPr>
            <w:r>
              <w:rPr>
                <w:rFonts w:eastAsia="Times New Roman"/>
                <w:i/>
                <w:color w:val="auto"/>
                <w:sz w:val="24"/>
              </w:rPr>
              <w:t>Lp</w:t>
            </w:r>
            <w:r>
              <w:rPr>
                <w:rFonts w:eastAsia="Times New Roman"/>
                <w:color w:val="auto"/>
                <w:sz w:val="24"/>
              </w:rPr>
              <w:t>(</w:t>
            </w:r>
            <w:r>
              <w:rPr>
                <w:rFonts w:eastAsia="Times New Roman"/>
                <w:i/>
                <w:color w:val="auto"/>
                <w:sz w:val="24"/>
              </w:rPr>
              <w:t>r</w:t>
            </w:r>
            <w:r>
              <w:rPr>
                <w:rFonts w:eastAsia="Times New Roman"/>
                <w:color w:val="auto"/>
                <w:sz w:val="24"/>
                <w:vertAlign w:val="subscript"/>
              </w:rPr>
              <w:t>0</w:t>
            </w:r>
            <w:r>
              <w:rPr>
                <w:rFonts w:eastAsia="Times New Roman"/>
                <w:color w:val="auto"/>
                <w:sz w:val="24"/>
              </w:rPr>
              <w:t>) ——</w:t>
            </w:r>
            <w:r>
              <w:rPr>
                <w:color w:val="auto"/>
                <w:sz w:val="24"/>
              </w:rPr>
              <w:t>参考位置</w:t>
            </w:r>
            <w:r>
              <w:rPr>
                <w:rFonts w:eastAsia="Times New Roman"/>
                <w:i/>
                <w:color w:val="auto"/>
                <w:sz w:val="24"/>
              </w:rPr>
              <w:t>r</w:t>
            </w:r>
            <w:r>
              <w:rPr>
                <w:rFonts w:eastAsia="Times New Roman"/>
                <w:color w:val="auto"/>
                <w:sz w:val="24"/>
              </w:rPr>
              <w:t>0</w:t>
            </w:r>
            <w:r>
              <w:rPr>
                <w:color w:val="auto"/>
                <w:sz w:val="24"/>
              </w:rPr>
              <w:t>处的声压级，</w:t>
            </w:r>
            <w:r>
              <w:rPr>
                <w:rFonts w:eastAsia="Times New Roman"/>
                <w:color w:val="auto"/>
                <w:sz w:val="24"/>
              </w:rPr>
              <w:t>dB</w:t>
            </w:r>
            <w:r>
              <w:rPr>
                <w:color w:val="auto"/>
                <w:sz w:val="24"/>
              </w:rPr>
              <w:t>；</w:t>
            </w:r>
          </w:p>
          <w:p>
            <w:pPr>
              <w:adjustRightInd w:val="0"/>
              <w:snapToGrid w:val="0"/>
              <w:spacing w:line="360" w:lineRule="auto"/>
              <w:ind w:firstLine="1200" w:firstLineChars="500"/>
              <w:jc w:val="left"/>
              <w:rPr>
                <w:color w:val="auto"/>
                <w:sz w:val="24"/>
              </w:rPr>
            </w:pPr>
            <w:r>
              <w:rPr>
                <w:rFonts w:eastAsia="Times New Roman"/>
                <w:i/>
                <w:color w:val="auto"/>
                <w:sz w:val="24"/>
              </w:rPr>
              <w:t>D</w:t>
            </w:r>
            <w:r>
              <w:rPr>
                <w:rFonts w:eastAsia="Times New Roman"/>
                <w:color w:val="auto"/>
                <w:sz w:val="24"/>
              </w:rPr>
              <w:t>C ——</w:t>
            </w:r>
            <w:r>
              <w:rPr>
                <w:color w:val="auto"/>
                <w:sz w:val="24"/>
              </w:rPr>
              <w:t>指向性校正，它描述点声源的等效连续声压级与产生声功率级</w:t>
            </w:r>
            <w:r>
              <w:rPr>
                <w:rFonts w:eastAsia="Times New Roman"/>
                <w:i/>
                <w:color w:val="auto"/>
                <w:sz w:val="24"/>
              </w:rPr>
              <w:t>Lw</w:t>
            </w:r>
            <w:r>
              <w:rPr>
                <w:color w:val="auto"/>
                <w:sz w:val="24"/>
              </w:rPr>
              <w:t>的全向点声源在规定方向的声级的偏差程度，</w:t>
            </w:r>
            <w:r>
              <w:rPr>
                <w:rFonts w:eastAsia="Times New Roman"/>
                <w:color w:val="auto"/>
                <w:sz w:val="24"/>
              </w:rPr>
              <w:t>dB</w:t>
            </w:r>
            <w:r>
              <w:rPr>
                <w:color w:val="auto"/>
                <w:sz w:val="24"/>
              </w:rPr>
              <w:t xml:space="preserve">； </w:t>
            </w:r>
          </w:p>
          <w:p>
            <w:pPr>
              <w:adjustRightInd w:val="0"/>
              <w:snapToGrid w:val="0"/>
              <w:spacing w:line="360" w:lineRule="auto"/>
              <w:ind w:firstLine="1200" w:firstLineChars="500"/>
              <w:jc w:val="left"/>
              <w:rPr>
                <w:color w:val="auto"/>
                <w:sz w:val="24"/>
              </w:rPr>
            </w:pPr>
            <w:r>
              <w:rPr>
                <w:rFonts w:eastAsia="Times New Roman"/>
                <w:i/>
                <w:color w:val="auto"/>
                <w:sz w:val="24"/>
              </w:rPr>
              <w:t>A</w:t>
            </w:r>
            <w:r>
              <w:rPr>
                <w:rFonts w:eastAsia="Times New Roman"/>
                <w:color w:val="auto"/>
                <w:sz w:val="24"/>
                <w:vertAlign w:val="subscript"/>
              </w:rPr>
              <w:t xml:space="preserve">div </w:t>
            </w:r>
            <w:r>
              <w:rPr>
                <w:rFonts w:eastAsia="Times New Roman"/>
                <w:color w:val="auto"/>
                <w:sz w:val="24"/>
              </w:rPr>
              <w:t>——</w:t>
            </w:r>
            <w:r>
              <w:rPr>
                <w:color w:val="auto"/>
                <w:sz w:val="24"/>
              </w:rPr>
              <w:t>几何发散引起的衰减，</w:t>
            </w:r>
            <w:r>
              <w:rPr>
                <w:rFonts w:eastAsia="Times New Roman"/>
                <w:color w:val="auto"/>
                <w:sz w:val="24"/>
              </w:rPr>
              <w:t>dB</w:t>
            </w:r>
            <w:r>
              <w:rPr>
                <w:color w:val="auto"/>
                <w:sz w:val="24"/>
              </w:rPr>
              <w:t xml:space="preserve">； </w:t>
            </w:r>
          </w:p>
          <w:p>
            <w:pPr>
              <w:adjustRightInd w:val="0"/>
              <w:snapToGrid w:val="0"/>
              <w:spacing w:line="360" w:lineRule="auto"/>
              <w:ind w:firstLine="1200" w:firstLineChars="500"/>
              <w:jc w:val="left"/>
              <w:rPr>
                <w:color w:val="auto"/>
                <w:sz w:val="24"/>
              </w:rPr>
            </w:pPr>
            <w:r>
              <w:rPr>
                <w:rFonts w:eastAsia="Times New Roman"/>
                <w:i/>
                <w:color w:val="auto"/>
                <w:sz w:val="24"/>
              </w:rPr>
              <w:t>A</w:t>
            </w:r>
            <w:r>
              <w:rPr>
                <w:rFonts w:eastAsia="Times New Roman"/>
                <w:color w:val="auto"/>
                <w:sz w:val="24"/>
                <w:vertAlign w:val="subscript"/>
              </w:rPr>
              <w:t>atm</w:t>
            </w:r>
            <w:r>
              <w:rPr>
                <w:rFonts w:eastAsia="Times New Roman"/>
                <w:color w:val="auto"/>
                <w:sz w:val="24"/>
              </w:rPr>
              <w:t>——</w:t>
            </w:r>
            <w:r>
              <w:rPr>
                <w:color w:val="auto"/>
                <w:sz w:val="24"/>
              </w:rPr>
              <w:t>大气吸收引起的衰减，</w:t>
            </w:r>
            <w:r>
              <w:rPr>
                <w:rFonts w:eastAsia="Times New Roman"/>
                <w:color w:val="auto"/>
                <w:sz w:val="24"/>
              </w:rPr>
              <w:t>dB</w:t>
            </w:r>
            <w:r>
              <w:rPr>
                <w:color w:val="auto"/>
                <w:sz w:val="24"/>
              </w:rPr>
              <w:t>；</w:t>
            </w:r>
          </w:p>
          <w:p>
            <w:pPr>
              <w:adjustRightInd w:val="0"/>
              <w:snapToGrid w:val="0"/>
              <w:spacing w:line="360" w:lineRule="auto"/>
              <w:ind w:firstLine="1200" w:firstLineChars="500"/>
              <w:jc w:val="left"/>
              <w:rPr>
                <w:color w:val="auto"/>
                <w:sz w:val="24"/>
              </w:rPr>
            </w:pPr>
            <w:r>
              <w:rPr>
                <w:rFonts w:eastAsia="Times New Roman"/>
                <w:i/>
                <w:color w:val="auto"/>
                <w:sz w:val="24"/>
              </w:rPr>
              <w:t>A</w:t>
            </w:r>
            <w:r>
              <w:rPr>
                <w:rFonts w:eastAsia="Times New Roman"/>
                <w:color w:val="auto"/>
                <w:sz w:val="24"/>
                <w:vertAlign w:val="subscript"/>
              </w:rPr>
              <w:t>gr</w:t>
            </w:r>
            <w:r>
              <w:rPr>
                <w:rFonts w:eastAsia="Times New Roman"/>
                <w:color w:val="auto"/>
                <w:sz w:val="24"/>
              </w:rPr>
              <w:t>——</w:t>
            </w:r>
            <w:r>
              <w:rPr>
                <w:color w:val="auto"/>
                <w:sz w:val="24"/>
              </w:rPr>
              <w:t>地面效应引起的衰减，</w:t>
            </w:r>
            <w:r>
              <w:rPr>
                <w:rFonts w:eastAsia="Times New Roman"/>
                <w:color w:val="auto"/>
                <w:sz w:val="24"/>
              </w:rPr>
              <w:t>dB</w:t>
            </w:r>
            <w:r>
              <w:rPr>
                <w:color w:val="auto"/>
                <w:sz w:val="24"/>
              </w:rPr>
              <w:t>；</w:t>
            </w:r>
          </w:p>
          <w:p>
            <w:pPr>
              <w:adjustRightInd w:val="0"/>
              <w:snapToGrid w:val="0"/>
              <w:spacing w:line="360" w:lineRule="auto"/>
              <w:ind w:firstLine="1200" w:firstLineChars="500"/>
              <w:jc w:val="left"/>
              <w:rPr>
                <w:color w:val="auto"/>
                <w:sz w:val="24"/>
              </w:rPr>
            </w:pPr>
            <w:r>
              <w:rPr>
                <w:rFonts w:eastAsia="Times New Roman"/>
                <w:i/>
                <w:color w:val="auto"/>
                <w:sz w:val="24"/>
              </w:rPr>
              <w:t>A</w:t>
            </w:r>
            <w:r>
              <w:rPr>
                <w:rFonts w:eastAsia="Times New Roman"/>
                <w:color w:val="auto"/>
                <w:sz w:val="24"/>
                <w:vertAlign w:val="subscript"/>
              </w:rPr>
              <w:t xml:space="preserve">bar </w:t>
            </w:r>
            <w:r>
              <w:rPr>
                <w:rFonts w:eastAsia="Times New Roman"/>
                <w:color w:val="auto"/>
                <w:sz w:val="24"/>
              </w:rPr>
              <w:t>——</w:t>
            </w:r>
            <w:r>
              <w:rPr>
                <w:color w:val="auto"/>
                <w:sz w:val="24"/>
              </w:rPr>
              <w:t>障碍物屏蔽引起的衰减，</w:t>
            </w:r>
            <w:r>
              <w:rPr>
                <w:rFonts w:eastAsia="Times New Roman"/>
                <w:color w:val="auto"/>
                <w:sz w:val="24"/>
              </w:rPr>
              <w:t>dB</w:t>
            </w:r>
            <w:r>
              <w:rPr>
                <w:color w:val="auto"/>
                <w:sz w:val="24"/>
              </w:rPr>
              <w:t>；</w:t>
            </w:r>
          </w:p>
          <w:p>
            <w:pPr>
              <w:adjustRightInd w:val="0"/>
              <w:snapToGrid w:val="0"/>
              <w:spacing w:line="360" w:lineRule="auto"/>
              <w:ind w:firstLine="1262" w:firstLineChars="526"/>
              <w:rPr>
                <w:color w:val="auto"/>
                <w:sz w:val="24"/>
              </w:rPr>
            </w:pPr>
            <w:r>
              <w:rPr>
                <w:rFonts w:eastAsia="Times New Roman"/>
                <w:i/>
                <w:color w:val="auto"/>
                <w:sz w:val="24"/>
              </w:rPr>
              <w:t>A</w:t>
            </w:r>
            <w:r>
              <w:rPr>
                <w:rFonts w:eastAsia="Times New Roman"/>
                <w:color w:val="auto"/>
                <w:sz w:val="24"/>
                <w:vertAlign w:val="subscript"/>
              </w:rPr>
              <w:t>misc</w:t>
            </w:r>
            <w:r>
              <w:rPr>
                <w:rFonts w:eastAsia="Times New Roman"/>
                <w:color w:val="auto"/>
                <w:sz w:val="24"/>
              </w:rPr>
              <w:t>——</w:t>
            </w:r>
            <w:r>
              <w:rPr>
                <w:color w:val="auto"/>
                <w:sz w:val="24"/>
              </w:rPr>
              <w:t>其他多方面效应引起的衰减，</w:t>
            </w:r>
            <w:r>
              <w:rPr>
                <w:rFonts w:eastAsia="Times New Roman"/>
                <w:color w:val="auto"/>
                <w:sz w:val="24"/>
              </w:rPr>
              <w:t>dB</w:t>
            </w:r>
            <w:r>
              <w:rPr>
                <w:color w:val="auto"/>
                <w:sz w:val="24"/>
              </w:rPr>
              <w:t>。</w:t>
            </w:r>
          </w:p>
          <w:p>
            <w:pPr>
              <w:adjustRightInd w:val="0"/>
              <w:snapToGrid w:val="0"/>
              <w:spacing w:line="360" w:lineRule="auto"/>
              <w:ind w:firstLine="480" w:firstLineChars="200"/>
              <w:rPr>
                <w:color w:val="auto"/>
                <w:sz w:val="24"/>
              </w:rPr>
            </w:pPr>
            <w:r>
              <w:rPr>
                <w:color w:val="auto"/>
                <w:sz w:val="24"/>
              </w:rPr>
              <w:t>项目中噪声源都按点声源处理，无指向性点声源几何发散衰减的基本公式是：</w:t>
            </w:r>
          </w:p>
          <w:p>
            <w:pPr>
              <w:snapToGrid w:val="0"/>
              <w:spacing w:line="360" w:lineRule="auto"/>
              <w:ind w:firstLine="480"/>
              <w:jc w:val="center"/>
              <w:rPr>
                <w:color w:val="auto"/>
                <w:sz w:val="24"/>
              </w:rPr>
            </w:pPr>
            <w:r>
              <w:rPr>
                <w:color w:val="auto"/>
                <w:sz w:val="24"/>
              </w:rPr>
              <w:object>
                <v:shape id="_x0000_i1027" o:spt="75" type="#_x0000_t75" style="height:21.35pt;width:122.65pt;" o:ole="t" filled="f" coordsize="21600,21600">
                  <v:path/>
                  <v:fill on="f" focussize="0,0"/>
                  <v:stroke/>
                  <v:imagedata r:id="rId18" o:title=""/>
                  <o:lock v:ext="edit" aspectratio="t"/>
                  <w10:wrap type="none"/>
                  <w10:anchorlock/>
                </v:shape>
                <o:OLEObject Type="Embed" ProgID="Equation.3" ShapeID="_x0000_i1027" DrawAspect="Content" ObjectID="_1468075726" r:id="rId17">
                  <o:LockedField>false</o:LockedField>
                </o:OLEObject>
              </w:object>
            </w:r>
          </w:p>
          <w:p>
            <w:pPr>
              <w:adjustRightInd w:val="0"/>
              <w:snapToGrid w:val="0"/>
              <w:spacing w:line="360" w:lineRule="auto"/>
              <w:ind w:firstLine="480" w:firstLineChars="200"/>
              <w:jc w:val="left"/>
              <w:rPr>
                <w:color w:val="auto"/>
                <w:sz w:val="24"/>
              </w:rPr>
            </w:pPr>
            <w:r>
              <w:rPr>
                <w:color w:val="auto"/>
                <w:sz w:val="24"/>
              </w:rPr>
              <w:t>式中：</w:t>
            </w:r>
            <w:r>
              <w:rPr>
                <w:i/>
                <w:color w:val="auto"/>
                <w:sz w:val="24"/>
              </w:rPr>
              <w:t>Lp</w:t>
            </w:r>
            <w:r>
              <w:rPr>
                <w:color w:val="auto"/>
                <w:sz w:val="24"/>
              </w:rPr>
              <w:t>(</w:t>
            </w:r>
            <w:r>
              <w:rPr>
                <w:i/>
                <w:color w:val="auto"/>
                <w:sz w:val="24"/>
              </w:rPr>
              <w:t>r</w:t>
            </w:r>
            <w:r>
              <w:rPr>
                <w:color w:val="auto"/>
                <w:sz w:val="24"/>
              </w:rPr>
              <w:t xml:space="preserve">) ——预测点处声压级，dB； </w:t>
            </w:r>
          </w:p>
          <w:p>
            <w:pPr>
              <w:adjustRightInd w:val="0"/>
              <w:snapToGrid w:val="0"/>
              <w:spacing w:line="360" w:lineRule="auto"/>
              <w:ind w:firstLine="1200" w:firstLineChars="500"/>
              <w:jc w:val="left"/>
              <w:rPr>
                <w:color w:val="auto"/>
                <w:sz w:val="24"/>
              </w:rPr>
            </w:pPr>
            <w:r>
              <w:rPr>
                <w:i/>
                <w:color w:val="auto"/>
                <w:sz w:val="24"/>
              </w:rPr>
              <w:t>Lp</w:t>
            </w:r>
            <w:r>
              <w:rPr>
                <w:color w:val="auto"/>
                <w:sz w:val="24"/>
              </w:rPr>
              <w:t>(</w:t>
            </w:r>
            <w:r>
              <w:rPr>
                <w:i/>
                <w:color w:val="auto"/>
                <w:sz w:val="24"/>
              </w:rPr>
              <w:t>r</w:t>
            </w:r>
            <w:r>
              <w:rPr>
                <w:color w:val="auto"/>
                <w:sz w:val="24"/>
                <w:vertAlign w:val="subscript"/>
              </w:rPr>
              <w:t>0</w:t>
            </w:r>
            <w:r>
              <w:rPr>
                <w:color w:val="auto"/>
                <w:sz w:val="24"/>
              </w:rPr>
              <w:t>) ——参考位置</w:t>
            </w:r>
            <w:r>
              <w:rPr>
                <w:i/>
                <w:color w:val="auto"/>
                <w:sz w:val="24"/>
              </w:rPr>
              <w:t>r</w:t>
            </w:r>
            <w:r>
              <w:rPr>
                <w:color w:val="auto"/>
                <w:sz w:val="24"/>
              </w:rPr>
              <w:t>0处的声压级，dB；</w:t>
            </w:r>
          </w:p>
          <w:p>
            <w:pPr>
              <w:adjustRightInd w:val="0"/>
              <w:snapToGrid w:val="0"/>
              <w:spacing w:line="360" w:lineRule="auto"/>
              <w:ind w:firstLine="1200" w:firstLineChars="500"/>
              <w:jc w:val="left"/>
              <w:rPr>
                <w:color w:val="auto"/>
                <w:sz w:val="24"/>
              </w:rPr>
            </w:pPr>
            <w:r>
              <w:rPr>
                <w:i/>
                <w:color w:val="auto"/>
                <w:sz w:val="24"/>
              </w:rPr>
              <w:t>r</w:t>
            </w:r>
            <w:r>
              <w:rPr>
                <w:color w:val="auto"/>
                <w:sz w:val="24"/>
              </w:rPr>
              <w:t>——预测点距声源的距离；</w:t>
            </w:r>
          </w:p>
          <w:p>
            <w:pPr>
              <w:adjustRightInd w:val="0"/>
              <w:snapToGrid w:val="0"/>
              <w:spacing w:line="360" w:lineRule="auto"/>
              <w:ind w:firstLine="1262" w:firstLineChars="526"/>
              <w:rPr>
                <w:color w:val="auto"/>
                <w:sz w:val="24"/>
              </w:rPr>
            </w:pPr>
            <w:r>
              <w:rPr>
                <w:i/>
                <w:color w:val="auto"/>
                <w:sz w:val="24"/>
              </w:rPr>
              <w:t>r</w:t>
            </w:r>
            <w:r>
              <w:rPr>
                <w:color w:val="auto"/>
                <w:sz w:val="24"/>
                <w:vertAlign w:val="subscript"/>
              </w:rPr>
              <w:t>0</w:t>
            </w:r>
            <w:r>
              <w:rPr>
                <w:color w:val="auto"/>
                <w:sz w:val="24"/>
              </w:rPr>
              <w:t>——参考位置距声源的距离。</w:t>
            </w:r>
          </w:p>
          <w:p>
            <w:pPr>
              <w:adjustRightInd w:val="0"/>
              <w:snapToGrid w:val="0"/>
              <w:spacing w:line="360" w:lineRule="auto"/>
              <w:ind w:firstLine="480" w:firstLineChars="200"/>
              <w:rPr>
                <w:color w:val="auto"/>
                <w:sz w:val="24"/>
              </w:rPr>
            </w:pPr>
            <w:r>
              <w:rPr>
                <w:color w:val="auto"/>
                <w:sz w:val="24"/>
              </w:rPr>
              <w:t>③噪声贡献值计算公式</w:t>
            </w:r>
          </w:p>
          <w:p>
            <w:pPr>
              <w:adjustRightInd w:val="0"/>
              <w:snapToGrid w:val="0"/>
              <w:spacing w:line="360" w:lineRule="auto"/>
              <w:ind w:firstLine="480"/>
              <w:jc w:val="center"/>
              <w:rPr>
                <w:color w:val="auto"/>
                <w:sz w:val="24"/>
              </w:rPr>
            </w:pPr>
            <w:r>
              <w:rPr>
                <w:color w:val="auto"/>
                <w:position w:val="-34"/>
                <w:sz w:val="24"/>
              </w:rPr>
              <w:object>
                <v:shape id="_x0000_i1028" o:spt="75" type="#_x0000_t75" style="height:36.65pt;width:187.35pt;" o:ole="t" filled="f" coordsize="21600,21600">
                  <v:path/>
                  <v:fill on="f" focussize="0,0"/>
                  <v:stroke/>
                  <v:imagedata r:id="rId20" o:title=""/>
                  <o:lock v:ext="edit" aspectratio="t"/>
                  <w10:wrap type="none"/>
                  <w10:anchorlock/>
                </v:shape>
                <o:OLEObject Type="Embed" ProgID="Equation.3" ShapeID="_x0000_i1028" DrawAspect="Content" ObjectID="_1468075727" r:id="rId19">
                  <o:LockedField>false</o:LockedField>
                </o:OLEObject>
              </w:object>
            </w:r>
          </w:p>
          <w:p>
            <w:pPr>
              <w:adjustRightInd w:val="0"/>
              <w:snapToGrid w:val="0"/>
              <w:spacing w:line="360" w:lineRule="auto"/>
              <w:jc w:val="left"/>
              <w:rPr>
                <w:color w:val="auto"/>
                <w:sz w:val="24"/>
              </w:rPr>
            </w:pPr>
            <w:r>
              <w:rPr>
                <w:color w:val="auto"/>
                <w:sz w:val="24"/>
              </w:rPr>
              <w:t xml:space="preserve">    式中：</w:t>
            </w:r>
            <w:r>
              <w:rPr>
                <w:rFonts w:eastAsia="Times New Roman"/>
                <w:i/>
                <w:color w:val="auto"/>
                <w:sz w:val="24"/>
              </w:rPr>
              <w:t>L</w:t>
            </w:r>
            <w:r>
              <w:rPr>
                <w:rFonts w:eastAsia="Times New Roman"/>
                <w:color w:val="auto"/>
                <w:sz w:val="24"/>
              </w:rPr>
              <w:t>eqg——</w:t>
            </w:r>
            <w:r>
              <w:rPr>
                <w:color w:val="auto"/>
                <w:sz w:val="24"/>
              </w:rPr>
              <w:t>建设项目声源在预测点产生的噪声贡献值，</w:t>
            </w:r>
            <w:r>
              <w:rPr>
                <w:rFonts w:eastAsia="Times New Roman"/>
                <w:color w:val="auto"/>
                <w:sz w:val="24"/>
              </w:rPr>
              <w:t>dB</w:t>
            </w:r>
            <w:r>
              <w:rPr>
                <w:color w:val="auto"/>
                <w:sz w:val="24"/>
              </w:rPr>
              <w:t>；</w:t>
            </w:r>
          </w:p>
          <w:p>
            <w:pPr>
              <w:adjustRightInd w:val="0"/>
              <w:snapToGrid w:val="0"/>
              <w:spacing w:line="360" w:lineRule="auto"/>
              <w:ind w:firstLine="1200" w:firstLineChars="500"/>
              <w:jc w:val="left"/>
              <w:rPr>
                <w:color w:val="auto"/>
                <w:sz w:val="24"/>
              </w:rPr>
            </w:pPr>
            <w:r>
              <w:rPr>
                <w:rFonts w:eastAsia="Times New Roman"/>
                <w:i/>
                <w:color w:val="auto"/>
                <w:sz w:val="24"/>
              </w:rPr>
              <w:t xml:space="preserve">T </w:t>
            </w:r>
            <w:r>
              <w:rPr>
                <w:rFonts w:eastAsia="Times New Roman"/>
                <w:color w:val="auto"/>
                <w:sz w:val="24"/>
              </w:rPr>
              <w:t>——</w:t>
            </w:r>
            <w:r>
              <w:rPr>
                <w:color w:val="auto"/>
                <w:sz w:val="24"/>
              </w:rPr>
              <w:t>用于计算等效声级的时间，</w:t>
            </w:r>
            <w:r>
              <w:rPr>
                <w:rFonts w:eastAsia="Times New Roman"/>
                <w:color w:val="auto"/>
                <w:sz w:val="24"/>
              </w:rPr>
              <w:t>s</w:t>
            </w:r>
            <w:r>
              <w:rPr>
                <w:color w:val="auto"/>
                <w:sz w:val="24"/>
              </w:rPr>
              <w:t>；</w:t>
            </w:r>
          </w:p>
          <w:p>
            <w:pPr>
              <w:adjustRightInd w:val="0"/>
              <w:snapToGrid w:val="0"/>
              <w:spacing w:line="360" w:lineRule="auto"/>
              <w:ind w:firstLine="1200" w:firstLineChars="500"/>
              <w:jc w:val="left"/>
              <w:rPr>
                <w:color w:val="auto"/>
                <w:sz w:val="24"/>
              </w:rPr>
            </w:pPr>
            <w:r>
              <w:rPr>
                <w:rFonts w:eastAsia="Times New Roman"/>
                <w:i/>
                <w:color w:val="auto"/>
                <w:sz w:val="24"/>
              </w:rPr>
              <w:t xml:space="preserve">N </w:t>
            </w:r>
            <w:r>
              <w:rPr>
                <w:rFonts w:eastAsia="Times New Roman"/>
                <w:color w:val="auto"/>
                <w:sz w:val="24"/>
              </w:rPr>
              <w:t>——</w:t>
            </w:r>
            <w:r>
              <w:rPr>
                <w:color w:val="auto"/>
                <w:sz w:val="24"/>
              </w:rPr>
              <w:t>室外声源个数；</w:t>
            </w:r>
          </w:p>
          <w:p>
            <w:pPr>
              <w:adjustRightInd w:val="0"/>
              <w:snapToGrid w:val="0"/>
              <w:spacing w:line="360" w:lineRule="auto"/>
              <w:jc w:val="left"/>
              <w:rPr>
                <w:color w:val="auto"/>
                <w:sz w:val="24"/>
              </w:rPr>
            </w:pPr>
            <w:r>
              <w:rPr>
                <w:rFonts w:eastAsia="Times New Roman"/>
                <w:i/>
                <w:color w:val="auto"/>
                <w:sz w:val="24"/>
              </w:rPr>
              <w:t xml:space="preserve"> </w:t>
            </w:r>
            <w:r>
              <w:rPr>
                <w:i/>
                <w:color w:val="auto"/>
                <w:sz w:val="24"/>
              </w:rPr>
              <w:t xml:space="preserve">         </w:t>
            </w:r>
            <w:r>
              <w:rPr>
                <w:rFonts w:eastAsia="Times New Roman"/>
                <w:i/>
                <w:color w:val="auto"/>
                <w:sz w:val="24"/>
              </w:rPr>
              <w:t xml:space="preserve">ti </w:t>
            </w:r>
            <w:r>
              <w:rPr>
                <w:rFonts w:eastAsia="Times New Roman"/>
                <w:color w:val="auto"/>
                <w:sz w:val="24"/>
              </w:rPr>
              <w:t>——</w:t>
            </w:r>
            <w:r>
              <w:rPr>
                <w:color w:val="auto"/>
                <w:sz w:val="24"/>
              </w:rPr>
              <w:t>在</w:t>
            </w:r>
            <w:r>
              <w:rPr>
                <w:rFonts w:eastAsia="Times New Roman"/>
                <w:i/>
                <w:color w:val="auto"/>
                <w:sz w:val="24"/>
              </w:rPr>
              <w:t xml:space="preserve">T </w:t>
            </w:r>
            <w:r>
              <w:rPr>
                <w:color w:val="auto"/>
                <w:sz w:val="24"/>
              </w:rPr>
              <w:t>时间内</w:t>
            </w:r>
            <w:r>
              <w:rPr>
                <w:rFonts w:eastAsia="Times New Roman"/>
                <w:i/>
                <w:color w:val="auto"/>
                <w:sz w:val="24"/>
              </w:rPr>
              <w:t xml:space="preserve">i </w:t>
            </w:r>
            <w:r>
              <w:rPr>
                <w:color w:val="auto"/>
                <w:sz w:val="24"/>
              </w:rPr>
              <w:t>声源工作时间，</w:t>
            </w:r>
            <w:r>
              <w:rPr>
                <w:rFonts w:eastAsia="Times New Roman"/>
                <w:color w:val="auto"/>
                <w:sz w:val="24"/>
              </w:rPr>
              <w:t>s</w:t>
            </w:r>
            <w:r>
              <w:rPr>
                <w:color w:val="auto"/>
                <w:sz w:val="24"/>
              </w:rPr>
              <w:t>；</w:t>
            </w:r>
          </w:p>
          <w:p>
            <w:pPr>
              <w:adjustRightInd w:val="0"/>
              <w:snapToGrid w:val="0"/>
              <w:spacing w:line="360" w:lineRule="auto"/>
              <w:ind w:firstLine="1200" w:firstLineChars="500"/>
              <w:jc w:val="left"/>
              <w:rPr>
                <w:color w:val="auto"/>
                <w:sz w:val="24"/>
              </w:rPr>
            </w:pPr>
            <w:r>
              <w:rPr>
                <w:rFonts w:eastAsia="Times New Roman"/>
                <w:i/>
                <w:color w:val="auto"/>
                <w:sz w:val="24"/>
              </w:rPr>
              <w:t>M</w:t>
            </w:r>
            <w:r>
              <w:rPr>
                <w:i/>
                <w:color w:val="auto"/>
                <w:sz w:val="24"/>
              </w:rPr>
              <w:t xml:space="preserve"> </w:t>
            </w:r>
            <w:r>
              <w:rPr>
                <w:rFonts w:eastAsia="Times New Roman"/>
                <w:i/>
                <w:color w:val="auto"/>
                <w:sz w:val="24"/>
              </w:rPr>
              <w:t xml:space="preserve"> </w:t>
            </w:r>
            <w:r>
              <w:rPr>
                <w:rFonts w:eastAsia="Times New Roman"/>
                <w:color w:val="auto"/>
                <w:sz w:val="24"/>
              </w:rPr>
              <w:t>——</w:t>
            </w:r>
            <w:r>
              <w:rPr>
                <w:color w:val="auto"/>
                <w:sz w:val="24"/>
              </w:rPr>
              <w:t>等效室外声源个数；</w:t>
            </w:r>
          </w:p>
          <w:p>
            <w:pPr>
              <w:adjustRightInd w:val="0"/>
              <w:snapToGrid w:val="0"/>
              <w:spacing w:line="360" w:lineRule="auto"/>
              <w:ind w:firstLine="480" w:firstLineChars="200"/>
              <w:rPr>
                <w:color w:val="auto"/>
                <w:sz w:val="24"/>
              </w:rPr>
            </w:pPr>
            <w:r>
              <w:rPr>
                <w:rFonts w:eastAsia="Times New Roman"/>
                <w:i/>
                <w:color w:val="auto"/>
                <w:sz w:val="24"/>
              </w:rPr>
              <w:t xml:space="preserve"> </w:t>
            </w:r>
            <w:r>
              <w:rPr>
                <w:i/>
                <w:color w:val="auto"/>
                <w:sz w:val="24"/>
              </w:rPr>
              <w:t xml:space="preserve">     </w:t>
            </w:r>
            <w:r>
              <w:rPr>
                <w:rFonts w:eastAsia="Times New Roman"/>
                <w:i/>
                <w:color w:val="auto"/>
                <w:sz w:val="24"/>
              </w:rPr>
              <w:t xml:space="preserve">tj </w:t>
            </w:r>
            <w:r>
              <w:rPr>
                <w:rFonts w:eastAsia="Times New Roman"/>
                <w:color w:val="auto"/>
                <w:sz w:val="24"/>
              </w:rPr>
              <w:t>——</w:t>
            </w:r>
            <w:r>
              <w:rPr>
                <w:color w:val="auto"/>
                <w:sz w:val="24"/>
              </w:rPr>
              <w:t>在</w:t>
            </w:r>
            <w:r>
              <w:rPr>
                <w:rFonts w:eastAsia="Times New Roman"/>
                <w:i/>
                <w:color w:val="auto"/>
                <w:sz w:val="24"/>
              </w:rPr>
              <w:t xml:space="preserve">T </w:t>
            </w:r>
            <w:r>
              <w:rPr>
                <w:color w:val="auto"/>
                <w:sz w:val="24"/>
              </w:rPr>
              <w:t>时间内</w:t>
            </w:r>
            <w:r>
              <w:rPr>
                <w:rFonts w:eastAsia="Times New Roman"/>
                <w:i/>
                <w:color w:val="auto"/>
                <w:sz w:val="24"/>
              </w:rPr>
              <w:t xml:space="preserve">j </w:t>
            </w:r>
            <w:r>
              <w:rPr>
                <w:color w:val="auto"/>
                <w:sz w:val="24"/>
              </w:rPr>
              <w:t>声源工作时间，</w:t>
            </w:r>
            <w:r>
              <w:rPr>
                <w:rFonts w:eastAsia="Times New Roman"/>
                <w:color w:val="auto"/>
                <w:sz w:val="24"/>
              </w:rPr>
              <w:t>s</w:t>
            </w:r>
            <w:r>
              <w:rPr>
                <w:color w:val="auto"/>
                <w:sz w:val="24"/>
              </w:rPr>
              <w:t>。</w:t>
            </w:r>
          </w:p>
          <w:p>
            <w:pPr>
              <w:adjustRightInd w:val="0"/>
              <w:snapToGrid w:val="0"/>
              <w:spacing w:line="360" w:lineRule="auto"/>
              <w:ind w:firstLine="480" w:firstLineChars="200"/>
              <w:rPr>
                <w:snapToGrid w:val="0"/>
                <w:color w:val="auto"/>
                <w:kern w:val="0"/>
                <w:sz w:val="24"/>
              </w:rPr>
            </w:pPr>
            <w:r>
              <w:rPr>
                <w:color w:val="auto"/>
                <w:sz w:val="24"/>
              </w:rPr>
              <w:t>（3）预测结果</w:t>
            </w:r>
          </w:p>
          <w:p>
            <w:pPr>
              <w:spacing w:line="360" w:lineRule="auto"/>
              <w:ind w:firstLine="480" w:firstLineChars="200"/>
              <w:rPr>
                <w:b/>
                <w:bCs/>
                <w:color w:val="auto"/>
                <w:kern w:val="0"/>
                <w:sz w:val="24"/>
              </w:rPr>
            </w:pPr>
            <w:r>
              <w:rPr>
                <w:color w:val="auto"/>
                <w:sz w:val="24"/>
              </w:rPr>
              <w:t>本项目建成后对厂界噪声影响值见表4-</w:t>
            </w:r>
            <w:r>
              <w:rPr>
                <w:rFonts w:hint="eastAsia"/>
                <w:color w:val="auto"/>
                <w:sz w:val="24"/>
                <w:lang w:val="en-US" w:eastAsia="zh-CN"/>
              </w:rPr>
              <w:t>12</w:t>
            </w:r>
            <w:r>
              <w:rPr>
                <w:color w:val="auto"/>
                <w:sz w:val="24"/>
              </w:rPr>
              <w:t>。</w:t>
            </w:r>
          </w:p>
          <w:p>
            <w:pPr>
              <w:adjustRightInd w:val="0"/>
              <w:snapToGrid w:val="0"/>
              <w:jc w:val="center"/>
              <w:rPr>
                <w:b/>
                <w:bCs/>
                <w:snapToGrid w:val="0"/>
                <w:color w:val="auto"/>
                <w:kern w:val="0"/>
                <w:szCs w:val="21"/>
              </w:rPr>
            </w:pPr>
            <w:r>
              <w:rPr>
                <w:b/>
                <w:bCs/>
                <w:color w:val="auto"/>
                <w:kern w:val="0"/>
                <w:sz w:val="24"/>
              </w:rPr>
              <w:t>表4-</w:t>
            </w:r>
            <w:r>
              <w:rPr>
                <w:rFonts w:hint="eastAsia"/>
                <w:b/>
                <w:bCs/>
                <w:color w:val="auto"/>
                <w:kern w:val="0"/>
                <w:sz w:val="24"/>
                <w:lang w:val="en-US" w:eastAsia="zh-CN"/>
              </w:rPr>
              <w:t>12</w:t>
            </w:r>
            <w:r>
              <w:rPr>
                <w:b/>
                <w:bCs/>
                <w:color w:val="auto"/>
                <w:kern w:val="0"/>
                <w:sz w:val="24"/>
              </w:rPr>
              <w:t xml:space="preserve">  </w:t>
            </w:r>
            <w:r>
              <w:rPr>
                <w:b/>
                <w:bCs/>
                <w:snapToGrid w:val="0"/>
                <w:color w:val="auto"/>
                <w:kern w:val="0"/>
                <w:sz w:val="24"/>
              </w:rPr>
              <w:t>噪声源</w:t>
            </w:r>
            <w:r>
              <w:rPr>
                <w:rFonts w:hint="eastAsia"/>
                <w:b/>
                <w:bCs/>
                <w:snapToGrid w:val="0"/>
                <w:color w:val="auto"/>
                <w:kern w:val="0"/>
                <w:sz w:val="24"/>
              </w:rPr>
              <w:t>叠加</w:t>
            </w:r>
            <w:r>
              <w:rPr>
                <w:b/>
                <w:bCs/>
                <w:snapToGrid w:val="0"/>
                <w:color w:val="auto"/>
                <w:kern w:val="0"/>
                <w:sz w:val="24"/>
              </w:rPr>
              <w:t>对厂界贡献值预测</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638"/>
              <w:gridCol w:w="1042"/>
              <w:gridCol w:w="1589"/>
              <w:gridCol w:w="1842"/>
              <w:gridCol w:w="1787"/>
              <w:gridCol w:w="1500"/>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cantSplit/>
                <w:trHeight w:val="340" w:hRule="atLeast"/>
                <w:jc w:val="center"/>
              </w:trPr>
              <w:tc>
                <w:tcPr>
                  <w:tcW w:w="638" w:type="dxa"/>
                  <w:vAlign w:val="center"/>
                </w:tcPr>
                <w:p>
                  <w:pPr>
                    <w:adjustRightInd w:val="0"/>
                    <w:snapToGrid w:val="0"/>
                    <w:jc w:val="center"/>
                    <w:rPr>
                      <w:b/>
                      <w:color w:val="auto"/>
                      <w:szCs w:val="21"/>
                    </w:rPr>
                  </w:pPr>
                  <w:r>
                    <w:rPr>
                      <w:rFonts w:hint="eastAsia"/>
                      <w:b/>
                      <w:bCs/>
                      <w:color w:val="auto"/>
                      <w:szCs w:val="21"/>
                    </w:rPr>
                    <w:t>序号</w:t>
                  </w:r>
                </w:p>
              </w:tc>
              <w:tc>
                <w:tcPr>
                  <w:tcW w:w="2631" w:type="dxa"/>
                  <w:gridSpan w:val="2"/>
                  <w:vAlign w:val="center"/>
                </w:tcPr>
                <w:p>
                  <w:pPr>
                    <w:adjustRightInd w:val="0"/>
                    <w:snapToGrid w:val="0"/>
                    <w:jc w:val="center"/>
                    <w:rPr>
                      <w:b/>
                      <w:color w:val="auto"/>
                      <w:szCs w:val="21"/>
                    </w:rPr>
                  </w:pPr>
                  <w:r>
                    <w:rPr>
                      <w:rFonts w:hint="eastAsia"/>
                      <w:b/>
                      <w:bCs/>
                      <w:color w:val="auto"/>
                      <w:szCs w:val="21"/>
                    </w:rPr>
                    <w:t>预测点位置</w:t>
                  </w:r>
                </w:p>
              </w:tc>
              <w:tc>
                <w:tcPr>
                  <w:tcW w:w="1842" w:type="dxa"/>
                  <w:vAlign w:val="center"/>
                </w:tcPr>
                <w:p>
                  <w:pPr>
                    <w:adjustRightInd w:val="0"/>
                    <w:snapToGrid w:val="0"/>
                    <w:jc w:val="center"/>
                    <w:rPr>
                      <w:b/>
                      <w:color w:val="auto"/>
                      <w:szCs w:val="21"/>
                    </w:rPr>
                  </w:pPr>
                  <w:r>
                    <w:rPr>
                      <w:rFonts w:hint="eastAsia"/>
                      <w:b/>
                      <w:bCs/>
                      <w:color w:val="auto"/>
                      <w:szCs w:val="21"/>
                    </w:rPr>
                    <w:t>噪声叠加贡献值</w:t>
                  </w:r>
                  <w:r>
                    <w:rPr>
                      <w:b/>
                      <w:bCs/>
                      <w:color w:val="auto"/>
                      <w:szCs w:val="21"/>
                    </w:rPr>
                    <w:t>dB(A)</w:t>
                  </w:r>
                </w:p>
              </w:tc>
              <w:tc>
                <w:tcPr>
                  <w:tcW w:w="1787" w:type="dxa"/>
                  <w:vAlign w:val="center"/>
                </w:tcPr>
                <w:p>
                  <w:pPr>
                    <w:adjustRightInd w:val="0"/>
                    <w:snapToGrid w:val="0"/>
                    <w:jc w:val="center"/>
                    <w:rPr>
                      <w:b/>
                      <w:color w:val="auto"/>
                      <w:szCs w:val="21"/>
                    </w:rPr>
                  </w:pPr>
                  <w:r>
                    <w:rPr>
                      <w:rFonts w:hint="eastAsia"/>
                      <w:b/>
                      <w:bCs/>
                      <w:color w:val="auto"/>
                      <w:szCs w:val="21"/>
                    </w:rPr>
                    <w:t>噪声标准值</w:t>
                  </w:r>
                  <w:r>
                    <w:rPr>
                      <w:b/>
                      <w:bCs/>
                      <w:color w:val="auto"/>
                      <w:szCs w:val="21"/>
                    </w:rPr>
                    <w:t>dB(A)</w:t>
                  </w:r>
                </w:p>
              </w:tc>
              <w:tc>
                <w:tcPr>
                  <w:tcW w:w="1500" w:type="dxa"/>
                  <w:vAlign w:val="center"/>
                </w:tcPr>
                <w:p>
                  <w:pPr>
                    <w:adjustRightInd w:val="0"/>
                    <w:snapToGrid w:val="0"/>
                    <w:jc w:val="center"/>
                    <w:rPr>
                      <w:b/>
                      <w:color w:val="auto"/>
                      <w:szCs w:val="21"/>
                    </w:rPr>
                  </w:pPr>
                  <w:r>
                    <w:rPr>
                      <w:rFonts w:hint="eastAsia"/>
                      <w:b/>
                      <w:bCs/>
                      <w:color w:val="auto"/>
                      <w:szCs w:val="21"/>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638" w:type="dxa"/>
                  <w:vAlign w:val="center"/>
                </w:tcPr>
                <w:p>
                  <w:pPr>
                    <w:adjustRightInd w:val="0"/>
                    <w:snapToGrid w:val="0"/>
                    <w:jc w:val="center"/>
                    <w:rPr>
                      <w:color w:val="auto"/>
                      <w:szCs w:val="21"/>
                    </w:rPr>
                  </w:pPr>
                  <w:r>
                    <w:rPr>
                      <w:color w:val="auto"/>
                      <w:szCs w:val="21"/>
                    </w:rPr>
                    <w:t>1</w:t>
                  </w:r>
                </w:p>
              </w:tc>
              <w:tc>
                <w:tcPr>
                  <w:tcW w:w="1042" w:type="dxa"/>
                  <w:vMerge w:val="restart"/>
                  <w:vAlign w:val="center"/>
                </w:tcPr>
                <w:p>
                  <w:pPr>
                    <w:adjustRightInd w:val="0"/>
                    <w:snapToGrid w:val="0"/>
                    <w:jc w:val="center"/>
                    <w:rPr>
                      <w:color w:val="auto"/>
                      <w:szCs w:val="21"/>
                    </w:rPr>
                  </w:pPr>
                  <w:r>
                    <w:rPr>
                      <w:rFonts w:hint="eastAsia"/>
                      <w:color w:val="auto"/>
                      <w:szCs w:val="21"/>
                    </w:rPr>
                    <w:t>昼间</w:t>
                  </w:r>
                </w:p>
              </w:tc>
              <w:tc>
                <w:tcPr>
                  <w:tcW w:w="1589" w:type="dxa"/>
                  <w:vAlign w:val="center"/>
                </w:tcPr>
                <w:p>
                  <w:pPr>
                    <w:adjustRightInd w:val="0"/>
                    <w:snapToGrid w:val="0"/>
                    <w:jc w:val="center"/>
                    <w:rPr>
                      <w:color w:val="auto"/>
                      <w:szCs w:val="21"/>
                    </w:rPr>
                  </w:pPr>
                  <w:r>
                    <w:rPr>
                      <w:rFonts w:hint="eastAsia"/>
                      <w:color w:val="auto"/>
                      <w:szCs w:val="21"/>
                    </w:rPr>
                    <w:t>东厂界</w:t>
                  </w:r>
                </w:p>
              </w:tc>
              <w:tc>
                <w:tcPr>
                  <w:tcW w:w="1842" w:type="dxa"/>
                  <w:vAlign w:val="center"/>
                </w:tcPr>
                <w:p>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25.4 </w:t>
                  </w:r>
                </w:p>
              </w:tc>
              <w:tc>
                <w:tcPr>
                  <w:tcW w:w="1787" w:type="dxa"/>
                  <w:vAlign w:val="center"/>
                </w:tcPr>
                <w:p>
                  <w:pPr>
                    <w:adjustRightInd w:val="0"/>
                    <w:snapToGrid w:val="0"/>
                    <w:jc w:val="center"/>
                    <w:rPr>
                      <w:color w:val="auto"/>
                      <w:szCs w:val="21"/>
                    </w:rPr>
                  </w:pPr>
                  <w:r>
                    <w:rPr>
                      <w:color w:val="auto"/>
                      <w:szCs w:val="21"/>
                    </w:rPr>
                    <w:t>65</w:t>
                  </w:r>
                </w:p>
              </w:tc>
              <w:tc>
                <w:tcPr>
                  <w:tcW w:w="1500" w:type="dxa"/>
                  <w:vAlign w:val="center"/>
                </w:tcPr>
                <w:p>
                  <w:pPr>
                    <w:adjustRightInd w:val="0"/>
                    <w:snapToGrid w:val="0"/>
                    <w:jc w:val="center"/>
                    <w:rPr>
                      <w:color w:val="auto"/>
                      <w:szCs w:val="21"/>
                    </w:rPr>
                  </w:pPr>
                  <w:r>
                    <w:rPr>
                      <w:rFonts w:hint="eastAsia"/>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cantSplit/>
                <w:trHeight w:val="340" w:hRule="atLeast"/>
                <w:jc w:val="center"/>
              </w:trPr>
              <w:tc>
                <w:tcPr>
                  <w:tcW w:w="638" w:type="dxa"/>
                  <w:vAlign w:val="center"/>
                </w:tcPr>
                <w:p>
                  <w:pPr>
                    <w:adjustRightInd w:val="0"/>
                    <w:snapToGrid w:val="0"/>
                    <w:jc w:val="center"/>
                    <w:rPr>
                      <w:color w:val="auto"/>
                      <w:szCs w:val="21"/>
                    </w:rPr>
                  </w:pPr>
                  <w:r>
                    <w:rPr>
                      <w:color w:val="auto"/>
                      <w:szCs w:val="21"/>
                    </w:rPr>
                    <w:t>2</w:t>
                  </w:r>
                </w:p>
              </w:tc>
              <w:tc>
                <w:tcPr>
                  <w:tcW w:w="1042" w:type="dxa"/>
                  <w:vMerge w:val="continue"/>
                  <w:vAlign w:val="center"/>
                </w:tcPr>
                <w:p>
                  <w:pPr>
                    <w:adjustRightInd w:val="0"/>
                    <w:snapToGrid w:val="0"/>
                    <w:jc w:val="center"/>
                    <w:rPr>
                      <w:color w:val="auto"/>
                      <w:szCs w:val="21"/>
                    </w:rPr>
                  </w:pPr>
                </w:p>
              </w:tc>
              <w:tc>
                <w:tcPr>
                  <w:tcW w:w="1589" w:type="dxa"/>
                  <w:vAlign w:val="center"/>
                </w:tcPr>
                <w:p>
                  <w:pPr>
                    <w:adjustRightInd w:val="0"/>
                    <w:snapToGrid w:val="0"/>
                    <w:jc w:val="center"/>
                    <w:rPr>
                      <w:color w:val="auto"/>
                      <w:szCs w:val="21"/>
                    </w:rPr>
                  </w:pPr>
                  <w:r>
                    <w:rPr>
                      <w:rFonts w:hint="eastAsia"/>
                      <w:color w:val="auto"/>
                      <w:szCs w:val="21"/>
                    </w:rPr>
                    <w:t>南厂界</w:t>
                  </w:r>
                </w:p>
              </w:tc>
              <w:tc>
                <w:tcPr>
                  <w:tcW w:w="1842"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28.1 </w:t>
                  </w:r>
                </w:p>
              </w:tc>
              <w:tc>
                <w:tcPr>
                  <w:tcW w:w="1787" w:type="dxa"/>
                  <w:vAlign w:val="center"/>
                </w:tcPr>
                <w:p>
                  <w:pPr>
                    <w:adjustRightInd w:val="0"/>
                    <w:snapToGrid w:val="0"/>
                    <w:jc w:val="center"/>
                    <w:rPr>
                      <w:color w:val="auto"/>
                      <w:szCs w:val="21"/>
                    </w:rPr>
                  </w:pPr>
                  <w:r>
                    <w:rPr>
                      <w:color w:val="auto"/>
                      <w:szCs w:val="21"/>
                    </w:rPr>
                    <w:t>65</w:t>
                  </w:r>
                </w:p>
              </w:tc>
              <w:tc>
                <w:tcPr>
                  <w:tcW w:w="1500" w:type="dxa"/>
                  <w:vAlign w:val="center"/>
                </w:tcPr>
                <w:p>
                  <w:pPr>
                    <w:adjustRightInd w:val="0"/>
                    <w:snapToGrid w:val="0"/>
                    <w:jc w:val="center"/>
                    <w:rPr>
                      <w:color w:val="auto"/>
                      <w:szCs w:val="21"/>
                    </w:rPr>
                  </w:pPr>
                  <w:r>
                    <w:rPr>
                      <w:rFonts w:hint="eastAsia"/>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cantSplit/>
                <w:trHeight w:val="340" w:hRule="atLeast"/>
                <w:jc w:val="center"/>
              </w:trPr>
              <w:tc>
                <w:tcPr>
                  <w:tcW w:w="638" w:type="dxa"/>
                  <w:vAlign w:val="center"/>
                </w:tcPr>
                <w:p>
                  <w:pPr>
                    <w:adjustRightInd w:val="0"/>
                    <w:snapToGrid w:val="0"/>
                    <w:jc w:val="center"/>
                    <w:rPr>
                      <w:color w:val="auto"/>
                      <w:szCs w:val="21"/>
                    </w:rPr>
                  </w:pPr>
                  <w:r>
                    <w:rPr>
                      <w:color w:val="auto"/>
                      <w:szCs w:val="21"/>
                    </w:rPr>
                    <w:t>3</w:t>
                  </w:r>
                </w:p>
              </w:tc>
              <w:tc>
                <w:tcPr>
                  <w:tcW w:w="1042" w:type="dxa"/>
                  <w:vMerge w:val="continue"/>
                  <w:vAlign w:val="center"/>
                </w:tcPr>
                <w:p>
                  <w:pPr>
                    <w:adjustRightInd w:val="0"/>
                    <w:snapToGrid w:val="0"/>
                    <w:jc w:val="center"/>
                    <w:rPr>
                      <w:color w:val="auto"/>
                      <w:szCs w:val="21"/>
                    </w:rPr>
                  </w:pPr>
                </w:p>
              </w:tc>
              <w:tc>
                <w:tcPr>
                  <w:tcW w:w="1589" w:type="dxa"/>
                  <w:vAlign w:val="center"/>
                </w:tcPr>
                <w:p>
                  <w:pPr>
                    <w:adjustRightInd w:val="0"/>
                    <w:snapToGrid w:val="0"/>
                    <w:jc w:val="center"/>
                    <w:rPr>
                      <w:color w:val="auto"/>
                      <w:szCs w:val="21"/>
                    </w:rPr>
                  </w:pPr>
                  <w:r>
                    <w:rPr>
                      <w:rFonts w:hint="eastAsia"/>
                      <w:color w:val="auto"/>
                      <w:szCs w:val="21"/>
                    </w:rPr>
                    <w:t>西厂界</w:t>
                  </w:r>
                </w:p>
              </w:tc>
              <w:tc>
                <w:tcPr>
                  <w:tcW w:w="1842"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46.9 </w:t>
                  </w:r>
                </w:p>
              </w:tc>
              <w:tc>
                <w:tcPr>
                  <w:tcW w:w="1787" w:type="dxa"/>
                  <w:vAlign w:val="center"/>
                </w:tcPr>
                <w:p>
                  <w:pPr>
                    <w:adjustRightInd w:val="0"/>
                    <w:snapToGrid w:val="0"/>
                    <w:jc w:val="center"/>
                    <w:rPr>
                      <w:color w:val="auto"/>
                      <w:szCs w:val="21"/>
                    </w:rPr>
                  </w:pPr>
                  <w:r>
                    <w:rPr>
                      <w:color w:val="auto"/>
                      <w:szCs w:val="21"/>
                    </w:rPr>
                    <w:t>65</w:t>
                  </w:r>
                </w:p>
              </w:tc>
              <w:tc>
                <w:tcPr>
                  <w:tcW w:w="1500" w:type="dxa"/>
                  <w:vAlign w:val="center"/>
                </w:tcPr>
                <w:p>
                  <w:pPr>
                    <w:adjustRightInd w:val="0"/>
                    <w:snapToGrid w:val="0"/>
                    <w:jc w:val="center"/>
                    <w:rPr>
                      <w:color w:val="auto"/>
                      <w:szCs w:val="21"/>
                    </w:rPr>
                  </w:pPr>
                  <w:r>
                    <w:rPr>
                      <w:rFonts w:hint="eastAsia"/>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cantSplit/>
                <w:trHeight w:val="340" w:hRule="atLeast"/>
                <w:jc w:val="center"/>
              </w:trPr>
              <w:tc>
                <w:tcPr>
                  <w:tcW w:w="638" w:type="dxa"/>
                  <w:vAlign w:val="center"/>
                </w:tcPr>
                <w:p>
                  <w:pPr>
                    <w:adjustRightInd w:val="0"/>
                    <w:snapToGrid w:val="0"/>
                    <w:jc w:val="center"/>
                    <w:rPr>
                      <w:color w:val="auto"/>
                      <w:szCs w:val="21"/>
                    </w:rPr>
                  </w:pPr>
                  <w:r>
                    <w:rPr>
                      <w:color w:val="auto"/>
                      <w:szCs w:val="21"/>
                    </w:rPr>
                    <w:t>4</w:t>
                  </w:r>
                </w:p>
              </w:tc>
              <w:tc>
                <w:tcPr>
                  <w:tcW w:w="1042" w:type="dxa"/>
                  <w:vMerge w:val="continue"/>
                  <w:vAlign w:val="center"/>
                </w:tcPr>
                <w:p>
                  <w:pPr>
                    <w:adjustRightInd w:val="0"/>
                    <w:snapToGrid w:val="0"/>
                    <w:jc w:val="center"/>
                    <w:rPr>
                      <w:color w:val="auto"/>
                      <w:szCs w:val="21"/>
                    </w:rPr>
                  </w:pPr>
                </w:p>
              </w:tc>
              <w:tc>
                <w:tcPr>
                  <w:tcW w:w="1589" w:type="dxa"/>
                  <w:vAlign w:val="center"/>
                </w:tcPr>
                <w:p>
                  <w:pPr>
                    <w:adjustRightInd w:val="0"/>
                    <w:snapToGrid w:val="0"/>
                    <w:jc w:val="center"/>
                    <w:rPr>
                      <w:color w:val="auto"/>
                      <w:szCs w:val="21"/>
                    </w:rPr>
                  </w:pPr>
                  <w:r>
                    <w:rPr>
                      <w:rFonts w:hint="eastAsia"/>
                      <w:color w:val="auto"/>
                      <w:szCs w:val="21"/>
                    </w:rPr>
                    <w:t>北厂界</w:t>
                  </w:r>
                </w:p>
              </w:tc>
              <w:tc>
                <w:tcPr>
                  <w:tcW w:w="1842"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47.0 </w:t>
                  </w:r>
                </w:p>
              </w:tc>
              <w:tc>
                <w:tcPr>
                  <w:tcW w:w="1787" w:type="dxa"/>
                  <w:vAlign w:val="center"/>
                </w:tcPr>
                <w:p>
                  <w:pPr>
                    <w:adjustRightInd w:val="0"/>
                    <w:snapToGrid w:val="0"/>
                    <w:jc w:val="center"/>
                    <w:rPr>
                      <w:color w:val="auto"/>
                      <w:szCs w:val="21"/>
                    </w:rPr>
                  </w:pPr>
                  <w:r>
                    <w:rPr>
                      <w:color w:val="auto"/>
                      <w:szCs w:val="21"/>
                    </w:rPr>
                    <w:t>65</w:t>
                  </w:r>
                </w:p>
              </w:tc>
              <w:tc>
                <w:tcPr>
                  <w:tcW w:w="1500" w:type="dxa"/>
                  <w:vAlign w:val="center"/>
                </w:tcPr>
                <w:p>
                  <w:pPr>
                    <w:adjustRightInd w:val="0"/>
                    <w:snapToGrid w:val="0"/>
                    <w:jc w:val="center"/>
                    <w:rPr>
                      <w:color w:val="auto"/>
                      <w:szCs w:val="21"/>
                    </w:rPr>
                  </w:pPr>
                  <w:r>
                    <w:rPr>
                      <w:rFonts w:hint="eastAsia"/>
                      <w:color w:val="auto"/>
                      <w:szCs w:val="21"/>
                    </w:rPr>
                    <w:t>达标</w:t>
                  </w:r>
                </w:p>
              </w:tc>
            </w:tr>
          </w:tbl>
          <w:p>
            <w:pPr>
              <w:adjustRightInd w:val="0"/>
              <w:snapToGrid w:val="0"/>
              <w:spacing w:before="120" w:beforeLines="50" w:line="360" w:lineRule="auto"/>
              <w:ind w:firstLine="480" w:firstLineChars="200"/>
              <w:rPr>
                <w:color w:val="auto"/>
                <w:sz w:val="24"/>
              </w:rPr>
            </w:pPr>
            <w:r>
              <w:rPr>
                <w:color w:val="auto"/>
                <w:sz w:val="24"/>
              </w:rPr>
              <w:t>根据预测，通过厂房隔声、距离衰减等措施后，厂界噪声昼间贡献值可达到《工业企业厂界环境噪声排放标准》（GB12348-2008）中的3类标准：昼间≤65dB（A），因此本项目产生的噪声对周围声环境影响较小。</w:t>
            </w:r>
          </w:p>
          <w:p>
            <w:pPr>
              <w:adjustRightInd w:val="0"/>
              <w:snapToGrid w:val="0"/>
              <w:spacing w:line="360" w:lineRule="auto"/>
              <w:ind w:firstLine="482" w:firstLineChars="200"/>
              <w:rPr>
                <w:b/>
                <w:bCs/>
                <w:color w:val="auto"/>
                <w:kern w:val="0"/>
                <w:sz w:val="24"/>
              </w:rPr>
            </w:pPr>
            <w:r>
              <w:rPr>
                <w:b/>
                <w:bCs/>
                <w:color w:val="auto"/>
                <w:kern w:val="0"/>
                <w:sz w:val="24"/>
              </w:rPr>
              <w:t>（3）噪声监测计划</w:t>
            </w:r>
          </w:p>
          <w:p>
            <w:pPr>
              <w:pStyle w:val="87"/>
              <w:ind w:firstLine="480"/>
              <w:rPr>
                <w:b/>
                <w:bCs/>
                <w:snapToGrid w:val="0"/>
                <w:color w:val="auto"/>
                <w:szCs w:val="24"/>
              </w:rPr>
            </w:pPr>
            <w:r>
              <w:rPr>
                <w:bCs/>
                <w:color w:val="auto"/>
                <w:szCs w:val="24"/>
              </w:rPr>
              <w:t>根据</w:t>
            </w:r>
            <w:r>
              <w:rPr>
                <w:snapToGrid w:val="0"/>
                <w:color w:val="auto"/>
              </w:rPr>
              <w:t>《</w:t>
            </w:r>
            <w:r>
              <w:rPr>
                <w:rFonts w:hint="eastAsia"/>
                <w:snapToGrid w:val="0"/>
                <w:color w:val="auto"/>
              </w:rPr>
              <w:t xml:space="preserve">排污单位自行监测技术指南 </w:t>
            </w:r>
            <w:r>
              <w:rPr>
                <w:rFonts w:hint="eastAsia"/>
                <w:snapToGrid w:val="0"/>
                <w:color w:val="auto"/>
                <w:lang w:eastAsia="zh-CN"/>
              </w:rPr>
              <w:t>总则</w:t>
            </w:r>
            <w:r>
              <w:rPr>
                <w:snapToGrid w:val="0"/>
                <w:color w:val="auto"/>
              </w:rPr>
              <w:t>》（</w:t>
            </w:r>
            <w:r>
              <w:rPr>
                <w:color w:val="auto"/>
              </w:rPr>
              <w:t xml:space="preserve">HJ </w:t>
            </w:r>
            <w:r>
              <w:rPr>
                <w:rFonts w:hint="eastAsia"/>
                <w:color w:val="auto"/>
                <w:lang w:val="en-US" w:eastAsia="zh-CN"/>
              </w:rPr>
              <w:t>819</w:t>
            </w:r>
            <w:r>
              <w:rPr>
                <w:color w:val="auto"/>
              </w:rPr>
              <w:t>-20</w:t>
            </w:r>
            <w:r>
              <w:rPr>
                <w:rFonts w:hint="eastAsia"/>
                <w:color w:val="auto"/>
                <w:lang w:val="en-US" w:eastAsia="zh-CN"/>
              </w:rPr>
              <w:t>17</w:t>
            </w:r>
            <w:r>
              <w:rPr>
                <w:snapToGrid w:val="0"/>
                <w:color w:val="auto"/>
              </w:rPr>
              <w:t>）</w:t>
            </w:r>
            <w:r>
              <w:rPr>
                <w:rFonts w:hint="eastAsia"/>
                <w:snapToGrid w:val="0"/>
                <w:color w:val="auto"/>
              </w:rPr>
              <w:t>要求</w:t>
            </w:r>
            <w:r>
              <w:rPr>
                <w:snapToGrid w:val="0"/>
                <w:color w:val="auto"/>
              </w:rPr>
              <w:t>，</w:t>
            </w:r>
            <w:r>
              <w:rPr>
                <w:rFonts w:hint="eastAsia"/>
                <w:snapToGrid w:val="0"/>
                <w:color w:val="auto"/>
              </w:rPr>
              <w:t>开展</w:t>
            </w:r>
            <w:r>
              <w:rPr>
                <w:bCs/>
                <w:color w:val="auto"/>
                <w:szCs w:val="24"/>
              </w:rPr>
              <w:t>厂界环境噪声监测，厂界噪声最低监测频次为季度，本项目建成后厂界噪声监测频次为一季度开展一次</w:t>
            </w:r>
            <w:r>
              <w:rPr>
                <w:snapToGrid w:val="0"/>
                <w:color w:val="auto"/>
                <w:szCs w:val="24"/>
              </w:rPr>
              <w:t>。</w:t>
            </w:r>
          </w:p>
          <w:p>
            <w:pPr>
              <w:pStyle w:val="90"/>
              <w:adjustRightInd w:val="0"/>
              <w:snapToGrid w:val="0"/>
              <w:ind w:firstLine="0" w:firstLineChars="0"/>
              <w:jc w:val="center"/>
              <w:rPr>
                <w:rFonts w:eastAsia="宋体" w:cs="Times New Roman"/>
                <w:b/>
                <w:bCs/>
                <w:snapToGrid w:val="0"/>
                <w:color w:val="auto"/>
                <w:kern w:val="0"/>
                <w:szCs w:val="21"/>
              </w:rPr>
            </w:pPr>
            <w:r>
              <w:rPr>
                <w:rFonts w:eastAsia="宋体" w:cs="Times New Roman"/>
                <w:b/>
                <w:bCs/>
                <w:snapToGrid w:val="0"/>
                <w:color w:val="auto"/>
                <w:kern w:val="0"/>
                <w:sz w:val="24"/>
                <w:szCs w:val="24"/>
              </w:rPr>
              <w:t>表4-</w:t>
            </w:r>
            <w:r>
              <w:rPr>
                <w:rFonts w:hint="eastAsia" w:eastAsia="宋体" w:cs="Times New Roman"/>
                <w:b/>
                <w:bCs/>
                <w:snapToGrid w:val="0"/>
                <w:color w:val="auto"/>
                <w:kern w:val="0"/>
                <w:sz w:val="24"/>
                <w:szCs w:val="24"/>
                <w:lang w:val="en-US" w:eastAsia="zh-CN"/>
              </w:rPr>
              <w:t>13</w:t>
            </w:r>
            <w:r>
              <w:rPr>
                <w:rFonts w:eastAsia="宋体" w:cs="Times New Roman"/>
                <w:b/>
                <w:bCs/>
                <w:snapToGrid w:val="0"/>
                <w:color w:val="auto"/>
                <w:kern w:val="0"/>
                <w:sz w:val="24"/>
                <w:szCs w:val="24"/>
              </w:rPr>
              <w:t xml:space="preserve">  噪声监测计划</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237"/>
              <w:gridCol w:w="1606"/>
              <w:gridCol w:w="1134"/>
              <w:gridCol w:w="1560"/>
              <w:gridCol w:w="2853"/>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cantSplit/>
                <w:trHeight w:val="536" w:hRule="atLeast"/>
                <w:jc w:val="center"/>
              </w:trPr>
              <w:tc>
                <w:tcPr>
                  <w:tcW w:w="1237" w:type="dxa"/>
                  <w:vAlign w:val="center"/>
                </w:tcPr>
                <w:p>
                  <w:pPr>
                    <w:adjustRightInd w:val="0"/>
                    <w:snapToGrid w:val="0"/>
                    <w:jc w:val="center"/>
                    <w:rPr>
                      <w:b/>
                      <w:color w:val="auto"/>
                      <w:szCs w:val="21"/>
                    </w:rPr>
                  </w:pPr>
                  <w:r>
                    <w:rPr>
                      <w:b/>
                      <w:color w:val="auto"/>
                      <w:szCs w:val="21"/>
                    </w:rPr>
                    <w:t>监测项目</w:t>
                  </w:r>
                </w:p>
              </w:tc>
              <w:tc>
                <w:tcPr>
                  <w:tcW w:w="1606" w:type="dxa"/>
                  <w:vAlign w:val="center"/>
                </w:tcPr>
                <w:p>
                  <w:pPr>
                    <w:adjustRightInd w:val="0"/>
                    <w:snapToGrid w:val="0"/>
                    <w:jc w:val="center"/>
                    <w:rPr>
                      <w:b/>
                      <w:color w:val="auto"/>
                      <w:szCs w:val="21"/>
                    </w:rPr>
                  </w:pPr>
                  <w:r>
                    <w:rPr>
                      <w:b/>
                      <w:color w:val="auto"/>
                      <w:szCs w:val="21"/>
                    </w:rPr>
                    <w:t>监测点位</w:t>
                  </w:r>
                </w:p>
              </w:tc>
              <w:tc>
                <w:tcPr>
                  <w:tcW w:w="1134" w:type="dxa"/>
                  <w:vAlign w:val="center"/>
                </w:tcPr>
                <w:p>
                  <w:pPr>
                    <w:adjustRightInd w:val="0"/>
                    <w:snapToGrid w:val="0"/>
                    <w:jc w:val="center"/>
                    <w:rPr>
                      <w:b/>
                      <w:color w:val="auto"/>
                      <w:szCs w:val="21"/>
                    </w:rPr>
                  </w:pPr>
                  <w:r>
                    <w:rPr>
                      <w:b/>
                      <w:color w:val="auto"/>
                      <w:szCs w:val="21"/>
                    </w:rPr>
                    <w:t>监测指标</w:t>
                  </w:r>
                </w:p>
              </w:tc>
              <w:tc>
                <w:tcPr>
                  <w:tcW w:w="1560" w:type="dxa"/>
                  <w:vAlign w:val="center"/>
                </w:tcPr>
                <w:p>
                  <w:pPr>
                    <w:adjustRightInd w:val="0"/>
                    <w:snapToGrid w:val="0"/>
                    <w:jc w:val="center"/>
                    <w:rPr>
                      <w:b/>
                      <w:color w:val="auto"/>
                      <w:szCs w:val="21"/>
                    </w:rPr>
                  </w:pPr>
                  <w:r>
                    <w:rPr>
                      <w:b/>
                      <w:color w:val="auto"/>
                      <w:szCs w:val="21"/>
                    </w:rPr>
                    <w:t>监测频次</w:t>
                  </w:r>
                </w:p>
              </w:tc>
              <w:tc>
                <w:tcPr>
                  <w:tcW w:w="2853" w:type="dxa"/>
                  <w:vAlign w:val="center"/>
                </w:tcPr>
                <w:p>
                  <w:pPr>
                    <w:adjustRightInd w:val="0"/>
                    <w:snapToGrid w:val="0"/>
                    <w:jc w:val="center"/>
                    <w:rPr>
                      <w:b/>
                      <w:color w:val="auto"/>
                      <w:szCs w:val="21"/>
                    </w:rPr>
                  </w:pPr>
                  <w:r>
                    <w:rPr>
                      <w:b/>
                      <w:color w:val="auto"/>
                      <w:szCs w:val="21"/>
                    </w:rPr>
                    <w:t>执行排放标准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694" w:hRule="atLeast"/>
                <w:jc w:val="center"/>
              </w:trPr>
              <w:tc>
                <w:tcPr>
                  <w:tcW w:w="1237" w:type="dxa"/>
                  <w:vAlign w:val="center"/>
                </w:tcPr>
                <w:p>
                  <w:pPr>
                    <w:adjustRightInd w:val="0"/>
                    <w:snapToGrid w:val="0"/>
                    <w:jc w:val="center"/>
                    <w:rPr>
                      <w:color w:val="auto"/>
                      <w:szCs w:val="21"/>
                    </w:rPr>
                  </w:pPr>
                  <w:r>
                    <w:rPr>
                      <w:color w:val="auto"/>
                      <w:szCs w:val="21"/>
                    </w:rPr>
                    <w:t>噪声</w:t>
                  </w:r>
                </w:p>
              </w:tc>
              <w:tc>
                <w:tcPr>
                  <w:tcW w:w="1606" w:type="dxa"/>
                  <w:vAlign w:val="center"/>
                </w:tcPr>
                <w:p>
                  <w:pPr>
                    <w:adjustRightInd w:val="0"/>
                    <w:snapToGrid w:val="0"/>
                    <w:jc w:val="center"/>
                    <w:rPr>
                      <w:color w:val="auto"/>
                      <w:szCs w:val="21"/>
                    </w:rPr>
                  </w:pPr>
                  <w:r>
                    <w:rPr>
                      <w:color w:val="auto"/>
                      <w:szCs w:val="21"/>
                    </w:rPr>
                    <w:t>东、南、西、北各厂界</w:t>
                  </w:r>
                  <w:r>
                    <w:rPr>
                      <w:color w:val="auto"/>
                    </w:rPr>
                    <w:t>外1m</w:t>
                  </w:r>
                </w:p>
              </w:tc>
              <w:tc>
                <w:tcPr>
                  <w:tcW w:w="1134" w:type="dxa"/>
                  <w:vAlign w:val="center"/>
                </w:tcPr>
                <w:p>
                  <w:pPr>
                    <w:adjustRightInd w:val="0"/>
                    <w:snapToGrid w:val="0"/>
                    <w:jc w:val="center"/>
                    <w:rPr>
                      <w:color w:val="auto"/>
                      <w:szCs w:val="21"/>
                    </w:rPr>
                  </w:pPr>
                  <w:r>
                    <w:rPr>
                      <w:color w:val="auto"/>
                      <w:szCs w:val="21"/>
                    </w:rPr>
                    <w:t>连续等效A声级</w:t>
                  </w:r>
                </w:p>
              </w:tc>
              <w:tc>
                <w:tcPr>
                  <w:tcW w:w="1560" w:type="dxa"/>
                  <w:vAlign w:val="center"/>
                </w:tcPr>
                <w:p>
                  <w:pPr>
                    <w:adjustRightInd w:val="0"/>
                    <w:snapToGrid w:val="0"/>
                    <w:jc w:val="center"/>
                    <w:rPr>
                      <w:color w:val="auto"/>
                      <w:szCs w:val="21"/>
                    </w:rPr>
                  </w:pPr>
                  <w:r>
                    <w:rPr>
                      <w:color w:val="auto"/>
                      <w:szCs w:val="21"/>
                    </w:rPr>
                    <w:t>1次/季度</w:t>
                  </w:r>
                </w:p>
                <w:p>
                  <w:pPr>
                    <w:adjustRightInd w:val="0"/>
                    <w:snapToGrid w:val="0"/>
                    <w:jc w:val="center"/>
                    <w:rPr>
                      <w:color w:val="auto"/>
                      <w:szCs w:val="21"/>
                    </w:rPr>
                  </w:pPr>
                  <w:r>
                    <w:rPr>
                      <w:color w:val="auto"/>
                      <w:szCs w:val="21"/>
                    </w:rPr>
                    <w:t>昼间</w:t>
                  </w:r>
                </w:p>
              </w:tc>
              <w:tc>
                <w:tcPr>
                  <w:tcW w:w="2853" w:type="dxa"/>
                  <w:vAlign w:val="center"/>
                </w:tcPr>
                <w:p>
                  <w:pPr>
                    <w:adjustRightInd w:val="0"/>
                    <w:snapToGrid w:val="0"/>
                    <w:jc w:val="center"/>
                    <w:rPr>
                      <w:color w:val="auto"/>
                      <w:szCs w:val="21"/>
                    </w:rPr>
                  </w:pPr>
                  <w:r>
                    <w:rPr>
                      <w:color w:val="auto"/>
                      <w:szCs w:val="21"/>
                    </w:rPr>
                    <w:t>《工业企业厂界环境噪声排放标准》（GB12348-2008）3类标准</w:t>
                  </w:r>
                </w:p>
              </w:tc>
            </w:tr>
          </w:tbl>
          <w:p>
            <w:pPr>
              <w:adjustRightInd w:val="0"/>
              <w:snapToGrid w:val="0"/>
              <w:spacing w:line="360" w:lineRule="auto"/>
              <w:ind w:firstLine="420" w:firstLineChars="200"/>
              <w:rPr>
                <w:snapToGrid w:val="0"/>
                <w:color w:val="auto"/>
                <w:szCs w:val="30"/>
              </w:rPr>
            </w:pPr>
          </w:p>
        </w:tc>
      </w:tr>
    </w:tbl>
    <w:p>
      <w:pPr>
        <w:adjustRightInd w:val="0"/>
        <w:snapToGrid w:val="0"/>
        <w:jc w:val="center"/>
        <w:rPr>
          <w:bCs/>
          <w:color w:val="auto"/>
          <w:sz w:val="24"/>
        </w:rPr>
        <w:sectPr>
          <w:pgSz w:w="11906" w:h="16838"/>
          <w:pgMar w:top="1701" w:right="1531" w:bottom="1701" w:left="1531" w:header="851" w:footer="851" w:gutter="0"/>
          <w:cols w:space="720" w:num="1"/>
          <w:docGrid w:linePitch="312" w:charSpace="0"/>
        </w:sectPr>
      </w:pPr>
    </w:p>
    <w:tbl>
      <w:tblPr>
        <w:tblStyle w:val="2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8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3" w:hRule="atLeast"/>
          <w:jc w:val="center"/>
        </w:trPr>
        <w:tc>
          <w:tcPr>
            <w:tcW w:w="490" w:type="dxa"/>
          </w:tcPr>
          <w:p>
            <w:pPr>
              <w:pStyle w:val="26"/>
              <w:jc w:val="center"/>
              <w:outlineLvl w:val="0"/>
              <w:rPr>
                <w:rFonts w:ascii="Times New Roman" w:hAnsi="Times New Roman"/>
                <w:snapToGrid w:val="0"/>
                <w:color w:val="auto"/>
                <w:sz w:val="30"/>
                <w:szCs w:val="30"/>
              </w:rPr>
            </w:pPr>
          </w:p>
        </w:tc>
        <w:tc>
          <w:tcPr>
            <w:tcW w:w="8570" w:type="dxa"/>
          </w:tcPr>
          <w:p>
            <w:pPr>
              <w:adjustRightInd w:val="0"/>
              <w:snapToGrid w:val="0"/>
              <w:spacing w:before="120" w:beforeLines="50" w:line="360" w:lineRule="auto"/>
              <w:rPr>
                <w:b/>
                <w:bCs/>
                <w:color w:val="auto"/>
                <w:kern w:val="0"/>
                <w:sz w:val="24"/>
              </w:rPr>
            </w:pPr>
            <w:r>
              <w:rPr>
                <w:b/>
                <w:bCs/>
                <w:color w:val="auto"/>
                <w:kern w:val="0"/>
                <w:sz w:val="24"/>
              </w:rPr>
              <w:t>4、固体废物</w:t>
            </w:r>
          </w:p>
          <w:p>
            <w:pPr>
              <w:adjustRightInd w:val="0"/>
              <w:snapToGrid w:val="0"/>
              <w:spacing w:line="360" w:lineRule="auto"/>
              <w:ind w:firstLine="482" w:firstLineChars="200"/>
              <w:rPr>
                <w:b/>
                <w:bCs/>
                <w:snapToGrid w:val="0"/>
                <w:color w:val="auto"/>
                <w:kern w:val="0"/>
                <w:szCs w:val="21"/>
              </w:rPr>
            </w:pPr>
            <w:r>
              <w:rPr>
                <w:b/>
                <w:bCs/>
                <w:snapToGrid w:val="0"/>
                <w:color w:val="auto"/>
                <w:kern w:val="0"/>
                <w:sz w:val="24"/>
              </w:rPr>
              <w:t>（1）固体废物产生情况</w:t>
            </w:r>
          </w:p>
          <w:p>
            <w:pPr>
              <w:snapToGrid w:val="0"/>
              <w:spacing w:line="360" w:lineRule="auto"/>
              <w:ind w:firstLine="480" w:firstLineChars="200"/>
              <w:rPr>
                <w:rFonts w:eastAsiaTheme="minorEastAsia"/>
                <w:color w:val="auto"/>
                <w:sz w:val="24"/>
              </w:rPr>
            </w:pPr>
            <w:r>
              <w:rPr>
                <w:rFonts w:hint="eastAsia" w:ascii="宋体" w:hAnsi="宋体" w:cs="宋体"/>
                <w:color w:val="auto"/>
                <w:sz w:val="24"/>
                <w:lang w:eastAsia="ja-JP"/>
              </w:rPr>
              <w:t>①</w:t>
            </w:r>
            <w:r>
              <w:rPr>
                <w:color w:val="auto"/>
                <w:sz w:val="24"/>
                <w:lang w:eastAsia="ja-JP"/>
              </w:rPr>
              <w:t>废边角料</w:t>
            </w:r>
            <w:r>
              <w:rPr>
                <w:color w:val="auto"/>
                <w:sz w:val="24"/>
              </w:rPr>
              <w:t>：</w:t>
            </w:r>
            <w:r>
              <w:rPr>
                <w:rFonts w:hint="eastAsia"/>
                <w:color w:val="auto"/>
                <w:sz w:val="24"/>
              </w:rPr>
              <w:t>本项目</w:t>
            </w:r>
            <w:r>
              <w:rPr>
                <w:color w:val="auto"/>
                <w:sz w:val="24"/>
              </w:rPr>
              <w:t>裁纸过程会产生废边角料，根据企业提供资料，产生量约为10t/a。</w:t>
            </w:r>
          </w:p>
          <w:p>
            <w:pPr>
              <w:snapToGrid w:val="0"/>
              <w:spacing w:line="360" w:lineRule="auto"/>
              <w:ind w:firstLine="480" w:firstLineChars="200"/>
              <w:rPr>
                <w:color w:val="auto"/>
                <w:sz w:val="24"/>
              </w:rPr>
            </w:pPr>
            <w:r>
              <w:rPr>
                <w:rFonts w:hint="eastAsia" w:ascii="宋体" w:hAnsi="宋体" w:cs="宋体"/>
                <w:color w:val="auto"/>
                <w:sz w:val="24"/>
                <w:lang w:eastAsia="ja-JP"/>
              </w:rPr>
              <w:t>②</w:t>
            </w:r>
            <w:r>
              <w:rPr>
                <w:color w:val="auto"/>
                <w:sz w:val="24"/>
              </w:rPr>
              <w:t>不合格品</w:t>
            </w:r>
            <w:r>
              <w:rPr>
                <w:rFonts w:hint="eastAsia"/>
                <w:color w:val="auto"/>
                <w:sz w:val="24"/>
              </w:rPr>
              <w:t>：本项目检验包装</w:t>
            </w:r>
            <w:r>
              <w:rPr>
                <w:color w:val="auto"/>
                <w:sz w:val="24"/>
              </w:rPr>
              <w:t>过程</w:t>
            </w:r>
            <w:r>
              <w:rPr>
                <w:rFonts w:hint="eastAsia"/>
                <w:color w:val="auto"/>
                <w:sz w:val="24"/>
              </w:rPr>
              <w:t>会产生</w:t>
            </w:r>
            <w:r>
              <w:rPr>
                <w:color w:val="auto"/>
                <w:sz w:val="24"/>
              </w:rPr>
              <w:t>少量不合格品，根据企业提供资料，</w:t>
            </w:r>
            <w:r>
              <w:rPr>
                <w:rFonts w:hint="eastAsia"/>
                <w:color w:val="auto"/>
                <w:sz w:val="24"/>
              </w:rPr>
              <w:t>不合格品</w:t>
            </w:r>
            <w:r>
              <w:rPr>
                <w:color w:val="auto"/>
                <w:sz w:val="24"/>
              </w:rPr>
              <w:t>产生量</w:t>
            </w:r>
            <w:r>
              <w:rPr>
                <w:rFonts w:hint="eastAsia"/>
                <w:color w:val="auto"/>
                <w:sz w:val="24"/>
              </w:rPr>
              <w:t>约占</w:t>
            </w:r>
            <w:r>
              <w:rPr>
                <w:color w:val="auto"/>
                <w:sz w:val="24"/>
              </w:rPr>
              <w:t>产品产能的</w:t>
            </w:r>
            <w:r>
              <w:rPr>
                <w:rFonts w:hint="eastAsia"/>
                <w:color w:val="auto"/>
                <w:sz w:val="24"/>
              </w:rPr>
              <w:t>0.01%左右</w:t>
            </w:r>
            <w:r>
              <w:rPr>
                <w:color w:val="auto"/>
                <w:sz w:val="24"/>
              </w:rPr>
              <w:t>，</w:t>
            </w:r>
            <w:r>
              <w:rPr>
                <w:rFonts w:hint="eastAsia"/>
                <w:color w:val="auto"/>
                <w:sz w:val="24"/>
              </w:rPr>
              <w:t>即</w:t>
            </w:r>
            <w:r>
              <w:rPr>
                <w:color w:val="auto"/>
                <w:sz w:val="24"/>
              </w:rPr>
              <w:t>为360</w:t>
            </w:r>
            <w:r>
              <w:rPr>
                <w:rFonts w:hint="eastAsia"/>
                <w:color w:val="auto"/>
                <w:sz w:val="24"/>
              </w:rPr>
              <w:t>块饰面板</w:t>
            </w:r>
            <w:r>
              <w:rPr>
                <w:color w:val="auto"/>
                <w:sz w:val="24"/>
              </w:rPr>
              <w:t>，</w:t>
            </w:r>
            <w:r>
              <w:rPr>
                <w:rFonts w:hint="eastAsia"/>
                <w:color w:val="auto"/>
                <w:sz w:val="24"/>
              </w:rPr>
              <w:t>单块饰面板</w:t>
            </w:r>
            <w:r>
              <w:rPr>
                <w:color w:val="auto"/>
                <w:sz w:val="24"/>
              </w:rPr>
              <w:t>体积约为</w:t>
            </w:r>
            <w:r>
              <w:rPr>
                <w:rFonts w:hint="eastAsia"/>
                <w:color w:val="auto"/>
                <w:sz w:val="24"/>
              </w:rPr>
              <w:t>0.0268</w:t>
            </w:r>
            <w:r>
              <w:rPr>
                <w:color w:val="auto"/>
                <w:sz w:val="24"/>
              </w:rPr>
              <w:t>m</w:t>
            </w:r>
            <w:r>
              <w:rPr>
                <w:color w:val="auto"/>
                <w:sz w:val="24"/>
                <w:vertAlign w:val="superscript"/>
              </w:rPr>
              <w:t>3</w:t>
            </w:r>
            <w:r>
              <w:rPr>
                <w:rFonts w:hint="eastAsia"/>
                <w:color w:val="auto"/>
                <w:sz w:val="24"/>
              </w:rPr>
              <w:t>，木材</w:t>
            </w:r>
            <w:r>
              <w:rPr>
                <w:color w:val="auto"/>
                <w:sz w:val="24"/>
              </w:rPr>
              <w:t>密度</w:t>
            </w:r>
            <w:r>
              <w:rPr>
                <w:rFonts w:hint="eastAsia"/>
                <w:color w:val="auto"/>
                <w:sz w:val="24"/>
                <w:lang w:val="en-US" w:eastAsia="zh-CN"/>
              </w:rPr>
              <w:t>平均</w:t>
            </w:r>
            <w:r>
              <w:rPr>
                <w:rFonts w:hint="eastAsia"/>
                <w:color w:val="auto"/>
                <w:sz w:val="24"/>
              </w:rPr>
              <w:t>以</w:t>
            </w:r>
            <w:r>
              <w:rPr>
                <w:color w:val="auto"/>
                <w:sz w:val="24"/>
              </w:rPr>
              <w:t>5</w:t>
            </w:r>
            <w:r>
              <w:rPr>
                <w:rFonts w:hint="eastAsia"/>
                <w:color w:val="auto"/>
                <w:sz w:val="24"/>
              </w:rPr>
              <w:t>00</w:t>
            </w:r>
            <w:r>
              <w:rPr>
                <w:color w:val="auto"/>
                <w:sz w:val="24"/>
              </w:rPr>
              <w:t>kg/m</w:t>
            </w:r>
            <w:r>
              <w:rPr>
                <w:color w:val="auto"/>
                <w:sz w:val="24"/>
                <w:vertAlign w:val="superscript"/>
              </w:rPr>
              <w:t>3</w:t>
            </w:r>
            <w:r>
              <w:rPr>
                <w:rFonts w:hint="eastAsia"/>
                <w:color w:val="auto"/>
                <w:sz w:val="24"/>
              </w:rPr>
              <w:t>计</w:t>
            </w:r>
            <w:r>
              <w:rPr>
                <w:color w:val="auto"/>
                <w:sz w:val="24"/>
              </w:rPr>
              <w:t>，</w:t>
            </w:r>
            <w:r>
              <w:rPr>
                <w:rFonts w:hint="eastAsia"/>
                <w:color w:val="auto"/>
                <w:sz w:val="24"/>
              </w:rPr>
              <w:t>则</w:t>
            </w:r>
            <w:r>
              <w:rPr>
                <w:color w:val="auto"/>
                <w:sz w:val="24"/>
              </w:rPr>
              <w:t>不合格品产生量约为</w:t>
            </w:r>
            <w:r>
              <w:rPr>
                <w:rFonts w:hint="eastAsia"/>
                <w:color w:val="auto"/>
                <w:sz w:val="24"/>
              </w:rPr>
              <w:t>5</w:t>
            </w:r>
            <w:r>
              <w:rPr>
                <w:color w:val="auto"/>
                <w:sz w:val="24"/>
              </w:rPr>
              <w:t>t/a。</w:t>
            </w:r>
          </w:p>
          <w:p>
            <w:pPr>
              <w:snapToGrid w:val="0"/>
              <w:spacing w:line="360" w:lineRule="auto"/>
              <w:ind w:firstLine="480" w:firstLineChars="200"/>
              <w:rPr>
                <w:color w:val="auto"/>
                <w:sz w:val="24"/>
              </w:rPr>
            </w:pPr>
            <w:r>
              <w:rPr>
                <w:rFonts w:hint="eastAsia" w:ascii="宋体" w:hAnsi="宋体" w:cs="宋体"/>
                <w:color w:val="auto"/>
                <w:sz w:val="24"/>
                <w:lang w:eastAsia="ja-JP"/>
              </w:rPr>
              <w:t>③</w:t>
            </w:r>
            <w:r>
              <w:rPr>
                <w:color w:val="auto"/>
                <w:sz w:val="24"/>
              </w:rPr>
              <w:t>废包装袋：</w:t>
            </w:r>
            <w:r>
              <w:rPr>
                <w:rFonts w:hint="eastAsia"/>
                <w:color w:val="auto"/>
                <w:sz w:val="24"/>
              </w:rPr>
              <w:t>本项目</w:t>
            </w:r>
            <w:r>
              <w:rPr>
                <w:color w:val="auto"/>
                <w:sz w:val="24"/>
              </w:rPr>
              <w:t>浸胶纸使用后会产生废包装袋，根据企业提供资料，产生量约为0.5t/a。</w:t>
            </w:r>
          </w:p>
          <w:p>
            <w:pPr>
              <w:snapToGrid w:val="0"/>
              <w:spacing w:line="360" w:lineRule="auto"/>
              <w:ind w:firstLine="480" w:firstLineChars="200"/>
              <w:rPr>
                <w:rFonts w:hint="default" w:eastAsia="宋体"/>
                <w:color w:val="auto"/>
                <w:sz w:val="24"/>
                <w:lang w:val="en-US" w:eastAsia="zh-CN"/>
              </w:rPr>
            </w:pPr>
            <w:r>
              <w:rPr>
                <w:rFonts w:hint="eastAsia" w:ascii="宋体" w:hAnsi="宋体" w:cs="宋体"/>
                <w:color w:val="auto"/>
                <w:sz w:val="24"/>
                <w:lang w:eastAsia="ja-JP"/>
              </w:rPr>
              <w:t>④</w:t>
            </w:r>
            <w:r>
              <w:rPr>
                <w:color w:val="auto"/>
                <w:sz w:val="24"/>
              </w:rPr>
              <w:t>废活性炭</w:t>
            </w:r>
            <w:r>
              <w:rPr>
                <w:rFonts w:hint="eastAsia"/>
                <w:color w:val="auto"/>
                <w:sz w:val="24"/>
              </w:rPr>
              <w:t>：</w:t>
            </w:r>
            <w:r>
              <w:rPr>
                <w:color w:val="auto"/>
                <w:sz w:val="24"/>
              </w:rPr>
              <w:t>本项目</w:t>
            </w:r>
            <w:r>
              <w:rPr>
                <w:rFonts w:hint="eastAsia"/>
                <w:color w:val="auto"/>
                <w:sz w:val="24"/>
              </w:rPr>
              <w:t>饰面板生产线</w:t>
            </w:r>
            <w:r>
              <w:rPr>
                <w:rFonts w:hint="eastAsia"/>
                <w:color w:val="auto"/>
                <w:sz w:val="24"/>
                <w:lang w:val="en-US" w:eastAsia="zh-CN"/>
              </w:rPr>
              <w:t>热压废气经收集后进活性炭吸附装置处理；同时，公司危废仓库主要储存废导热油、废液压油、废活性炭等，均采用包装桶或包装袋密闭储存，储存过程废气产生量极小，为响应</w:t>
            </w:r>
            <w:r>
              <w:rPr>
                <w:rFonts w:hint="eastAsia"/>
                <w:b w:val="0"/>
                <w:bCs w:val="0"/>
                <w:color w:val="auto"/>
                <w:sz w:val="24"/>
              </w:rPr>
              <w:t>《危险废物贮存污染控制标准》（GB18597-2023）</w:t>
            </w:r>
            <w:r>
              <w:rPr>
                <w:rFonts w:hint="eastAsia"/>
                <w:b w:val="0"/>
                <w:bCs w:val="0"/>
                <w:color w:val="auto"/>
                <w:sz w:val="24"/>
                <w:lang w:val="en-US" w:eastAsia="zh-CN"/>
              </w:rPr>
              <w:t>要求，危废仓库废气经收集后引入活性炭吸附装置处理，定期更换产生废活性炭。</w:t>
            </w:r>
          </w:p>
          <w:p>
            <w:pPr>
              <w:pStyle w:val="118"/>
              <w:widowControl/>
              <w:numPr>
                <w:ilvl w:val="-1"/>
                <w:numId w:val="0"/>
              </w:numPr>
              <w:adjustRightInd w:val="0"/>
              <w:spacing w:line="360" w:lineRule="auto"/>
              <w:ind w:firstLine="480" w:firstLineChars="200"/>
              <w:jc w:val="left"/>
              <w:rPr>
                <w:rFonts w:eastAsia="宋体"/>
                <w:color w:val="auto"/>
                <w:sz w:val="24"/>
                <w:szCs w:val="24"/>
              </w:rPr>
            </w:pPr>
            <w:r>
              <w:rPr>
                <w:rFonts w:eastAsia="宋体"/>
                <w:color w:val="auto"/>
                <w:kern w:val="2"/>
                <w:sz w:val="24"/>
                <w:szCs w:val="24"/>
              </w:rPr>
              <w:t>根据《省生态环境厅关于将排污单位活性炭使用更换纳入排污许可管理的通知</w:t>
            </w:r>
            <w:r>
              <w:rPr>
                <w:rFonts w:eastAsia="宋体"/>
                <w:color w:val="auto"/>
                <w:sz w:val="24"/>
                <w:szCs w:val="24"/>
              </w:rPr>
              <w:t>》（苏环办〔2021〕218号）活性炭更换</w:t>
            </w:r>
            <w:r>
              <w:rPr>
                <w:rFonts w:hint="eastAsia" w:eastAsia="宋体"/>
                <w:color w:val="auto"/>
                <w:sz w:val="24"/>
                <w:szCs w:val="24"/>
              </w:rPr>
              <w:t>周期</w:t>
            </w:r>
            <w:r>
              <w:rPr>
                <w:rFonts w:eastAsia="宋体"/>
                <w:color w:val="auto"/>
                <w:sz w:val="24"/>
                <w:szCs w:val="24"/>
              </w:rPr>
              <w:t>计算公式：</w:t>
            </w:r>
          </w:p>
          <w:p>
            <w:pPr>
              <w:pStyle w:val="118"/>
              <w:widowControl/>
              <w:adjustRightInd w:val="0"/>
              <w:spacing w:line="360" w:lineRule="auto"/>
              <w:rPr>
                <w:rFonts w:eastAsia="宋体"/>
                <w:color w:val="auto"/>
                <w:sz w:val="24"/>
                <w:szCs w:val="24"/>
              </w:rPr>
            </w:pPr>
            <w:r>
              <w:rPr>
                <w:rFonts w:eastAsia="宋体"/>
                <w:color w:val="auto"/>
                <w:sz w:val="24"/>
                <w:szCs w:val="24"/>
              </w:rPr>
              <w:t>T=m×s÷（c×10</w:t>
            </w:r>
            <w:r>
              <w:rPr>
                <w:rFonts w:eastAsia="宋体"/>
                <w:color w:val="auto"/>
                <w:sz w:val="24"/>
                <w:szCs w:val="24"/>
                <w:vertAlign w:val="superscript"/>
              </w:rPr>
              <w:t>-6</w:t>
            </w:r>
            <w:r>
              <w:rPr>
                <w:rFonts w:eastAsia="宋体"/>
                <w:color w:val="auto"/>
                <w:sz w:val="24"/>
                <w:szCs w:val="24"/>
              </w:rPr>
              <w:t>×Q×t）</w:t>
            </w:r>
          </w:p>
          <w:p>
            <w:pPr>
              <w:pStyle w:val="118"/>
              <w:widowControl/>
              <w:adjustRightInd w:val="0"/>
              <w:spacing w:line="360" w:lineRule="auto"/>
              <w:ind w:firstLine="480" w:firstLineChars="200"/>
              <w:jc w:val="left"/>
              <w:rPr>
                <w:rFonts w:eastAsia="宋体"/>
                <w:color w:val="auto"/>
                <w:sz w:val="24"/>
                <w:szCs w:val="24"/>
              </w:rPr>
            </w:pPr>
            <w:r>
              <w:rPr>
                <w:rFonts w:eastAsia="宋体"/>
                <w:color w:val="auto"/>
                <w:sz w:val="24"/>
                <w:szCs w:val="24"/>
              </w:rPr>
              <w:t>式中：T—更换周期，天；</w:t>
            </w:r>
          </w:p>
          <w:p>
            <w:pPr>
              <w:pStyle w:val="118"/>
              <w:widowControl/>
              <w:adjustRightInd w:val="0"/>
              <w:spacing w:line="360" w:lineRule="auto"/>
              <w:ind w:firstLine="1200" w:firstLineChars="500"/>
              <w:jc w:val="left"/>
              <w:rPr>
                <w:rFonts w:eastAsia="宋体"/>
                <w:color w:val="auto"/>
                <w:sz w:val="24"/>
                <w:szCs w:val="24"/>
              </w:rPr>
            </w:pPr>
            <w:r>
              <w:rPr>
                <w:rFonts w:eastAsia="宋体"/>
                <w:color w:val="auto"/>
                <w:sz w:val="24"/>
                <w:szCs w:val="24"/>
              </w:rPr>
              <w:t>m—活性炭的用量，kg；</w:t>
            </w:r>
          </w:p>
          <w:p>
            <w:pPr>
              <w:pStyle w:val="118"/>
              <w:widowControl/>
              <w:adjustRightInd w:val="0"/>
              <w:spacing w:line="360" w:lineRule="auto"/>
              <w:ind w:firstLine="1200" w:firstLineChars="500"/>
              <w:jc w:val="left"/>
              <w:rPr>
                <w:rFonts w:eastAsia="宋体"/>
                <w:color w:val="auto"/>
                <w:sz w:val="24"/>
                <w:szCs w:val="24"/>
              </w:rPr>
            </w:pPr>
            <w:r>
              <w:rPr>
                <w:rFonts w:eastAsia="宋体"/>
                <w:color w:val="auto"/>
                <w:sz w:val="24"/>
                <w:szCs w:val="24"/>
              </w:rPr>
              <w:t>s—动态吸附量，%；</w:t>
            </w:r>
          </w:p>
          <w:p>
            <w:pPr>
              <w:pStyle w:val="118"/>
              <w:widowControl/>
              <w:adjustRightInd w:val="0"/>
              <w:spacing w:line="360" w:lineRule="auto"/>
              <w:ind w:firstLine="1200" w:firstLineChars="500"/>
              <w:jc w:val="left"/>
              <w:rPr>
                <w:rFonts w:eastAsia="宋体"/>
                <w:color w:val="auto"/>
                <w:sz w:val="24"/>
                <w:szCs w:val="24"/>
              </w:rPr>
            </w:pPr>
            <w:r>
              <w:rPr>
                <w:rFonts w:eastAsia="宋体"/>
                <w:color w:val="auto"/>
                <w:sz w:val="24"/>
                <w:szCs w:val="24"/>
              </w:rPr>
              <w:t>c—活性炭削减的</w:t>
            </w:r>
            <w:r>
              <w:rPr>
                <w:rFonts w:hint="eastAsia" w:eastAsia="宋体"/>
                <w:color w:val="auto"/>
                <w:sz w:val="24"/>
                <w:szCs w:val="24"/>
              </w:rPr>
              <w:t>非甲烷总烃</w:t>
            </w:r>
            <w:r>
              <w:rPr>
                <w:rFonts w:eastAsia="宋体"/>
                <w:color w:val="auto"/>
                <w:sz w:val="24"/>
                <w:szCs w:val="24"/>
              </w:rPr>
              <w:t>浓度，mg/m</w:t>
            </w:r>
            <w:r>
              <w:rPr>
                <w:rFonts w:eastAsia="宋体"/>
                <w:color w:val="auto"/>
                <w:sz w:val="24"/>
                <w:szCs w:val="24"/>
                <w:vertAlign w:val="superscript"/>
              </w:rPr>
              <w:t>3</w:t>
            </w:r>
            <w:r>
              <w:rPr>
                <w:rFonts w:eastAsia="宋体"/>
                <w:color w:val="auto"/>
                <w:sz w:val="24"/>
                <w:szCs w:val="24"/>
              </w:rPr>
              <w:t>；</w:t>
            </w:r>
          </w:p>
          <w:p>
            <w:pPr>
              <w:pStyle w:val="118"/>
              <w:widowControl/>
              <w:adjustRightInd w:val="0"/>
              <w:spacing w:line="360" w:lineRule="auto"/>
              <w:ind w:firstLine="1200" w:firstLineChars="500"/>
              <w:jc w:val="left"/>
              <w:rPr>
                <w:rFonts w:eastAsia="宋体"/>
                <w:color w:val="auto"/>
                <w:sz w:val="24"/>
                <w:szCs w:val="24"/>
              </w:rPr>
            </w:pPr>
            <w:r>
              <w:rPr>
                <w:rFonts w:eastAsia="宋体"/>
                <w:color w:val="auto"/>
                <w:sz w:val="24"/>
                <w:szCs w:val="24"/>
              </w:rPr>
              <w:t>Q—风量，单位m</w:t>
            </w:r>
            <w:r>
              <w:rPr>
                <w:rFonts w:eastAsia="宋体"/>
                <w:color w:val="auto"/>
                <w:sz w:val="24"/>
                <w:szCs w:val="24"/>
                <w:vertAlign w:val="superscript"/>
              </w:rPr>
              <w:t>3</w:t>
            </w:r>
            <w:r>
              <w:rPr>
                <w:rFonts w:eastAsia="宋体"/>
                <w:color w:val="auto"/>
                <w:sz w:val="24"/>
                <w:szCs w:val="24"/>
              </w:rPr>
              <w:t>/h；</w:t>
            </w:r>
          </w:p>
          <w:p>
            <w:pPr>
              <w:pStyle w:val="118"/>
              <w:widowControl/>
              <w:adjustRightInd w:val="0"/>
              <w:spacing w:line="360" w:lineRule="auto"/>
              <w:ind w:firstLine="1200" w:firstLineChars="500"/>
              <w:jc w:val="left"/>
              <w:rPr>
                <w:rFonts w:eastAsia="宋体"/>
                <w:color w:val="auto"/>
                <w:sz w:val="24"/>
                <w:szCs w:val="24"/>
              </w:rPr>
            </w:pPr>
            <w:r>
              <w:rPr>
                <w:rFonts w:eastAsia="宋体"/>
                <w:color w:val="auto"/>
                <w:sz w:val="24"/>
                <w:szCs w:val="24"/>
              </w:rPr>
              <w:t>t—运行时间，单位h/d。</w:t>
            </w:r>
          </w:p>
          <w:p>
            <w:pPr>
              <w:pStyle w:val="118"/>
              <w:widowControl/>
              <w:adjustRightInd w:val="0"/>
              <w:spacing w:line="240" w:lineRule="auto"/>
              <w:rPr>
                <w:rFonts w:eastAsia="宋体"/>
                <w:b/>
                <w:bCs/>
                <w:color w:val="auto"/>
                <w:sz w:val="24"/>
                <w:szCs w:val="24"/>
              </w:rPr>
            </w:pPr>
            <w:r>
              <w:rPr>
                <w:rFonts w:hint="eastAsia" w:eastAsia="宋体"/>
                <w:b/>
                <w:bCs/>
                <w:color w:val="auto"/>
                <w:sz w:val="24"/>
                <w:szCs w:val="24"/>
              </w:rPr>
              <w:t>表4-</w:t>
            </w:r>
            <w:r>
              <w:rPr>
                <w:rFonts w:hint="eastAsia" w:eastAsia="宋体"/>
                <w:b/>
                <w:bCs/>
                <w:color w:val="auto"/>
                <w:sz w:val="24"/>
                <w:szCs w:val="24"/>
                <w:lang w:val="en-US" w:eastAsia="zh-CN"/>
              </w:rPr>
              <w:t>14</w:t>
            </w:r>
            <w:r>
              <w:rPr>
                <w:rFonts w:hint="eastAsia" w:eastAsia="宋体"/>
                <w:b/>
                <w:bCs/>
                <w:color w:val="auto"/>
                <w:sz w:val="24"/>
                <w:szCs w:val="24"/>
              </w:rPr>
              <w:t xml:space="preserve">  本项目活性炭更换周期表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027"/>
              <w:gridCol w:w="1053"/>
              <w:gridCol w:w="1497"/>
              <w:gridCol w:w="990"/>
              <w:gridCol w:w="1150"/>
              <w:gridCol w:w="1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pct"/>
                  <w:vAlign w:val="center"/>
                </w:tcPr>
                <w:p>
                  <w:pPr>
                    <w:autoSpaceDE w:val="0"/>
                    <w:autoSpaceDN w:val="0"/>
                    <w:snapToGrid w:val="0"/>
                    <w:jc w:val="center"/>
                    <w:rPr>
                      <w:b/>
                      <w:color w:val="auto"/>
                      <w:kern w:val="0"/>
                      <w:szCs w:val="21"/>
                      <w:lang w:bidi="ar"/>
                    </w:rPr>
                  </w:pPr>
                  <w:r>
                    <w:rPr>
                      <w:b/>
                      <w:color w:val="auto"/>
                      <w:kern w:val="0"/>
                      <w:szCs w:val="21"/>
                      <w:lang w:bidi="ar"/>
                    </w:rPr>
                    <w:t>名称</w:t>
                  </w:r>
                </w:p>
              </w:tc>
              <w:tc>
                <w:tcPr>
                  <w:tcW w:w="615" w:type="pct"/>
                  <w:vAlign w:val="center"/>
                </w:tcPr>
                <w:p>
                  <w:pPr>
                    <w:autoSpaceDE w:val="0"/>
                    <w:autoSpaceDN w:val="0"/>
                    <w:snapToGrid w:val="0"/>
                    <w:jc w:val="center"/>
                    <w:rPr>
                      <w:b/>
                      <w:color w:val="auto"/>
                      <w:szCs w:val="21"/>
                    </w:rPr>
                  </w:pPr>
                  <w:r>
                    <w:rPr>
                      <w:b/>
                      <w:color w:val="auto"/>
                      <w:kern w:val="0"/>
                      <w:szCs w:val="21"/>
                      <w:lang w:bidi="ar"/>
                    </w:rPr>
                    <w:t>活性炭用量（kg）</w:t>
                  </w:r>
                </w:p>
              </w:tc>
              <w:tc>
                <w:tcPr>
                  <w:tcW w:w="631" w:type="pct"/>
                  <w:vAlign w:val="center"/>
                </w:tcPr>
                <w:p>
                  <w:pPr>
                    <w:autoSpaceDE w:val="0"/>
                    <w:autoSpaceDN w:val="0"/>
                    <w:snapToGrid w:val="0"/>
                    <w:jc w:val="center"/>
                    <w:rPr>
                      <w:b/>
                      <w:color w:val="auto"/>
                      <w:szCs w:val="21"/>
                    </w:rPr>
                  </w:pPr>
                  <w:r>
                    <w:rPr>
                      <w:b/>
                      <w:color w:val="auto"/>
                      <w:kern w:val="0"/>
                      <w:szCs w:val="21"/>
                      <w:lang w:bidi="ar"/>
                    </w:rPr>
                    <w:t>动态吸附量（%）</w:t>
                  </w:r>
                </w:p>
              </w:tc>
              <w:tc>
                <w:tcPr>
                  <w:tcW w:w="897" w:type="pct"/>
                  <w:vAlign w:val="center"/>
                </w:tcPr>
                <w:p>
                  <w:pPr>
                    <w:autoSpaceDE w:val="0"/>
                    <w:autoSpaceDN w:val="0"/>
                    <w:snapToGrid w:val="0"/>
                    <w:jc w:val="center"/>
                    <w:rPr>
                      <w:b/>
                      <w:color w:val="auto"/>
                      <w:szCs w:val="21"/>
                    </w:rPr>
                  </w:pPr>
                  <w:r>
                    <w:rPr>
                      <w:b/>
                      <w:color w:val="auto"/>
                      <w:kern w:val="0"/>
                      <w:szCs w:val="21"/>
                      <w:lang w:bidi="ar"/>
                    </w:rPr>
                    <w:t>活性炭削减非甲烷总烃浓度（mg/m</w:t>
                  </w:r>
                  <w:r>
                    <w:rPr>
                      <w:b/>
                      <w:color w:val="auto"/>
                      <w:kern w:val="0"/>
                      <w:szCs w:val="21"/>
                      <w:vertAlign w:val="superscript"/>
                      <w:lang w:bidi="ar"/>
                    </w:rPr>
                    <w:t>3</w:t>
                  </w:r>
                  <w:r>
                    <w:rPr>
                      <w:b/>
                      <w:color w:val="auto"/>
                      <w:kern w:val="0"/>
                      <w:szCs w:val="21"/>
                      <w:lang w:bidi="ar"/>
                    </w:rPr>
                    <w:t>）</w:t>
                  </w:r>
                </w:p>
              </w:tc>
              <w:tc>
                <w:tcPr>
                  <w:tcW w:w="593" w:type="pct"/>
                  <w:vAlign w:val="center"/>
                </w:tcPr>
                <w:p>
                  <w:pPr>
                    <w:autoSpaceDE w:val="0"/>
                    <w:autoSpaceDN w:val="0"/>
                    <w:snapToGrid w:val="0"/>
                    <w:jc w:val="center"/>
                    <w:rPr>
                      <w:b/>
                      <w:color w:val="auto"/>
                      <w:szCs w:val="21"/>
                    </w:rPr>
                  </w:pPr>
                  <w:r>
                    <w:rPr>
                      <w:b/>
                      <w:color w:val="auto"/>
                      <w:kern w:val="0"/>
                      <w:szCs w:val="21"/>
                      <w:lang w:bidi="ar"/>
                    </w:rPr>
                    <w:t>风量（m</w:t>
                  </w:r>
                  <w:r>
                    <w:rPr>
                      <w:b/>
                      <w:color w:val="auto"/>
                      <w:kern w:val="0"/>
                      <w:szCs w:val="21"/>
                      <w:vertAlign w:val="superscript"/>
                      <w:lang w:bidi="ar"/>
                    </w:rPr>
                    <w:t>3</w:t>
                  </w:r>
                  <w:r>
                    <w:rPr>
                      <w:b/>
                      <w:color w:val="auto"/>
                      <w:kern w:val="0"/>
                      <w:szCs w:val="21"/>
                      <w:lang w:bidi="ar"/>
                    </w:rPr>
                    <w:t>/h）</w:t>
                  </w:r>
                </w:p>
              </w:tc>
              <w:tc>
                <w:tcPr>
                  <w:tcW w:w="689" w:type="pct"/>
                  <w:vAlign w:val="center"/>
                </w:tcPr>
                <w:p>
                  <w:pPr>
                    <w:autoSpaceDE w:val="0"/>
                    <w:autoSpaceDN w:val="0"/>
                    <w:snapToGrid w:val="0"/>
                    <w:jc w:val="center"/>
                    <w:rPr>
                      <w:b/>
                      <w:color w:val="auto"/>
                      <w:szCs w:val="21"/>
                    </w:rPr>
                  </w:pPr>
                  <w:r>
                    <w:rPr>
                      <w:b/>
                      <w:color w:val="auto"/>
                      <w:kern w:val="0"/>
                      <w:szCs w:val="21"/>
                      <w:lang w:bidi="ar"/>
                    </w:rPr>
                    <w:t>运行时间（h/d</w:t>
                  </w:r>
                  <w:r>
                    <w:rPr>
                      <w:rFonts w:hint="eastAsia"/>
                      <w:b/>
                      <w:color w:val="auto"/>
                      <w:kern w:val="0"/>
                      <w:szCs w:val="21"/>
                      <w:lang w:bidi="ar"/>
                    </w:rPr>
                    <w:t>）</w:t>
                  </w:r>
                </w:p>
              </w:tc>
              <w:tc>
                <w:tcPr>
                  <w:tcW w:w="645" w:type="pct"/>
                  <w:vAlign w:val="center"/>
                </w:tcPr>
                <w:p>
                  <w:pPr>
                    <w:autoSpaceDE w:val="0"/>
                    <w:autoSpaceDN w:val="0"/>
                    <w:snapToGrid w:val="0"/>
                    <w:jc w:val="center"/>
                    <w:rPr>
                      <w:b/>
                      <w:color w:val="auto"/>
                      <w:szCs w:val="21"/>
                    </w:rPr>
                  </w:pPr>
                  <w:r>
                    <w:rPr>
                      <w:b/>
                      <w:color w:val="auto"/>
                      <w:kern w:val="0"/>
                      <w:szCs w:val="21"/>
                      <w:lang w:bidi="ar"/>
                    </w:rPr>
                    <w:t>更换周期（天）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pct"/>
                  <w:vAlign w:val="center"/>
                </w:tcPr>
                <w:p>
                  <w:pPr>
                    <w:autoSpaceDE w:val="0"/>
                    <w:autoSpaceDN w:val="0"/>
                    <w:snapToGrid w:val="0"/>
                    <w:jc w:val="center"/>
                    <w:rPr>
                      <w:color w:val="auto"/>
                      <w:kern w:val="0"/>
                      <w:szCs w:val="21"/>
                      <w:lang w:bidi="ar"/>
                    </w:rPr>
                  </w:pPr>
                  <w:r>
                    <w:rPr>
                      <w:color w:val="auto"/>
                      <w:kern w:val="0"/>
                      <w:szCs w:val="21"/>
                      <w:lang w:bidi="ar"/>
                    </w:rPr>
                    <w:t>DA001排气筒</w:t>
                  </w:r>
                </w:p>
              </w:tc>
              <w:tc>
                <w:tcPr>
                  <w:tcW w:w="615" w:type="pct"/>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2550</w:t>
                  </w:r>
                </w:p>
              </w:tc>
              <w:tc>
                <w:tcPr>
                  <w:tcW w:w="631" w:type="pct"/>
                  <w:vAlign w:val="center"/>
                </w:tcPr>
                <w:p>
                  <w:pPr>
                    <w:widowControl/>
                    <w:jc w:val="center"/>
                    <w:textAlignment w:val="center"/>
                    <w:rPr>
                      <w:color w:val="auto"/>
                      <w:szCs w:val="21"/>
                    </w:rPr>
                  </w:pPr>
                  <w:r>
                    <w:rPr>
                      <w:rFonts w:hint="eastAsia" w:eastAsia="等线"/>
                      <w:color w:val="auto"/>
                      <w:kern w:val="0"/>
                      <w:szCs w:val="21"/>
                      <w:lang w:val="en-US" w:eastAsia="zh-CN" w:bidi="ar"/>
                    </w:rPr>
                    <w:t>1</w:t>
                  </w:r>
                  <w:r>
                    <w:rPr>
                      <w:rFonts w:eastAsia="等线"/>
                      <w:color w:val="auto"/>
                      <w:kern w:val="0"/>
                      <w:szCs w:val="21"/>
                      <w:lang w:bidi="ar"/>
                    </w:rPr>
                    <w:t>0%</w:t>
                  </w:r>
                </w:p>
              </w:tc>
              <w:tc>
                <w:tcPr>
                  <w:tcW w:w="897" w:type="pct"/>
                  <w:vAlign w:val="center"/>
                </w:tcPr>
                <w:p>
                  <w:pPr>
                    <w:widowControl/>
                    <w:jc w:val="center"/>
                    <w:textAlignment w:val="center"/>
                    <w:rPr>
                      <w:rFonts w:hint="default"/>
                      <w:color w:val="auto"/>
                      <w:szCs w:val="21"/>
                      <w:lang w:val="en-US"/>
                    </w:rPr>
                  </w:pPr>
                  <w:r>
                    <w:rPr>
                      <w:rFonts w:hint="eastAsia" w:eastAsia="等线"/>
                      <w:color w:val="auto"/>
                      <w:kern w:val="0"/>
                      <w:szCs w:val="21"/>
                      <w:lang w:val="en-US" w:eastAsia="zh-CN" w:bidi="ar"/>
                    </w:rPr>
                    <w:t>19.29</w:t>
                  </w:r>
                </w:p>
              </w:tc>
              <w:tc>
                <w:tcPr>
                  <w:tcW w:w="593" w:type="pct"/>
                  <w:vAlign w:val="center"/>
                </w:tcPr>
                <w:p>
                  <w:pPr>
                    <w:widowControl/>
                    <w:jc w:val="center"/>
                    <w:textAlignment w:val="center"/>
                    <w:rPr>
                      <w:color w:val="auto"/>
                      <w:szCs w:val="21"/>
                    </w:rPr>
                  </w:pPr>
                  <w:r>
                    <w:rPr>
                      <w:rFonts w:hint="eastAsia" w:eastAsia="等线"/>
                      <w:color w:val="auto"/>
                      <w:kern w:val="0"/>
                      <w:szCs w:val="21"/>
                      <w:lang w:val="en-US" w:eastAsia="zh-CN" w:bidi="ar"/>
                    </w:rPr>
                    <w:t>25</w:t>
                  </w:r>
                  <w:r>
                    <w:rPr>
                      <w:rFonts w:eastAsia="等线"/>
                      <w:color w:val="auto"/>
                      <w:kern w:val="0"/>
                      <w:szCs w:val="21"/>
                      <w:lang w:bidi="ar"/>
                    </w:rPr>
                    <w:t>000</w:t>
                  </w:r>
                </w:p>
              </w:tc>
              <w:tc>
                <w:tcPr>
                  <w:tcW w:w="689" w:type="pct"/>
                  <w:vAlign w:val="center"/>
                </w:tcPr>
                <w:p>
                  <w:pPr>
                    <w:widowControl/>
                    <w:jc w:val="center"/>
                    <w:textAlignment w:val="center"/>
                    <w:rPr>
                      <w:rFonts w:hint="eastAsia" w:eastAsia="等线"/>
                      <w:color w:val="auto"/>
                      <w:szCs w:val="21"/>
                      <w:lang w:eastAsia="zh-CN"/>
                    </w:rPr>
                  </w:pPr>
                  <w:r>
                    <w:rPr>
                      <w:rFonts w:hint="eastAsia" w:eastAsia="等线"/>
                      <w:color w:val="auto"/>
                      <w:kern w:val="0"/>
                      <w:szCs w:val="21"/>
                      <w:lang w:val="en-US" w:eastAsia="zh-CN" w:bidi="ar"/>
                    </w:rPr>
                    <w:t>8</w:t>
                  </w:r>
                </w:p>
              </w:tc>
              <w:tc>
                <w:tcPr>
                  <w:tcW w:w="645" w:type="pct"/>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66</w:t>
                  </w:r>
                </w:p>
              </w:tc>
            </w:tr>
          </w:tbl>
          <w:p>
            <w:pPr>
              <w:snapToGrid w:val="0"/>
              <w:spacing w:line="360" w:lineRule="auto"/>
              <w:ind w:firstLine="480" w:firstLineChars="200"/>
              <w:rPr>
                <w:color w:val="auto"/>
                <w:sz w:val="24"/>
              </w:rPr>
            </w:pPr>
            <w:r>
              <w:rPr>
                <w:rFonts w:hint="eastAsia"/>
                <w:color w:val="auto"/>
                <w:sz w:val="24"/>
              </w:rPr>
              <w:t>经上表计算</w:t>
            </w:r>
            <w:r>
              <w:rPr>
                <w:color w:val="auto"/>
                <w:sz w:val="24"/>
              </w:rPr>
              <w:t>，</w:t>
            </w:r>
            <w:r>
              <w:rPr>
                <w:rFonts w:hint="eastAsia"/>
                <w:color w:val="auto"/>
                <w:sz w:val="24"/>
              </w:rPr>
              <w:t>本项目</w:t>
            </w:r>
            <w:r>
              <w:rPr>
                <w:color w:val="auto"/>
                <w:sz w:val="24"/>
              </w:rPr>
              <w:t>DA001</w:t>
            </w:r>
            <w:r>
              <w:rPr>
                <w:rFonts w:hint="eastAsia"/>
                <w:color w:val="auto"/>
                <w:kern w:val="0"/>
                <w:sz w:val="24"/>
                <w:lang w:bidi="ar"/>
              </w:rPr>
              <w:t>配套活性炭装填量为</w:t>
            </w:r>
            <w:r>
              <w:rPr>
                <w:rFonts w:hint="eastAsia"/>
                <w:color w:val="auto"/>
                <w:kern w:val="0"/>
                <w:sz w:val="24"/>
                <w:lang w:val="en-US" w:eastAsia="zh-CN" w:bidi="ar"/>
              </w:rPr>
              <w:t>2550</w:t>
            </w:r>
            <w:r>
              <w:rPr>
                <w:rFonts w:hint="eastAsia"/>
                <w:color w:val="auto"/>
                <w:kern w:val="0"/>
                <w:sz w:val="24"/>
                <w:lang w:bidi="ar"/>
              </w:rPr>
              <w:t>kg，活性炭更换周期为</w:t>
            </w:r>
            <w:r>
              <w:rPr>
                <w:rFonts w:hint="eastAsia"/>
                <w:color w:val="auto"/>
                <w:kern w:val="0"/>
                <w:sz w:val="24"/>
                <w:lang w:val="en-US" w:eastAsia="zh-CN" w:bidi="ar"/>
              </w:rPr>
              <w:t>66</w:t>
            </w:r>
            <w:r>
              <w:rPr>
                <w:rFonts w:hint="eastAsia"/>
                <w:color w:val="auto"/>
                <w:kern w:val="0"/>
                <w:sz w:val="24"/>
                <w:lang w:bidi="ar"/>
              </w:rPr>
              <w:t>天</w:t>
            </w:r>
            <w:r>
              <w:rPr>
                <w:rFonts w:hint="eastAsia"/>
                <w:color w:val="auto"/>
                <w:kern w:val="0"/>
                <w:sz w:val="24"/>
                <w:lang w:eastAsia="zh-CN" w:bidi="ar"/>
              </w:rPr>
              <w:t>（运行天数按</w:t>
            </w:r>
            <w:r>
              <w:rPr>
                <w:rFonts w:hint="eastAsia"/>
                <w:color w:val="auto"/>
                <w:kern w:val="0"/>
                <w:sz w:val="24"/>
                <w:lang w:val="en-US" w:eastAsia="zh-CN" w:bidi="ar"/>
              </w:rPr>
              <w:t>255天/年计</w:t>
            </w:r>
            <w:r>
              <w:rPr>
                <w:rFonts w:hint="eastAsia"/>
                <w:color w:val="auto"/>
                <w:kern w:val="0"/>
                <w:sz w:val="24"/>
                <w:lang w:eastAsia="zh-CN" w:bidi="ar"/>
              </w:rPr>
              <w:t>）</w:t>
            </w:r>
            <w:r>
              <w:rPr>
                <w:color w:val="auto"/>
                <w:kern w:val="0"/>
                <w:sz w:val="24"/>
                <w:lang w:bidi="ar"/>
              </w:rPr>
              <w:t>，即</w:t>
            </w:r>
            <w:r>
              <w:rPr>
                <w:rFonts w:hint="eastAsia"/>
                <w:color w:val="auto"/>
                <w:sz w:val="24"/>
              </w:rPr>
              <w:t>每年更换</w:t>
            </w:r>
            <w:r>
              <w:rPr>
                <w:rFonts w:hint="eastAsia"/>
                <w:color w:val="auto"/>
                <w:sz w:val="24"/>
                <w:lang w:val="en-US" w:eastAsia="zh-CN"/>
              </w:rPr>
              <w:t>4</w:t>
            </w:r>
            <w:r>
              <w:rPr>
                <w:rFonts w:hint="eastAsia"/>
                <w:color w:val="auto"/>
                <w:sz w:val="24"/>
              </w:rPr>
              <w:t>次，</w:t>
            </w:r>
            <w:r>
              <w:rPr>
                <w:rFonts w:hint="eastAsia"/>
                <w:color w:val="auto"/>
                <w:sz w:val="24"/>
                <w:lang w:eastAsia="zh-CN"/>
              </w:rPr>
              <w:t>则</w:t>
            </w:r>
            <w:r>
              <w:rPr>
                <w:rFonts w:hint="eastAsia"/>
                <w:color w:val="auto"/>
                <w:kern w:val="0"/>
                <w:sz w:val="24"/>
                <w:lang w:bidi="ar"/>
              </w:rPr>
              <w:t>二级活性炭吸附装置吸附非甲烷总烃的量为</w:t>
            </w:r>
            <w:r>
              <w:rPr>
                <w:rFonts w:hint="eastAsia"/>
                <w:color w:val="auto"/>
                <w:kern w:val="0"/>
                <w:sz w:val="24"/>
                <w:lang w:val="en-US" w:eastAsia="zh-CN" w:bidi="ar"/>
              </w:rPr>
              <w:t>0.9839</w:t>
            </w:r>
            <w:r>
              <w:rPr>
                <w:rFonts w:hint="eastAsia"/>
                <w:color w:val="auto"/>
                <w:kern w:val="0"/>
                <w:sz w:val="24"/>
                <w:lang w:bidi="ar"/>
              </w:rPr>
              <w:t>t/a，</w:t>
            </w:r>
            <w:r>
              <w:rPr>
                <w:color w:val="auto"/>
                <w:kern w:val="0"/>
                <w:sz w:val="24"/>
                <w:lang w:bidi="ar"/>
              </w:rPr>
              <w:t>则废活性炭产生量</w:t>
            </w:r>
            <w:r>
              <w:rPr>
                <w:rFonts w:hint="eastAsia"/>
                <w:color w:val="auto"/>
                <w:kern w:val="0"/>
                <w:sz w:val="24"/>
                <w:lang w:eastAsia="zh-CN" w:bidi="ar"/>
              </w:rPr>
              <w:t>约</w:t>
            </w:r>
            <w:r>
              <w:rPr>
                <w:color w:val="auto"/>
                <w:kern w:val="0"/>
                <w:sz w:val="24"/>
                <w:lang w:bidi="ar"/>
              </w:rPr>
              <w:t>为</w:t>
            </w:r>
            <w:r>
              <w:rPr>
                <w:rFonts w:hint="eastAsia"/>
                <w:color w:val="auto"/>
                <w:kern w:val="0"/>
                <w:sz w:val="24"/>
                <w:lang w:val="en-US" w:eastAsia="zh-CN" w:bidi="ar"/>
              </w:rPr>
              <w:t>11.2</w:t>
            </w:r>
            <w:r>
              <w:rPr>
                <w:color w:val="auto"/>
                <w:kern w:val="0"/>
                <w:sz w:val="24"/>
                <w:lang w:bidi="ar"/>
              </w:rPr>
              <w:t>t/a。</w:t>
            </w:r>
          </w:p>
          <w:p>
            <w:pPr>
              <w:snapToGrid w:val="0"/>
              <w:spacing w:line="360" w:lineRule="auto"/>
              <w:ind w:firstLine="480" w:firstLineChars="200"/>
              <w:rPr>
                <w:rFonts w:hint="eastAsia"/>
                <w:color w:val="auto"/>
                <w:sz w:val="24"/>
              </w:rPr>
            </w:pPr>
            <w:r>
              <w:rPr>
                <w:rFonts w:hint="eastAsia" w:ascii="宋体" w:hAnsi="宋体" w:cs="宋体"/>
                <w:color w:val="auto"/>
                <w:sz w:val="24"/>
                <w:lang w:eastAsia="ja-JP"/>
              </w:rPr>
              <w:t>⑤</w:t>
            </w:r>
            <w:r>
              <w:rPr>
                <w:color w:val="auto"/>
                <w:sz w:val="24"/>
              </w:rPr>
              <w:t>废</w:t>
            </w:r>
            <w:r>
              <w:rPr>
                <w:rFonts w:hint="eastAsia"/>
                <w:color w:val="auto"/>
                <w:sz w:val="24"/>
                <w:lang w:eastAsia="zh-CN"/>
              </w:rPr>
              <w:t>导热</w:t>
            </w:r>
            <w:r>
              <w:rPr>
                <w:color w:val="auto"/>
                <w:sz w:val="24"/>
              </w:rPr>
              <w:t>油</w:t>
            </w:r>
            <w:r>
              <w:rPr>
                <w:rFonts w:hint="eastAsia"/>
                <w:color w:val="auto"/>
                <w:sz w:val="24"/>
              </w:rPr>
              <w:t>：本项目模温机</w:t>
            </w:r>
            <w:r>
              <w:rPr>
                <w:color w:val="auto"/>
                <w:sz w:val="24"/>
              </w:rPr>
              <w:t>使用的导热油五年更换一次，更换产生废</w:t>
            </w:r>
            <w:r>
              <w:rPr>
                <w:rFonts w:hint="eastAsia"/>
                <w:color w:val="auto"/>
                <w:sz w:val="24"/>
                <w:lang w:eastAsia="zh-CN"/>
              </w:rPr>
              <w:t>导热</w:t>
            </w:r>
            <w:r>
              <w:rPr>
                <w:rFonts w:hint="eastAsia"/>
                <w:color w:val="auto"/>
                <w:sz w:val="24"/>
              </w:rPr>
              <w:t>油2.5</w:t>
            </w:r>
            <w:r>
              <w:rPr>
                <w:color w:val="auto"/>
                <w:sz w:val="24"/>
              </w:rPr>
              <w:t>t</w:t>
            </w:r>
            <w:r>
              <w:rPr>
                <w:rFonts w:hint="eastAsia"/>
                <w:color w:val="auto"/>
                <w:sz w:val="24"/>
                <w:lang w:val="en-US" w:eastAsia="zh-CN"/>
              </w:rPr>
              <w:t>/5a</w:t>
            </w:r>
            <w:r>
              <w:rPr>
                <w:rFonts w:hint="eastAsia"/>
                <w:color w:val="auto"/>
                <w:sz w:val="24"/>
              </w:rPr>
              <w:t>。</w:t>
            </w:r>
          </w:p>
          <w:p>
            <w:pPr>
              <w:snapToGrid w:val="0"/>
              <w:spacing w:line="360" w:lineRule="auto"/>
              <w:ind w:firstLine="480" w:firstLineChars="200"/>
              <w:rPr>
                <w:color w:val="auto"/>
                <w:sz w:val="24"/>
              </w:rPr>
            </w:pPr>
            <w:r>
              <w:rPr>
                <w:rFonts w:hint="eastAsia" w:ascii="宋体" w:hAnsi="宋体" w:cs="宋体"/>
                <w:color w:val="auto"/>
                <w:sz w:val="24"/>
              </w:rPr>
              <w:t>⑥</w:t>
            </w:r>
            <w:r>
              <w:rPr>
                <w:rFonts w:hint="eastAsia" w:ascii="宋体" w:hAnsi="宋体" w:cs="宋体"/>
                <w:color w:val="auto"/>
                <w:sz w:val="24"/>
                <w:lang w:eastAsia="zh-CN"/>
              </w:rPr>
              <w:t>废液压油：</w:t>
            </w:r>
            <w:r>
              <w:rPr>
                <w:color w:val="auto"/>
                <w:sz w:val="24"/>
              </w:rPr>
              <w:t>双面压机</w:t>
            </w:r>
            <w:r>
              <w:rPr>
                <w:rFonts w:hint="eastAsia"/>
                <w:color w:val="auto"/>
                <w:sz w:val="24"/>
              </w:rPr>
              <w:t>使用</w:t>
            </w:r>
            <w:r>
              <w:rPr>
                <w:color w:val="auto"/>
                <w:sz w:val="24"/>
              </w:rPr>
              <w:t>的液压油每年更换一次，废</w:t>
            </w:r>
            <w:r>
              <w:rPr>
                <w:rFonts w:hint="eastAsia"/>
                <w:color w:val="auto"/>
                <w:sz w:val="24"/>
                <w:lang w:eastAsia="zh-CN"/>
              </w:rPr>
              <w:t>液压</w:t>
            </w:r>
            <w:r>
              <w:rPr>
                <w:color w:val="auto"/>
                <w:sz w:val="24"/>
              </w:rPr>
              <w:t>油产生量</w:t>
            </w:r>
            <w:r>
              <w:rPr>
                <w:rFonts w:hint="eastAsia"/>
                <w:color w:val="auto"/>
                <w:sz w:val="24"/>
              </w:rPr>
              <w:t>为9</w:t>
            </w:r>
            <w:r>
              <w:rPr>
                <w:color w:val="auto"/>
                <w:sz w:val="24"/>
              </w:rPr>
              <w:t>t/a。</w:t>
            </w:r>
          </w:p>
          <w:p>
            <w:pPr>
              <w:snapToGrid w:val="0"/>
              <w:spacing w:line="360" w:lineRule="auto"/>
              <w:ind w:firstLine="480" w:firstLineChars="200"/>
              <w:rPr>
                <w:color w:val="auto"/>
                <w:sz w:val="24"/>
              </w:rPr>
            </w:pPr>
            <w:r>
              <w:rPr>
                <w:rFonts w:hint="eastAsia"/>
                <w:color w:val="auto"/>
                <w:sz w:val="24"/>
              </w:rPr>
              <w:t>⑦</w:t>
            </w:r>
            <w:r>
              <w:rPr>
                <w:color w:val="auto"/>
                <w:sz w:val="24"/>
              </w:rPr>
              <w:t>废包装桶：</w:t>
            </w:r>
            <w:r>
              <w:rPr>
                <w:rFonts w:hint="eastAsia"/>
                <w:color w:val="auto"/>
                <w:sz w:val="24"/>
              </w:rPr>
              <w:t>液压油使用</w:t>
            </w:r>
            <w:r>
              <w:rPr>
                <w:color w:val="auto"/>
                <w:sz w:val="24"/>
              </w:rPr>
              <w:t>后废包装桶产生量约</w:t>
            </w:r>
            <w:r>
              <w:rPr>
                <w:rFonts w:hint="eastAsia"/>
                <w:color w:val="auto"/>
                <w:sz w:val="24"/>
              </w:rPr>
              <w:t>为</w:t>
            </w:r>
            <w:r>
              <w:rPr>
                <w:color w:val="auto"/>
                <w:sz w:val="24"/>
              </w:rPr>
              <w:t>55个/a</w:t>
            </w:r>
            <w:r>
              <w:rPr>
                <w:rFonts w:hint="eastAsia"/>
                <w:color w:val="auto"/>
                <w:sz w:val="24"/>
              </w:rPr>
              <w:t>，</w:t>
            </w:r>
            <w:r>
              <w:rPr>
                <w:color w:val="auto"/>
                <w:sz w:val="24"/>
              </w:rPr>
              <w:t>导热油</w:t>
            </w:r>
            <w:r>
              <w:rPr>
                <w:rFonts w:hint="eastAsia"/>
                <w:color w:val="auto"/>
                <w:sz w:val="24"/>
              </w:rPr>
              <w:t>使用</w:t>
            </w:r>
            <w:r>
              <w:rPr>
                <w:color w:val="auto"/>
                <w:sz w:val="24"/>
              </w:rPr>
              <w:t>后废包装桶产生量约</w:t>
            </w:r>
            <w:r>
              <w:rPr>
                <w:rFonts w:hint="eastAsia"/>
                <w:color w:val="auto"/>
                <w:sz w:val="24"/>
              </w:rPr>
              <w:t>为15个/5</w:t>
            </w:r>
            <w:r>
              <w:rPr>
                <w:color w:val="auto"/>
                <w:sz w:val="24"/>
              </w:rPr>
              <w:t>a</w:t>
            </w:r>
            <w:r>
              <w:rPr>
                <w:rFonts w:hint="eastAsia"/>
                <w:color w:val="auto"/>
                <w:sz w:val="24"/>
              </w:rPr>
              <w:t>，</w:t>
            </w:r>
            <w:r>
              <w:rPr>
                <w:color w:val="auto"/>
                <w:sz w:val="24"/>
              </w:rPr>
              <w:t>即</w:t>
            </w:r>
            <w:r>
              <w:rPr>
                <w:rFonts w:hint="eastAsia"/>
                <w:color w:val="auto"/>
                <w:sz w:val="24"/>
              </w:rPr>
              <w:t>3个/</w:t>
            </w:r>
            <w:r>
              <w:rPr>
                <w:color w:val="auto"/>
                <w:sz w:val="24"/>
              </w:rPr>
              <w:t>a，废</w:t>
            </w:r>
            <w:r>
              <w:rPr>
                <w:rFonts w:hint="eastAsia"/>
                <w:color w:val="auto"/>
                <w:sz w:val="24"/>
              </w:rPr>
              <w:t>包装</w:t>
            </w:r>
            <w:r>
              <w:rPr>
                <w:color w:val="auto"/>
                <w:sz w:val="24"/>
              </w:rPr>
              <w:t>桶单个重量以20kg计，则废包装桶产生量约为1.16t/a。</w:t>
            </w:r>
          </w:p>
          <w:p>
            <w:pPr>
              <w:snapToGrid w:val="0"/>
              <w:spacing w:line="360" w:lineRule="auto"/>
              <w:ind w:firstLine="480" w:firstLineChars="200"/>
              <w:rPr>
                <w:color w:val="auto"/>
                <w:sz w:val="24"/>
              </w:rPr>
            </w:pPr>
            <w:r>
              <w:rPr>
                <w:rFonts w:hint="eastAsia"/>
                <w:color w:val="auto"/>
                <w:sz w:val="24"/>
              </w:rPr>
              <w:t>⑧废抹布手套</w:t>
            </w:r>
            <w:r>
              <w:rPr>
                <w:color w:val="auto"/>
                <w:sz w:val="24"/>
              </w:rPr>
              <w:t>：</w:t>
            </w:r>
            <w:r>
              <w:rPr>
                <w:rFonts w:hint="eastAsia"/>
                <w:color w:val="auto"/>
                <w:sz w:val="24"/>
              </w:rPr>
              <w:t>本项目设备</w:t>
            </w:r>
            <w:r>
              <w:rPr>
                <w:color w:val="auto"/>
                <w:sz w:val="24"/>
              </w:rPr>
              <w:t>维护过程中产生少量的废抹布</w:t>
            </w:r>
            <w:r>
              <w:rPr>
                <w:rFonts w:hint="eastAsia"/>
                <w:color w:val="auto"/>
                <w:sz w:val="24"/>
              </w:rPr>
              <w:t>手套</w:t>
            </w:r>
            <w:r>
              <w:rPr>
                <w:color w:val="auto"/>
                <w:sz w:val="24"/>
              </w:rPr>
              <w:t>，产生量约为0.05t/a。</w:t>
            </w:r>
          </w:p>
          <w:p>
            <w:pPr>
              <w:snapToGrid w:val="0"/>
              <w:spacing w:line="360" w:lineRule="auto"/>
              <w:ind w:firstLine="480" w:firstLineChars="200"/>
              <w:rPr>
                <w:color w:val="auto"/>
                <w:sz w:val="24"/>
              </w:rPr>
            </w:pPr>
            <w:r>
              <w:rPr>
                <w:rFonts w:hint="eastAsia"/>
                <w:color w:val="auto"/>
                <w:sz w:val="24"/>
                <w:lang w:eastAsia="zh-CN"/>
              </w:rPr>
              <w:t>⑨</w:t>
            </w:r>
            <w:r>
              <w:rPr>
                <w:color w:val="auto"/>
                <w:sz w:val="24"/>
              </w:rPr>
              <w:t>员工生活垃圾：本项目员工80人，年工作</w:t>
            </w:r>
            <w:r>
              <w:rPr>
                <w:rFonts w:hint="eastAsia"/>
                <w:color w:val="auto"/>
                <w:sz w:val="24"/>
                <w:lang w:val="en-US" w:eastAsia="zh-CN"/>
              </w:rPr>
              <w:t>255</w:t>
            </w:r>
            <w:r>
              <w:rPr>
                <w:color w:val="auto"/>
                <w:sz w:val="24"/>
              </w:rPr>
              <w:t>天，产生的生活垃圾按0.4kg/人/天计，则生活垃圾产生量为8</w:t>
            </w:r>
            <w:r>
              <w:rPr>
                <w:rFonts w:hint="eastAsia"/>
                <w:color w:val="auto"/>
                <w:sz w:val="24"/>
                <w:lang w:val="en-US" w:eastAsia="zh-CN"/>
              </w:rPr>
              <w:t>.16</w:t>
            </w:r>
            <w:r>
              <w:rPr>
                <w:color w:val="auto"/>
                <w:sz w:val="24"/>
              </w:rPr>
              <w:t>t/a。</w:t>
            </w:r>
          </w:p>
          <w:p>
            <w:pPr>
              <w:snapToGrid w:val="0"/>
              <w:spacing w:line="360" w:lineRule="auto"/>
              <w:ind w:firstLine="480" w:firstLineChars="200"/>
              <w:rPr>
                <w:b/>
                <w:snapToGrid w:val="0"/>
                <w:color w:val="auto"/>
                <w:kern w:val="0"/>
                <w:sz w:val="24"/>
              </w:rPr>
            </w:pPr>
            <w:r>
              <w:rPr>
                <w:color w:val="auto"/>
                <w:sz w:val="24"/>
              </w:rPr>
              <w:t>根据《固体废物鉴别标准通则》（GB34330-2017）的规定，以上均属于固体废物，本项目建成后固废产生情况见下表。</w:t>
            </w:r>
          </w:p>
          <w:p>
            <w:pPr>
              <w:adjustRightInd w:val="0"/>
              <w:snapToGrid w:val="0"/>
              <w:jc w:val="center"/>
              <w:rPr>
                <w:b/>
                <w:snapToGrid w:val="0"/>
                <w:color w:val="auto"/>
                <w:kern w:val="0"/>
                <w:sz w:val="24"/>
              </w:rPr>
            </w:pPr>
            <w:r>
              <w:rPr>
                <w:b/>
                <w:snapToGrid w:val="0"/>
                <w:color w:val="auto"/>
                <w:kern w:val="0"/>
                <w:sz w:val="24"/>
              </w:rPr>
              <w:t>表4-</w:t>
            </w:r>
            <w:r>
              <w:rPr>
                <w:rFonts w:hint="eastAsia"/>
                <w:b/>
                <w:snapToGrid w:val="0"/>
                <w:color w:val="auto"/>
                <w:kern w:val="0"/>
                <w:sz w:val="24"/>
                <w:lang w:val="en-US" w:eastAsia="zh-CN"/>
              </w:rPr>
              <w:t>15</w:t>
            </w:r>
            <w:r>
              <w:rPr>
                <w:b/>
                <w:snapToGrid w:val="0"/>
                <w:color w:val="auto"/>
                <w:kern w:val="0"/>
                <w:sz w:val="24"/>
              </w:rPr>
              <w:t xml:space="preserve">  建设项目固体废物产生情况</w:t>
            </w:r>
          </w:p>
          <w:tbl>
            <w:tblPr>
              <w:tblStyle w:val="28"/>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62"/>
              <w:gridCol w:w="452"/>
              <w:gridCol w:w="906"/>
              <w:gridCol w:w="606"/>
              <w:gridCol w:w="1209"/>
              <w:gridCol w:w="1062"/>
              <w:gridCol w:w="606"/>
              <w:gridCol w:w="609"/>
              <w:gridCol w:w="1058"/>
              <w:gridCol w:w="7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9" w:hRule="atLeast"/>
                <w:jc w:val="center"/>
              </w:trPr>
              <w:tc>
                <w:tcPr>
                  <w:tcW w:w="636" w:type="pct"/>
                  <w:tcMar>
                    <w:top w:w="0" w:type="dxa"/>
                    <w:left w:w="0" w:type="dxa"/>
                    <w:bottom w:w="0" w:type="dxa"/>
                    <w:right w:w="0" w:type="dxa"/>
                  </w:tcMar>
                  <w:vAlign w:val="center"/>
                </w:tcPr>
                <w:p>
                  <w:pPr>
                    <w:adjustRightInd w:val="0"/>
                    <w:snapToGrid w:val="0"/>
                    <w:jc w:val="center"/>
                    <w:rPr>
                      <w:color w:val="auto"/>
                      <w:szCs w:val="21"/>
                    </w:rPr>
                  </w:pPr>
                  <w:r>
                    <w:rPr>
                      <w:b/>
                      <w:bCs/>
                      <w:color w:val="auto"/>
                      <w:szCs w:val="21"/>
                    </w:rPr>
                    <w:t>固废名称</w:t>
                  </w:r>
                </w:p>
              </w:tc>
              <w:tc>
                <w:tcPr>
                  <w:tcW w:w="270" w:type="pct"/>
                  <w:tcMar>
                    <w:left w:w="0" w:type="dxa"/>
                    <w:right w:w="0" w:type="dxa"/>
                  </w:tcMar>
                  <w:vAlign w:val="center"/>
                </w:tcPr>
                <w:p>
                  <w:pPr>
                    <w:adjustRightInd w:val="0"/>
                    <w:snapToGrid w:val="0"/>
                    <w:jc w:val="center"/>
                    <w:rPr>
                      <w:b/>
                      <w:bCs/>
                      <w:color w:val="auto"/>
                      <w:szCs w:val="21"/>
                    </w:rPr>
                  </w:pPr>
                  <w:r>
                    <w:rPr>
                      <w:b/>
                      <w:bCs/>
                      <w:color w:val="auto"/>
                      <w:szCs w:val="21"/>
                    </w:rPr>
                    <w:t>属性</w:t>
                  </w:r>
                </w:p>
              </w:tc>
              <w:tc>
                <w:tcPr>
                  <w:tcW w:w="542" w:type="pct"/>
                  <w:tcMar>
                    <w:left w:w="0" w:type="dxa"/>
                    <w:right w:w="0" w:type="dxa"/>
                  </w:tcMar>
                  <w:vAlign w:val="center"/>
                </w:tcPr>
                <w:p>
                  <w:pPr>
                    <w:adjustRightInd w:val="0"/>
                    <w:snapToGrid w:val="0"/>
                    <w:jc w:val="center"/>
                    <w:rPr>
                      <w:b/>
                      <w:bCs/>
                      <w:color w:val="auto"/>
                      <w:szCs w:val="21"/>
                    </w:rPr>
                  </w:pPr>
                  <w:r>
                    <w:rPr>
                      <w:b/>
                      <w:bCs/>
                      <w:color w:val="auto"/>
                      <w:szCs w:val="21"/>
                    </w:rPr>
                    <w:t>产生</w:t>
                  </w:r>
                </w:p>
                <w:p>
                  <w:pPr>
                    <w:adjustRightInd w:val="0"/>
                    <w:snapToGrid w:val="0"/>
                    <w:jc w:val="center"/>
                    <w:rPr>
                      <w:color w:val="auto"/>
                      <w:szCs w:val="21"/>
                    </w:rPr>
                  </w:pPr>
                  <w:r>
                    <w:rPr>
                      <w:b/>
                      <w:bCs/>
                      <w:color w:val="auto"/>
                      <w:szCs w:val="21"/>
                    </w:rPr>
                    <w:t>工序</w:t>
                  </w:r>
                </w:p>
              </w:tc>
              <w:tc>
                <w:tcPr>
                  <w:tcW w:w="363" w:type="pct"/>
                  <w:tcMar>
                    <w:left w:w="0" w:type="dxa"/>
                    <w:right w:w="0" w:type="dxa"/>
                  </w:tcMar>
                  <w:vAlign w:val="center"/>
                </w:tcPr>
                <w:p>
                  <w:pPr>
                    <w:adjustRightInd w:val="0"/>
                    <w:snapToGrid w:val="0"/>
                    <w:jc w:val="center"/>
                    <w:rPr>
                      <w:color w:val="auto"/>
                      <w:szCs w:val="21"/>
                    </w:rPr>
                  </w:pPr>
                  <w:r>
                    <w:rPr>
                      <w:b/>
                      <w:bCs/>
                      <w:color w:val="auto"/>
                      <w:szCs w:val="21"/>
                    </w:rPr>
                    <w:t>形态</w:t>
                  </w:r>
                </w:p>
              </w:tc>
              <w:tc>
                <w:tcPr>
                  <w:tcW w:w="724" w:type="pct"/>
                  <w:tcMar>
                    <w:left w:w="0" w:type="dxa"/>
                    <w:right w:w="0" w:type="dxa"/>
                  </w:tcMar>
                  <w:vAlign w:val="center"/>
                </w:tcPr>
                <w:p>
                  <w:pPr>
                    <w:adjustRightInd w:val="0"/>
                    <w:snapToGrid w:val="0"/>
                    <w:jc w:val="center"/>
                    <w:rPr>
                      <w:color w:val="auto"/>
                      <w:szCs w:val="21"/>
                    </w:rPr>
                  </w:pPr>
                  <w:r>
                    <w:rPr>
                      <w:b/>
                      <w:bCs/>
                      <w:color w:val="auto"/>
                      <w:szCs w:val="21"/>
                    </w:rPr>
                    <w:t>主要成分</w:t>
                  </w:r>
                </w:p>
              </w:tc>
              <w:tc>
                <w:tcPr>
                  <w:tcW w:w="636" w:type="pct"/>
                  <w:tcMar>
                    <w:left w:w="0" w:type="dxa"/>
                    <w:right w:w="0" w:type="dxa"/>
                  </w:tcMar>
                  <w:vAlign w:val="center"/>
                </w:tcPr>
                <w:p>
                  <w:pPr>
                    <w:adjustRightInd w:val="0"/>
                    <w:snapToGrid w:val="0"/>
                    <w:jc w:val="center"/>
                    <w:rPr>
                      <w:color w:val="auto"/>
                      <w:spacing w:val="-20"/>
                      <w:szCs w:val="21"/>
                    </w:rPr>
                  </w:pPr>
                  <w:r>
                    <w:rPr>
                      <w:b/>
                      <w:bCs/>
                      <w:color w:val="auto"/>
                      <w:spacing w:val="-20"/>
                      <w:szCs w:val="21"/>
                    </w:rPr>
                    <w:t>危险特性鉴别方法</w:t>
                  </w:r>
                </w:p>
              </w:tc>
              <w:tc>
                <w:tcPr>
                  <w:tcW w:w="363" w:type="pct"/>
                  <w:tcBorders>
                    <w:right w:val="single" w:color="auto" w:sz="4" w:space="0"/>
                  </w:tcBorders>
                  <w:tcMar>
                    <w:left w:w="0" w:type="dxa"/>
                    <w:right w:w="0" w:type="dxa"/>
                  </w:tcMar>
                  <w:vAlign w:val="center"/>
                </w:tcPr>
                <w:p>
                  <w:pPr>
                    <w:widowControl/>
                    <w:adjustRightInd w:val="0"/>
                    <w:snapToGrid w:val="0"/>
                    <w:jc w:val="center"/>
                    <w:textAlignment w:val="center"/>
                    <w:rPr>
                      <w:b/>
                      <w:bCs/>
                      <w:color w:val="auto"/>
                      <w:szCs w:val="21"/>
                    </w:rPr>
                  </w:pPr>
                  <w:r>
                    <w:rPr>
                      <w:b/>
                      <w:color w:val="auto"/>
                      <w:kern w:val="0"/>
                      <w:szCs w:val="21"/>
                    </w:rPr>
                    <w:t>危险特性</w:t>
                  </w:r>
                </w:p>
              </w:tc>
              <w:tc>
                <w:tcPr>
                  <w:tcW w:w="364" w:type="pct"/>
                  <w:tcBorders>
                    <w:left w:val="single" w:color="auto" w:sz="4" w:space="0"/>
                    <w:right w:val="single" w:color="auto" w:sz="4" w:space="0"/>
                  </w:tcBorders>
                  <w:tcMar>
                    <w:left w:w="0" w:type="dxa"/>
                    <w:right w:w="0" w:type="dxa"/>
                  </w:tcMar>
                  <w:vAlign w:val="center"/>
                </w:tcPr>
                <w:p>
                  <w:pPr>
                    <w:widowControl/>
                    <w:adjustRightInd w:val="0"/>
                    <w:snapToGrid w:val="0"/>
                    <w:jc w:val="center"/>
                    <w:textAlignment w:val="center"/>
                    <w:rPr>
                      <w:b/>
                      <w:color w:val="auto"/>
                      <w:kern w:val="0"/>
                      <w:szCs w:val="21"/>
                    </w:rPr>
                  </w:pPr>
                  <w:r>
                    <w:rPr>
                      <w:b/>
                      <w:color w:val="auto"/>
                      <w:kern w:val="0"/>
                      <w:szCs w:val="21"/>
                    </w:rPr>
                    <w:t>废物</w:t>
                  </w:r>
                </w:p>
                <w:p>
                  <w:pPr>
                    <w:widowControl/>
                    <w:adjustRightInd w:val="0"/>
                    <w:snapToGrid w:val="0"/>
                    <w:jc w:val="center"/>
                    <w:textAlignment w:val="center"/>
                    <w:rPr>
                      <w:b/>
                      <w:bCs/>
                      <w:color w:val="auto"/>
                      <w:szCs w:val="21"/>
                    </w:rPr>
                  </w:pPr>
                  <w:r>
                    <w:rPr>
                      <w:b/>
                      <w:color w:val="auto"/>
                      <w:kern w:val="0"/>
                      <w:szCs w:val="21"/>
                    </w:rPr>
                    <w:t>类别</w:t>
                  </w:r>
                </w:p>
              </w:tc>
              <w:tc>
                <w:tcPr>
                  <w:tcW w:w="633" w:type="pct"/>
                  <w:tcBorders>
                    <w:left w:val="single" w:color="auto" w:sz="4" w:space="0"/>
                  </w:tcBorders>
                  <w:tcMar>
                    <w:left w:w="0" w:type="dxa"/>
                    <w:right w:w="0" w:type="dxa"/>
                  </w:tcMar>
                  <w:vAlign w:val="center"/>
                </w:tcPr>
                <w:p>
                  <w:pPr>
                    <w:widowControl/>
                    <w:adjustRightInd w:val="0"/>
                    <w:snapToGrid w:val="0"/>
                    <w:jc w:val="center"/>
                    <w:textAlignment w:val="center"/>
                    <w:rPr>
                      <w:b/>
                      <w:bCs/>
                      <w:color w:val="auto"/>
                      <w:szCs w:val="21"/>
                    </w:rPr>
                  </w:pPr>
                  <w:r>
                    <w:rPr>
                      <w:b/>
                      <w:color w:val="auto"/>
                      <w:kern w:val="0"/>
                      <w:szCs w:val="21"/>
                    </w:rPr>
                    <w:t>废物代码</w:t>
                  </w:r>
                </w:p>
              </w:tc>
              <w:tc>
                <w:tcPr>
                  <w:tcW w:w="464" w:type="pct"/>
                  <w:tcMar>
                    <w:left w:w="0" w:type="dxa"/>
                    <w:right w:w="0" w:type="dxa"/>
                  </w:tcMar>
                  <w:vAlign w:val="center"/>
                </w:tcPr>
                <w:p>
                  <w:pPr>
                    <w:adjustRightInd w:val="0"/>
                    <w:snapToGrid w:val="0"/>
                    <w:jc w:val="center"/>
                    <w:rPr>
                      <w:color w:val="auto"/>
                      <w:szCs w:val="21"/>
                    </w:rPr>
                  </w:pPr>
                  <w:r>
                    <w:rPr>
                      <w:b/>
                      <w:bCs/>
                      <w:color w:val="auto"/>
                      <w:szCs w:val="21"/>
                    </w:rPr>
                    <w:t>产生量（t/a）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636" w:type="pct"/>
                  <w:tcMar>
                    <w:top w:w="0" w:type="dxa"/>
                    <w:left w:w="0" w:type="dxa"/>
                    <w:bottom w:w="0" w:type="dxa"/>
                    <w:right w:w="0" w:type="dxa"/>
                  </w:tcMar>
                  <w:vAlign w:val="center"/>
                </w:tcPr>
                <w:p>
                  <w:pPr>
                    <w:widowControl/>
                    <w:adjustRightInd w:val="0"/>
                    <w:snapToGrid w:val="0"/>
                    <w:jc w:val="center"/>
                    <w:rPr>
                      <w:bCs/>
                      <w:color w:val="auto"/>
                      <w:szCs w:val="21"/>
                    </w:rPr>
                  </w:pPr>
                  <w:r>
                    <w:rPr>
                      <w:bCs/>
                      <w:color w:val="auto"/>
                      <w:szCs w:val="21"/>
                    </w:rPr>
                    <w:t>废活性炭</w:t>
                  </w:r>
                </w:p>
              </w:tc>
              <w:tc>
                <w:tcPr>
                  <w:tcW w:w="270" w:type="pct"/>
                  <w:vMerge w:val="restart"/>
                  <w:tcMar>
                    <w:left w:w="0" w:type="dxa"/>
                    <w:right w:w="0" w:type="dxa"/>
                  </w:tcMar>
                  <w:vAlign w:val="center"/>
                </w:tcPr>
                <w:p>
                  <w:pPr>
                    <w:adjustRightInd w:val="0"/>
                    <w:snapToGrid w:val="0"/>
                    <w:jc w:val="center"/>
                    <w:rPr>
                      <w:color w:val="auto"/>
                      <w:szCs w:val="21"/>
                    </w:rPr>
                  </w:pPr>
                  <w:r>
                    <w:rPr>
                      <w:color w:val="auto"/>
                      <w:szCs w:val="21"/>
                    </w:rPr>
                    <w:t>危险废物</w:t>
                  </w:r>
                </w:p>
              </w:tc>
              <w:tc>
                <w:tcPr>
                  <w:tcW w:w="542" w:type="pct"/>
                  <w:tcBorders>
                    <w:bottom w:val="single" w:color="auto" w:sz="4" w:space="0"/>
                  </w:tcBorders>
                  <w:tcMar>
                    <w:left w:w="0" w:type="dxa"/>
                    <w:right w:w="0" w:type="dxa"/>
                  </w:tcMar>
                  <w:vAlign w:val="center"/>
                </w:tcPr>
                <w:p>
                  <w:pPr>
                    <w:widowControl/>
                    <w:adjustRightInd w:val="0"/>
                    <w:snapToGrid w:val="0"/>
                    <w:jc w:val="center"/>
                    <w:rPr>
                      <w:color w:val="auto"/>
                    </w:rPr>
                  </w:pPr>
                  <w:r>
                    <w:rPr>
                      <w:bCs/>
                      <w:color w:val="auto"/>
                      <w:szCs w:val="21"/>
                    </w:rPr>
                    <w:t>废气处理</w:t>
                  </w:r>
                </w:p>
              </w:tc>
              <w:tc>
                <w:tcPr>
                  <w:tcW w:w="363" w:type="pct"/>
                  <w:tcBorders>
                    <w:bottom w:val="single" w:color="auto" w:sz="4" w:space="0"/>
                  </w:tcBorders>
                  <w:tcMar>
                    <w:left w:w="0" w:type="dxa"/>
                    <w:right w:w="0" w:type="dxa"/>
                  </w:tcMar>
                  <w:vAlign w:val="center"/>
                </w:tcPr>
                <w:p>
                  <w:pPr>
                    <w:jc w:val="center"/>
                    <w:rPr>
                      <w:color w:val="auto"/>
                      <w:szCs w:val="21"/>
                    </w:rPr>
                  </w:pPr>
                  <w:r>
                    <w:rPr>
                      <w:color w:val="auto"/>
                      <w:kern w:val="0"/>
                      <w:szCs w:val="21"/>
                    </w:rPr>
                    <w:t>固态</w:t>
                  </w:r>
                </w:p>
              </w:tc>
              <w:tc>
                <w:tcPr>
                  <w:tcW w:w="724" w:type="pct"/>
                  <w:tcBorders>
                    <w:bottom w:val="single" w:color="auto" w:sz="4" w:space="0"/>
                  </w:tcBorders>
                  <w:tcMar>
                    <w:left w:w="0" w:type="dxa"/>
                    <w:right w:w="0" w:type="dxa"/>
                  </w:tcMar>
                  <w:vAlign w:val="center"/>
                </w:tcPr>
                <w:p>
                  <w:pPr>
                    <w:jc w:val="center"/>
                    <w:rPr>
                      <w:color w:val="auto"/>
                      <w:kern w:val="0"/>
                      <w:szCs w:val="21"/>
                    </w:rPr>
                  </w:pPr>
                  <w:r>
                    <w:rPr>
                      <w:rFonts w:hint="eastAsia"/>
                      <w:color w:val="auto"/>
                      <w:kern w:val="0"/>
                      <w:szCs w:val="21"/>
                    </w:rPr>
                    <w:t>活性炭、</w:t>
                  </w:r>
                  <w:r>
                    <w:rPr>
                      <w:color w:val="auto"/>
                      <w:kern w:val="0"/>
                      <w:szCs w:val="21"/>
                    </w:rPr>
                    <w:t>有机物</w:t>
                  </w:r>
                </w:p>
              </w:tc>
              <w:tc>
                <w:tcPr>
                  <w:tcW w:w="636" w:type="pct"/>
                  <w:vMerge w:val="restart"/>
                  <w:tcMar>
                    <w:left w:w="0" w:type="dxa"/>
                    <w:right w:w="0" w:type="dxa"/>
                  </w:tcMar>
                  <w:vAlign w:val="center"/>
                </w:tcPr>
                <w:p>
                  <w:pPr>
                    <w:adjustRightInd w:val="0"/>
                    <w:snapToGrid w:val="0"/>
                    <w:jc w:val="center"/>
                    <w:rPr>
                      <w:color w:val="auto"/>
                      <w:szCs w:val="21"/>
                    </w:rPr>
                  </w:pPr>
                  <w:r>
                    <w:rPr>
                      <w:color w:val="auto"/>
                      <w:szCs w:val="21"/>
                    </w:rPr>
                    <w:t>《国家危险废物名录》（2021</w:t>
                  </w:r>
                  <w:r>
                    <w:rPr>
                      <w:rFonts w:hint="eastAsia"/>
                      <w:color w:val="auto"/>
                      <w:szCs w:val="21"/>
                    </w:rPr>
                    <w:t>年</w:t>
                  </w:r>
                  <w:r>
                    <w:rPr>
                      <w:color w:val="auto"/>
                      <w:szCs w:val="21"/>
                    </w:rPr>
                    <w:t>版）</w:t>
                  </w:r>
                </w:p>
              </w:tc>
              <w:tc>
                <w:tcPr>
                  <w:tcW w:w="363" w:type="pct"/>
                  <w:tcMar>
                    <w:left w:w="0" w:type="dxa"/>
                    <w:right w:w="0" w:type="dxa"/>
                  </w:tcMar>
                  <w:vAlign w:val="center"/>
                </w:tcPr>
                <w:p>
                  <w:pPr>
                    <w:adjustRightInd w:val="0"/>
                    <w:snapToGrid w:val="0"/>
                    <w:jc w:val="center"/>
                    <w:rPr>
                      <w:snapToGrid w:val="0"/>
                      <w:color w:val="auto"/>
                      <w:szCs w:val="21"/>
                    </w:rPr>
                  </w:pPr>
                  <w:r>
                    <w:rPr>
                      <w:color w:val="auto"/>
                      <w:kern w:val="0"/>
                      <w:szCs w:val="21"/>
                    </w:rPr>
                    <w:t>T</w:t>
                  </w:r>
                </w:p>
              </w:tc>
              <w:tc>
                <w:tcPr>
                  <w:tcW w:w="364" w:type="pct"/>
                  <w:tcMar>
                    <w:left w:w="0" w:type="dxa"/>
                    <w:right w:w="0" w:type="dxa"/>
                  </w:tcMar>
                  <w:vAlign w:val="center"/>
                </w:tcPr>
                <w:p>
                  <w:pPr>
                    <w:adjustRightInd w:val="0"/>
                    <w:snapToGrid w:val="0"/>
                    <w:jc w:val="center"/>
                    <w:rPr>
                      <w:snapToGrid w:val="0"/>
                      <w:color w:val="auto"/>
                      <w:szCs w:val="21"/>
                    </w:rPr>
                  </w:pPr>
                  <w:r>
                    <w:rPr>
                      <w:color w:val="auto"/>
                      <w:szCs w:val="21"/>
                    </w:rPr>
                    <w:t>HW49</w:t>
                  </w:r>
                </w:p>
              </w:tc>
              <w:tc>
                <w:tcPr>
                  <w:tcW w:w="633" w:type="pct"/>
                  <w:tcMar>
                    <w:left w:w="0" w:type="dxa"/>
                    <w:right w:w="0" w:type="dxa"/>
                  </w:tcMar>
                  <w:vAlign w:val="center"/>
                </w:tcPr>
                <w:p>
                  <w:pPr>
                    <w:adjustRightInd w:val="0"/>
                    <w:snapToGrid w:val="0"/>
                    <w:jc w:val="center"/>
                    <w:rPr>
                      <w:snapToGrid w:val="0"/>
                      <w:color w:val="auto"/>
                      <w:szCs w:val="21"/>
                    </w:rPr>
                  </w:pPr>
                  <w:r>
                    <w:rPr>
                      <w:color w:val="auto"/>
                      <w:szCs w:val="21"/>
                    </w:rPr>
                    <w:t>900-039-49</w:t>
                  </w:r>
                </w:p>
              </w:tc>
              <w:tc>
                <w:tcPr>
                  <w:tcW w:w="464" w:type="pct"/>
                  <w:tcMar>
                    <w:left w:w="0" w:type="dxa"/>
                    <w:right w:w="0" w:type="dxa"/>
                  </w:tcMar>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636" w:type="pct"/>
                  <w:tcMar>
                    <w:top w:w="0" w:type="dxa"/>
                    <w:left w:w="0" w:type="dxa"/>
                    <w:bottom w:w="0" w:type="dxa"/>
                    <w:right w:w="0" w:type="dxa"/>
                  </w:tcMar>
                  <w:vAlign w:val="center"/>
                </w:tcPr>
                <w:p>
                  <w:pPr>
                    <w:widowControl/>
                    <w:adjustRightInd w:val="0"/>
                    <w:snapToGrid w:val="0"/>
                    <w:jc w:val="center"/>
                    <w:rPr>
                      <w:bCs/>
                      <w:color w:val="auto"/>
                      <w:szCs w:val="21"/>
                    </w:rPr>
                  </w:pPr>
                  <w:r>
                    <w:rPr>
                      <w:rFonts w:hint="eastAsia"/>
                      <w:bCs/>
                      <w:color w:val="auto"/>
                      <w:szCs w:val="21"/>
                    </w:rPr>
                    <w:t>废</w:t>
                  </w:r>
                  <w:r>
                    <w:rPr>
                      <w:rFonts w:hint="eastAsia"/>
                      <w:bCs/>
                      <w:color w:val="auto"/>
                      <w:szCs w:val="21"/>
                      <w:lang w:eastAsia="zh-CN"/>
                    </w:rPr>
                    <w:t>导热</w:t>
                  </w:r>
                  <w:r>
                    <w:rPr>
                      <w:rFonts w:hint="eastAsia"/>
                      <w:bCs/>
                      <w:color w:val="auto"/>
                      <w:szCs w:val="21"/>
                    </w:rPr>
                    <w:t>油</w:t>
                  </w:r>
                </w:p>
              </w:tc>
              <w:tc>
                <w:tcPr>
                  <w:tcW w:w="270" w:type="pct"/>
                  <w:vMerge w:val="continue"/>
                  <w:tcMar>
                    <w:left w:w="0" w:type="dxa"/>
                    <w:right w:w="0" w:type="dxa"/>
                  </w:tcMar>
                  <w:vAlign w:val="center"/>
                </w:tcPr>
                <w:p>
                  <w:pPr>
                    <w:adjustRightInd w:val="0"/>
                    <w:snapToGrid w:val="0"/>
                    <w:jc w:val="center"/>
                    <w:rPr>
                      <w:color w:val="auto"/>
                      <w:szCs w:val="21"/>
                    </w:rPr>
                  </w:pPr>
                </w:p>
              </w:tc>
              <w:tc>
                <w:tcPr>
                  <w:tcW w:w="542" w:type="pct"/>
                  <w:tcBorders>
                    <w:bottom w:val="single" w:color="auto" w:sz="4" w:space="0"/>
                  </w:tcBorders>
                  <w:tcMar>
                    <w:left w:w="0" w:type="dxa"/>
                    <w:right w:w="0" w:type="dxa"/>
                  </w:tcMar>
                  <w:vAlign w:val="center"/>
                </w:tcPr>
                <w:p>
                  <w:pPr>
                    <w:widowControl/>
                    <w:adjustRightInd w:val="0"/>
                    <w:snapToGrid w:val="0"/>
                    <w:jc w:val="center"/>
                    <w:rPr>
                      <w:bCs/>
                      <w:color w:val="auto"/>
                      <w:szCs w:val="21"/>
                    </w:rPr>
                  </w:pPr>
                  <w:r>
                    <w:rPr>
                      <w:rFonts w:hint="eastAsia"/>
                      <w:bCs/>
                      <w:color w:val="auto"/>
                      <w:szCs w:val="21"/>
                      <w:lang w:eastAsia="zh-CN"/>
                    </w:rPr>
                    <w:t>设备维保</w:t>
                  </w:r>
                </w:p>
              </w:tc>
              <w:tc>
                <w:tcPr>
                  <w:tcW w:w="363" w:type="pct"/>
                  <w:tcBorders>
                    <w:bottom w:val="single" w:color="auto" w:sz="4" w:space="0"/>
                  </w:tcBorders>
                  <w:tcMar>
                    <w:left w:w="0" w:type="dxa"/>
                    <w:right w:w="0" w:type="dxa"/>
                  </w:tcMar>
                  <w:vAlign w:val="center"/>
                </w:tcPr>
                <w:p>
                  <w:pPr>
                    <w:jc w:val="center"/>
                    <w:rPr>
                      <w:color w:val="auto"/>
                      <w:kern w:val="0"/>
                      <w:szCs w:val="21"/>
                    </w:rPr>
                  </w:pPr>
                  <w:r>
                    <w:rPr>
                      <w:rFonts w:hint="eastAsia"/>
                      <w:color w:val="auto"/>
                      <w:kern w:val="0"/>
                      <w:szCs w:val="21"/>
                    </w:rPr>
                    <w:t>液态</w:t>
                  </w:r>
                </w:p>
              </w:tc>
              <w:tc>
                <w:tcPr>
                  <w:tcW w:w="724" w:type="pct"/>
                  <w:tcBorders>
                    <w:bottom w:val="single" w:color="auto" w:sz="4" w:space="0"/>
                  </w:tcBorders>
                  <w:tcMar>
                    <w:left w:w="0" w:type="dxa"/>
                    <w:right w:w="0" w:type="dxa"/>
                  </w:tcMar>
                  <w:vAlign w:val="center"/>
                </w:tcPr>
                <w:p>
                  <w:pPr>
                    <w:jc w:val="center"/>
                    <w:rPr>
                      <w:color w:val="auto"/>
                      <w:kern w:val="0"/>
                      <w:szCs w:val="21"/>
                    </w:rPr>
                  </w:pPr>
                  <w:r>
                    <w:rPr>
                      <w:rFonts w:hint="eastAsia"/>
                      <w:color w:val="auto"/>
                      <w:kern w:val="0"/>
                      <w:szCs w:val="21"/>
                    </w:rPr>
                    <w:t>矿物油</w:t>
                  </w:r>
                </w:p>
              </w:tc>
              <w:tc>
                <w:tcPr>
                  <w:tcW w:w="636" w:type="pct"/>
                  <w:vMerge w:val="continue"/>
                  <w:tcMar>
                    <w:left w:w="0" w:type="dxa"/>
                    <w:right w:w="0" w:type="dxa"/>
                  </w:tcMar>
                  <w:vAlign w:val="center"/>
                </w:tcPr>
                <w:p>
                  <w:pPr>
                    <w:adjustRightInd w:val="0"/>
                    <w:snapToGrid w:val="0"/>
                    <w:jc w:val="center"/>
                    <w:rPr>
                      <w:color w:val="auto"/>
                      <w:szCs w:val="21"/>
                    </w:rPr>
                  </w:pPr>
                </w:p>
              </w:tc>
              <w:tc>
                <w:tcPr>
                  <w:tcW w:w="363" w:type="pct"/>
                  <w:tcMar>
                    <w:left w:w="0" w:type="dxa"/>
                    <w:right w:w="0" w:type="dxa"/>
                  </w:tcMar>
                  <w:vAlign w:val="center"/>
                </w:tcPr>
                <w:p>
                  <w:pPr>
                    <w:adjustRightInd w:val="0"/>
                    <w:snapToGrid w:val="0"/>
                    <w:jc w:val="center"/>
                    <w:rPr>
                      <w:bCs/>
                      <w:color w:val="auto"/>
                      <w:szCs w:val="21"/>
                    </w:rPr>
                  </w:pPr>
                  <w:r>
                    <w:rPr>
                      <w:rFonts w:hint="eastAsia"/>
                      <w:bCs/>
                      <w:color w:val="auto"/>
                      <w:szCs w:val="21"/>
                    </w:rPr>
                    <w:t>T，I</w:t>
                  </w:r>
                </w:p>
              </w:tc>
              <w:tc>
                <w:tcPr>
                  <w:tcW w:w="364" w:type="pct"/>
                  <w:tcMar>
                    <w:left w:w="0" w:type="dxa"/>
                    <w:right w:w="0" w:type="dxa"/>
                  </w:tcMar>
                  <w:vAlign w:val="center"/>
                </w:tcPr>
                <w:p>
                  <w:pPr>
                    <w:adjustRightInd w:val="0"/>
                    <w:snapToGrid w:val="0"/>
                    <w:jc w:val="center"/>
                    <w:rPr>
                      <w:color w:val="auto"/>
                      <w:kern w:val="0"/>
                      <w:szCs w:val="21"/>
                    </w:rPr>
                  </w:pPr>
                  <w:r>
                    <w:rPr>
                      <w:color w:val="auto"/>
                    </w:rPr>
                    <w:t>HW08</w:t>
                  </w:r>
                </w:p>
              </w:tc>
              <w:tc>
                <w:tcPr>
                  <w:tcW w:w="633" w:type="pct"/>
                  <w:tcMar>
                    <w:left w:w="0" w:type="dxa"/>
                    <w:right w:w="0" w:type="dxa"/>
                  </w:tcMar>
                  <w:vAlign w:val="center"/>
                </w:tcPr>
                <w:p>
                  <w:pPr>
                    <w:adjustRightInd w:val="0"/>
                    <w:snapToGrid w:val="0"/>
                    <w:jc w:val="center"/>
                    <w:rPr>
                      <w:bCs/>
                      <w:color w:val="auto"/>
                      <w:szCs w:val="21"/>
                    </w:rPr>
                  </w:pPr>
                  <w:r>
                    <w:rPr>
                      <w:rFonts w:hint="eastAsia"/>
                      <w:bCs/>
                      <w:color w:val="auto"/>
                      <w:szCs w:val="21"/>
                    </w:rPr>
                    <w:t>900-249-08</w:t>
                  </w:r>
                </w:p>
              </w:tc>
              <w:tc>
                <w:tcPr>
                  <w:tcW w:w="464" w:type="pct"/>
                  <w:tcMar>
                    <w:left w:w="0" w:type="dxa"/>
                    <w:right w:w="0" w:type="dxa"/>
                  </w:tcMar>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2.5t/5a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636" w:type="pct"/>
                  <w:tcMar>
                    <w:top w:w="0" w:type="dxa"/>
                    <w:left w:w="0" w:type="dxa"/>
                    <w:bottom w:w="0" w:type="dxa"/>
                    <w:right w:w="0" w:type="dxa"/>
                  </w:tcMar>
                  <w:vAlign w:val="center"/>
                </w:tcPr>
                <w:p>
                  <w:pPr>
                    <w:widowControl/>
                    <w:adjustRightInd w:val="0"/>
                    <w:snapToGrid w:val="0"/>
                    <w:jc w:val="center"/>
                    <w:rPr>
                      <w:rFonts w:hint="eastAsia" w:eastAsia="宋体"/>
                      <w:bCs/>
                      <w:color w:val="auto"/>
                      <w:szCs w:val="21"/>
                      <w:lang w:eastAsia="zh-CN"/>
                    </w:rPr>
                  </w:pPr>
                  <w:r>
                    <w:rPr>
                      <w:rFonts w:hint="eastAsia"/>
                      <w:bCs/>
                      <w:color w:val="auto"/>
                      <w:szCs w:val="21"/>
                      <w:lang w:eastAsia="zh-CN"/>
                    </w:rPr>
                    <w:t>废液压油</w:t>
                  </w:r>
                </w:p>
              </w:tc>
              <w:tc>
                <w:tcPr>
                  <w:tcW w:w="270" w:type="pct"/>
                  <w:vMerge w:val="continue"/>
                  <w:tcMar>
                    <w:left w:w="0" w:type="dxa"/>
                    <w:right w:w="0" w:type="dxa"/>
                  </w:tcMar>
                  <w:vAlign w:val="center"/>
                </w:tcPr>
                <w:p>
                  <w:pPr>
                    <w:adjustRightInd w:val="0"/>
                    <w:snapToGrid w:val="0"/>
                    <w:jc w:val="center"/>
                    <w:rPr>
                      <w:color w:val="auto"/>
                      <w:szCs w:val="21"/>
                    </w:rPr>
                  </w:pPr>
                </w:p>
              </w:tc>
              <w:tc>
                <w:tcPr>
                  <w:tcW w:w="542" w:type="pct"/>
                  <w:tcBorders>
                    <w:bottom w:val="single" w:color="auto" w:sz="4" w:space="0"/>
                  </w:tcBorders>
                  <w:tcMar>
                    <w:left w:w="0" w:type="dxa"/>
                    <w:right w:w="0" w:type="dxa"/>
                  </w:tcMar>
                  <w:vAlign w:val="center"/>
                </w:tcPr>
                <w:p>
                  <w:pPr>
                    <w:widowControl/>
                    <w:adjustRightInd w:val="0"/>
                    <w:snapToGrid w:val="0"/>
                    <w:jc w:val="center"/>
                    <w:rPr>
                      <w:rFonts w:hint="eastAsia"/>
                      <w:bCs/>
                      <w:color w:val="auto"/>
                      <w:szCs w:val="21"/>
                      <w:lang w:eastAsia="zh-CN"/>
                    </w:rPr>
                  </w:pPr>
                  <w:r>
                    <w:rPr>
                      <w:rFonts w:hint="eastAsia"/>
                      <w:bCs/>
                      <w:color w:val="auto"/>
                      <w:szCs w:val="21"/>
                      <w:lang w:eastAsia="zh-CN"/>
                    </w:rPr>
                    <w:t>设备维保</w:t>
                  </w:r>
                </w:p>
              </w:tc>
              <w:tc>
                <w:tcPr>
                  <w:tcW w:w="363" w:type="pct"/>
                  <w:tcBorders>
                    <w:bottom w:val="single" w:color="auto" w:sz="4" w:space="0"/>
                  </w:tcBorders>
                  <w:tcMar>
                    <w:left w:w="0" w:type="dxa"/>
                    <w:right w:w="0" w:type="dxa"/>
                  </w:tcMar>
                  <w:vAlign w:val="center"/>
                </w:tcPr>
                <w:p>
                  <w:pPr>
                    <w:jc w:val="center"/>
                    <w:rPr>
                      <w:rFonts w:hint="eastAsia"/>
                      <w:color w:val="auto"/>
                      <w:kern w:val="0"/>
                      <w:szCs w:val="21"/>
                    </w:rPr>
                  </w:pPr>
                  <w:r>
                    <w:rPr>
                      <w:rFonts w:hint="eastAsia"/>
                      <w:color w:val="auto"/>
                      <w:kern w:val="0"/>
                      <w:szCs w:val="21"/>
                    </w:rPr>
                    <w:t>液态</w:t>
                  </w:r>
                </w:p>
              </w:tc>
              <w:tc>
                <w:tcPr>
                  <w:tcW w:w="724" w:type="pct"/>
                  <w:tcBorders>
                    <w:bottom w:val="single" w:color="auto" w:sz="4" w:space="0"/>
                  </w:tcBorders>
                  <w:tcMar>
                    <w:left w:w="0" w:type="dxa"/>
                    <w:right w:w="0" w:type="dxa"/>
                  </w:tcMar>
                  <w:vAlign w:val="center"/>
                </w:tcPr>
                <w:p>
                  <w:pPr>
                    <w:jc w:val="center"/>
                    <w:rPr>
                      <w:rFonts w:hint="eastAsia"/>
                      <w:color w:val="auto"/>
                      <w:kern w:val="0"/>
                      <w:szCs w:val="21"/>
                    </w:rPr>
                  </w:pPr>
                  <w:r>
                    <w:rPr>
                      <w:rFonts w:hint="eastAsia"/>
                      <w:color w:val="auto"/>
                      <w:kern w:val="0"/>
                      <w:szCs w:val="21"/>
                    </w:rPr>
                    <w:t>矿物油</w:t>
                  </w:r>
                </w:p>
              </w:tc>
              <w:tc>
                <w:tcPr>
                  <w:tcW w:w="636" w:type="pct"/>
                  <w:vMerge w:val="continue"/>
                  <w:tcMar>
                    <w:left w:w="0" w:type="dxa"/>
                    <w:right w:w="0" w:type="dxa"/>
                  </w:tcMar>
                  <w:vAlign w:val="center"/>
                </w:tcPr>
                <w:p>
                  <w:pPr>
                    <w:adjustRightInd w:val="0"/>
                    <w:snapToGrid w:val="0"/>
                    <w:jc w:val="center"/>
                    <w:rPr>
                      <w:color w:val="auto"/>
                      <w:szCs w:val="21"/>
                    </w:rPr>
                  </w:pPr>
                </w:p>
              </w:tc>
              <w:tc>
                <w:tcPr>
                  <w:tcW w:w="363" w:type="pct"/>
                  <w:tcMar>
                    <w:left w:w="0" w:type="dxa"/>
                    <w:right w:w="0" w:type="dxa"/>
                  </w:tcMar>
                  <w:vAlign w:val="center"/>
                </w:tcPr>
                <w:p>
                  <w:pPr>
                    <w:adjustRightInd w:val="0"/>
                    <w:snapToGrid w:val="0"/>
                    <w:jc w:val="center"/>
                    <w:rPr>
                      <w:rFonts w:hint="eastAsia"/>
                      <w:bCs/>
                      <w:color w:val="auto"/>
                      <w:szCs w:val="21"/>
                    </w:rPr>
                  </w:pPr>
                  <w:r>
                    <w:rPr>
                      <w:rFonts w:hint="eastAsia"/>
                      <w:bCs/>
                      <w:color w:val="auto"/>
                      <w:szCs w:val="21"/>
                    </w:rPr>
                    <w:t>T，I</w:t>
                  </w:r>
                </w:p>
              </w:tc>
              <w:tc>
                <w:tcPr>
                  <w:tcW w:w="364" w:type="pct"/>
                  <w:tcMar>
                    <w:left w:w="0" w:type="dxa"/>
                    <w:right w:w="0" w:type="dxa"/>
                  </w:tcMar>
                  <w:vAlign w:val="center"/>
                </w:tcPr>
                <w:p>
                  <w:pPr>
                    <w:adjustRightInd w:val="0"/>
                    <w:snapToGrid w:val="0"/>
                    <w:jc w:val="center"/>
                    <w:rPr>
                      <w:color w:val="auto"/>
                    </w:rPr>
                  </w:pPr>
                  <w:r>
                    <w:rPr>
                      <w:color w:val="auto"/>
                    </w:rPr>
                    <w:t>HW08</w:t>
                  </w:r>
                </w:p>
              </w:tc>
              <w:tc>
                <w:tcPr>
                  <w:tcW w:w="633" w:type="pct"/>
                  <w:tcMar>
                    <w:left w:w="0" w:type="dxa"/>
                    <w:right w:w="0" w:type="dxa"/>
                  </w:tcMar>
                  <w:vAlign w:val="center"/>
                </w:tcPr>
                <w:p>
                  <w:pPr>
                    <w:adjustRightInd w:val="0"/>
                    <w:snapToGrid w:val="0"/>
                    <w:jc w:val="center"/>
                    <w:rPr>
                      <w:rFonts w:hint="eastAsia"/>
                      <w:bCs/>
                      <w:color w:val="auto"/>
                      <w:szCs w:val="21"/>
                    </w:rPr>
                  </w:pPr>
                  <w:r>
                    <w:rPr>
                      <w:rFonts w:hint="eastAsia"/>
                      <w:bCs/>
                      <w:color w:val="auto"/>
                      <w:szCs w:val="21"/>
                    </w:rPr>
                    <w:t>900-</w:t>
                  </w:r>
                  <w:r>
                    <w:rPr>
                      <w:rFonts w:hint="eastAsia"/>
                      <w:bCs/>
                      <w:color w:val="auto"/>
                      <w:szCs w:val="21"/>
                      <w:lang w:val="en-US" w:eastAsia="zh-CN"/>
                    </w:rPr>
                    <w:t>218</w:t>
                  </w:r>
                  <w:r>
                    <w:rPr>
                      <w:rFonts w:hint="eastAsia"/>
                      <w:bCs/>
                      <w:color w:val="auto"/>
                      <w:szCs w:val="21"/>
                    </w:rPr>
                    <w:t>-08</w:t>
                  </w:r>
                </w:p>
              </w:tc>
              <w:tc>
                <w:tcPr>
                  <w:tcW w:w="464" w:type="pct"/>
                  <w:tcMar>
                    <w:left w:w="0" w:type="dxa"/>
                    <w:right w:w="0" w:type="dxa"/>
                  </w:tcMar>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636" w:type="pct"/>
                  <w:tcMar>
                    <w:top w:w="0" w:type="dxa"/>
                    <w:left w:w="0" w:type="dxa"/>
                    <w:bottom w:w="0" w:type="dxa"/>
                    <w:right w:w="0" w:type="dxa"/>
                  </w:tcMar>
                  <w:vAlign w:val="center"/>
                </w:tcPr>
                <w:p>
                  <w:pPr>
                    <w:widowControl/>
                    <w:adjustRightInd w:val="0"/>
                    <w:snapToGrid w:val="0"/>
                    <w:jc w:val="center"/>
                    <w:rPr>
                      <w:bCs/>
                      <w:color w:val="auto"/>
                      <w:szCs w:val="21"/>
                    </w:rPr>
                  </w:pPr>
                  <w:r>
                    <w:rPr>
                      <w:rFonts w:hint="eastAsia"/>
                      <w:bCs/>
                      <w:color w:val="auto"/>
                      <w:szCs w:val="21"/>
                    </w:rPr>
                    <w:t>废包装桶</w:t>
                  </w:r>
                </w:p>
              </w:tc>
              <w:tc>
                <w:tcPr>
                  <w:tcW w:w="270" w:type="pct"/>
                  <w:vMerge w:val="continue"/>
                  <w:tcMar>
                    <w:left w:w="0" w:type="dxa"/>
                    <w:right w:w="0" w:type="dxa"/>
                  </w:tcMar>
                  <w:vAlign w:val="center"/>
                </w:tcPr>
                <w:p>
                  <w:pPr>
                    <w:adjustRightInd w:val="0"/>
                    <w:snapToGrid w:val="0"/>
                    <w:jc w:val="center"/>
                    <w:rPr>
                      <w:color w:val="auto"/>
                      <w:kern w:val="0"/>
                      <w:szCs w:val="21"/>
                    </w:rPr>
                  </w:pPr>
                </w:p>
              </w:tc>
              <w:tc>
                <w:tcPr>
                  <w:tcW w:w="542" w:type="pct"/>
                  <w:tcBorders>
                    <w:top w:val="single" w:color="auto" w:sz="4" w:space="0"/>
                  </w:tcBorders>
                  <w:tcMar>
                    <w:left w:w="0" w:type="dxa"/>
                    <w:right w:w="0" w:type="dxa"/>
                  </w:tcMar>
                  <w:vAlign w:val="center"/>
                </w:tcPr>
                <w:p>
                  <w:pPr>
                    <w:widowControl/>
                    <w:adjustRightInd w:val="0"/>
                    <w:snapToGrid w:val="0"/>
                    <w:jc w:val="center"/>
                    <w:rPr>
                      <w:bCs/>
                      <w:color w:val="auto"/>
                      <w:szCs w:val="21"/>
                    </w:rPr>
                  </w:pPr>
                  <w:r>
                    <w:rPr>
                      <w:rFonts w:hint="eastAsia"/>
                      <w:bCs/>
                      <w:color w:val="auto"/>
                      <w:szCs w:val="21"/>
                      <w:lang w:eastAsia="zh-CN"/>
                    </w:rPr>
                    <w:t>矿物油</w:t>
                  </w:r>
                  <w:r>
                    <w:rPr>
                      <w:bCs/>
                      <w:color w:val="auto"/>
                      <w:szCs w:val="21"/>
                    </w:rPr>
                    <w:t>使用</w:t>
                  </w:r>
                </w:p>
              </w:tc>
              <w:tc>
                <w:tcPr>
                  <w:tcW w:w="363" w:type="pct"/>
                  <w:tcBorders>
                    <w:top w:val="single" w:color="auto" w:sz="4" w:space="0"/>
                  </w:tcBorders>
                  <w:tcMar>
                    <w:left w:w="0" w:type="dxa"/>
                    <w:right w:w="0" w:type="dxa"/>
                  </w:tcMar>
                  <w:vAlign w:val="center"/>
                </w:tcPr>
                <w:p>
                  <w:pPr>
                    <w:jc w:val="center"/>
                    <w:rPr>
                      <w:color w:val="auto"/>
                      <w:kern w:val="0"/>
                      <w:szCs w:val="21"/>
                    </w:rPr>
                  </w:pPr>
                  <w:r>
                    <w:rPr>
                      <w:color w:val="auto"/>
                      <w:kern w:val="0"/>
                      <w:szCs w:val="21"/>
                    </w:rPr>
                    <w:t>固态</w:t>
                  </w:r>
                </w:p>
              </w:tc>
              <w:tc>
                <w:tcPr>
                  <w:tcW w:w="724" w:type="pct"/>
                  <w:tcBorders>
                    <w:top w:val="single" w:color="auto" w:sz="4" w:space="0"/>
                  </w:tcBorders>
                  <w:tcMar>
                    <w:left w:w="0" w:type="dxa"/>
                    <w:right w:w="0" w:type="dxa"/>
                  </w:tcMar>
                  <w:vAlign w:val="center"/>
                </w:tcPr>
                <w:p>
                  <w:pPr>
                    <w:jc w:val="center"/>
                    <w:rPr>
                      <w:color w:val="auto"/>
                      <w:kern w:val="0"/>
                      <w:szCs w:val="21"/>
                    </w:rPr>
                  </w:pPr>
                  <w:r>
                    <w:rPr>
                      <w:rFonts w:hint="eastAsia"/>
                      <w:color w:val="auto"/>
                      <w:kern w:val="0"/>
                      <w:szCs w:val="21"/>
                    </w:rPr>
                    <w:t>包装桶、矿物</w:t>
                  </w:r>
                  <w:r>
                    <w:rPr>
                      <w:color w:val="auto"/>
                      <w:kern w:val="0"/>
                      <w:szCs w:val="21"/>
                    </w:rPr>
                    <w:t>油</w:t>
                  </w:r>
                </w:p>
              </w:tc>
              <w:tc>
                <w:tcPr>
                  <w:tcW w:w="636" w:type="pct"/>
                  <w:vMerge w:val="continue"/>
                  <w:tcMar>
                    <w:left w:w="0" w:type="dxa"/>
                    <w:right w:w="0" w:type="dxa"/>
                  </w:tcMar>
                  <w:vAlign w:val="center"/>
                </w:tcPr>
                <w:p>
                  <w:pPr>
                    <w:adjustRightInd w:val="0"/>
                    <w:snapToGrid w:val="0"/>
                    <w:jc w:val="center"/>
                    <w:rPr>
                      <w:color w:val="auto"/>
                      <w:kern w:val="0"/>
                      <w:szCs w:val="21"/>
                    </w:rPr>
                  </w:pPr>
                </w:p>
              </w:tc>
              <w:tc>
                <w:tcPr>
                  <w:tcW w:w="363" w:type="pct"/>
                  <w:tcMar>
                    <w:left w:w="0" w:type="dxa"/>
                    <w:right w:w="0" w:type="dxa"/>
                  </w:tcMar>
                  <w:vAlign w:val="center"/>
                </w:tcPr>
                <w:p>
                  <w:pPr>
                    <w:adjustRightInd w:val="0"/>
                    <w:snapToGrid w:val="0"/>
                    <w:jc w:val="center"/>
                    <w:rPr>
                      <w:color w:val="auto"/>
                      <w:kern w:val="0"/>
                      <w:szCs w:val="21"/>
                    </w:rPr>
                  </w:pPr>
                  <w:r>
                    <w:rPr>
                      <w:color w:val="auto"/>
                      <w:kern w:val="0"/>
                      <w:szCs w:val="21"/>
                    </w:rPr>
                    <w:t>T/In</w:t>
                  </w:r>
                </w:p>
              </w:tc>
              <w:tc>
                <w:tcPr>
                  <w:tcW w:w="364" w:type="pct"/>
                  <w:tcMar>
                    <w:left w:w="0" w:type="dxa"/>
                    <w:right w:w="0" w:type="dxa"/>
                  </w:tcMar>
                  <w:vAlign w:val="center"/>
                </w:tcPr>
                <w:p>
                  <w:pPr>
                    <w:adjustRightInd w:val="0"/>
                    <w:snapToGrid w:val="0"/>
                    <w:jc w:val="center"/>
                    <w:rPr>
                      <w:color w:val="auto"/>
                      <w:szCs w:val="21"/>
                    </w:rPr>
                  </w:pPr>
                  <w:r>
                    <w:rPr>
                      <w:color w:val="auto"/>
                      <w:szCs w:val="21"/>
                    </w:rPr>
                    <w:t>HW49</w:t>
                  </w:r>
                </w:p>
              </w:tc>
              <w:tc>
                <w:tcPr>
                  <w:tcW w:w="633" w:type="pct"/>
                  <w:tcMar>
                    <w:left w:w="0" w:type="dxa"/>
                    <w:right w:w="0" w:type="dxa"/>
                  </w:tcMar>
                  <w:vAlign w:val="center"/>
                </w:tcPr>
                <w:p>
                  <w:pPr>
                    <w:adjustRightInd w:val="0"/>
                    <w:snapToGrid w:val="0"/>
                    <w:jc w:val="center"/>
                    <w:rPr>
                      <w:color w:val="auto"/>
                      <w:szCs w:val="21"/>
                    </w:rPr>
                  </w:pPr>
                  <w:r>
                    <w:rPr>
                      <w:color w:val="auto"/>
                      <w:szCs w:val="21"/>
                    </w:rPr>
                    <w:t>900-041-49</w:t>
                  </w:r>
                </w:p>
              </w:tc>
              <w:tc>
                <w:tcPr>
                  <w:tcW w:w="464" w:type="pct"/>
                  <w:tcMar>
                    <w:left w:w="0" w:type="dxa"/>
                    <w:right w:w="0" w:type="dxa"/>
                  </w:tcMar>
                  <w:vAlign w:val="center"/>
                </w:tcPr>
                <w:p>
                  <w:pPr>
                    <w:adjustRightInd w:val="0"/>
                    <w:snapToGrid w:val="0"/>
                    <w:jc w:val="center"/>
                    <w:rPr>
                      <w:color w:val="auto"/>
                      <w:kern w:val="0"/>
                      <w:szCs w:val="21"/>
                    </w:rPr>
                  </w:pPr>
                  <w:r>
                    <w:rPr>
                      <w:color w:val="auto"/>
                      <w:kern w:val="0"/>
                      <w:szCs w:val="21"/>
                    </w:rPr>
                    <w:t>1.16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636" w:type="pct"/>
                  <w:tcMar>
                    <w:top w:w="0" w:type="dxa"/>
                    <w:left w:w="0" w:type="dxa"/>
                    <w:bottom w:w="0" w:type="dxa"/>
                    <w:right w:w="0" w:type="dxa"/>
                  </w:tcMar>
                  <w:vAlign w:val="center"/>
                </w:tcPr>
                <w:p>
                  <w:pPr>
                    <w:widowControl/>
                    <w:adjustRightInd w:val="0"/>
                    <w:snapToGrid w:val="0"/>
                    <w:jc w:val="center"/>
                    <w:rPr>
                      <w:bCs/>
                      <w:color w:val="auto"/>
                      <w:szCs w:val="21"/>
                    </w:rPr>
                  </w:pPr>
                  <w:r>
                    <w:rPr>
                      <w:color w:val="auto"/>
                      <w:szCs w:val="21"/>
                    </w:rPr>
                    <w:t>废抹布</w:t>
                  </w:r>
                  <w:r>
                    <w:rPr>
                      <w:rFonts w:hint="eastAsia"/>
                      <w:color w:val="auto"/>
                      <w:szCs w:val="21"/>
                    </w:rPr>
                    <w:t>手套</w:t>
                  </w:r>
                </w:p>
              </w:tc>
              <w:tc>
                <w:tcPr>
                  <w:tcW w:w="270" w:type="pct"/>
                  <w:vMerge w:val="continue"/>
                  <w:tcMar>
                    <w:left w:w="0" w:type="dxa"/>
                    <w:right w:w="0" w:type="dxa"/>
                  </w:tcMar>
                  <w:vAlign w:val="center"/>
                </w:tcPr>
                <w:p>
                  <w:pPr>
                    <w:adjustRightInd w:val="0"/>
                    <w:snapToGrid w:val="0"/>
                    <w:jc w:val="center"/>
                    <w:rPr>
                      <w:color w:val="auto"/>
                      <w:kern w:val="0"/>
                      <w:szCs w:val="21"/>
                    </w:rPr>
                  </w:pPr>
                </w:p>
              </w:tc>
              <w:tc>
                <w:tcPr>
                  <w:tcW w:w="542" w:type="pct"/>
                  <w:tcBorders>
                    <w:top w:val="single" w:color="auto" w:sz="4" w:space="0"/>
                  </w:tcBorders>
                  <w:tcMar>
                    <w:left w:w="0" w:type="dxa"/>
                    <w:right w:w="0" w:type="dxa"/>
                  </w:tcMar>
                  <w:vAlign w:val="center"/>
                </w:tcPr>
                <w:p>
                  <w:pPr>
                    <w:jc w:val="center"/>
                    <w:rPr>
                      <w:color w:val="auto"/>
                      <w:szCs w:val="21"/>
                    </w:rPr>
                  </w:pPr>
                  <w:r>
                    <w:rPr>
                      <w:color w:val="auto"/>
                      <w:kern w:val="0"/>
                      <w:szCs w:val="21"/>
                    </w:rPr>
                    <w:t>设备维保</w:t>
                  </w:r>
                </w:p>
              </w:tc>
              <w:tc>
                <w:tcPr>
                  <w:tcW w:w="363" w:type="pct"/>
                  <w:tcBorders>
                    <w:top w:val="single" w:color="auto" w:sz="4" w:space="0"/>
                  </w:tcBorders>
                  <w:tcMar>
                    <w:left w:w="0" w:type="dxa"/>
                    <w:right w:w="0" w:type="dxa"/>
                  </w:tcMar>
                  <w:vAlign w:val="center"/>
                </w:tcPr>
                <w:p>
                  <w:pPr>
                    <w:jc w:val="center"/>
                    <w:rPr>
                      <w:color w:val="auto"/>
                      <w:szCs w:val="21"/>
                    </w:rPr>
                  </w:pPr>
                  <w:r>
                    <w:rPr>
                      <w:color w:val="auto"/>
                      <w:kern w:val="0"/>
                      <w:szCs w:val="21"/>
                    </w:rPr>
                    <w:t>固态</w:t>
                  </w:r>
                </w:p>
              </w:tc>
              <w:tc>
                <w:tcPr>
                  <w:tcW w:w="724" w:type="pct"/>
                  <w:tcBorders>
                    <w:top w:val="single" w:color="auto" w:sz="4" w:space="0"/>
                  </w:tcBorders>
                  <w:tcMar>
                    <w:left w:w="0" w:type="dxa"/>
                    <w:right w:w="0" w:type="dxa"/>
                  </w:tcMar>
                  <w:vAlign w:val="center"/>
                </w:tcPr>
                <w:p>
                  <w:pPr>
                    <w:widowControl/>
                    <w:jc w:val="center"/>
                    <w:rPr>
                      <w:color w:val="auto"/>
                      <w:szCs w:val="21"/>
                    </w:rPr>
                  </w:pPr>
                  <w:r>
                    <w:rPr>
                      <w:rFonts w:hint="eastAsia"/>
                      <w:color w:val="auto"/>
                      <w:szCs w:val="21"/>
                    </w:rPr>
                    <w:t>布</w:t>
                  </w:r>
                  <w:r>
                    <w:rPr>
                      <w:rFonts w:hint="eastAsia"/>
                      <w:color w:val="auto"/>
                      <w:kern w:val="0"/>
                      <w:szCs w:val="21"/>
                    </w:rPr>
                    <w:t>、矿物</w:t>
                  </w:r>
                  <w:r>
                    <w:rPr>
                      <w:color w:val="auto"/>
                      <w:kern w:val="0"/>
                      <w:szCs w:val="21"/>
                    </w:rPr>
                    <w:t>油</w:t>
                  </w:r>
                </w:p>
              </w:tc>
              <w:tc>
                <w:tcPr>
                  <w:tcW w:w="636" w:type="pct"/>
                  <w:vMerge w:val="continue"/>
                  <w:tcMar>
                    <w:left w:w="0" w:type="dxa"/>
                    <w:right w:w="0" w:type="dxa"/>
                  </w:tcMar>
                  <w:vAlign w:val="center"/>
                </w:tcPr>
                <w:p>
                  <w:pPr>
                    <w:adjustRightInd w:val="0"/>
                    <w:snapToGrid w:val="0"/>
                    <w:jc w:val="center"/>
                    <w:rPr>
                      <w:color w:val="auto"/>
                      <w:kern w:val="0"/>
                      <w:szCs w:val="21"/>
                    </w:rPr>
                  </w:pPr>
                </w:p>
              </w:tc>
              <w:tc>
                <w:tcPr>
                  <w:tcW w:w="363" w:type="pct"/>
                  <w:tcMar>
                    <w:left w:w="0" w:type="dxa"/>
                    <w:right w:w="0" w:type="dxa"/>
                  </w:tcMar>
                  <w:vAlign w:val="center"/>
                </w:tcPr>
                <w:p>
                  <w:pPr>
                    <w:adjustRightInd w:val="0"/>
                    <w:snapToGrid w:val="0"/>
                    <w:jc w:val="center"/>
                    <w:rPr>
                      <w:color w:val="auto"/>
                      <w:kern w:val="0"/>
                      <w:szCs w:val="21"/>
                    </w:rPr>
                  </w:pPr>
                  <w:r>
                    <w:rPr>
                      <w:color w:val="auto"/>
                      <w:kern w:val="0"/>
                      <w:szCs w:val="21"/>
                    </w:rPr>
                    <w:t>T/In</w:t>
                  </w:r>
                </w:p>
              </w:tc>
              <w:tc>
                <w:tcPr>
                  <w:tcW w:w="364" w:type="pct"/>
                  <w:tcMar>
                    <w:left w:w="0" w:type="dxa"/>
                    <w:right w:w="0" w:type="dxa"/>
                  </w:tcMar>
                  <w:vAlign w:val="center"/>
                </w:tcPr>
                <w:p>
                  <w:pPr>
                    <w:adjustRightInd w:val="0"/>
                    <w:snapToGrid w:val="0"/>
                    <w:jc w:val="center"/>
                    <w:rPr>
                      <w:color w:val="auto"/>
                      <w:szCs w:val="21"/>
                    </w:rPr>
                  </w:pPr>
                  <w:r>
                    <w:rPr>
                      <w:color w:val="auto"/>
                      <w:szCs w:val="21"/>
                    </w:rPr>
                    <w:t>HW49</w:t>
                  </w:r>
                </w:p>
              </w:tc>
              <w:tc>
                <w:tcPr>
                  <w:tcW w:w="633" w:type="pct"/>
                  <w:tcMar>
                    <w:left w:w="0" w:type="dxa"/>
                    <w:right w:w="0" w:type="dxa"/>
                  </w:tcMar>
                  <w:vAlign w:val="center"/>
                </w:tcPr>
                <w:p>
                  <w:pPr>
                    <w:adjustRightInd w:val="0"/>
                    <w:snapToGrid w:val="0"/>
                    <w:jc w:val="center"/>
                    <w:rPr>
                      <w:color w:val="auto"/>
                      <w:szCs w:val="21"/>
                    </w:rPr>
                  </w:pPr>
                  <w:r>
                    <w:rPr>
                      <w:color w:val="auto"/>
                      <w:szCs w:val="21"/>
                    </w:rPr>
                    <w:t>900-041-49</w:t>
                  </w:r>
                </w:p>
              </w:tc>
              <w:tc>
                <w:tcPr>
                  <w:tcW w:w="464" w:type="pct"/>
                  <w:tcMar>
                    <w:left w:w="0" w:type="dxa"/>
                    <w:right w:w="0" w:type="dxa"/>
                  </w:tcMar>
                  <w:vAlign w:val="center"/>
                </w:tcPr>
                <w:p>
                  <w:pPr>
                    <w:adjustRightInd w:val="0"/>
                    <w:snapToGrid w:val="0"/>
                    <w:jc w:val="center"/>
                    <w:rPr>
                      <w:color w:val="auto"/>
                      <w:szCs w:val="21"/>
                    </w:rPr>
                  </w:pPr>
                  <w:r>
                    <w:rPr>
                      <w:rFonts w:hint="eastAsia"/>
                      <w:color w:val="auto"/>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636" w:type="pct"/>
                  <w:tcBorders>
                    <w:top w:val="single" w:color="auto" w:sz="4" w:space="0"/>
                  </w:tcBorders>
                  <w:tcMar>
                    <w:top w:w="0" w:type="dxa"/>
                    <w:left w:w="0" w:type="dxa"/>
                    <w:bottom w:w="0" w:type="dxa"/>
                    <w:right w:w="0" w:type="dxa"/>
                  </w:tcMar>
                  <w:vAlign w:val="center"/>
                </w:tcPr>
                <w:p>
                  <w:pPr>
                    <w:jc w:val="center"/>
                    <w:rPr>
                      <w:color w:val="auto"/>
                      <w:kern w:val="0"/>
                      <w:szCs w:val="21"/>
                    </w:rPr>
                  </w:pPr>
                  <w:r>
                    <w:rPr>
                      <w:color w:val="auto"/>
                      <w:szCs w:val="21"/>
                    </w:rPr>
                    <w:t>边角料</w:t>
                  </w:r>
                </w:p>
              </w:tc>
              <w:tc>
                <w:tcPr>
                  <w:tcW w:w="270" w:type="pct"/>
                  <w:vMerge w:val="restart"/>
                  <w:tcBorders>
                    <w:top w:val="single" w:color="auto" w:sz="4" w:space="0"/>
                  </w:tcBorders>
                  <w:tcMar>
                    <w:left w:w="0" w:type="dxa"/>
                    <w:right w:w="0" w:type="dxa"/>
                  </w:tcMar>
                  <w:vAlign w:val="center"/>
                </w:tcPr>
                <w:p>
                  <w:pPr>
                    <w:adjustRightInd w:val="0"/>
                    <w:snapToGrid w:val="0"/>
                    <w:jc w:val="center"/>
                    <w:rPr>
                      <w:color w:val="auto"/>
                      <w:szCs w:val="21"/>
                    </w:rPr>
                  </w:pPr>
                  <w:r>
                    <w:rPr>
                      <w:color w:val="auto"/>
                      <w:kern w:val="0"/>
                      <w:szCs w:val="21"/>
                    </w:rPr>
                    <w:t>一般固废</w:t>
                  </w:r>
                </w:p>
              </w:tc>
              <w:tc>
                <w:tcPr>
                  <w:tcW w:w="542" w:type="pct"/>
                  <w:tcBorders>
                    <w:top w:val="single" w:color="auto" w:sz="4" w:space="0"/>
                  </w:tcBorders>
                  <w:tcMar>
                    <w:left w:w="0" w:type="dxa"/>
                    <w:right w:w="0" w:type="dxa"/>
                  </w:tcMar>
                  <w:vAlign w:val="center"/>
                </w:tcPr>
                <w:p>
                  <w:pPr>
                    <w:jc w:val="center"/>
                    <w:rPr>
                      <w:color w:val="auto"/>
                      <w:szCs w:val="21"/>
                    </w:rPr>
                  </w:pPr>
                  <w:r>
                    <w:rPr>
                      <w:rFonts w:hint="eastAsia"/>
                      <w:color w:val="auto"/>
                    </w:rPr>
                    <w:t>裁纸</w:t>
                  </w:r>
                </w:p>
              </w:tc>
              <w:tc>
                <w:tcPr>
                  <w:tcW w:w="363" w:type="pct"/>
                  <w:tcMar>
                    <w:left w:w="0" w:type="dxa"/>
                    <w:right w:w="0" w:type="dxa"/>
                  </w:tcMar>
                  <w:vAlign w:val="center"/>
                </w:tcPr>
                <w:p>
                  <w:pPr>
                    <w:jc w:val="center"/>
                    <w:rPr>
                      <w:color w:val="auto"/>
                      <w:kern w:val="0"/>
                      <w:szCs w:val="21"/>
                    </w:rPr>
                  </w:pPr>
                  <w:r>
                    <w:rPr>
                      <w:color w:val="auto"/>
                      <w:kern w:val="0"/>
                      <w:szCs w:val="21"/>
                    </w:rPr>
                    <w:t>固态</w:t>
                  </w:r>
                </w:p>
              </w:tc>
              <w:tc>
                <w:tcPr>
                  <w:tcW w:w="724" w:type="pct"/>
                  <w:tcMar>
                    <w:left w:w="0" w:type="dxa"/>
                    <w:right w:w="0" w:type="dxa"/>
                  </w:tcMar>
                  <w:vAlign w:val="center"/>
                </w:tcPr>
                <w:p>
                  <w:pPr>
                    <w:widowControl/>
                    <w:jc w:val="center"/>
                    <w:rPr>
                      <w:color w:val="auto"/>
                      <w:kern w:val="0"/>
                      <w:szCs w:val="21"/>
                    </w:rPr>
                  </w:pPr>
                  <w:r>
                    <w:rPr>
                      <w:rFonts w:hint="eastAsia"/>
                      <w:color w:val="auto"/>
                      <w:szCs w:val="21"/>
                    </w:rPr>
                    <w:t>浸胶纸</w:t>
                  </w:r>
                </w:p>
              </w:tc>
              <w:tc>
                <w:tcPr>
                  <w:tcW w:w="636" w:type="pct"/>
                  <w:vMerge w:val="restart"/>
                  <w:tcMar>
                    <w:left w:w="0" w:type="dxa"/>
                    <w:right w:w="0" w:type="dxa"/>
                  </w:tcMar>
                  <w:vAlign w:val="center"/>
                </w:tcPr>
                <w:p>
                  <w:pPr>
                    <w:adjustRightInd w:val="0"/>
                    <w:snapToGrid w:val="0"/>
                    <w:jc w:val="center"/>
                    <w:rPr>
                      <w:color w:val="auto"/>
                      <w:szCs w:val="21"/>
                    </w:rPr>
                  </w:pPr>
                  <w:r>
                    <w:rPr>
                      <w:color w:val="auto"/>
                      <w:szCs w:val="21"/>
                    </w:rPr>
                    <w:t>一般固废分类与代码（GB/T 39198-2020）</w:t>
                  </w:r>
                </w:p>
              </w:tc>
              <w:tc>
                <w:tcPr>
                  <w:tcW w:w="363" w:type="pct"/>
                  <w:tcMar>
                    <w:left w:w="0" w:type="dxa"/>
                    <w:right w:w="0" w:type="dxa"/>
                  </w:tcMar>
                  <w:vAlign w:val="center"/>
                </w:tcPr>
                <w:p>
                  <w:pPr>
                    <w:adjustRightInd w:val="0"/>
                    <w:snapToGrid w:val="0"/>
                    <w:jc w:val="center"/>
                    <w:rPr>
                      <w:color w:val="auto"/>
                      <w:szCs w:val="21"/>
                    </w:rPr>
                  </w:pPr>
                  <w:r>
                    <w:rPr>
                      <w:color w:val="auto"/>
                      <w:szCs w:val="21"/>
                    </w:rPr>
                    <w:t>/</w:t>
                  </w:r>
                </w:p>
              </w:tc>
              <w:tc>
                <w:tcPr>
                  <w:tcW w:w="364" w:type="pct"/>
                  <w:tcMar>
                    <w:left w:w="0" w:type="dxa"/>
                    <w:right w:w="0" w:type="dxa"/>
                  </w:tcMar>
                  <w:vAlign w:val="center"/>
                </w:tcPr>
                <w:p>
                  <w:pPr>
                    <w:adjustRightInd w:val="0"/>
                    <w:snapToGrid w:val="0"/>
                    <w:jc w:val="center"/>
                    <w:rPr>
                      <w:bCs/>
                      <w:color w:val="auto"/>
                      <w:szCs w:val="21"/>
                    </w:rPr>
                  </w:pPr>
                  <w:r>
                    <w:rPr>
                      <w:bCs/>
                      <w:color w:val="auto"/>
                      <w:szCs w:val="21"/>
                    </w:rPr>
                    <w:t>其他</w:t>
                  </w:r>
                </w:p>
                <w:p>
                  <w:pPr>
                    <w:adjustRightInd w:val="0"/>
                    <w:snapToGrid w:val="0"/>
                    <w:jc w:val="center"/>
                    <w:rPr>
                      <w:color w:val="auto"/>
                      <w:szCs w:val="21"/>
                    </w:rPr>
                  </w:pPr>
                  <w:r>
                    <w:rPr>
                      <w:bCs/>
                      <w:color w:val="auto"/>
                      <w:szCs w:val="21"/>
                    </w:rPr>
                    <w:t>废物</w:t>
                  </w:r>
                </w:p>
              </w:tc>
              <w:tc>
                <w:tcPr>
                  <w:tcW w:w="633" w:type="pct"/>
                  <w:tcMar>
                    <w:left w:w="0" w:type="dxa"/>
                    <w:right w:w="0" w:type="dxa"/>
                  </w:tcMar>
                  <w:vAlign w:val="center"/>
                </w:tcPr>
                <w:p>
                  <w:pPr>
                    <w:adjustRightInd w:val="0"/>
                    <w:snapToGrid w:val="0"/>
                    <w:jc w:val="center"/>
                    <w:rPr>
                      <w:color w:val="auto"/>
                      <w:szCs w:val="21"/>
                    </w:rPr>
                  </w:pPr>
                  <w:r>
                    <w:rPr>
                      <w:bCs/>
                      <w:color w:val="auto"/>
                      <w:szCs w:val="21"/>
                    </w:rPr>
                    <w:t>900-999-99</w:t>
                  </w:r>
                </w:p>
              </w:tc>
              <w:tc>
                <w:tcPr>
                  <w:tcW w:w="464" w:type="pct"/>
                  <w:tcMar>
                    <w:left w:w="0" w:type="dxa"/>
                    <w:right w:w="0" w:type="dxa"/>
                  </w:tcMar>
                  <w:vAlign w:val="center"/>
                </w:tcPr>
                <w:p>
                  <w:pPr>
                    <w:adjustRightInd w:val="0"/>
                    <w:snapToGrid w:val="0"/>
                    <w:jc w:val="center"/>
                    <w:rPr>
                      <w:bCs/>
                      <w:color w:val="auto"/>
                      <w:szCs w:val="21"/>
                    </w:rPr>
                  </w:pPr>
                  <w:r>
                    <w:rPr>
                      <w:rFonts w:hint="eastAsia"/>
                      <w:bCs/>
                      <w:color w:val="auto"/>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636" w:type="pct"/>
                  <w:tcBorders>
                    <w:top w:val="single" w:color="auto" w:sz="4" w:space="0"/>
                  </w:tcBorders>
                  <w:tcMar>
                    <w:top w:w="0" w:type="dxa"/>
                    <w:left w:w="0" w:type="dxa"/>
                    <w:bottom w:w="0" w:type="dxa"/>
                    <w:right w:w="0" w:type="dxa"/>
                  </w:tcMar>
                  <w:vAlign w:val="center"/>
                </w:tcPr>
                <w:p>
                  <w:pPr>
                    <w:jc w:val="center"/>
                    <w:rPr>
                      <w:color w:val="auto"/>
                      <w:szCs w:val="21"/>
                    </w:rPr>
                  </w:pPr>
                  <w:r>
                    <w:rPr>
                      <w:rFonts w:hint="eastAsia"/>
                      <w:color w:val="auto"/>
                      <w:szCs w:val="21"/>
                    </w:rPr>
                    <w:t>不合格品</w:t>
                  </w:r>
                </w:p>
              </w:tc>
              <w:tc>
                <w:tcPr>
                  <w:tcW w:w="270" w:type="pct"/>
                  <w:vMerge w:val="continue"/>
                  <w:tcBorders>
                    <w:top w:val="single" w:color="auto" w:sz="4" w:space="0"/>
                  </w:tcBorders>
                  <w:tcMar>
                    <w:left w:w="0" w:type="dxa"/>
                    <w:right w:w="0" w:type="dxa"/>
                  </w:tcMar>
                  <w:vAlign w:val="center"/>
                </w:tcPr>
                <w:p>
                  <w:pPr>
                    <w:adjustRightInd w:val="0"/>
                    <w:snapToGrid w:val="0"/>
                    <w:jc w:val="center"/>
                    <w:rPr>
                      <w:color w:val="auto"/>
                      <w:kern w:val="0"/>
                      <w:szCs w:val="21"/>
                    </w:rPr>
                  </w:pPr>
                </w:p>
              </w:tc>
              <w:tc>
                <w:tcPr>
                  <w:tcW w:w="542" w:type="pct"/>
                  <w:tcBorders>
                    <w:top w:val="single" w:color="auto" w:sz="4" w:space="0"/>
                  </w:tcBorders>
                  <w:tcMar>
                    <w:left w:w="0" w:type="dxa"/>
                    <w:right w:w="0" w:type="dxa"/>
                  </w:tcMar>
                  <w:vAlign w:val="center"/>
                </w:tcPr>
                <w:p>
                  <w:pPr>
                    <w:jc w:val="center"/>
                    <w:rPr>
                      <w:color w:val="auto"/>
                    </w:rPr>
                  </w:pPr>
                  <w:r>
                    <w:rPr>
                      <w:rFonts w:hint="eastAsia"/>
                      <w:color w:val="auto"/>
                    </w:rPr>
                    <w:t>检验包装</w:t>
                  </w:r>
                </w:p>
              </w:tc>
              <w:tc>
                <w:tcPr>
                  <w:tcW w:w="363" w:type="pct"/>
                  <w:tcMar>
                    <w:left w:w="0" w:type="dxa"/>
                    <w:right w:w="0" w:type="dxa"/>
                  </w:tcMar>
                  <w:vAlign w:val="center"/>
                </w:tcPr>
                <w:p>
                  <w:pPr>
                    <w:jc w:val="center"/>
                    <w:rPr>
                      <w:color w:val="auto"/>
                      <w:kern w:val="0"/>
                      <w:szCs w:val="21"/>
                    </w:rPr>
                  </w:pPr>
                  <w:r>
                    <w:rPr>
                      <w:color w:val="auto"/>
                      <w:kern w:val="0"/>
                      <w:szCs w:val="21"/>
                    </w:rPr>
                    <w:t>固态</w:t>
                  </w:r>
                </w:p>
              </w:tc>
              <w:tc>
                <w:tcPr>
                  <w:tcW w:w="724" w:type="pct"/>
                  <w:tcMar>
                    <w:left w:w="0" w:type="dxa"/>
                    <w:right w:w="0" w:type="dxa"/>
                  </w:tcMar>
                  <w:vAlign w:val="center"/>
                </w:tcPr>
                <w:p>
                  <w:pPr>
                    <w:widowControl/>
                    <w:jc w:val="center"/>
                    <w:rPr>
                      <w:color w:val="auto"/>
                      <w:szCs w:val="21"/>
                    </w:rPr>
                  </w:pPr>
                  <w:r>
                    <w:rPr>
                      <w:rFonts w:hint="eastAsia"/>
                      <w:color w:val="auto"/>
                      <w:szCs w:val="21"/>
                    </w:rPr>
                    <w:t>浸胶纸、木板</w:t>
                  </w:r>
                </w:p>
              </w:tc>
              <w:tc>
                <w:tcPr>
                  <w:tcW w:w="636" w:type="pct"/>
                  <w:vMerge w:val="continue"/>
                  <w:tcMar>
                    <w:left w:w="0" w:type="dxa"/>
                    <w:right w:w="0" w:type="dxa"/>
                  </w:tcMar>
                  <w:vAlign w:val="center"/>
                </w:tcPr>
                <w:p>
                  <w:pPr>
                    <w:adjustRightInd w:val="0"/>
                    <w:snapToGrid w:val="0"/>
                    <w:jc w:val="center"/>
                    <w:rPr>
                      <w:color w:val="auto"/>
                      <w:szCs w:val="21"/>
                    </w:rPr>
                  </w:pPr>
                </w:p>
              </w:tc>
              <w:tc>
                <w:tcPr>
                  <w:tcW w:w="363" w:type="pct"/>
                  <w:tcMar>
                    <w:left w:w="0" w:type="dxa"/>
                    <w:right w:w="0" w:type="dxa"/>
                  </w:tcMar>
                  <w:vAlign w:val="center"/>
                </w:tcPr>
                <w:p>
                  <w:pPr>
                    <w:adjustRightInd w:val="0"/>
                    <w:snapToGrid w:val="0"/>
                    <w:jc w:val="center"/>
                    <w:rPr>
                      <w:color w:val="auto"/>
                      <w:szCs w:val="21"/>
                    </w:rPr>
                  </w:pPr>
                  <w:r>
                    <w:rPr>
                      <w:color w:val="auto"/>
                      <w:szCs w:val="21"/>
                    </w:rPr>
                    <w:t>/</w:t>
                  </w:r>
                </w:p>
              </w:tc>
              <w:tc>
                <w:tcPr>
                  <w:tcW w:w="364" w:type="pct"/>
                  <w:tcMar>
                    <w:left w:w="0" w:type="dxa"/>
                    <w:right w:w="0" w:type="dxa"/>
                  </w:tcMar>
                  <w:vAlign w:val="center"/>
                </w:tcPr>
                <w:p>
                  <w:pPr>
                    <w:adjustRightInd w:val="0"/>
                    <w:snapToGrid w:val="0"/>
                    <w:jc w:val="center"/>
                    <w:rPr>
                      <w:bCs/>
                      <w:color w:val="auto"/>
                      <w:szCs w:val="21"/>
                    </w:rPr>
                  </w:pPr>
                  <w:r>
                    <w:rPr>
                      <w:bCs/>
                      <w:color w:val="auto"/>
                      <w:szCs w:val="21"/>
                    </w:rPr>
                    <w:t>其他</w:t>
                  </w:r>
                </w:p>
                <w:p>
                  <w:pPr>
                    <w:adjustRightInd w:val="0"/>
                    <w:snapToGrid w:val="0"/>
                    <w:jc w:val="center"/>
                    <w:rPr>
                      <w:color w:val="auto"/>
                      <w:szCs w:val="21"/>
                    </w:rPr>
                  </w:pPr>
                  <w:r>
                    <w:rPr>
                      <w:bCs/>
                      <w:color w:val="auto"/>
                      <w:szCs w:val="21"/>
                    </w:rPr>
                    <w:t>废物</w:t>
                  </w:r>
                </w:p>
              </w:tc>
              <w:tc>
                <w:tcPr>
                  <w:tcW w:w="633" w:type="pct"/>
                  <w:tcMar>
                    <w:left w:w="0" w:type="dxa"/>
                    <w:right w:w="0" w:type="dxa"/>
                  </w:tcMar>
                  <w:vAlign w:val="center"/>
                </w:tcPr>
                <w:p>
                  <w:pPr>
                    <w:adjustRightInd w:val="0"/>
                    <w:snapToGrid w:val="0"/>
                    <w:jc w:val="center"/>
                    <w:rPr>
                      <w:color w:val="auto"/>
                      <w:szCs w:val="21"/>
                    </w:rPr>
                  </w:pPr>
                  <w:r>
                    <w:rPr>
                      <w:bCs/>
                      <w:color w:val="auto"/>
                      <w:szCs w:val="21"/>
                    </w:rPr>
                    <w:t>900-999-99</w:t>
                  </w:r>
                </w:p>
              </w:tc>
              <w:tc>
                <w:tcPr>
                  <w:tcW w:w="464" w:type="pct"/>
                  <w:tcMar>
                    <w:left w:w="0" w:type="dxa"/>
                    <w:right w:w="0" w:type="dxa"/>
                  </w:tcMar>
                  <w:vAlign w:val="center"/>
                </w:tcPr>
                <w:p>
                  <w:pPr>
                    <w:adjustRightInd w:val="0"/>
                    <w:snapToGrid w:val="0"/>
                    <w:jc w:val="center"/>
                    <w:rPr>
                      <w:bCs/>
                      <w:color w:val="auto"/>
                      <w:szCs w:val="21"/>
                    </w:rPr>
                  </w:pPr>
                  <w:r>
                    <w:rPr>
                      <w:bCs/>
                      <w:color w:val="auto"/>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636" w:type="pct"/>
                  <w:tcBorders>
                    <w:top w:val="single" w:color="auto" w:sz="4" w:space="0"/>
                  </w:tcBorders>
                  <w:tcMar>
                    <w:top w:w="0" w:type="dxa"/>
                    <w:left w:w="0" w:type="dxa"/>
                    <w:bottom w:w="0" w:type="dxa"/>
                    <w:right w:w="0" w:type="dxa"/>
                  </w:tcMar>
                  <w:vAlign w:val="center"/>
                </w:tcPr>
                <w:p>
                  <w:pPr>
                    <w:jc w:val="center"/>
                    <w:rPr>
                      <w:color w:val="auto"/>
                      <w:szCs w:val="21"/>
                    </w:rPr>
                  </w:pPr>
                  <w:r>
                    <w:rPr>
                      <w:rFonts w:hint="eastAsia"/>
                      <w:color w:val="auto"/>
                      <w:szCs w:val="21"/>
                    </w:rPr>
                    <w:t>废包装袋</w:t>
                  </w:r>
                </w:p>
              </w:tc>
              <w:tc>
                <w:tcPr>
                  <w:tcW w:w="270" w:type="pct"/>
                  <w:vMerge w:val="continue"/>
                  <w:tcBorders>
                    <w:top w:val="single" w:color="auto" w:sz="4" w:space="0"/>
                  </w:tcBorders>
                  <w:tcMar>
                    <w:left w:w="0" w:type="dxa"/>
                    <w:right w:w="0" w:type="dxa"/>
                  </w:tcMar>
                  <w:vAlign w:val="center"/>
                </w:tcPr>
                <w:p>
                  <w:pPr>
                    <w:adjustRightInd w:val="0"/>
                    <w:snapToGrid w:val="0"/>
                    <w:jc w:val="center"/>
                    <w:rPr>
                      <w:color w:val="auto"/>
                      <w:kern w:val="0"/>
                      <w:szCs w:val="21"/>
                    </w:rPr>
                  </w:pPr>
                </w:p>
              </w:tc>
              <w:tc>
                <w:tcPr>
                  <w:tcW w:w="542" w:type="pct"/>
                  <w:tcBorders>
                    <w:top w:val="single" w:color="auto" w:sz="4" w:space="0"/>
                  </w:tcBorders>
                  <w:tcMar>
                    <w:left w:w="0" w:type="dxa"/>
                    <w:right w:w="0" w:type="dxa"/>
                  </w:tcMar>
                  <w:vAlign w:val="center"/>
                </w:tcPr>
                <w:p>
                  <w:pPr>
                    <w:jc w:val="center"/>
                    <w:rPr>
                      <w:color w:val="auto"/>
                    </w:rPr>
                  </w:pPr>
                  <w:r>
                    <w:rPr>
                      <w:rFonts w:hint="eastAsia"/>
                      <w:color w:val="auto"/>
                    </w:rPr>
                    <w:t>浸胶纸使用</w:t>
                  </w:r>
                </w:p>
              </w:tc>
              <w:tc>
                <w:tcPr>
                  <w:tcW w:w="363" w:type="pct"/>
                  <w:tcMar>
                    <w:left w:w="0" w:type="dxa"/>
                    <w:right w:w="0" w:type="dxa"/>
                  </w:tcMar>
                  <w:vAlign w:val="center"/>
                </w:tcPr>
                <w:p>
                  <w:pPr>
                    <w:jc w:val="center"/>
                    <w:rPr>
                      <w:color w:val="auto"/>
                      <w:kern w:val="0"/>
                      <w:szCs w:val="21"/>
                    </w:rPr>
                  </w:pPr>
                  <w:r>
                    <w:rPr>
                      <w:color w:val="auto"/>
                      <w:kern w:val="0"/>
                      <w:szCs w:val="21"/>
                    </w:rPr>
                    <w:t>固态</w:t>
                  </w:r>
                </w:p>
              </w:tc>
              <w:tc>
                <w:tcPr>
                  <w:tcW w:w="724" w:type="pct"/>
                  <w:tcMar>
                    <w:left w:w="0" w:type="dxa"/>
                    <w:right w:w="0" w:type="dxa"/>
                  </w:tcMar>
                  <w:vAlign w:val="center"/>
                </w:tcPr>
                <w:p>
                  <w:pPr>
                    <w:widowControl/>
                    <w:jc w:val="center"/>
                    <w:rPr>
                      <w:color w:val="auto"/>
                      <w:szCs w:val="21"/>
                    </w:rPr>
                  </w:pPr>
                  <w:r>
                    <w:rPr>
                      <w:rFonts w:hint="eastAsia"/>
                      <w:color w:val="auto"/>
                      <w:szCs w:val="21"/>
                    </w:rPr>
                    <w:t>塑料</w:t>
                  </w:r>
                </w:p>
              </w:tc>
              <w:tc>
                <w:tcPr>
                  <w:tcW w:w="636" w:type="pct"/>
                  <w:vMerge w:val="continue"/>
                  <w:tcMar>
                    <w:left w:w="0" w:type="dxa"/>
                    <w:right w:w="0" w:type="dxa"/>
                  </w:tcMar>
                  <w:vAlign w:val="center"/>
                </w:tcPr>
                <w:p>
                  <w:pPr>
                    <w:adjustRightInd w:val="0"/>
                    <w:snapToGrid w:val="0"/>
                    <w:jc w:val="center"/>
                    <w:rPr>
                      <w:color w:val="auto"/>
                      <w:szCs w:val="21"/>
                    </w:rPr>
                  </w:pPr>
                </w:p>
              </w:tc>
              <w:tc>
                <w:tcPr>
                  <w:tcW w:w="363" w:type="pct"/>
                  <w:tcMar>
                    <w:left w:w="0" w:type="dxa"/>
                    <w:right w:w="0" w:type="dxa"/>
                  </w:tcMar>
                  <w:vAlign w:val="center"/>
                </w:tcPr>
                <w:p>
                  <w:pPr>
                    <w:adjustRightInd w:val="0"/>
                    <w:snapToGrid w:val="0"/>
                    <w:jc w:val="center"/>
                    <w:rPr>
                      <w:color w:val="auto"/>
                      <w:szCs w:val="21"/>
                    </w:rPr>
                  </w:pPr>
                  <w:r>
                    <w:rPr>
                      <w:color w:val="auto"/>
                      <w:szCs w:val="21"/>
                    </w:rPr>
                    <w:t>/</w:t>
                  </w:r>
                </w:p>
              </w:tc>
              <w:tc>
                <w:tcPr>
                  <w:tcW w:w="364" w:type="pct"/>
                  <w:tcMar>
                    <w:left w:w="0" w:type="dxa"/>
                    <w:right w:w="0" w:type="dxa"/>
                  </w:tcMar>
                  <w:vAlign w:val="center"/>
                </w:tcPr>
                <w:p>
                  <w:pPr>
                    <w:adjustRightInd w:val="0"/>
                    <w:snapToGrid w:val="0"/>
                    <w:jc w:val="center"/>
                    <w:rPr>
                      <w:bCs/>
                      <w:color w:val="auto"/>
                      <w:szCs w:val="21"/>
                    </w:rPr>
                  </w:pPr>
                  <w:r>
                    <w:rPr>
                      <w:bCs/>
                      <w:color w:val="auto"/>
                      <w:szCs w:val="21"/>
                    </w:rPr>
                    <w:t>其他</w:t>
                  </w:r>
                </w:p>
                <w:p>
                  <w:pPr>
                    <w:adjustRightInd w:val="0"/>
                    <w:snapToGrid w:val="0"/>
                    <w:jc w:val="center"/>
                    <w:rPr>
                      <w:color w:val="auto"/>
                      <w:szCs w:val="21"/>
                    </w:rPr>
                  </w:pPr>
                  <w:r>
                    <w:rPr>
                      <w:bCs/>
                      <w:color w:val="auto"/>
                      <w:szCs w:val="21"/>
                    </w:rPr>
                    <w:t>废物</w:t>
                  </w:r>
                </w:p>
              </w:tc>
              <w:tc>
                <w:tcPr>
                  <w:tcW w:w="633" w:type="pct"/>
                  <w:tcMar>
                    <w:left w:w="0" w:type="dxa"/>
                    <w:right w:w="0" w:type="dxa"/>
                  </w:tcMar>
                  <w:vAlign w:val="center"/>
                </w:tcPr>
                <w:p>
                  <w:pPr>
                    <w:adjustRightInd w:val="0"/>
                    <w:snapToGrid w:val="0"/>
                    <w:jc w:val="center"/>
                    <w:rPr>
                      <w:color w:val="auto"/>
                      <w:szCs w:val="21"/>
                    </w:rPr>
                  </w:pPr>
                  <w:r>
                    <w:rPr>
                      <w:bCs/>
                      <w:color w:val="auto"/>
                      <w:szCs w:val="21"/>
                    </w:rPr>
                    <w:t>900-999-99</w:t>
                  </w:r>
                </w:p>
              </w:tc>
              <w:tc>
                <w:tcPr>
                  <w:tcW w:w="464" w:type="pct"/>
                  <w:tcMar>
                    <w:left w:w="0" w:type="dxa"/>
                    <w:right w:w="0" w:type="dxa"/>
                  </w:tcMar>
                  <w:vAlign w:val="center"/>
                </w:tcPr>
                <w:p>
                  <w:pPr>
                    <w:adjustRightInd w:val="0"/>
                    <w:snapToGrid w:val="0"/>
                    <w:jc w:val="center"/>
                    <w:rPr>
                      <w:bCs/>
                      <w:color w:val="auto"/>
                      <w:szCs w:val="21"/>
                    </w:rPr>
                  </w:pPr>
                  <w:r>
                    <w:rPr>
                      <w:rFonts w:hint="eastAsia"/>
                      <w:bCs/>
                      <w:color w:val="auto"/>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636" w:type="pct"/>
                  <w:tcMar>
                    <w:top w:w="0" w:type="dxa"/>
                    <w:left w:w="0" w:type="dxa"/>
                    <w:bottom w:w="0" w:type="dxa"/>
                    <w:right w:w="0" w:type="dxa"/>
                  </w:tcMar>
                  <w:vAlign w:val="center"/>
                </w:tcPr>
                <w:p>
                  <w:pPr>
                    <w:jc w:val="center"/>
                    <w:rPr>
                      <w:bCs/>
                      <w:color w:val="auto"/>
                      <w:szCs w:val="21"/>
                    </w:rPr>
                  </w:pPr>
                  <w:r>
                    <w:rPr>
                      <w:color w:val="auto"/>
                      <w:kern w:val="0"/>
                      <w:szCs w:val="21"/>
                    </w:rPr>
                    <w:t>生活垃圾</w:t>
                  </w:r>
                </w:p>
              </w:tc>
              <w:tc>
                <w:tcPr>
                  <w:tcW w:w="270" w:type="pct"/>
                  <w:vMerge w:val="continue"/>
                  <w:tcMar>
                    <w:left w:w="0" w:type="dxa"/>
                    <w:right w:w="0" w:type="dxa"/>
                  </w:tcMar>
                  <w:vAlign w:val="center"/>
                </w:tcPr>
                <w:p>
                  <w:pPr>
                    <w:adjustRightInd w:val="0"/>
                    <w:snapToGrid w:val="0"/>
                    <w:jc w:val="center"/>
                    <w:rPr>
                      <w:color w:val="auto"/>
                      <w:szCs w:val="21"/>
                    </w:rPr>
                  </w:pPr>
                </w:p>
              </w:tc>
              <w:tc>
                <w:tcPr>
                  <w:tcW w:w="542" w:type="pct"/>
                  <w:tcMar>
                    <w:left w:w="0" w:type="dxa"/>
                    <w:right w:w="0" w:type="dxa"/>
                  </w:tcMar>
                  <w:vAlign w:val="center"/>
                </w:tcPr>
                <w:p>
                  <w:pPr>
                    <w:jc w:val="center"/>
                    <w:rPr>
                      <w:color w:val="auto"/>
                      <w:szCs w:val="21"/>
                    </w:rPr>
                  </w:pPr>
                  <w:r>
                    <w:rPr>
                      <w:color w:val="auto"/>
                      <w:kern w:val="0"/>
                      <w:szCs w:val="21"/>
                    </w:rPr>
                    <w:t>员工生活</w:t>
                  </w:r>
                </w:p>
              </w:tc>
              <w:tc>
                <w:tcPr>
                  <w:tcW w:w="363" w:type="pct"/>
                  <w:tcMar>
                    <w:left w:w="0" w:type="dxa"/>
                    <w:right w:w="0" w:type="dxa"/>
                  </w:tcMar>
                  <w:vAlign w:val="center"/>
                </w:tcPr>
                <w:p>
                  <w:pPr>
                    <w:widowControl/>
                    <w:jc w:val="center"/>
                    <w:rPr>
                      <w:color w:val="auto"/>
                      <w:szCs w:val="21"/>
                    </w:rPr>
                  </w:pPr>
                  <w:r>
                    <w:rPr>
                      <w:color w:val="auto"/>
                      <w:kern w:val="0"/>
                      <w:szCs w:val="21"/>
                    </w:rPr>
                    <w:t>固态</w:t>
                  </w:r>
                </w:p>
              </w:tc>
              <w:tc>
                <w:tcPr>
                  <w:tcW w:w="724" w:type="pct"/>
                  <w:tcMar>
                    <w:left w:w="0" w:type="dxa"/>
                    <w:right w:w="0" w:type="dxa"/>
                  </w:tcMar>
                  <w:vAlign w:val="center"/>
                </w:tcPr>
                <w:p>
                  <w:pPr>
                    <w:widowControl/>
                    <w:jc w:val="center"/>
                    <w:rPr>
                      <w:color w:val="auto"/>
                      <w:szCs w:val="21"/>
                    </w:rPr>
                  </w:pPr>
                  <w:r>
                    <w:rPr>
                      <w:color w:val="auto"/>
                      <w:kern w:val="0"/>
                      <w:szCs w:val="21"/>
                    </w:rPr>
                    <w:t>生活垃圾</w:t>
                  </w:r>
                </w:p>
              </w:tc>
              <w:tc>
                <w:tcPr>
                  <w:tcW w:w="636" w:type="pct"/>
                  <w:tcMar>
                    <w:left w:w="0" w:type="dxa"/>
                    <w:right w:w="0" w:type="dxa"/>
                  </w:tcMar>
                  <w:vAlign w:val="center"/>
                </w:tcPr>
                <w:p>
                  <w:pPr>
                    <w:adjustRightInd w:val="0"/>
                    <w:snapToGrid w:val="0"/>
                    <w:jc w:val="center"/>
                    <w:rPr>
                      <w:color w:val="auto"/>
                      <w:szCs w:val="21"/>
                    </w:rPr>
                  </w:pPr>
                  <w:r>
                    <w:rPr>
                      <w:color w:val="auto"/>
                      <w:szCs w:val="21"/>
                    </w:rPr>
                    <w:t>/</w:t>
                  </w:r>
                </w:p>
              </w:tc>
              <w:tc>
                <w:tcPr>
                  <w:tcW w:w="363" w:type="pct"/>
                  <w:tcMar>
                    <w:left w:w="0" w:type="dxa"/>
                    <w:right w:w="0" w:type="dxa"/>
                  </w:tcMar>
                  <w:vAlign w:val="center"/>
                </w:tcPr>
                <w:p>
                  <w:pPr>
                    <w:adjustRightInd w:val="0"/>
                    <w:snapToGrid w:val="0"/>
                    <w:jc w:val="center"/>
                    <w:rPr>
                      <w:color w:val="auto"/>
                      <w:szCs w:val="21"/>
                    </w:rPr>
                  </w:pPr>
                  <w:r>
                    <w:rPr>
                      <w:color w:val="auto"/>
                      <w:szCs w:val="21"/>
                    </w:rPr>
                    <w:t>/</w:t>
                  </w:r>
                </w:p>
              </w:tc>
              <w:tc>
                <w:tcPr>
                  <w:tcW w:w="364" w:type="pct"/>
                  <w:tcMar>
                    <w:left w:w="0" w:type="dxa"/>
                    <w:right w:w="0" w:type="dxa"/>
                  </w:tcMar>
                  <w:vAlign w:val="center"/>
                </w:tcPr>
                <w:p>
                  <w:pPr>
                    <w:adjustRightInd w:val="0"/>
                    <w:snapToGrid w:val="0"/>
                    <w:jc w:val="center"/>
                    <w:rPr>
                      <w:bCs/>
                      <w:color w:val="auto"/>
                      <w:szCs w:val="21"/>
                    </w:rPr>
                  </w:pPr>
                  <w:r>
                    <w:rPr>
                      <w:bCs/>
                      <w:color w:val="auto"/>
                      <w:szCs w:val="21"/>
                    </w:rPr>
                    <w:t>其他</w:t>
                  </w:r>
                </w:p>
                <w:p>
                  <w:pPr>
                    <w:adjustRightInd w:val="0"/>
                    <w:snapToGrid w:val="0"/>
                    <w:jc w:val="center"/>
                    <w:rPr>
                      <w:color w:val="auto"/>
                      <w:szCs w:val="21"/>
                    </w:rPr>
                  </w:pPr>
                  <w:r>
                    <w:rPr>
                      <w:bCs/>
                      <w:color w:val="auto"/>
                      <w:szCs w:val="21"/>
                    </w:rPr>
                    <w:t>废物</w:t>
                  </w:r>
                </w:p>
              </w:tc>
              <w:tc>
                <w:tcPr>
                  <w:tcW w:w="633" w:type="pct"/>
                  <w:tcMar>
                    <w:left w:w="0" w:type="dxa"/>
                    <w:right w:w="0" w:type="dxa"/>
                  </w:tcMar>
                  <w:vAlign w:val="center"/>
                </w:tcPr>
                <w:p>
                  <w:pPr>
                    <w:adjustRightInd w:val="0"/>
                    <w:snapToGrid w:val="0"/>
                    <w:jc w:val="center"/>
                    <w:rPr>
                      <w:color w:val="auto"/>
                      <w:szCs w:val="21"/>
                    </w:rPr>
                  </w:pPr>
                  <w:r>
                    <w:rPr>
                      <w:bCs/>
                      <w:color w:val="auto"/>
                      <w:szCs w:val="21"/>
                    </w:rPr>
                    <w:t>900-999-99</w:t>
                  </w:r>
                </w:p>
              </w:tc>
              <w:tc>
                <w:tcPr>
                  <w:tcW w:w="464" w:type="pct"/>
                  <w:tcMar>
                    <w:left w:w="0" w:type="dxa"/>
                    <w:right w:w="0" w:type="dxa"/>
                  </w:tcMar>
                  <w:vAlign w:val="center"/>
                </w:tcPr>
                <w:p>
                  <w:pPr>
                    <w:adjustRightInd w:val="0"/>
                    <w:snapToGrid w:val="0"/>
                    <w:jc w:val="center"/>
                    <w:rPr>
                      <w:rFonts w:hint="default" w:eastAsia="宋体"/>
                      <w:bCs/>
                      <w:color w:val="auto"/>
                      <w:szCs w:val="21"/>
                      <w:lang w:val="en-US" w:eastAsia="zh-CN"/>
                    </w:rPr>
                  </w:pPr>
                  <w:r>
                    <w:rPr>
                      <w:rFonts w:hint="eastAsia"/>
                      <w:bCs/>
                      <w:color w:val="auto"/>
                      <w:szCs w:val="21"/>
                    </w:rPr>
                    <w:t>8</w:t>
                  </w:r>
                  <w:r>
                    <w:rPr>
                      <w:rFonts w:hint="eastAsia"/>
                      <w:bCs/>
                      <w:color w:val="auto"/>
                      <w:szCs w:val="21"/>
                      <w:lang w:val="en-US" w:eastAsia="zh-CN"/>
                    </w:rPr>
                    <w:t>.16</w:t>
                  </w:r>
                </w:p>
              </w:tc>
            </w:tr>
          </w:tbl>
          <w:p>
            <w:pPr>
              <w:jc w:val="left"/>
              <w:rPr>
                <w:b/>
                <w:bCs/>
                <w:color w:val="auto"/>
                <w:sz w:val="24"/>
              </w:rPr>
            </w:pPr>
            <w:r>
              <w:rPr>
                <w:b/>
                <w:bCs/>
                <w:color w:val="auto"/>
              </w:rPr>
              <w:t>注：上表危险特性中“T指毒性”、“I指易燃性”、“</w:t>
            </w:r>
            <w:r>
              <w:rPr>
                <w:b/>
                <w:color w:val="auto"/>
                <w:szCs w:val="21"/>
              </w:rPr>
              <w:t>In为感染性</w:t>
            </w:r>
            <w:r>
              <w:rPr>
                <w:b/>
                <w:bCs/>
                <w:color w:val="auto"/>
              </w:rPr>
              <w:t>”</w:t>
            </w:r>
            <w:r>
              <w:rPr>
                <w:b/>
                <w:color w:val="auto"/>
              </w:rPr>
              <w:t>。</w:t>
            </w:r>
          </w:p>
          <w:p>
            <w:pPr>
              <w:topLinePunct/>
              <w:adjustRightInd w:val="0"/>
              <w:snapToGrid w:val="0"/>
              <w:spacing w:before="120" w:beforeLines="50"/>
              <w:jc w:val="center"/>
              <w:rPr>
                <w:b/>
                <w:bCs/>
                <w:color w:val="auto"/>
                <w:sz w:val="24"/>
              </w:rPr>
            </w:pPr>
          </w:p>
          <w:p>
            <w:pPr>
              <w:topLinePunct/>
              <w:adjustRightInd w:val="0"/>
              <w:snapToGrid w:val="0"/>
              <w:spacing w:before="120" w:beforeLines="50"/>
              <w:jc w:val="center"/>
              <w:rPr>
                <w:b/>
                <w:bCs/>
                <w:color w:val="auto"/>
                <w:sz w:val="24"/>
              </w:rPr>
            </w:pPr>
          </w:p>
          <w:p>
            <w:pPr>
              <w:topLinePunct/>
              <w:adjustRightInd w:val="0"/>
              <w:snapToGrid w:val="0"/>
              <w:spacing w:before="120" w:beforeLines="50"/>
              <w:jc w:val="center"/>
              <w:rPr>
                <w:b/>
                <w:bCs/>
                <w:color w:val="auto"/>
                <w:sz w:val="24"/>
              </w:rPr>
            </w:pPr>
          </w:p>
          <w:p>
            <w:pPr>
              <w:topLinePunct/>
              <w:adjustRightInd w:val="0"/>
              <w:snapToGrid w:val="0"/>
              <w:spacing w:before="120" w:beforeLines="50"/>
              <w:jc w:val="center"/>
              <w:rPr>
                <w:b/>
                <w:bCs/>
                <w:color w:val="auto"/>
                <w:sz w:val="24"/>
              </w:rPr>
            </w:pPr>
            <w:r>
              <w:rPr>
                <w:b/>
                <w:bCs/>
                <w:color w:val="auto"/>
                <w:sz w:val="24"/>
              </w:rPr>
              <w:t>表4-</w:t>
            </w:r>
            <w:r>
              <w:rPr>
                <w:rFonts w:hint="eastAsia"/>
                <w:b/>
                <w:bCs/>
                <w:color w:val="auto"/>
                <w:sz w:val="24"/>
                <w:lang w:val="en-US" w:eastAsia="zh-CN"/>
              </w:rPr>
              <w:t>16</w:t>
            </w:r>
            <w:r>
              <w:rPr>
                <w:b/>
                <w:bCs/>
                <w:color w:val="auto"/>
                <w:sz w:val="24"/>
              </w:rPr>
              <w:t xml:space="preserve">  危险废物汇总</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71"/>
              <w:gridCol w:w="1078"/>
              <w:gridCol w:w="618"/>
              <w:gridCol w:w="771"/>
              <w:gridCol w:w="1078"/>
              <w:gridCol w:w="618"/>
              <w:gridCol w:w="771"/>
              <w:gridCol w:w="618"/>
              <w:gridCol w:w="618"/>
              <w:gridCol w:w="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危险废物名称</w:t>
                  </w:r>
                </w:p>
              </w:tc>
              <w:tc>
                <w:tcPr>
                  <w:tcW w:w="462"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危险废物类别</w:t>
                  </w:r>
                </w:p>
              </w:tc>
              <w:tc>
                <w:tcPr>
                  <w:tcW w:w="646"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危险废物代码</w:t>
                  </w:r>
                </w:p>
              </w:tc>
              <w:tc>
                <w:tcPr>
                  <w:tcW w:w="370"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危险</w:t>
                  </w:r>
                </w:p>
                <w:p>
                  <w:pPr>
                    <w:autoSpaceDN w:val="0"/>
                    <w:adjustRightInd w:val="0"/>
                    <w:snapToGrid w:val="0"/>
                    <w:jc w:val="center"/>
                    <w:rPr>
                      <w:b/>
                      <w:bCs/>
                      <w:color w:val="auto"/>
                      <w:szCs w:val="21"/>
                    </w:rPr>
                  </w:pPr>
                  <w:r>
                    <w:rPr>
                      <w:b/>
                      <w:bCs/>
                      <w:color w:val="auto"/>
                      <w:szCs w:val="21"/>
                    </w:rPr>
                    <w:t>特性</w:t>
                  </w:r>
                </w:p>
              </w:tc>
              <w:tc>
                <w:tcPr>
                  <w:tcW w:w="462"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产生量</w:t>
                  </w:r>
                </w:p>
                <w:p>
                  <w:pPr>
                    <w:autoSpaceDN w:val="0"/>
                    <w:adjustRightInd w:val="0"/>
                    <w:snapToGrid w:val="0"/>
                    <w:jc w:val="center"/>
                    <w:rPr>
                      <w:b/>
                      <w:bCs/>
                      <w:color w:val="auto"/>
                      <w:szCs w:val="21"/>
                    </w:rPr>
                  </w:pPr>
                  <w:r>
                    <w:rPr>
                      <w:b/>
                      <w:bCs/>
                      <w:color w:val="auto"/>
                      <w:szCs w:val="21"/>
                    </w:rPr>
                    <w:t>（t/a）</w:t>
                  </w:r>
                </w:p>
              </w:tc>
              <w:tc>
                <w:tcPr>
                  <w:tcW w:w="646"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产生工序及装置</w:t>
                  </w:r>
                </w:p>
              </w:tc>
              <w:tc>
                <w:tcPr>
                  <w:tcW w:w="370"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形态</w:t>
                  </w:r>
                </w:p>
              </w:tc>
              <w:tc>
                <w:tcPr>
                  <w:tcW w:w="462"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主要成分</w:t>
                  </w:r>
                </w:p>
              </w:tc>
              <w:tc>
                <w:tcPr>
                  <w:tcW w:w="370"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有害成分</w:t>
                  </w:r>
                </w:p>
              </w:tc>
              <w:tc>
                <w:tcPr>
                  <w:tcW w:w="370"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产废周期</w:t>
                  </w:r>
                </w:p>
              </w:tc>
              <w:tc>
                <w:tcPr>
                  <w:tcW w:w="380" w:type="pct"/>
                  <w:tcMar>
                    <w:top w:w="0" w:type="dxa"/>
                    <w:left w:w="6" w:type="dxa"/>
                    <w:bottom w:w="0" w:type="dxa"/>
                    <w:right w:w="6" w:type="dxa"/>
                  </w:tcMar>
                  <w:vAlign w:val="center"/>
                </w:tcPr>
                <w:p>
                  <w:pPr>
                    <w:autoSpaceDN w:val="0"/>
                    <w:adjustRightInd w:val="0"/>
                    <w:snapToGrid w:val="0"/>
                    <w:jc w:val="center"/>
                    <w:rPr>
                      <w:b/>
                      <w:bCs/>
                      <w:color w:val="auto"/>
                      <w:szCs w:val="21"/>
                    </w:rPr>
                  </w:pPr>
                  <w:r>
                    <w:rPr>
                      <w:b/>
                      <w:bCs/>
                      <w:color w:val="auto"/>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tcMar>
                    <w:top w:w="0" w:type="dxa"/>
                    <w:left w:w="6" w:type="dxa"/>
                    <w:bottom w:w="0" w:type="dxa"/>
                    <w:right w:w="6" w:type="dxa"/>
                  </w:tcMar>
                  <w:vAlign w:val="center"/>
                </w:tcPr>
                <w:p>
                  <w:pPr>
                    <w:widowControl/>
                    <w:adjustRightInd w:val="0"/>
                    <w:snapToGrid w:val="0"/>
                    <w:jc w:val="center"/>
                    <w:rPr>
                      <w:bCs/>
                      <w:color w:val="auto"/>
                      <w:szCs w:val="21"/>
                    </w:rPr>
                  </w:pPr>
                  <w:r>
                    <w:rPr>
                      <w:bCs/>
                      <w:color w:val="auto"/>
                      <w:szCs w:val="21"/>
                    </w:rPr>
                    <w:t>废活性炭</w:t>
                  </w:r>
                </w:p>
              </w:tc>
              <w:tc>
                <w:tcPr>
                  <w:tcW w:w="462" w:type="pct"/>
                  <w:tcMar>
                    <w:top w:w="0" w:type="dxa"/>
                    <w:left w:w="6" w:type="dxa"/>
                    <w:bottom w:w="0" w:type="dxa"/>
                    <w:right w:w="6" w:type="dxa"/>
                  </w:tcMar>
                  <w:vAlign w:val="center"/>
                </w:tcPr>
                <w:p>
                  <w:pPr>
                    <w:adjustRightInd w:val="0"/>
                    <w:snapToGrid w:val="0"/>
                    <w:jc w:val="center"/>
                    <w:rPr>
                      <w:snapToGrid w:val="0"/>
                      <w:color w:val="auto"/>
                      <w:szCs w:val="21"/>
                    </w:rPr>
                  </w:pPr>
                  <w:r>
                    <w:rPr>
                      <w:color w:val="auto"/>
                      <w:szCs w:val="21"/>
                    </w:rPr>
                    <w:t>HW49</w:t>
                  </w:r>
                </w:p>
              </w:tc>
              <w:tc>
                <w:tcPr>
                  <w:tcW w:w="646" w:type="pct"/>
                  <w:tcMar>
                    <w:top w:w="0" w:type="dxa"/>
                    <w:left w:w="6" w:type="dxa"/>
                    <w:bottom w:w="0" w:type="dxa"/>
                    <w:right w:w="6" w:type="dxa"/>
                  </w:tcMar>
                  <w:vAlign w:val="center"/>
                </w:tcPr>
                <w:p>
                  <w:pPr>
                    <w:adjustRightInd w:val="0"/>
                    <w:snapToGrid w:val="0"/>
                    <w:jc w:val="center"/>
                    <w:rPr>
                      <w:snapToGrid w:val="0"/>
                      <w:color w:val="auto"/>
                      <w:szCs w:val="21"/>
                    </w:rPr>
                  </w:pPr>
                  <w:r>
                    <w:rPr>
                      <w:color w:val="auto"/>
                      <w:szCs w:val="21"/>
                    </w:rPr>
                    <w:t>900-039-49</w:t>
                  </w:r>
                </w:p>
              </w:tc>
              <w:tc>
                <w:tcPr>
                  <w:tcW w:w="370" w:type="pct"/>
                  <w:tcMar>
                    <w:top w:w="0" w:type="dxa"/>
                    <w:left w:w="6" w:type="dxa"/>
                    <w:bottom w:w="0" w:type="dxa"/>
                    <w:right w:w="6" w:type="dxa"/>
                  </w:tcMar>
                  <w:vAlign w:val="center"/>
                </w:tcPr>
                <w:p>
                  <w:pPr>
                    <w:adjustRightInd w:val="0"/>
                    <w:snapToGrid w:val="0"/>
                    <w:jc w:val="center"/>
                    <w:rPr>
                      <w:snapToGrid w:val="0"/>
                      <w:color w:val="auto"/>
                      <w:szCs w:val="21"/>
                    </w:rPr>
                  </w:pPr>
                  <w:r>
                    <w:rPr>
                      <w:color w:val="auto"/>
                      <w:kern w:val="0"/>
                      <w:szCs w:val="21"/>
                    </w:rPr>
                    <w:t>T</w:t>
                  </w:r>
                </w:p>
              </w:tc>
              <w:tc>
                <w:tcPr>
                  <w:tcW w:w="462" w:type="pct"/>
                  <w:tcMar>
                    <w:top w:w="0" w:type="dxa"/>
                    <w:left w:w="6" w:type="dxa"/>
                    <w:bottom w:w="0" w:type="dxa"/>
                    <w:right w:w="6" w:type="dxa"/>
                  </w:tcMar>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11.2</w:t>
                  </w:r>
                </w:p>
              </w:tc>
              <w:tc>
                <w:tcPr>
                  <w:tcW w:w="646" w:type="pct"/>
                  <w:tcMar>
                    <w:top w:w="0" w:type="dxa"/>
                    <w:left w:w="6" w:type="dxa"/>
                    <w:bottom w:w="0" w:type="dxa"/>
                    <w:right w:w="6" w:type="dxa"/>
                  </w:tcMar>
                  <w:vAlign w:val="center"/>
                </w:tcPr>
                <w:p>
                  <w:pPr>
                    <w:widowControl/>
                    <w:adjustRightInd w:val="0"/>
                    <w:snapToGrid w:val="0"/>
                    <w:jc w:val="center"/>
                    <w:rPr>
                      <w:color w:val="auto"/>
                    </w:rPr>
                  </w:pPr>
                  <w:r>
                    <w:rPr>
                      <w:bCs/>
                      <w:color w:val="auto"/>
                      <w:szCs w:val="21"/>
                    </w:rPr>
                    <w:t>废气处理</w:t>
                  </w:r>
                </w:p>
              </w:tc>
              <w:tc>
                <w:tcPr>
                  <w:tcW w:w="370" w:type="pct"/>
                  <w:tcMar>
                    <w:top w:w="0" w:type="dxa"/>
                    <w:left w:w="6" w:type="dxa"/>
                    <w:bottom w:w="0" w:type="dxa"/>
                    <w:right w:w="6" w:type="dxa"/>
                  </w:tcMar>
                  <w:vAlign w:val="center"/>
                </w:tcPr>
                <w:p>
                  <w:pPr>
                    <w:jc w:val="center"/>
                    <w:rPr>
                      <w:color w:val="auto"/>
                      <w:szCs w:val="21"/>
                    </w:rPr>
                  </w:pPr>
                  <w:r>
                    <w:rPr>
                      <w:color w:val="auto"/>
                      <w:kern w:val="0"/>
                      <w:szCs w:val="21"/>
                    </w:rPr>
                    <w:t>固态</w:t>
                  </w:r>
                </w:p>
              </w:tc>
              <w:tc>
                <w:tcPr>
                  <w:tcW w:w="462" w:type="pct"/>
                  <w:tcMar>
                    <w:top w:w="0" w:type="dxa"/>
                    <w:left w:w="6" w:type="dxa"/>
                    <w:bottom w:w="0" w:type="dxa"/>
                    <w:right w:w="6" w:type="dxa"/>
                  </w:tcMar>
                  <w:vAlign w:val="center"/>
                </w:tcPr>
                <w:p>
                  <w:pPr>
                    <w:jc w:val="center"/>
                    <w:rPr>
                      <w:color w:val="auto"/>
                      <w:kern w:val="0"/>
                      <w:szCs w:val="21"/>
                    </w:rPr>
                  </w:pPr>
                  <w:r>
                    <w:rPr>
                      <w:rFonts w:hint="eastAsia"/>
                      <w:color w:val="auto"/>
                      <w:kern w:val="0"/>
                      <w:szCs w:val="21"/>
                    </w:rPr>
                    <w:t>活性炭、</w:t>
                  </w:r>
                  <w:r>
                    <w:rPr>
                      <w:color w:val="auto"/>
                      <w:kern w:val="0"/>
                      <w:szCs w:val="21"/>
                    </w:rPr>
                    <w:t>有机物</w:t>
                  </w:r>
                </w:p>
              </w:tc>
              <w:tc>
                <w:tcPr>
                  <w:tcW w:w="370" w:type="pct"/>
                  <w:tcMar>
                    <w:top w:w="0" w:type="dxa"/>
                    <w:left w:w="6" w:type="dxa"/>
                    <w:bottom w:w="0" w:type="dxa"/>
                    <w:right w:w="6" w:type="dxa"/>
                  </w:tcMar>
                  <w:vAlign w:val="center"/>
                </w:tcPr>
                <w:p>
                  <w:pPr>
                    <w:jc w:val="center"/>
                    <w:rPr>
                      <w:color w:val="auto"/>
                      <w:kern w:val="0"/>
                      <w:szCs w:val="21"/>
                    </w:rPr>
                  </w:pPr>
                  <w:r>
                    <w:rPr>
                      <w:color w:val="auto"/>
                      <w:kern w:val="0"/>
                      <w:szCs w:val="21"/>
                    </w:rPr>
                    <w:t>有机物</w:t>
                  </w:r>
                </w:p>
              </w:tc>
              <w:tc>
                <w:tcPr>
                  <w:tcW w:w="370" w:type="pct"/>
                  <w:tcMar>
                    <w:top w:w="0" w:type="dxa"/>
                    <w:left w:w="6" w:type="dxa"/>
                    <w:bottom w:w="0" w:type="dxa"/>
                    <w:right w:w="6" w:type="dxa"/>
                  </w:tcMar>
                  <w:vAlign w:val="center"/>
                </w:tcPr>
                <w:p>
                  <w:pPr>
                    <w:adjustRightInd w:val="0"/>
                    <w:snapToGrid w:val="0"/>
                    <w:jc w:val="center"/>
                    <w:rPr>
                      <w:rFonts w:hint="default"/>
                      <w:color w:val="auto"/>
                      <w:kern w:val="0"/>
                      <w:szCs w:val="21"/>
                      <w:lang w:val="en-US"/>
                    </w:rPr>
                  </w:pPr>
                  <w:r>
                    <w:rPr>
                      <w:rFonts w:hint="eastAsia"/>
                      <w:color w:val="auto"/>
                      <w:kern w:val="0"/>
                      <w:szCs w:val="21"/>
                      <w:lang w:val="en-US" w:eastAsia="zh-CN"/>
                    </w:rPr>
                    <w:t>季度</w:t>
                  </w:r>
                </w:p>
              </w:tc>
              <w:tc>
                <w:tcPr>
                  <w:tcW w:w="380" w:type="pct"/>
                  <w:vMerge w:val="restart"/>
                  <w:tcMar>
                    <w:top w:w="0" w:type="dxa"/>
                    <w:left w:w="6" w:type="dxa"/>
                    <w:bottom w:w="0" w:type="dxa"/>
                    <w:right w:w="6" w:type="dxa"/>
                  </w:tcMar>
                  <w:vAlign w:val="center"/>
                </w:tcPr>
                <w:p>
                  <w:pPr>
                    <w:kinsoku w:val="0"/>
                    <w:adjustRightInd w:val="0"/>
                    <w:snapToGrid w:val="0"/>
                    <w:jc w:val="center"/>
                    <w:rPr>
                      <w:color w:val="auto"/>
                      <w:kern w:val="0"/>
                      <w:szCs w:val="21"/>
                    </w:rPr>
                  </w:pPr>
                  <w:r>
                    <w:rPr>
                      <w:color w:val="auto"/>
                      <w:kern w:val="0"/>
                      <w:szCs w:val="21"/>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dxa"/>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rPr>
                    <w:t>废</w:t>
                  </w:r>
                  <w:r>
                    <w:rPr>
                      <w:rFonts w:hint="eastAsia"/>
                      <w:bCs/>
                      <w:color w:val="auto"/>
                      <w:szCs w:val="21"/>
                      <w:lang w:eastAsia="zh-CN"/>
                    </w:rPr>
                    <w:t>导热</w:t>
                  </w:r>
                  <w:r>
                    <w:rPr>
                      <w:rFonts w:hint="eastAsia"/>
                      <w:bCs/>
                      <w:color w:val="auto"/>
                      <w:szCs w:val="21"/>
                    </w:rPr>
                    <w:t>油</w:t>
                  </w:r>
                </w:p>
              </w:tc>
              <w:tc>
                <w:tcPr>
                  <w:tcW w:w="771" w:type="dxa"/>
                  <w:tcMar>
                    <w:top w:w="0" w:type="dxa"/>
                    <w:left w:w="6" w:type="dxa"/>
                    <w:bottom w:w="0" w:type="dxa"/>
                    <w:right w:w="6" w:type="dxa"/>
                  </w:tcMar>
                  <w:vAlign w:val="center"/>
                </w:tcPr>
                <w:p>
                  <w:pPr>
                    <w:adjustRightInd w:val="0"/>
                    <w:snapToGrid w:val="0"/>
                    <w:jc w:val="center"/>
                    <w:rPr>
                      <w:color w:val="auto"/>
                      <w:kern w:val="0"/>
                      <w:szCs w:val="21"/>
                    </w:rPr>
                  </w:pPr>
                  <w:r>
                    <w:rPr>
                      <w:color w:val="auto"/>
                    </w:rPr>
                    <w:t>HW08</w:t>
                  </w:r>
                </w:p>
              </w:tc>
              <w:tc>
                <w:tcPr>
                  <w:tcW w:w="1078" w:type="dxa"/>
                  <w:tcMar>
                    <w:top w:w="0" w:type="dxa"/>
                    <w:left w:w="6" w:type="dxa"/>
                    <w:bottom w:w="0" w:type="dxa"/>
                    <w:right w:w="6" w:type="dxa"/>
                  </w:tcMar>
                  <w:vAlign w:val="center"/>
                </w:tcPr>
                <w:p>
                  <w:pPr>
                    <w:adjustRightInd w:val="0"/>
                    <w:snapToGrid w:val="0"/>
                    <w:jc w:val="center"/>
                    <w:rPr>
                      <w:bCs/>
                      <w:color w:val="auto"/>
                      <w:szCs w:val="21"/>
                    </w:rPr>
                  </w:pPr>
                  <w:r>
                    <w:rPr>
                      <w:rFonts w:hint="eastAsia"/>
                      <w:bCs/>
                      <w:color w:val="auto"/>
                      <w:szCs w:val="21"/>
                    </w:rPr>
                    <w:t>900-249-08</w:t>
                  </w:r>
                </w:p>
              </w:tc>
              <w:tc>
                <w:tcPr>
                  <w:tcW w:w="370" w:type="pct"/>
                  <w:tcMar>
                    <w:top w:w="0" w:type="dxa"/>
                    <w:left w:w="6" w:type="dxa"/>
                    <w:bottom w:w="0" w:type="dxa"/>
                    <w:right w:w="6" w:type="dxa"/>
                  </w:tcMar>
                  <w:vAlign w:val="center"/>
                </w:tcPr>
                <w:p>
                  <w:pPr>
                    <w:adjustRightInd w:val="0"/>
                    <w:snapToGrid w:val="0"/>
                    <w:jc w:val="center"/>
                    <w:rPr>
                      <w:bCs/>
                      <w:color w:val="auto"/>
                      <w:szCs w:val="21"/>
                    </w:rPr>
                  </w:pPr>
                  <w:r>
                    <w:rPr>
                      <w:rFonts w:hint="eastAsia"/>
                      <w:bCs/>
                      <w:color w:val="auto"/>
                      <w:szCs w:val="21"/>
                    </w:rPr>
                    <w:t>T，I</w:t>
                  </w:r>
                </w:p>
              </w:tc>
              <w:tc>
                <w:tcPr>
                  <w:tcW w:w="462" w:type="pct"/>
                  <w:tcMar>
                    <w:top w:w="0" w:type="dxa"/>
                    <w:left w:w="6" w:type="dxa"/>
                    <w:bottom w:w="0" w:type="dxa"/>
                    <w:right w:w="6" w:type="dxa"/>
                  </w:tcMar>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2.5t/5a</w:t>
                  </w:r>
                </w:p>
              </w:tc>
              <w:tc>
                <w:tcPr>
                  <w:tcW w:w="646" w:type="pct"/>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lang w:eastAsia="zh-CN"/>
                    </w:rPr>
                    <w:t>设备维保</w:t>
                  </w:r>
                </w:p>
              </w:tc>
              <w:tc>
                <w:tcPr>
                  <w:tcW w:w="370" w:type="pct"/>
                  <w:tcMar>
                    <w:top w:w="0" w:type="dxa"/>
                    <w:left w:w="6" w:type="dxa"/>
                    <w:bottom w:w="0" w:type="dxa"/>
                    <w:right w:w="6" w:type="dxa"/>
                  </w:tcMar>
                  <w:vAlign w:val="center"/>
                </w:tcPr>
                <w:p>
                  <w:pPr>
                    <w:jc w:val="center"/>
                    <w:rPr>
                      <w:color w:val="auto"/>
                      <w:kern w:val="0"/>
                      <w:szCs w:val="21"/>
                    </w:rPr>
                  </w:pPr>
                  <w:r>
                    <w:rPr>
                      <w:rFonts w:hint="eastAsia"/>
                      <w:color w:val="auto"/>
                      <w:kern w:val="0"/>
                      <w:szCs w:val="21"/>
                    </w:rPr>
                    <w:t>液态</w:t>
                  </w:r>
                </w:p>
              </w:tc>
              <w:tc>
                <w:tcPr>
                  <w:tcW w:w="462" w:type="pct"/>
                  <w:tcMar>
                    <w:top w:w="0" w:type="dxa"/>
                    <w:left w:w="6" w:type="dxa"/>
                    <w:bottom w:w="0" w:type="dxa"/>
                    <w:right w:w="6" w:type="dxa"/>
                  </w:tcMar>
                  <w:vAlign w:val="center"/>
                </w:tcPr>
                <w:p>
                  <w:pPr>
                    <w:jc w:val="center"/>
                    <w:rPr>
                      <w:color w:val="auto"/>
                      <w:kern w:val="0"/>
                      <w:szCs w:val="21"/>
                    </w:rPr>
                  </w:pPr>
                  <w:r>
                    <w:rPr>
                      <w:rFonts w:hint="eastAsia"/>
                      <w:color w:val="auto"/>
                      <w:kern w:val="0"/>
                      <w:szCs w:val="21"/>
                    </w:rPr>
                    <w:t>矿物油</w:t>
                  </w:r>
                </w:p>
              </w:tc>
              <w:tc>
                <w:tcPr>
                  <w:tcW w:w="370" w:type="pct"/>
                  <w:tcMar>
                    <w:top w:w="0" w:type="dxa"/>
                    <w:left w:w="6" w:type="dxa"/>
                    <w:bottom w:w="0" w:type="dxa"/>
                    <w:right w:w="6" w:type="dxa"/>
                  </w:tcMar>
                  <w:vAlign w:val="center"/>
                </w:tcPr>
                <w:p>
                  <w:pPr>
                    <w:jc w:val="center"/>
                    <w:rPr>
                      <w:color w:val="auto"/>
                      <w:kern w:val="0"/>
                      <w:szCs w:val="21"/>
                    </w:rPr>
                  </w:pPr>
                  <w:r>
                    <w:rPr>
                      <w:rFonts w:hint="eastAsia"/>
                      <w:color w:val="auto"/>
                      <w:kern w:val="0"/>
                      <w:szCs w:val="21"/>
                    </w:rPr>
                    <w:t>矿物</w:t>
                  </w:r>
                  <w:r>
                    <w:rPr>
                      <w:color w:val="auto"/>
                      <w:kern w:val="0"/>
                      <w:szCs w:val="21"/>
                    </w:rPr>
                    <w:t>油</w:t>
                  </w:r>
                </w:p>
              </w:tc>
              <w:tc>
                <w:tcPr>
                  <w:tcW w:w="370" w:type="pct"/>
                  <w:tcBorders>
                    <w:top w:val="single" w:color="000000" w:sz="2" w:space="0"/>
                  </w:tcBorders>
                  <w:tcMar>
                    <w:top w:w="0" w:type="dxa"/>
                    <w:left w:w="6" w:type="dxa"/>
                    <w:bottom w:w="0" w:type="dxa"/>
                    <w:right w:w="6" w:type="dxa"/>
                  </w:tcMar>
                  <w:vAlign w:val="center"/>
                </w:tcPr>
                <w:p>
                  <w:pPr>
                    <w:kinsoku w:val="0"/>
                    <w:adjustRightInd w:val="0"/>
                    <w:snapToGrid w:val="0"/>
                    <w:jc w:val="center"/>
                    <w:rPr>
                      <w:color w:val="auto"/>
                      <w:kern w:val="0"/>
                      <w:szCs w:val="21"/>
                    </w:rPr>
                  </w:pPr>
                  <w:r>
                    <w:rPr>
                      <w:rFonts w:hint="eastAsia"/>
                      <w:color w:val="auto"/>
                      <w:kern w:val="0"/>
                      <w:lang w:val="en-US" w:eastAsia="zh-CN"/>
                    </w:rPr>
                    <w:t>5</w:t>
                  </w:r>
                  <w:r>
                    <w:rPr>
                      <w:rFonts w:hint="eastAsia"/>
                      <w:color w:val="auto"/>
                      <w:kern w:val="0"/>
                    </w:rPr>
                    <w:t>年</w:t>
                  </w:r>
                </w:p>
              </w:tc>
              <w:tc>
                <w:tcPr>
                  <w:tcW w:w="380" w:type="pct"/>
                  <w:vMerge w:val="continue"/>
                  <w:tcMar>
                    <w:top w:w="0" w:type="dxa"/>
                    <w:left w:w="6" w:type="dxa"/>
                    <w:bottom w:w="0" w:type="dxa"/>
                    <w:right w:w="6" w:type="dxa"/>
                  </w:tcMar>
                  <w:vAlign w:val="center"/>
                </w:tcPr>
                <w:p>
                  <w:pPr>
                    <w:kinsoku w:val="0"/>
                    <w:adjustRightInd w:val="0"/>
                    <w:snapToGrid w:val="0"/>
                    <w:jc w:val="center"/>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dxa"/>
                  <w:tcMar>
                    <w:top w:w="0" w:type="dxa"/>
                    <w:left w:w="6" w:type="dxa"/>
                    <w:bottom w:w="0" w:type="dxa"/>
                    <w:right w:w="6" w:type="dxa"/>
                  </w:tcMar>
                  <w:vAlign w:val="center"/>
                </w:tcPr>
                <w:p>
                  <w:pPr>
                    <w:widowControl/>
                    <w:adjustRightInd w:val="0"/>
                    <w:snapToGrid w:val="0"/>
                    <w:jc w:val="center"/>
                    <w:rPr>
                      <w:rFonts w:hint="eastAsia"/>
                      <w:bCs/>
                      <w:color w:val="auto"/>
                      <w:szCs w:val="21"/>
                    </w:rPr>
                  </w:pPr>
                  <w:r>
                    <w:rPr>
                      <w:rFonts w:hint="eastAsia"/>
                      <w:bCs/>
                      <w:color w:val="auto"/>
                      <w:szCs w:val="21"/>
                      <w:lang w:eastAsia="zh-CN"/>
                    </w:rPr>
                    <w:t>废液压油</w:t>
                  </w:r>
                </w:p>
              </w:tc>
              <w:tc>
                <w:tcPr>
                  <w:tcW w:w="771" w:type="dxa"/>
                  <w:tcMar>
                    <w:top w:w="0" w:type="dxa"/>
                    <w:left w:w="6" w:type="dxa"/>
                    <w:bottom w:w="0" w:type="dxa"/>
                    <w:right w:w="6" w:type="dxa"/>
                  </w:tcMar>
                  <w:vAlign w:val="center"/>
                </w:tcPr>
                <w:p>
                  <w:pPr>
                    <w:adjustRightInd w:val="0"/>
                    <w:snapToGrid w:val="0"/>
                    <w:jc w:val="center"/>
                    <w:rPr>
                      <w:color w:val="auto"/>
                    </w:rPr>
                  </w:pPr>
                  <w:r>
                    <w:rPr>
                      <w:color w:val="auto"/>
                    </w:rPr>
                    <w:t>HW08</w:t>
                  </w:r>
                </w:p>
              </w:tc>
              <w:tc>
                <w:tcPr>
                  <w:tcW w:w="1078" w:type="dxa"/>
                  <w:tcMar>
                    <w:top w:w="0" w:type="dxa"/>
                    <w:left w:w="6" w:type="dxa"/>
                    <w:bottom w:w="0" w:type="dxa"/>
                    <w:right w:w="6" w:type="dxa"/>
                  </w:tcMar>
                  <w:vAlign w:val="center"/>
                </w:tcPr>
                <w:p>
                  <w:pPr>
                    <w:adjustRightInd w:val="0"/>
                    <w:snapToGrid w:val="0"/>
                    <w:jc w:val="center"/>
                    <w:rPr>
                      <w:rFonts w:hint="eastAsia"/>
                      <w:bCs/>
                      <w:color w:val="auto"/>
                      <w:szCs w:val="21"/>
                    </w:rPr>
                  </w:pPr>
                  <w:r>
                    <w:rPr>
                      <w:rFonts w:hint="eastAsia"/>
                      <w:bCs/>
                      <w:color w:val="auto"/>
                      <w:szCs w:val="21"/>
                    </w:rPr>
                    <w:t>900-</w:t>
                  </w:r>
                  <w:r>
                    <w:rPr>
                      <w:rFonts w:hint="eastAsia"/>
                      <w:bCs/>
                      <w:color w:val="auto"/>
                      <w:szCs w:val="21"/>
                      <w:lang w:val="en-US" w:eastAsia="zh-CN"/>
                    </w:rPr>
                    <w:t>218</w:t>
                  </w:r>
                  <w:r>
                    <w:rPr>
                      <w:rFonts w:hint="eastAsia"/>
                      <w:bCs/>
                      <w:color w:val="auto"/>
                      <w:szCs w:val="21"/>
                    </w:rPr>
                    <w:t>-08</w:t>
                  </w:r>
                </w:p>
              </w:tc>
              <w:tc>
                <w:tcPr>
                  <w:tcW w:w="370" w:type="pct"/>
                  <w:tcMar>
                    <w:top w:w="0" w:type="dxa"/>
                    <w:left w:w="6" w:type="dxa"/>
                    <w:bottom w:w="0" w:type="dxa"/>
                    <w:right w:w="6" w:type="dxa"/>
                  </w:tcMar>
                  <w:vAlign w:val="center"/>
                </w:tcPr>
                <w:p>
                  <w:pPr>
                    <w:adjustRightInd w:val="0"/>
                    <w:snapToGrid w:val="0"/>
                    <w:jc w:val="center"/>
                    <w:rPr>
                      <w:rFonts w:hint="eastAsia"/>
                      <w:bCs/>
                      <w:color w:val="auto"/>
                      <w:szCs w:val="21"/>
                    </w:rPr>
                  </w:pPr>
                  <w:r>
                    <w:rPr>
                      <w:rFonts w:hint="eastAsia"/>
                      <w:bCs/>
                      <w:color w:val="auto"/>
                      <w:szCs w:val="21"/>
                    </w:rPr>
                    <w:t>T，I</w:t>
                  </w:r>
                </w:p>
              </w:tc>
              <w:tc>
                <w:tcPr>
                  <w:tcW w:w="462" w:type="pct"/>
                  <w:tcMar>
                    <w:top w:w="0" w:type="dxa"/>
                    <w:left w:w="6" w:type="dxa"/>
                    <w:bottom w:w="0" w:type="dxa"/>
                    <w:right w:w="6" w:type="dxa"/>
                  </w:tcMar>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9</w:t>
                  </w:r>
                </w:p>
              </w:tc>
              <w:tc>
                <w:tcPr>
                  <w:tcW w:w="1078" w:type="dxa"/>
                  <w:tcMar>
                    <w:top w:w="0" w:type="dxa"/>
                    <w:left w:w="6" w:type="dxa"/>
                    <w:bottom w:w="0" w:type="dxa"/>
                    <w:right w:w="6" w:type="dxa"/>
                  </w:tcMar>
                  <w:vAlign w:val="center"/>
                </w:tcPr>
                <w:p>
                  <w:pPr>
                    <w:widowControl/>
                    <w:adjustRightInd w:val="0"/>
                    <w:snapToGrid w:val="0"/>
                    <w:jc w:val="center"/>
                    <w:rPr>
                      <w:rFonts w:hint="eastAsia"/>
                      <w:bCs/>
                      <w:color w:val="auto"/>
                      <w:szCs w:val="21"/>
                      <w:lang w:eastAsia="zh-CN"/>
                    </w:rPr>
                  </w:pPr>
                  <w:r>
                    <w:rPr>
                      <w:rFonts w:hint="eastAsia"/>
                      <w:bCs/>
                      <w:color w:val="auto"/>
                      <w:szCs w:val="21"/>
                      <w:lang w:eastAsia="zh-CN"/>
                    </w:rPr>
                    <w:t>设备维保</w:t>
                  </w:r>
                </w:p>
              </w:tc>
              <w:tc>
                <w:tcPr>
                  <w:tcW w:w="618" w:type="dxa"/>
                  <w:tcMar>
                    <w:top w:w="0" w:type="dxa"/>
                    <w:left w:w="6" w:type="dxa"/>
                    <w:bottom w:w="0" w:type="dxa"/>
                    <w:right w:w="6" w:type="dxa"/>
                  </w:tcMar>
                  <w:vAlign w:val="center"/>
                </w:tcPr>
                <w:p>
                  <w:pPr>
                    <w:jc w:val="center"/>
                    <w:rPr>
                      <w:rFonts w:hint="eastAsia"/>
                      <w:color w:val="auto"/>
                      <w:kern w:val="0"/>
                      <w:szCs w:val="21"/>
                    </w:rPr>
                  </w:pPr>
                  <w:r>
                    <w:rPr>
                      <w:rFonts w:hint="eastAsia"/>
                      <w:color w:val="auto"/>
                      <w:kern w:val="0"/>
                      <w:szCs w:val="21"/>
                    </w:rPr>
                    <w:t>液态</w:t>
                  </w:r>
                </w:p>
              </w:tc>
              <w:tc>
                <w:tcPr>
                  <w:tcW w:w="771" w:type="dxa"/>
                  <w:tcMar>
                    <w:top w:w="0" w:type="dxa"/>
                    <w:left w:w="6" w:type="dxa"/>
                    <w:bottom w:w="0" w:type="dxa"/>
                    <w:right w:w="6" w:type="dxa"/>
                  </w:tcMar>
                  <w:vAlign w:val="center"/>
                </w:tcPr>
                <w:p>
                  <w:pPr>
                    <w:jc w:val="center"/>
                    <w:rPr>
                      <w:rFonts w:hint="eastAsia"/>
                      <w:color w:val="auto"/>
                      <w:kern w:val="0"/>
                      <w:szCs w:val="21"/>
                    </w:rPr>
                  </w:pPr>
                  <w:r>
                    <w:rPr>
                      <w:rFonts w:hint="eastAsia"/>
                      <w:color w:val="auto"/>
                      <w:kern w:val="0"/>
                      <w:szCs w:val="21"/>
                    </w:rPr>
                    <w:t>矿物油</w:t>
                  </w:r>
                </w:p>
              </w:tc>
              <w:tc>
                <w:tcPr>
                  <w:tcW w:w="618" w:type="dxa"/>
                  <w:tcMar>
                    <w:top w:w="0" w:type="dxa"/>
                    <w:left w:w="6" w:type="dxa"/>
                    <w:bottom w:w="0" w:type="dxa"/>
                    <w:right w:w="6" w:type="dxa"/>
                  </w:tcMar>
                  <w:vAlign w:val="center"/>
                </w:tcPr>
                <w:p>
                  <w:pPr>
                    <w:jc w:val="center"/>
                    <w:rPr>
                      <w:rFonts w:hint="eastAsia"/>
                      <w:color w:val="auto"/>
                      <w:kern w:val="0"/>
                      <w:szCs w:val="21"/>
                    </w:rPr>
                  </w:pPr>
                  <w:r>
                    <w:rPr>
                      <w:rFonts w:hint="eastAsia"/>
                      <w:color w:val="auto"/>
                      <w:kern w:val="0"/>
                      <w:szCs w:val="21"/>
                    </w:rPr>
                    <w:t>矿物</w:t>
                  </w:r>
                  <w:r>
                    <w:rPr>
                      <w:color w:val="auto"/>
                      <w:kern w:val="0"/>
                      <w:szCs w:val="21"/>
                    </w:rPr>
                    <w:t>油</w:t>
                  </w:r>
                </w:p>
              </w:tc>
              <w:tc>
                <w:tcPr>
                  <w:tcW w:w="618" w:type="dxa"/>
                  <w:tcBorders>
                    <w:top w:val="single" w:color="000000" w:sz="2" w:space="0"/>
                  </w:tcBorders>
                  <w:tcMar>
                    <w:top w:w="0" w:type="dxa"/>
                    <w:left w:w="6" w:type="dxa"/>
                    <w:bottom w:w="0" w:type="dxa"/>
                    <w:right w:w="6" w:type="dxa"/>
                  </w:tcMar>
                  <w:vAlign w:val="center"/>
                </w:tcPr>
                <w:p>
                  <w:pPr>
                    <w:kinsoku w:val="0"/>
                    <w:adjustRightInd w:val="0"/>
                    <w:snapToGrid w:val="0"/>
                    <w:jc w:val="center"/>
                    <w:rPr>
                      <w:color w:val="auto"/>
                      <w:kern w:val="0"/>
                    </w:rPr>
                  </w:pPr>
                  <w:r>
                    <w:rPr>
                      <w:color w:val="auto"/>
                      <w:kern w:val="0"/>
                    </w:rPr>
                    <w:t>1</w:t>
                  </w:r>
                  <w:r>
                    <w:rPr>
                      <w:rFonts w:hint="eastAsia"/>
                      <w:color w:val="auto"/>
                      <w:kern w:val="0"/>
                    </w:rPr>
                    <w:t>年</w:t>
                  </w:r>
                </w:p>
              </w:tc>
              <w:tc>
                <w:tcPr>
                  <w:tcW w:w="380" w:type="pct"/>
                  <w:vMerge w:val="continue"/>
                  <w:tcMar>
                    <w:top w:w="0" w:type="dxa"/>
                    <w:left w:w="6" w:type="dxa"/>
                    <w:bottom w:w="0" w:type="dxa"/>
                    <w:right w:w="6" w:type="dxa"/>
                  </w:tcMar>
                  <w:vAlign w:val="center"/>
                </w:tcPr>
                <w:p>
                  <w:pPr>
                    <w:kinsoku w:val="0"/>
                    <w:adjustRightInd w:val="0"/>
                    <w:snapToGrid w:val="0"/>
                    <w:jc w:val="center"/>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rPr>
                    <w:t>废包装桶</w:t>
                  </w:r>
                </w:p>
              </w:tc>
              <w:tc>
                <w:tcPr>
                  <w:tcW w:w="462" w:type="pct"/>
                  <w:tcMar>
                    <w:top w:w="0" w:type="dxa"/>
                    <w:left w:w="6" w:type="dxa"/>
                    <w:bottom w:w="0" w:type="dxa"/>
                    <w:right w:w="6" w:type="dxa"/>
                  </w:tcMar>
                  <w:vAlign w:val="center"/>
                </w:tcPr>
                <w:p>
                  <w:pPr>
                    <w:adjustRightInd w:val="0"/>
                    <w:snapToGrid w:val="0"/>
                    <w:jc w:val="center"/>
                    <w:rPr>
                      <w:color w:val="auto"/>
                      <w:szCs w:val="21"/>
                    </w:rPr>
                  </w:pPr>
                  <w:r>
                    <w:rPr>
                      <w:color w:val="auto"/>
                      <w:szCs w:val="21"/>
                    </w:rPr>
                    <w:t>HW49</w:t>
                  </w:r>
                </w:p>
              </w:tc>
              <w:tc>
                <w:tcPr>
                  <w:tcW w:w="646" w:type="pct"/>
                  <w:tcMar>
                    <w:top w:w="0" w:type="dxa"/>
                    <w:left w:w="6" w:type="dxa"/>
                    <w:bottom w:w="0" w:type="dxa"/>
                    <w:right w:w="6" w:type="dxa"/>
                  </w:tcMar>
                  <w:vAlign w:val="center"/>
                </w:tcPr>
                <w:p>
                  <w:pPr>
                    <w:adjustRightInd w:val="0"/>
                    <w:snapToGrid w:val="0"/>
                    <w:jc w:val="center"/>
                    <w:rPr>
                      <w:color w:val="auto"/>
                      <w:szCs w:val="21"/>
                    </w:rPr>
                  </w:pPr>
                  <w:r>
                    <w:rPr>
                      <w:color w:val="auto"/>
                      <w:szCs w:val="21"/>
                    </w:rPr>
                    <w:t>900-041-49</w:t>
                  </w:r>
                </w:p>
              </w:tc>
              <w:tc>
                <w:tcPr>
                  <w:tcW w:w="370" w:type="pct"/>
                  <w:tcMar>
                    <w:top w:w="0" w:type="dxa"/>
                    <w:left w:w="6" w:type="dxa"/>
                    <w:bottom w:w="0" w:type="dxa"/>
                    <w:right w:w="6" w:type="dxa"/>
                  </w:tcMar>
                  <w:vAlign w:val="center"/>
                </w:tcPr>
                <w:p>
                  <w:pPr>
                    <w:adjustRightInd w:val="0"/>
                    <w:snapToGrid w:val="0"/>
                    <w:jc w:val="center"/>
                    <w:rPr>
                      <w:color w:val="auto"/>
                      <w:kern w:val="0"/>
                      <w:szCs w:val="21"/>
                    </w:rPr>
                  </w:pPr>
                  <w:r>
                    <w:rPr>
                      <w:color w:val="auto"/>
                      <w:kern w:val="0"/>
                      <w:szCs w:val="21"/>
                    </w:rPr>
                    <w:t>T/In</w:t>
                  </w:r>
                </w:p>
              </w:tc>
              <w:tc>
                <w:tcPr>
                  <w:tcW w:w="462" w:type="pct"/>
                  <w:tcMar>
                    <w:top w:w="0" w:type="dxa"/>
                    <w:left w:w="6" w:type="dxa"/>
                    <w:bottom w:w="0" w:type="dxa"/>
                    <w:right w:w="6" w:type="dxa"/>
                  </w:tcMar>
                  <w:vAlign w:val="center"/>
                </w:tcPr>
                <w:p>
                  <w:pPr>
                    <w:adjustRightInd w:val="0"/>
                    <w:snapToGrid w:val="0"/>
                    <w:jc w:val="center"/>
                    <w:rPr>
                      <w:color w:val="auto"/>
                      <w:kern w:val="0"/>
                      <w:szCs w:val="21"/>
                    </w:rPr>
                  </w:pPr>
                  <w:r>
                    <w:rPr>
                      <w:color w:val="auto"/>
                      <w:kern w:val="0"/>
                      <w:szCs w:val="21"/>
                    </w:rPr>
                    <w:t>1.16</w:t>
                  </w:r>
                </w:p>
              </w:tc>
              <w:tc>
                <w:tcPr>
                  <w:tcW w:w="646" w:type="pct"/>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lang w:eastAsia="zh-CN"/>
                    </w:rPr>
                    <w:t>矿物油</w:t>
                  </w:r>
                  <w:r>
                    <w:rPr>
                      <w:bCs/>
                      <w:color w:val="auto"/>
                      <w:szCs w:val="21"/>
                    </w:rPr>
                    <w:t>使用</w:t>
                  </w:r>
                </w:p>
              </w:tc>
              <w:tc>
                <w:tcPr>
                  <w:tcW w:w="370" w:type="pct"/>
                  <w:tcMar>
                    <w:top w:w="0" w:type="dxa"/>
                    <w:left w:w="6" w:type="dxa"/>
                    <w:bottom w:w="0" w:type="dxa"/>
                    <w:right w:w="6" w:type="dxa"/>
                  </w:tcMar>
                  <w:vAlign w:val="center"/>
                </w:tcPr>
                <w:p>
                  <w:pPr>
                    <w:jc w:val="center"/>
                    <w:rPr>
                      <w:color w:val="auto"/>
                      <w:kern w:val="0"/>
                      <w:szCs w:val="21"/>
                    </w:rPr>
                  </w:pPr>
                  <w:r>
                    <w:rPr>
                      <w:color w:val="auto"/>
                      <w:kern w:val="0"/>
                      <w:szCs w:val="21"/>
                    </w:rPr>
                    <w:t>固态</w:t>
                  </w:r>
                </w:p>
              </w:tc>
              <w:tc>
                <w:tcPr>
                  <w:tcW w:w="462" w:type="pct"/>
                  <w:tcMar>
                    <w:top w:w="0" w:type="dxa"/>
                    <w:left w:w="6" w:type="dxa"/>
                    <w:bottom w:w="0" w:type="dxa"/>
                    <w:right w:w="6" w:type="dxa"/>
                  </w:tcMar>
                  <w:vAlign w:val="center"/>
                </w:tcPr>
                <w:p>
                  <w:pPr>
                    <w:jc w:val="center"/>
                    <w:rPr>
                      <w:color w:val="auto"/>
                      <w:kern w:val="0"/>
                      <w:szCs w:val="21"/>
                    </w:rPr>
                  </w:pPr>
                  <w:r>
                    <w:rPr>
                      <w:rFonts w:hint="eastAsia"/>
                      <w:color w:val="auto"/>
                      <w:kern w:val="0"/>
                      <w:szCs w:val="21"/>
                    </w:rPr>
                    <w:t>包装桶、矿物</w:t>
                  </w:r>
                  <w:r>
                    <w:rPr>
                      <w:color w:val="auto"/>
                      <w:kern w:val="0"/>
                      <w:szCs w:val="21"/>
                    </w:rPr>
                    <w:t>油</w:t>
                  </w:r>
                </w:p>
              </w:tc>
              <w:tc>
                <w:tcPr>
                  <w:tcW w:w="370" w:type="pct"/>
                  <w:tcMar>
                    <w:top w:w="0" w:type="dxa"/>
                    <w:left w:w="6" w:type="dxa"/>
                    <w:bottom w:w="0" w:type="dxa"/>
                    <w:right w:w="6" w:type="dxa"/>
                  </w:tcMar>
                  <w:vAlign w:val="center"/>
                </w:tcPr>
                <w:p>
                  <w:pPr>
                    <w:jc w:val="center"/>
                    <w:rPr>
                      <w:color w:val="auto"/>
                      <w:kern w:val="0"/>
                      <w:szCs w:val="21"/>
                    </w:rPr>
                  </w:pPr>
                  <w:r>
                    <w:rPr>
                      <w:rFonts w:hint="eastAsia"/>
                      <w:color w:val="auto"/>
                      <w:kern w:val="0"/>
                      <w:szCs w:val="21"/>
                    </w:rPr>
                    <w:t>矿物</w:t>
                  </w:r>
                  <w:r>
                    <w:rPr>
                      <w:color w:val="auto"/>
                      <w:kern w:val="0"/>
                      <w:szCs w:val="21"/>
                    </w:rPr>
                    <w:t>油</w:t>
                  </w:r>
                </w:p>
              </w:tc>
              <w:tc>
                <w:tcPr>
                  <w:tcW w:w="370" w:type="pct"/>
                  <w:tcBorders>
                    <w:top w:val="single" w:color="000000" w:sz="2" w:space="0"/>
                  </w:tcBorders>
                  <w:tcMar>
                    <w:top w:w="0" w:type="dxa"/>
                    <w:left w:w="6" w:type="dxa"/>
                    <w:bottom w:w="0" w:type="dxa"/>
                    <w:right w:w="6" w:type="dxa"/>
                  </w:tcMar>
                  <w:vAlign w:val="center"/>
                </w:tcPr>
                <w:p>
                  <w:pPr>
                    <w:kinsoku w:val="0"/>
                    <w:adjustRightInd w:val="0"/>
                    <w:snapToGrid w:val="0"/>
                    <w:jc w:val="center"/>
                    <w:rPr>
                      <w:color w:val="auto"/>
                      <w:kern w:val="0"/>
                      <w:szCs w:val="21"/>
                    </w:rPr>
                  </w:pPr>
                  <w:r>
                    <w:rPr>
                      <w:color w:val="auto"/>
                      <w:kern w:val="0"/>
                    </w:rPr>
                    <w:t>1</w:t>
                  </w:r>
                  <w:r>
                    <w:rPr>
                      <w:rFonts w:hint="eastAsia"/>
                      <w:color w:val="auto"/>
                      <w:kern w:val="0"/>
                    </w:rPr>
                    <w:t>年</w:t>
                  </w:r>
                </w:p>
              </w:tc>
              <w:tc>
                <w:tcPr>
                  <w:tcW w:w="380" w:type="pct"/>
                  <w:vMerge w:val="continue"/>
                  <w:tcMar>
                    <w:top w:w="0" w:type="dxa"/>
                    <w:left w:w="6" w:type="dxa"/>
                    <w:bottom w:w="0" w:type="dxa"/>
                    <w:right w:w="6" w:type="dxa"/>
                  </w:tcMar>
                  <w:vAlign w:val="center"/>
                </w:tcPr>
                <w:p>
                  <w:pPr>
                    <w:kinsoku w:val="0"/>
                    <w:adjustRightInd w:val="0"/>
                    <w:snapToGrid w:val="0"/>
                    <w:jc w:val="center"/>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Mar>
                    <w:top w:w="0" w:type="dxa"/>
                    <w:left w:w="6" w:type="dxa"/>
                    <w:bottom w:w="0" w:type="dxa"/>
                    <w:right w:w="6" w:type="dxa"/>
                  </w:tcMar>
                  <w:vAlign w:val="center"/>
                </w:tcPr>
                <w:p>
                  <w:pPr>
                    <w:jc w:val="center"/>
                    <w:rPr>
                      <w:bCs/>
                      <w:color w:val="auto"/>
                      <w:szCs w:val="21"/>
                    </w:rPr>
                  </w:pPr>
                  <w:r>
                    <w:rPr>
                      <w:color w:val="auto"/>
                      <w:szCs w:val="21"/>
                    </w:rPr>
                    <w:t>废抹布</w:t>
                  </w:r>
                  <w:r>
                    <w:rPr>
                      <w:rFonts w:hint="eastAsia"/>
                      <w:color w:val="auto"/>
                      <w:szCs w:val="21"/>
                    </w:rPr>
                    <w:t>手套</w:t>
                  </w:r>
                </w:p>
              </w:tc>
              <w:tc>
                <w:tcPr>
                  <w:tcW w:w="462" w:type="pct"/>
                  <w:tcMar>
                    <w:top w:w="0" w:type="dxa"/>
                    <w:left w:w="6" w:type="dxa"/>
                    <w:bottom w:w="0" w:type="dxa"/>
                    <w:right w:w="6" w:type="dxa"/>
                  </w:tcMar>
                  <w:vAlign w:val="center"/>
                </w:tcPr>
                <w:p>
                  <w:pPr>
                    <w:adjustRightInd w:val="0"/>
                    <w:snapToGrid w:val="0"/>
                    <w:jc w:val="center"/>
                    <w:rPr>
                      <w:color w:val="auto"/>
                      <w:szCs w:val="21"/>
                    </w:rPr>
                  </w:pPr>
                  <w:r>
                    <w:rPr>
                      <w:color w:val="auto"/>
                      <w:szCs w:val="21"/>
                    </w:rPr>
                    <w:t>HW49</w:t>
                  </w:r>
                </w:p>
              </w:tc>
              <w:tc>
                <w:tcPr>
                  <w:tcW w:w="646" w:type="pct"/>
                  <w:tcMar>
                    <w:top w:w="0" w:type="dxa"/>
                    <w:left w:w="6" w:type="dxa"/>
                    <w:bottom w:w="0" w:type="dxa"/>
                    <w:right w:w="6" w:type="dxa"/>
                  </w:tcMar>
                  <w:vAlign w:val="center"/>
                </w:tcPr>
                <w:p>
                  <w:pPr>
                    <w:adjustRightInd w:val="0"/>
                    <w:snapToGrid w:val="0"/>
                    <w:jc w:val="center"/>
                    <w:rPr>
                      <w:color w:val="auto"/>
                      <w:szCs w:val="21"/>
                    </w:rPr>
                  </w:pPr>
                  <w:r>
                    <w:rPr>
                      <w:color w:val="auto"/>
                      <w:szCs w:val="21"/>
                    </w:rPr>
                    <w:t>900-041-49</w:t>
                  </w:r>
                </w:p>
              </w:tc>
              <w:tc>
                <w:tcPr>
                  <w:tcW w:w="370" w:type="pct"/>
                  <w:tcMar>
                    <w:top w:w="0" w:type="dxa"/>
                    <w:left w:w="6" w:type="dxa"/>
                    <w:bottom w:w="0" w:type="dxa"/>
                    <w:right w:w="6" w:type="dxa"/>
                  </w:tcMar>
                  <w:vAlign w:val="center"/>
                </w:tcPr>
                <w:p>
                  <w:pPr>
                    <w:adjustRightInd w:val="0"/>
                    <w:snapToGrid w:val="0"/>
                    <w:jc w:val="center"/>
                    <w:rPr>
                      <w:color w:val="auto"/>
                      <w:kern w:val="0"/>
                      <w:szCs w:val="21"/>
                    </w:rPr>
                  </w:pPr>
                  <w:r>
                    <w:rPr>
                      <w:color w:val="auto"/>
                      <w:kern w:val="0"/>
                      <w:szCs w:val="21"/>
                    </w:rPr>
                    <w:t>T/In</w:t>
                  </w:r>
                </w:p>
              </w:tc>
              <w:tc>
                <w:tcPr>
                  <w:tcW w:w="462" w:type="pct"/>
                  <w:tcMar>
                    <w:top w:w="0" w:type="dxa"/>
                    <w:left w:w="6" w:type="dxa"/>
                    <w:bottom w:w="0" w:type="dxa"/>
                    <w:right w:w="6" w:type="dxa"/>
                  </w:tcMar>
                  <w:vAlign w:val="center"/>
                </w:tcPr>
                <w:p>
                  <w:pPr>
                    <w:adjustRightInd w:val="0"/>
                    <w:snapToGrid w:val="0"/>
                    <w:jc w:val="center"/>
                    <w:rPr>
                      <w:color w:val="auto"/>
                      <w:szCs w:val="21"/>
                    </w:rPr>
                  </w:pPr>
                  <w:r>
                    <w:rPr>
                      <w:rFonts w:hint="eastAsia"/>
                      <w:color w:val="auto"/>
                      <w:szCs w:val="21"/>
                    </w:rPr>
                    <w:t>0.05</w:t>
                  </w:r>
                </w:p>
              </w:tc>
              <w:tc>
                <w:tcPr>
                  <w:tcW w:w="646" w:type="pct"/>
                  <w:tcMar>
                    <w:top w:w="0" w:type="dxa"/>
                    <w:left w:w="6" w:type="dxa"/>
                    <w:bottom w:w="0" w:type="dxa"/>
                    <w:right w:w="6" w:type="dxa"/>
                  </w:tcMar>
                  <w:vAlign w:val="center"/>
                </w:tcPr>
                <w:p>
                  <w:pPr>
                    <w:jc w:val="center"/>
                    <w:rPr>
                      <w:color w:val="auto"/>
                      <w:szCs w:val="21"/>
                    </w:rPr>
                  </w:pPr>
                  <w:r>
                    <w:rPr>
                      <w:color w:val="auto"/>
                      <w:kern w:val="0"/>
                      <w:szCs w:val="21"/>
                    </w:rPr>
                    <w:t>设备维保</w:t>
                  </w:r>
                </w:p>
              </w:tc>
              <w:tc>
                <w:tcPr>
                  <w:tcW w:w="370" w:type="pct"/>
                  <w:tcMar>
                    <w:top w:w="0" w:type="dxa"/>
                    <w:left w:w="6" w:type="dxa"/>
                    <w:bottom w:w="0" w:type="dxa"/>
                    <w:right w:w="6" w:type="dxa"/>
                  </w:tcMar>
                  <w:vAlign w:val="center"/>
                </w:tcPr>
                <w:p>
                  <w:pPr>
                    <w:jc w:val="center"/>
                    <w:rPr>
                      <w:color w:val="auto"/>
                      <w:szCs w:val="21"/>
                    </w:rPr>
                  </w:pPr>
                  <w:r>
                    <w:rPr>
                      <w:color w:val="auto"/>
                      <w:kern w:val="0"/>
                      <w:szCs w:val="21"/>
                    </w:rPr>
                    <w:t>固态</w:t>
                  </w:r>
                </w:p>
              </w:tc>
              <w:tc>
                <w:tcPr>
                  <w:tcW w:w="462" w:type="pct"/>
                  <w:tcMar>
                    <w:top w:w="0" w:type="dxa"/>
                    <w:left w:w="6" w:type="dxa"/>
                    <w:bottom w:w="0" w:type="dxa"/>
                    <w:right w:w="6" w:type="dxa"/>
                  </w:tcMar>
                  <w:vAlign w:val="center"/>
                </w:tcPr>
                <w:p>
                  <w:pPr>
                    <w:widowControl/>
                    <w:jc w:val="center"/>
                    <w:rPr>
                      <w:color w:val="auto"/>
                      <w:szCs w:val="21"/>
                    </w:rPr>
                  </w:pPr>
                  <w:r>
                    <w:rPr>
                      <w:rFonts w:hint="eastAsia"/>
                      <w:color w:val="auto"/>
                      <w:szCs w:val="21"/>
                    </w:rPr>
                    <w:t>布</w:t>
                  </w:r>
                  <w:r>
                    <w:rPr>
                      <w:rFonts w:hint="eastAsia"/>
                      <w:color w:val="auto"/>
                      <w:kern w:val="0"/>
                      <w:szCs w:val="21"/>
                    </w:rPr>
                    <w:t>、矿物</w:t>
                  </w:r>
                  <w:r>
                    <w:rPr>
                      <w:color w:val="auto"/>
                      <w:kern w:val="0"/>
                      <w:szCs w:val="21"/>
                    </w:rPr>
                    <w:t>油</w:t>
                  </w:r>
                </w:p>
              </w:tc>
              <w:tc>
                <w:tcPr>
                  <w:tcW w:w="370" w:type="pct"/>
                  <w:tcMar>
                    <w:top w:w="0" w:type="dxa"/>
                    <w:left w:w="6" w:type="dxa"/>
                    <w:bottom w:w="0" w:type="dxa"/>
                    <w:right w:w="6" w:type="dxa"/>
                  </w:tcMar>
                  <w:vAlign w:val="center"/>
                </w:tcPr>
                <w:p>
                  <w:pPr>
                    <w:widowControl/>
                    <w:jc w:val="center"/>
                    <w:rPr>
                      <w:color w:val="auto"/>
                      <w:szCs w:val="21"/>
                    </w:rPr>
                  </w:pPr>
                  <w:r>
                    <w:rPr>
                      <w:rFonts w:hint="eastAsia"/>
                      <w:color w:val="auto"/>
                      <w:kern w:val="0"/>
                      <w:szCs w:val="21"/>
                    </w:rPr>
                    <w:t>矿物</w:t>
                  </w:r>
                  <w:r>
                    <w:rPr>
                      <w:color w:val="auto"/>
                      <w:kern w:val="0"/>
                      <w:szCs w:val="21"/>
                    </w:rPr>
                    <w:t>油</w:t>
                  </w:r>
                </w:p>
              </w:tc>
              <w:tc>
                <w:tcPr>
                  <w:tcW w:w="370" w:type="pct"/>
                  <w:tcMar>
                    <w:top w:w="0" w:type="dxa"/>
                    <w:left w:w="6" w:type="dxa"/>
                    <w:bottom w:w="0" w:type="dxa"/>
                    <w:right w:w="6" w:type="dxa"/>
                  </w:tcMar>
                  <w:vAlign w:val="center"/>
                </w:tcPr>
                <w:p>
                  <w:pPr>
                    <w:adjustRightInd w:val="0"/>
                    <w:snapToGrid w:val="0"/>
                    <w:jc w:val="center"/>
                    <w:rPr>
                      <w:color w:val="auto"/>
                      <w:kern w:val="0"/>
                    </w:rPr>
                  </w:pPr>
                  <w:r>
                    <w:rPr>
                      <w:color w:val="auto"/>
                      <w:kern w:val="0"/>
                    </w:rPr>
                    <w:t>1</w:t>
                  </w:r>
                  <w:r>
                    <w:rPr>
                      <w:rFonts w:hint="eastAsia"/>
                      <w:color w:val="auto"/>
                      <w:kern w:val="0"/>
                    </w:rPr>
                    <w:t>月</w:t>
                  </w:r>
                </w:p>
              </w:tc>
              <w:tc>
                <w:tcPr>
                  <w:tcW w:w="380" w:type="pct"/>
                  <w:vMerge w:val="continue"/>
                  <w:tcMar>
                    <w:top w:w="0" w:type="dxa"/>
                    <w:left w:w="6" w:type="dxa"/>
                    <w:bottom w:w="0" w:type="dxa"/>
                    <w:right w:w="6" w:type="dxa"/>
                  </w:tcMar>
                  <w:vAlign w:val="center"/>
                </w:tcPr>
                <w:p>
                  <w:pPr>
                    <w:kinsoku w:val="0"/>
                    <w:adjustRightInd w:val="0"/>
                    <w:snapToGrid w:val="0"/>
                    <w:jc w:val="center"/>
                    <w:rPr>
                      <w:color w:val="auto"/>
                      <w:kern w:val="0"/>
                      <w:szCs w:val="21"/>
                    </w:rPr>
                  </w:pPr>
                </w:p>
              </w:tc>
            </w:tr>
          </w:tbl>
          <w:p>
            <w:pPr>
              <w:adjustRightInd w:val="0"/>
              <w:snapToGrid w:val="0"/>
              <w:spacing w:before="120" w:beforeLines="50" w:line="360" w:lineRule="auto"/>
              <w:ind w:firstLine="482" w:firstLineChars="200"/>
              <w:rPr>
                <w:b/>
                <w:bCs/>
                <w:color w:val="auto"/>
                <w:kern w:val="0"/>
                <w:sz w:val="24"/>
              </w:rPr>
            </w:pPr>
            <w:r>
              <w:rPr>
                <w:b/>
                <w:bCs/>
                <w:color w:val="auto"/>
                <w:kern w:val="0"/>
                <w:sz w:val="24"/>
              </w:rPr>
              <w:t>（2）固体废物贮存、处置利用情况</w:t>
            </w:r>
          </w:p>
          <w:p>
            <w:pPr>
              <w:adjustRightInd w:val="0"/>
              <w:snapToGrid w:val="0"/>
              <w:spacing w:line="360" w:lineRule="auto"/>
              <w:ind w:firstLine="480" w:firstLineChars="200"/>
              <w:rPr>
                <w:b/>
                <w:snapToGrid w:val="0"/>
                <w:color w:val="auto"/>
                <w:kern w:val="0"/>
                <w:sz w:val="24"/>
              </w:rPr>
            </w:pPr>
            <w:r>
              <w:rPr>
                <w:color w:val="auto"/>
                <w:sz w:val="24"/>
              </w:rPr>
              <w:t>固体废物贮存、利用处置方式见表4-</w:t>
            </w:r>
            <w:r>
              <w:rPr>
                <w:rFonts w:hint="eastAsia"/>
                <w:color w:val="auto"/>
                <w:sz w:val="24"/>
                <w:lang w:val="en-US" w:eastAsia="zh-CN"/>
              </w:rPr>
              <w:t>17</w:t>
            </w:r>
            <w:r>
              <w:rPr>
                <w:snapToGrid w:val="0"/>
                <w:color w:val="auto"/>
                <w:kern w:val="0"/>
                <w:szCs w:val="21"/>
              </w:rPr>
              <w:t>。</w:t>
            </w:r>
          </w:p>
          <w:p>
            <w:pPr>
              <w:adjustRightInd w:val="0"/>
              <w:snapToGrid w:val="0"/>
              <w:jc w:val="center"/>
              <w:rPr>
                <w:b/>
                <w:snapToGrid w:val="0"/>
                <w:color w:val="auto"/>
                <w:kern w:val="0"/>
                <w:sz w:val="24"/>
              </w:rPr>
            </w:pPr>
            <w:r>
              <w:rPr>
                <w:b/>
                <w:snapToGrid w:val="0"/>
                <w:color w:val="auto"/>
                <w:kern w:val="0"/>
                <w:sz w:val="24"/>
              </w:rPr>
              <w:t>表4-</w:t>
            </w:r>
            <w:r>
              <w:rPr>
                <w:rFonts w:hint="eastAsia"/>
                <w:b/>
                <w:snapToGrid w:val="0"/>
                <w:color w:val="auto"/>
                <w:kern w:val="0"/>
                <w:sz w:val="24"/>
                <w:lang w:val="en-US" w:eastAsia="zh-CN"/>
              </w:rPr>
              <w:t>17</w:t>
            </w:r>
            <w:r>
              <w:rPr>
                <w:b/>
                <w:snapToGrid w:val="0"/>
                <w:color w:val="auto"/>
                <w:kern w:val="0"/>
                <w:sz w:val="24"/>
              </w:rPr>
              <w:t xml:space="preserve">  固体废物贮存、利用处置方式一览表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79"/>
              <w:gridCol w:w="1078"/>
              <w:gridCol w:w="464"/>
              <w:gridCol w:w="925"/>
              <w:gridCol w:w="1080"/>
              <w:gridCol w:w="770"/>
              <w:gridCol w:w="618"/>
              <w:gridCol w:w="925"/>
              <w:gridCol w:w="756"/>
              <w:gridCol w:w="65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89" w:hRule="atLeast"/>
                <w:jc w:val="center"/>
              </w:trPr>
              <w:tc>
                <w:tcPr>
                  <w:tcW w:w="646" w:type="pct"/>
                  <w:tcMar>
                    <w:top w:w="0" w:type="dxa"/>
                    <w:left w:w="0" w:type="dxa"/>
                    <w:bottom w:w="0" w:type="dxa"/>
                    <w:right w:w="0" w:type="dxa"/>
                  </w:tcMar>
                  <w:vAlign w:val="center"/>
                </w:tcPr>
                <w:p>
                  <w:pPr>
                    <w:pStyle w:val="104"/>
                    <w:rPr>
                      <w:b/>
                      <w:bCs/>
                      <w:color w:val="auto"/>
                    </w:rPr>
                  </w:pPr>
                  <w:bookmarkStart w:id="9" w:name="_Hlk28855030"/>
                  <w:r>
                    <w:rPr>
                      <w:b/>
                      <w:color w:val="auto"/>
                    </w:rPr>
                    <w:t>固体废物名称</w:t>
                  </w:r>
                </w:p>
              </w:tc>
              <w:tc>
                <w:tcPr>
                  <w:tcW w:w="645" w:type="pct"/>
                  <w:tcMar>
                    <w:top w:w="0" w:type="dxa"/>
                    <w:left w:w="0" w:type="dxa"/>
                    <w:bottom w:w="0" w:type="dxa"/>
                    <w:right w:w="0" w:type="dxa"/>
                  </w:tcMar>
                  <w:vAlign w:val="center"/>
                </w:tcPr>
                <w:p>
                  <w:pPr>
                    <w:pStyle w:val="104"/>
                    <w:rPr>
                      <w:b/>
                      <w:bCs/>
                      <w:color w:val="auto"/>
                    </w:rPr>
                  </w:pPr>
                  <w:r>
                    <w:rPr>
                      <w:b/>
                      <w:color w:val="auto"/>
                    </w:rPr>
                    <w:t>产生工序</w:t>
                  </w:r>
                </w:p>
              </w:tc>
              <w:tc>
                <w:tcPr>
                  <w:tcW w:w="277" w:type="pct"/>
                  <w:tcMar>
                    <w:top w:w="0" w:type="dxa"/>
                    <w:left w:w="0" w:type="dxa"/>
                    <w:bottom w:w="0" w:type="dxa"/>
                    <w:right w:w="0" w:type="dxa"/>
                  </w:tcMar>
                  <w:vAlign w:val="center"/>
                </w:tcPr>
                <w:p>
                  <w:pPr>
                    <w:pStyle w:val="104"/>
                    <w:rPr>
                      <w:b/>
                      <w:bCs/>
                      <w:color w:val="auto"/>
                    </w:rPr>
                  </w:pPr>
                  <w:r>
                    <w:rPr>
                      <w:b/>
                      <w:color w:val="auto"/>
                    </w:rPr>
                    <w:t>属性</w:t>
                  </w:r>
                </w:p>
              </w:tc>
              <w:tc>
                <w:tcPr>
                  <w:tcW w:w="554" w:type="pct"/>
                  <w:tcBorders>
                    <w:right w:val="single" w:color="auto" w:sz="4" w:space="0"/>
                  </w:tcBorders>
                  <w:tcMar>
                    <w:top w:w="0" w:type="dxa"/>
                    <w:left w:w="0" w:type="dxa"/>
                    <w:bottom w:w="0" w:type="dxa"/>
                    <w:right w:w="0" w:type="dxa"/>
                  </w:tcMar>
                  <w:vAlign w:val="center"/>
                </w:tcPr>
                <w:p>
                  <w:pPr>
                    <w:widowControl/>
                    <w:adjustRightInd w:val="0"/>
                    <w:snapToGrid w:val="0"/>
                    <w:jc w:val="center"/>
                    <w:textAlignment w:val="center"/>
                    <w:rPr>
                      <w:b/>
                      <w:color w:val="auto"/>
                    </w:rPr>
                  </w:pPr>
                  <w:r>
                    <w:rPr>
                      <w:b/>
                      <w:color w:val="auto"/>
                      <w:kern w:val="0"/>
                      <w:szCs w:val="21"/>
                    </w:rPr>
                    <w:t>废物类别</w:t>
                  </w:r>
                </w:p>
              </w:tc>
              <w:tc>
                <w:tcPr>
                  <w:tcW w:w="647" w:type="pct"/>
                  <w:tcBorders>
                    <w:left w:val="single" w:color="auto" w:sz="4" w:space="0"/>
                  </w:tcBorders>
                  <w:tcMar>
                    <w:top w:w="0" w:type="dxa"/>
                    <w:left w:w="0" w:type="dxa"/>
                    <w:bottom w:w="0" w:type="dxa"/>
                    <w:right w:w="0" w:type="dxa"/>
                  </w:tcMar>
                  <w:vAlign w:val="center"/>
                </w:tcPr>
                <w:p>
                  <w:pPr>
                    <w:widowControl/>
                    <w:adjustRightInd w:val="0"/>
                    <w:snapToGrid w:val="0"/>
                    <w:jc w:val="center"/>
                    <w:textAlignment w:val="center"/>
                    <w:rPr>
                      <w:b/>
                      <w:color w:val="auto"/>
                    </w:rPr>
                  </w:pPr>
                  <w:r>
                    <w:rPr>
                      <w:b/>
                      <w:color w:val="auto"/>
                      <w:kern w:val="0"/>
                      <w:szCs w:val="21"/>
                    </w:rPr>
                    <w:t>废物代码</w:t>
                  </w:r>
                </w:p>
              </w:tc>
              <w:tc>
                <w:tcPr>
                  <w:tcW w:w="461" w:type="pct"/>
                  <w:tcMar>
                    <w:top w:w="0" w:type="dxa"/>
                    <w:left w:w="0" w:type="dxa"/>
                    <w:bottom w:w="0" w:type="dxa"/>
                    <w:right w:w="0" w:type="dxa"/>
                  </w:tcMar>
                  <w:vAlign w:val="center"/>
                </w:tcPr>
                <w:p>
                  <w:pPr>
                    <w:pStyle w:val="104"/>
                    <w:rPr>
                      <w:b/>
                      <w:bCs/>
                      <w:color w:val="auto"/>
                    </w:rPr>
                  </w:pPr>
                  <w:r>
                    <w:rPr>
                      <w:b/>
                      <w:color w:val="auto"/>
                    </w:rPr>
                    <w:t>产生量（t/a）</w:t>
                  </w:r>
                </w:p>
              </w:tc>
              <w:tc>
                <w:tcPr>
                  <w:tcW w:w="370" w:type="pct"/>
                  <w:tcMar>
                    <w:top w:w="0" w:type="dxa"/>
                    <w:left w:w="0" w:type="dxa"/>
                    <w:bottom w:w="0" w:type="dxa"/>
                    <w:right w:w="0" w:type="dxa"/>
                  </w:tcMar>
                  <w:vAlign w:val="center"/>
                </w:tcPr>
                <w:p>
                  <w:pPr>
                    <w:snapToGrid w:val="0"/>
                    <w:jc w:val="center"/>
                    <w:rPr>
                      <w:b/>
                      <w:color w:val="auto"/>
                      <w:szCs w:val="21"/>
                    </w:rPr>
                  </w:pPr>
                  <w:r>
                    <w:rPr>
                      <w:b/>
                      <w:color w:val="auto"/>
                      <w:szCs w:val="21"/>
                    </w:rPr>
                    <w:t>贮存方式</w:t>
                  </w:r>
                </w:p>
              </w:tc>
              <w:tc>
                <w:tcPr>
                  <w:tcW w:w="554" w:type="pct"/>
                  <w:tcMar>
                    <w:top w:w="0" w:type="dxa"/>
                    <w:left w:w="0" w:type="dxa"/>
                    <w:bottom w:w="0" w:type="dxa"/>
                    <w:right w:w="0" w:type="dxa"/>
                  </w:tcMar>
                  <w:vAlign w:val="center"/>
                </w:tcPr>
                <w:p>
                  <w:pPr>
                    <w:snapToGrid w:val="0"/>
                    <w:jc w:val="center"/>
                    <w:rPr>
                      <w:b/>
                      <w:color w:val="auto"/>
                      <w:szCs w:val="21"/>
                    </w:rPr>
                  </w:pPr>
                  <w:r>
                    <w:rPr>
                      <w:b/>
                      <w:color w:val="auto"/>
                      <w:szCs w:val="21"/>
                    </w:rPr>
                    <w:t>贮存地点</w:t>
                  </w:r>
                </w:p>
              </w:tc>
              <w:tc>
                <w:tcPr>
                  <w:tcW w:w="452" w:type="pct"/>
                  <w:tcMar>
                    <w:top w:w="0" w:type="dxa"/>
                    <w:left w:w="0" w:type="dxa"/>
                    <w:bottom w:w="0" w:type="dxa"/>
                    <w:right w:w="0" w:type="dxa"/>
                  </w:tcMar>
                  <w:vAlign w:val="center"/>
                </w:tcPr>
                <w:p>
                  <w:pPr>
                    <w:pStyle w:val="104"/>
                    <w:rPr>
                      <w:b/>
                      <w:bCs/>
                      <w:color w:val="auto"/>
                    </w:rPr>
                  </w:pPr>
                  <w:r>
                    <w:rPr>
                      <w:b/>
                      <w:color w:val="auto"/>
                    </w:rPr>
                    <w:t>利用处置方式</w:t>
                  </w:r>
                </w:p>
              </w:tc>
              <w:tc>
                <w:tcPr>
                  <w:tcW w:w="390" w:type="pct"/>
                  <w:tcMar>
                    <w:top w:w="0" w:type="dxa"/>
                    <w:left w:w="0" w:type="dxa"/>
                    <w:bottom w:w="0" w:type="dxa"/>
                    <w:right w:w="0" w:type="dxa"/>
                  </w:tcMar>
                  <w:vAlign w:val="center"/>
                </w:tcPr>
                <w:p>
                  <w:pPr>
                    <w:adjustRightInd w:val="0"/>
                    <w:snapToGrid w:val="0"/>
                    <w:jc w:val="center"/>
                    <w:rPr>
                      <w:b/>
                      <w:bCs/>
                      <w:color w:val="auto"/>
                    </w:rPr>
                  </w:pPr>
                  <w:r>
                    <w:rPr>
                      <w:b/>
                      <w:bCs/>
                      <w:color w:val="auto"/>
                    </w:rPr>
                    <w:t>利用处置单位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4" w:hRule="atLeast"/>
                <w:jc w:val="center"/>
              </w:trPr>
              <w:tc>
                <w:tcPr>
                  <w:tcW w:w="646" w:type="pct"/>
                  <w:tcMar>
                    <w:top w:w="0" w:type="dxa"/>
                    <w:left w:w="0" w:type="dxa"/>
                    <w:bottom w:w="0" w:type="dxa"/>
                    <w:right w:w="0" w:type="dxa"/>
                  </w:tcMar>
                  <w:vAlign w:val="center"/>
                </w:tcPr>
                <w:p>
                  <w:pPr>
                    <w:widowControl/>
                    <w:adjustRightInd w:val="0"/>
                    <w:snapToGrid w:val="0"/>
                    <w:jc w:val="center"/>
                    <w:rPr>
                      <w:bCs/>
                      <w:color w:val="auto"/>
                      <w:szCs w:val="21"/>
                    </w:rPr>
                  </w:pPr>
                  <w:r>
                    <w:rPr>
                      <w:bCs/>
                      <w:color w:val="auto"/>
                      <w:szCs w:val="21"/>
                    </w:rPr>
                    <w:t>废活性炭</w:t>
                  </w:r>
                </w:p>
              </w:tc>
              <w:tc>
                <w:tcPr>
                  <w:tcW w:w="645" w:type="pct"/>
                  <w:tcMar>
                    <w:top w:w="0" w:type="dxa"/>
                    <w:left w:w="0" w:type="dxa"/>
                    <w:bottom w:w="0" w:type="dxa"/>
                    <w:right w:w="0" w:type="dxa"/>
                  </w:tcMar>
                  <w:vAlign w:val="center"/>
                </w:tcPr>
                <w:p>
                  <w:pPr>
                    <w:widowControl/>
                    <w:adjustRightInd w:val="0"/>
                    <w:snapToGrid w:val="0"/>
                    <w:jc w:val="center"/>
                    <w:rPr>
                      <w:color w:val="auto"/>
                    </w:rPr>
                  </w:pPr>
                  <w:r>
                    <w:rPr>
                      <w:bCs/>
                      <w:color w:val="auto"/>
                      <w:szCs w:val="21"/>
                    </w:rPr>
                    <w:t>废气处理</w:t>
                  </w:r>
                </w:p>
              </w:tc>
              <w:tc>
                <w:tcPr>
                  <w:tcW w:w="277" w:type="pct"/>
                  <w:vMerge w:val="restart"/>
                  <w:tcMar>
                    <w:top w:w="0" w:type="dxa"/>
                    <w:left w:w="0" w:type="dxa"/>
                    <w:bottom w:w="0" w:type="dxa"/>
                    <w:right w:w="0" w:type="dxa"/>
                  </w:tcMar>
                  <w:vAlign w:val="center"/>
                </w:tcPr>
                <w:p>
                  <w:pPr>
                    <w:pStyle w:val="104"/>
                    <w:rPr>
                      <w:snapToGrid w:val="0"/>
                      <w:color w:val="auto"/>
                    </w:rPr>
                  </w:pPr>
                  <w:r>
                    <w:rPr>
                      <w:snapToGrid w:val="0"/>
                      <w:color w:val="auto"/>
                    </w:rPr>
                    <w:t>危险废物</w:t>
                  </w:r>
                </w:p>
              </w:tc>
              <w:tc>
                <w:tcPr>
                  <w:tcW w:w="554" w:type="pct"/>
                  <w:tcMar>
                    <w:top w:w="0" w:type="dxa"/>
                    <w:left w:w="0" w:type="dxa"/>
                    <w:bottom w:w="0" w:type="dxa"/>
                    <w:right w:w="0" w:type="dxa"/>
                  </w:tcMar>
                  <w:vAlign w:val="center"/>
                </w:tcPr>
                <w:p>
                  <w:pPr>
                    <w:adjustRightInd w:val="0"/>
                    <w:snapToGrid w:val="0"/>
                    <w:jc w:val="center"/>
                    <w:rPr>
                      <w:snapToGrid w:val="0"/>
                      <w:color w:val="auto"/>
                      <w:szCs w:val="21"/>
                    </w:rPr>
                  </w:pPr>
                  <w:r>
                    <w:rPr>
                      <w:color w:val="auto"/>
                      <w:szCs w:val="21"/>
                    </w:rPr>
                    <w:t>HW49</w:t>
                  </w:r>
                </w:p>
              </w:tc>
              <w:tc>
                <w:tcPr>
                  <w:tcW w:w="647" w:type="pct"/>
                  <w:tcMar>
                    <w:top w:w="0" w:type="dxa"/>
                    <w:left w:w="0" w:type="dxa"/>
                    <w:bottom w:w="0" w:type="dxa"/>
                    <w:right w:w="0" w:type="dxa"/>
                  </w:tcMar>
                  <w:vAlign w:val="center"/>
                </w:tcPr>
                <w:p>
                  <w:pPr>
                    <w:adjustRightInd w:val="0"/>
                    <w:snapToGrid w:val="0"/>
                    <w:jc w:val="center"/>
                    <w:rPr>
                      <w:snapToGrid w:val="0"/>
                      <w:color w:val="auto"/>
                      <w:szCs w:val="21"/>
                    </w:rPr>
                  </w:pPr>
                  <w:r>
                    <w:rPr>
                      <w:color w:val="auto"/>
                      <w:szCs w:val="21"/>
                    </w:rPr>
                    <w:t>900-039-49</w:t>
                  </w:r>
                </w:p>
              </w:tc>
              <w:tc>
                <w:tcPr>
                  <w:tcW w:w="770" w:type="dxa"/>
                  <w:tcMar>
                    <w:top w:w="0" w:type="dxa"/>
                    <w:left w:w="0" w:type="dxa"/>
                    <w:bottom w:w="0" w:type="dxa"/>
                    <w:right w:w="0" w:type="dxa"/>
                  </w:tcMar>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11.2</w:t>
                  </w:r>
                </w:p>
              </w:tc>
              <w:tc>
                <w:tcPr>
                  <w:tcW w:w="370" w:type="pct"/>
                  <w:tcBorders>
                    <w:top w:val="single" w:color="auto" w:sz="4" w:space="0"/>
                  </w:tcBorders>
                  <w:tcMar>
                    <w:top w:w="0" w:type="dxa"/>
                    <w:left w:w="0" w:type="dxa"/>
                    <w:bottom w:w="0" w:type="dxa"/>
                    <w:right w:w="0" w:type="dxa"/>
                  </w:tcMar>
                  <w:vAlign w:val="center"/>
                </w:tcPr>
                <w:p>
                  <w:pPr>
                    <w:pStyle w:val="104"/>
                    <w:rPr>
                      <w:color w:val="auto"/>
                    </w:rPr>
                  </w:pPr>
                  <w:r>
                    <w:rPr>
                      <w:color w:val="auto"/>
                      <w:kern w:val="0"/>
                      <w:szCs w:val="21"/>
                    </w:rPr>
                    <w:t>袋装</w:t>
                  </w:r>
                </w:p>
              </w:tc>
              <w:tc>
                <w:tcPr>
                  <w:tcW w:w="554" w:type="pct"/>
                  <w:vMerge w:val="restart"/>
                  <w:tcBorders>
                    <w:top w:val="single" w:color="auto" w:sz="4" w:space="0"/>
                  </w:tcBorders>
                  <w:tcMar>
                    <w:top w:w="0" w:type="dxa"/>
                    <w:left w:w="0" w:type="dxa"/>
                    <w:bottom w:w="0" w:type="dxa"/>
                    <w:right w:w="0" w:type="dxa"/>
                  </w:tcMar>
                  <w:vAlign w:val="center"/>
                </w:tcPr>
                <w:p>
                  <w:pPr>
                    <w:pStyle w:val="104"/>
                    <w:rPr>
                      <w:color w:val="auto"/>
                    </w:rPr>
                  </w:pPr>
                  <w:r>
                    <w:rPr>
                      <w:color w:val="auto"/>
                    </w:rPr>
                    <w:t>危废仓库</w:t>
                  </w:r>
                </w:p>
                <w:p>
                  <w:pPr>
                    <w:pStyle w:val="104"/>
                    <w:rPr>
                      <w:color w:val="auto"/>
                    </w:rPr>
                  </w:pPr>
                  <w:r>
                    <w:rPr>
                      <w:color w:val="auto"/>
                    </w:rPr>
                    <w:t>6 m</w:t>
                  </w:r>
                  <w:r>
                    <w:rPr>
                      <w:color w:val="auto"/>
                      <w:vertAlign w:val="superscript"/>
                    </w:rPr>
                    <w:t>2</w:t>
                  </w:r>
                </w:p>
              </w:tc>
              <w:tc>
                <w:tcPr>
                  <w:tcW w:w="452" w:type="pct"/>
                  <w:vMerge w:val="restart"/>
                  <w:tcBorders>
                    <w:top w:val="single" w:color="auto" w:sz="4" w:space="0"/>
                  </w:tcBorders>
                  <w:tcMar>
                    <w:top w:w="0" w:type="dxa"/>
                    <w:left w:w="0" w:type="dxa"/>
                    <w:bottom w:w="0" w:type="dxa"/>
                    <w:right w:w="0" w:type="dxa"/>
                  </w:tcMar>
                  <w:vAlign w:val="center"/>
                </w:tcPr>
                <w:p>
                  <w:pPr>
                    <w:pStyle w:val="104"/>
                    <w:rPr>
                      <w:color w:val="auto"/>
                    </w:rPr>
                  </w:pPr>
                  <w:r>
                    <w:rPr>
                      <w:color w:val="auto"/>
                    </w:rPr>
                    <w:t>委托有资质单位处理</w:t>
                  </w:r>
                </w:p>
              </w:tc>
              <w:tc>
                <w:tcPr>
                  <w:tcW w:w="390" w:type="pct"/>
                  <w:vMerge w:val="restart"/>
                  <w:tcBorders>
                    <w:top w:val="single" w:color="auto" w:sz="4" w:space="0"/>
                  </w:tcBorders>
                  <w:tcMar>
                    <w:top w:w="0" w:type="dxa"/>
                    <w:left w:w="0" w:type="dxa"/>
                    <w:bottom w:w="0" w:type="dxa"/>
                    <w:right w:w="0" w:type="dxa"/>
                  </w:tcMar>
                  <w:vAlign w:val="center"/>
                </w:tcPr>
                <w:p>
                  <w:pPr>
                    <w:pStyle w:val="104"/>
                    <w:rPr>
                      <w:color w:val="auto"/>
                    </w:rPr>
                  </w:pPr>
                  <w:r>
                    <w:rPr>
                      <w:color w:val="auto"/>
                    </w:rPr>
                    <w:t>有资质单位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4" w:hRule="atLeast"/>
                <w:jc w:val="center"/>
              </w:trPr>
              <w:tc>
                <w:tcPr>
                  <w:tcW w:w="1079" w:type="dxa"/>
                  <w:tcMar>
                    <w:top w:w="0" w:type="dxa"/>
                    <w:left w:w="0" w:type="dxa"/>
                    <w:bottom w:w="0" w:type="dxa"/>
                    <w:right w:w="0" w:type="dxa"/>
                  </w:tcMar>
                  <w:vAlign w:val="center"/>
                </w:tcPr>
                <w:p>
                  <w:pPr>
                    <w:widowControl/>
                    <w:adjustRightInd w:val="0"/>
                    <w:snapToGrid w:val="0"/>
                    <w:jc w:val="center"/>
                    <w:rPr>
                      <w:bCs/>
                      <w:color w:val="auto"/>
                      <w:szCs w:val="21"/>
                    </w:rPr>
                  </w:pPr>
                  <w:r>
                    <w:rPr>
                      <w:rFonts w:hint="eastAsia"/>
                      <w:bCs/>
                      <w:color w:val="auto"/>
                      <w:szCs w:val="21"/>
                    </w:rPr>
                    <w:t>废</w:t>
                  </w:r>
                  <w:r>
                    <w:rPr>
                      <w:rFonts w:hint="eastAsia"/>
                      <w:bCs/>
                      <w:color w:val="auto"/>
                      <w:szCs w:val="21"/>
                      <w:lang w:eastAsia="zh-CN"/>
                    </w:rPr>
                    <w:t>导热</w:t>
                  </w:r>
                  <w:r>
                    <w:rPr>
                      <w:rFonts w:hint="eastAsia"/>
                      <w:bCs/>
                      <w:color w:val="auto"/>
                      <w:szCs w:val="21"/>
                    </w:rPr>
                    <w:t>油</w:t>
                  </w:r>
                </w:p>
              </w:tc>
              <w:tc>
                <w:tcPr>
                  <w:tcW w:w="645" w:type="pct"/>
                  <w:tcMar>
                    <w:top w:w="0" w:type="dxa"/>
                    <w:left w:w="0" w:type="dxa"/>
                    <w:bottom w:w="0" w:type="dxa"/>
                    <w:right w:w="0" w:type="dxa"/>
                  </w:tcMar>
                  <w:vAlign w:val="center"/>
                </w:tcPr>
                <w:p>
                  <w:pPr>
                    <w:widowControl/>
                    <w:adjustRightInd w:val="0"/>
                    <w:snapToGrid w:val="0"/>
                    <w:jc w:val="center"/>
                    <w:rPr>
                      <w:bCs/>
                      <w:color w:val="auto"/>
                      <w:szCs w:val="21"/>
                    </w:rPr>
                  </w:pPr>
                  <w:r>
                    <w:rPr>
                      <w:rFonts w:hint="eastAsia"/>
                      <w:bCs/>
                      <w:color w:val="auto"/>
                      <w:szCs w:val="21"/>
                      <w:lang w:eastAsia="zh-CN"/>
                    </w:rPr>
                    <w:t>设备维保</w:t>
                  </w:r>
                </w:p>
              </w:tc>
              <w:tc>
                <w:tcPr>
                  <w:tcW w:w="277" w:type="pct"/>
                  <w:vMerge w:val="continue"/>
                  <w:tcMar>
                    <w:top w:w="0" w:type="dxa"/>
                    <w:left w:w="0" w:type="dxa"/>
                    <w:bottom w:w="0" w:type="dxa"/>
                    <w:right w:w="0" w:type="dxa"/>
                  </w:tcMar>
                  <w:vAlign w:val="center"/>
                </w:tcPr>
                <w:p>
                  <w:pPr>
                    <w:pStyle w:val="104"/>
                    <w:rPr>
                      <w:snapToGrid w:val="0"/>
                      <w:color w:val="auto"/>
                    </w:rPr>
                  </w:pPr>
                </w:p>
              </w:tc>
              <w:tc>
                <w:tcPr>
                  <w:tcW w:w="554" w:type="pct"/>
                  <w:tcMar>
                    <w:top w:w="0" w:type="dxa"/>
                    <w:left w:w="0" w:type="dxa"/>
                    <w:bottom w:w="0" w:type="dxa"/>
                    <w:right w:w="0" w:type="dxa"/>
                  </w:tcMar>
                  <w:vAlign w:val="center"/>
                </w:tcPr>
                <w:p>
                  <w:pPr>
                    <w:adjustRightInd w:val="0"/>
                    <w:snapToGrid w:val="0"/>
                    <w:jc w:val="center"/>
                    <w:rPr>
                      <w:color w:val="auto"/>
                      <w:kern w:val="0"/>
                      <w:szCs w:val="21"/>
                    </w:rPr>
                  </w:pPr>
                  <w:r>
                    <w:rPr>
                      <w:color w:val="auto"/>
                    </w:rPr>
                    <w:t>HW08</w:t>
                  </w:r>
                </w:p>
              </w:tc>
              <w:tc>
                <w:tcPr>
                  <w:tcW w:w="647" w:type="pct"/>
                  <w:tcMar>
                    <w:top w:w="0" w:type="dxa"/>
                    <w:left w:w="0" w:type="dxa"/>
                    <w:bottom w:w="0" w:type="dxa"/>
                    <w:right w:w="0" w:type="dxa"/>
                  </w:tcMar>
                  <w:vAlign w:val="center"/>
                </w:tcPr>
                <w:p>
                  <w:pPr>
                    <w:adjustRightInd w:val="0"/>
                    <w:snapToGrid w:val="0"/>
                    <w:jc w:val="center"/>
                    <w:rPr>
                      <w:bCs/>
                      <w:color w:val="auto"/>
                      <w:szCs w:val="21"/>
                    </w:rPr>
                  </w:pPr>
                  <w:r>
                    <w:rPr>
                      <w:rFonts w:hint="eastAsia"/>
                      <w:bCs/>
                      <w:color w:val="auto"/>
                      <w:szCs w:val="21"/>
                    </w:rPr>
                    <w:t>900-249-08</w:t>
                  </w:r>
                </w:p>
              </w:tc>
              <w:tc>
                <w:tcPr>
                  <w:tcW w:w="770" w:type="dxa"/>
                  <w:tcMar>
                    <w:top w:w="0" w:type="dxa"/>
                    <w:left w:w="0" w:type="dxa"/>
                    <w:bottom w:w="0" w:type="dxa"/>
                    <w:right w:w="0" w:type="dxa"/>
                  </w:tcMar>
                  <w:vAlign w:val="center"/>
                </w:tcPr>
                <w:p>
                  <w:pPr>
                    <w:adjustRightInd w:val="0"/>
                    <w:snapToGrid w:val="0"/>
                    <w:jc w:val="center"/>
                    <w:rPr>
                      <w:color w:val="auto"/>
                      <w:kern w:val="0"/>
                      <w:szCs w:val="21"/>
                    </w:rPr>
                  </w:pPr>
                  <w:r>
                    <w:rPr>
                      <w:rFonts w:hint="eastAsia"/>
                      <w:color w:val="auto"/>
                      <w:kern w:val="0"/>
                      <w:szCs w:val="21"/>
                      <w:lang w:val="en-US" w:eastAsia="zh-CN"/>
                    </w:rPr>
                    <w:t>2.5t/5a</w:t>
                  </w:r>
                </w:p>
              </w:tc>
              <w:tc>
                <w:tcPr>
                  <w:tcW w:w="370" w:type="pct"/>
                  <w:tcBorders>
                    <w:top w:val="single" w:color="auto" w:sz="4" w:space="0"/>
                  </w:tcBorders>
                  <w:tcMar>
                    <w:top w:w="0" w:type="dxa"/>
                    <w:left w:w="0" w:type="dxa"/>
                    <w:bottom w:w="0" w:type="dxa"/>
                    <w:right w:w="0" w:type="dxa"/>
                  </w:tcMar>
                  <w:vAlign w:val="center"/>
                </w:tcPr>
                <w:p>
                  <w:pPr>
                    <w:pStyle w:val="104"/>
                    <w:rPr>
                      <w:color w:val="auto"/>
                      <w:kern w:val="0"/>
                      <w:szCs w:val="21"/>
                    </w:rPr>
                  </w:pPr>
                  <w:r>
                    <w:rPr>
                      <w:rFonts w:hint="eastAsia"/>
                      <w:color w:val="auto"/>
                      <w:kern w:val="0"/>
                      <w:szCs w:val="21"/>
                    </w:rPr>
                    <w:t>桶</w:t>
                  </w:r>
                  <w:r>
                    <w:rPr>
                      <w:color w:val="auto"/>
                      <w:kern w:val="0"/>
                      <w:szCs w:val="21"/>
                    </w:rPr>
                    <w:t>装</w:t>
                  </w:r>
                </w:p>
              </w:tc>
              <w:tc>
                <w:tcPr>
                  <w:tcW w:w="554" w:type="pct"/>
                  <w:vMerge w:val="continue"/>
                  <w:tcBorders>
                    <w:top w:val="single" w:color="auto" w:sz="4" w:space="0"/>
                  </w:tcBorders>
                  <w:tcMar>
                    <w:top w:w="0" w:type="dxa"/>
                    <w:left w:w="0" w:type="dxa"/>
                    <w:bottom w:w="0" w:type="dxa"/>
                    <w:right w:w="0" w:type="dxa"/>
                  </w:tcMar>
                  <w:vAlign w:val="center"/>
                </w:tcPr>
                <w:p>
                  <w:pPr>
                    <w:pStyle w:val="104"/>
                    <w:rPr>
                      <w:color w:val="auto"/>
                    </w:rPr>
                  </w:pPr>
                </w:p>
              </w:tc>
              <w:tc>
                <w:tcPr>
                  <w:tcW w:w="452" w:type="pct"/>
                  <w:vMerge w:val="continue"/>
                  <w:tcBorders>
                    <w:top w:val="single" w:color="auto" w:sz="4" w:space="0"/>
                  </w:tcBorders>
                  <w:tcMar>
                    <w:top w:w="0" w:type="dxa"/>
                    <w:left w:w="0" w:type="dxa"/>
                    <w:bottom w:w="0" w:type="dxa"/>
                    <w:right w:w="0" w:type="dxa"/>
                  </w:tcMar>
                  <w:vAlign w:val="center"/>
                </w:tcPr>
                <w:p>
                  <w:pPr>
                    <w:pStyle w:val="104"/>
                    <w:rPr>
                      <w:color w:val="auto"/>
                    </w:rPr>
                  </w:pPr>
                </w:p>
              </w:tc>
              <w:tc>
                <w:tcPr>
                  <w:tcW w:w="390" w:type="pct"/>
                  <w:vMerge w:val="continue"/>
                  <w:tcBorders>
                    <w:top w:val="single" w:color="auto" w:sz="4" w:space="0"/>
                  </w:tcBorders>
                  <w:tcMar>
                    <w:top w:w="0" w:type="dxa"/>
                    <w:left w:w="0" w:type="dxa"/>
                    <w:bottom w:w="0" w:type="dxa"/>
                    <w:right w:w="0" w:type="dxa"/>
                  </w:tcMar>
                  <w:vAlign w:val="center"/>
                </w:tcPr>
                <w:p>
                  <w:pPr>
                    <w:pStyle w:val="104"/>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4" w:hRule="atLeast"/>
                <w:jc w:val="center"/>
              </w:trPr>
              <w:tc>
                <w:tcPr>
                  <w:tcW w:w="1079" w:type="dxa"/>
                  <w:tcMar>
                    <w:top w:w="0" w:type="dxa"/>
                    <w:left w:w="0" w:type="dxa"/>
                    <w:bottom w:w="0" w:type="dxa"/>
                    <w:right w:w="0" w:type="dxa"/>
                  </w:tcMar>
                  <w:vAlign w:val="center"/>
                </w:tcPr>
                <w:p>
                  <w:pPr>
                    <w:widowControl/>
                    <w:adjustRightInd w:val="0"/>
                    <w:snapToGrid w:val="0"/>
                    <w:jc w:val="center"/>
                    <w:rPr>
                      <w:rFonts w:hint="eastAsia"/>
                      <w:bCs/>
                      <w:color w:val="auto"/>
                      <w:szCs w:val="21"/>
                    </w:rPr>
                  </w:pPr>
                  <w:r>
                    <w:rPr>
                      <w:rFonts w:hint="eastAsia"/>
                      <w:bCs/>
                      <w:color w:val="auto"/>
                      <w:szCs w:val="21"/>
                      <w:lang w:eastAsia="zh-CN"/>
                    </w:rPr>
                    <w:t>废液压油</w:t>
                  </w:r>
                </w:p>
              </w:tc>
              <w:tc>
                <w:tcPr>
                  <w:tcW w:w="645" w:type="pct"/>
                  <w:tcMar>
                    <w:top w:w="0" w:type="dxa"/>
                    <w:left w:w="0" w:type="dxa"/>
                    <w:bottom w:w="0" w:type="dxa"/>
                    <w:right w:w="0" w:type="dxa"/>
                  </w:tcMar>
                  <w:vAlign w:val="center"/>
                </w:tcPr>
                <w:p>
                  <w:pPr>
                    <w:widowControl/>
                    <w:adjustRightInd w:val="0"/>
                    <w:snapToGrid w:val="0"/>
                    <w:jc w:val="center"/>
                    <w:rPr>
                      <w:rFonts w:hint="eastAsia"/>
                      <w:bCs/>
                      <w:color w:val="auto"/>
                      <w:szCs w:val="21"/>
                      <w:lang w:eastAsia="zh-CN"/>
                    </w:rPr>
                  </w:pPr>
                  <w:r>
                    <w:rPr>
                      <w:rFonts w:hint="eastAsia"/>
                      <w:bCs/>
                      <w:color w:val="auto"/>
                      <w:szCs w:val="21"/>
                      <w:lang w:eastAsia="zh-CN"/>
                    </w:rPr>
                    <w:t>设备维保</w:t>
                  </w:r>
                </w:p>
              </w:tc>
              <w:tc>
                <w:tcPr>
                  <w:tcW w:w="277" w:type="pct"/>
                  <w:vMerge w:val="continue"/>
                  <w:tcMar>
                    <w:top w:w="0" w:type="dxa"/>
                    <w:left w:w="0" w:type="dxa"/>
                    <w:bottom w:w="0" w:type="dxa"/>
                    <w:right w:w="0" w:type="dxa"/>
                  </w:tcMar>
                  <w:vAlign w:val="center"/>
                </w:tcPr>
                <w:p>
                  <w:pPr>
                    <w:pStyle w:val="104"/>
                    <w:rPr>
                      <w:snapToGrid w:val="0"/>
                      <w:color w:val="auto"/>
                    </w:rPr>
                  </w:pPr>
                </w:p>
              </w:tc>
              <w:tc>
                <w:tcPr>
                  <w:tcW w:w="925" w:type="dxa"/>
                  <w:tcMar>
                    <w:top w:w="0" w:type="dxa"/>
                    <w:left w:w="0" w:type="dxa"/>
                    <w:bottom w:w="0" w:type="dxa"/>
                    <w:right w:w="0" w:type="dxa"/>
                  </w:tcMar>
                  <w:vAlign w:val="center"/>
                </w:tcPr>
                <w:p>
                  <w:pPr>
                    <w:adjustRightInd w:val="0"/>
                    <w:snapToGrid w:val="0"/>
                    <w:jc w:val="center"/>
                    <w:rPr>
                      <w:color w:val="auto"/>
                    </w:rPr>
                  </w:pPr>
                  <w:r>
                    <w:rPr>
                      <w:color w:val="auto"/>
                    </w:rPr>
                    <w:t>HW08</w:t>
                  </w:r>
                </w:p>
              </w:tc>
              <w:tc>
                <w:tcPr>
                  <w:tcW w:w="1080" w:type="dxa"/>
                  <w:tcMar>
                    <w:top w:w="0" w:type="dxa"/>
                    <w:left w:w="0" w:type="dxa"/>
                    <w:bottom w:w="0" w:type="dxa"/>
                    <w:right w:w="0" w:type="dxa"/>
                  </w:tcMar>
                  <w:vAlign w:val="center"/>
                </w:tcPr>
                <w:p>
                  <w:pPr>
                    <w:adjustRightInd w:val="0"/>
                    <w:snapToGrid w:val="0"/>
                    <w:jc w:val="center"/>
                    <w:rPr>
                      <w:rFonts w:hint="eastAsia"/>
                      <w:bCs/>
                      <w:color w:val="auto"/>
                      <w:szCs w:val="21"/>
                    </w:rPr>
                  </w:pPr>
                  <w:r>
                    <w:rPr>
                      <w:rFonts w:hint="eastAsia"/>
                      <w:bCs/>
                      <w:color w:val="auto"/>
                      <w:szCs w:val="21"/>
                    </w:rPr>
                    <w:t>900-</w:t>
                  </w:r>
                  <w:r>
                    <w:rPr>
                      <w:rFonts w:hint="eastAsia"/>
                      <w:bCs/>
                      <w:color w:val="auto"/>
                      <w:szCs w:val="21"/>
                      <w:lang w:val="en-US" w:eastAsia="zh-CN"/>
                    </w:rPr>
                    <w:t>218</w:t>
                  </w:r>
                  <w:r>
                    <w:rPr>
                      <w:rFonts w:hint="eastAsia"/>
                      <w:bCs/>
                      <w:color w:val="auto"/>
                      <w:szCs w:val="21"/>
                    </w:rPr>
                    <w:t>-08</w:t>
                  </w:r>
                </w:p>
              </w:tc>
              <w:tc>
                <w:tcPr>
                  <w:tcW w:w="770" w:type="dxa"/>
                  <w:tcMar>
                    <w:top w:w="0" w:type="dxa"/>
                    <w:left w:w="0" w:type="dxa"/>
                    <w:bottom w:w="0" w:type="dxa"/>
                    <w:right w:w="0" w:type="dxa"/>
                  </w:tcMar>
                  <w:vAlign w:val="center"/>
                </w:tcPr>
                <w:p>
                  <w:pPr>
                    <w:adjustRightInd w:val="0"/>
                    <w:snapToGrid w:val="0"/>
                    <w:jc w:val="center"/>
                    <w:rPr>
                      <w:rFonts w:hint="eastAsia"/>
                      <w:color w:val="auto"/>
                      <w:kern w:val="0"/>
                      <w:szCs w:val="21"/>
                    </w:rPr>
                  </w:pPr>
                  <w:r>
                    <w:rPr>
                      <w:rFonts w:hint="eastAsia"/>
                      <w:color w:val="auto"/>
                      <w:kern w:val="0"/>
                      <w:szCs w:val="21"/>
                      <w:lang w:val="en-US" w:eastAsia="zh-CN"/>
                    </w:rPr>
                    <w:t>9</w:t>
                  </w:r>
                </w:p>
              </w:tc>
              <w:tc>
                <w:tcPr>
                  <w:tcW w:w="370" w:type="pct"/>
                  <w:tcBorders>
                    <w:top w:val="single" w:color="auto" w:sz="4" w:space="0"/>
                  </w:tcBorders>
                  <w:tcMar>
                    <w:top w:w="0" w:type="dxa"/>
                    <w:left w:w="0" w:type="dxa"/>
                    <w:bottom w:w="0" w:type="dxa"/>
                    <w:right w:w="0" w:type="dxa"/>
                  </w:tcMar>
                  <w:vAlign w:val="center"/>
                </w:tcPr>
                <w:p>
                  <w:pPr>
                    <w:pStyle w:val="104"/>
                    <w:rPr>
                      <w:rFonts w:hint="eastAsia"/>
                      <w:color w:val="auto"/>
                      <w:kern w:val="0"/>
                      <w:szCs w:val="21"/>
                    </w:rPr>
                  </w:pPr>
                  <w:r>
                    <w:rPr>
                      <w:rFonts w:hint="eastAsia"/>
                      <w:color w:val="auto"/>
                      <w:kern w:val="0"/>
                      <w:szCs w:val="21"/>
                    </w:rPr>
                    <w:t>桶</w:t>
                  </w:r>
                  <w:r>
                    <w:rPr>
                      <w:color w:val="auto"/>
                      <w:kern w:val="0"/>
                      <w:szCs w:val="21"/>
                    </w:rPr>
                    <w:t>装</w:t>
                  </w:r>
                </w:p>
              </w:tc>
              <w:tc>
                <w:tcPr>
                  <w:tcW w:w="554" w:type="pct"/>
                  <w:vMerge w:val="continue"/>
                  <w:tcBorders>
                    <w:top w:val="single" w:color="auto" w:sz="4" w:space="0"/>
                  </w:tcBorders>
                  <w:tcMar>
                    <w:top w:w="0" w:type="dxa"/>
                    <w:left w:w="0" w:type="dxa"/>
                    <w:bottom w:w="0" w:type="dxa"/>
                    <w:right w:w="0" w:type="dxa"/>
                  </w:tcMar>
                  <w:vAlign w:val="center"/>
                </w:tcPr>
                <w:p>
                  <w:pPr>
                    <w:pStyle w:val="104"/>
                    <w:rPr>
                      <w:color w:val="auto"/>
                    </w:rPr>
                  </w:pPr>
                </w:p>
              </w:tc>
              <w:tc>
                <w:tcPr>
                  <w:tcW w:w="452" w:type="pct"/>
                  <w:vMerge w:val="continue"/>
                  <w:tcBorders>
                    <w:top w:val="single" w:color="auto" w:sz="4" w:space="0"/>
                  </w:tcBorders>
                  <w:tcMar>
                    <w:top w:w="0" w:type="dxa"/>
                    <w:left w:w="0" w:type="dxa"/>
                    <w:bottom w:w="0" w:type="dxa"/>
                    <w:right w:w="0" w:type="dxa"/>
                  </w:tcMar>
                  <w:vAlign w:val="center"/>
                </w:tcPr>
                <w:p>
                  <w:pPr>
                    <w:pStyle w:val="104"/>
                    <w:rPr>
                      <w:color w:val="auto"/>
                    </w:rPr>
                  </w:pPr>
                </w:p>
              </w:tc>
              <w:tc>
                <w:tcPr>
                  <w:tcW w:w="390" w:type="pct"/>
                  <w:vMerge w:val="continue"/>
                  <w:tcBorders>
                    <w:top w:val="single" w:color="auto" w:sz="4" w:space="0"/>
                  </w:tcBorders>
                  <w:tcMar>
                    <w:top w:w="0" w:type="dxa"/>
                    <w:left w:w="0" w:type="dxa"/>
                    <w:bottom w:w="0" w:type="dxa"/>
                    <w:right w:w="0" w:type="dxa"/>
                  </w:tcMar>
                  <w:vAlign w:val="center"/>
                </w:tcPr>
                <w:p>
                  <w:pPr>
                    <w:pStyle w:val="104"/>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4" w:hRule="atLeast"/>
                <w:jc w:val="center"/>
              </w:trPr>
              <w:tc>
                <w:tcPr>
                  <w:tcW w:w="646" w:type="pct"/>
                  <w:tcMar>
                    <w:top w:w="0" w:type="dxa"/>
                    <w:left w:w="0" w:type="dxa"/>
                    <w:bottom w:w="0" w:type="dxa"/>
                    <w:right w:w="0" w:type="dxa"/>
                  </w:tcMar>
                  <w:vAlign w:val="center"/>
                </w:tcPr>
                <w:p>
                  <w:pPr>
                    <w:widowControl/>
                    <w:adjustRightInd w:val="0"/>
                    <w:snapToGrid w:val="0"/>
                    <w:jc w:val="center"/>
                    <w:rPr>
                      <w:bCs/>
                      <w:color w:val="auto"/>
                      <w:szCs w:val="21"/>
                    </w:rPr>
                  </w:pPr>
                  <w:r>
                    <w:rPr>
                      <w:rFonts w:hint="eastAsia"/>
                      <w:bCs/>
                      <w:color w:val="auto"/>
                      <w:szCs w:val="21"/>
                    </w:rPr>
                    <w:t>废包装桶</w:t>
                  </w:r>
                </w:p>
              </w:tc>
              <w:tc>
                <w:tcPr>
                  <w:tcW w:w="645" w:type="pct"/>
                  <w:tcMar>
                    <w:top w:w="0" w:type="dxa"/>
                    <w:left w:w="0" w:type="dxa"/>
                    <w:bottom w:w="0" w:type="dxa"/>
                    <w:right w:w="0" w:type="dxa"/>
                  </w:tcMar>
                  <w:vAlign w:val="center"/>
                </w:tcPr>
                <w:p>
                  <w:pPr>
                    <w:widowControl/>
                    <w:adjustRightInd w:val="0"/>
                    <w:snapToGrid w:val="0"/>
                    <w:jc w:val="center"/>
                    <w:rPr>
                      <w:bCs/>
                      <w:color w:val="auto"/>
                      <w:szCs w:val="21"/>
                    </w:rPr>
                  </w:pPr>
                  <w:r>
                    <w:rPr>
                      <w:rFonts w:hint="eastAsia"/>
                      <w:bCs/>
                      <w:color w:val="auto"/>
                      <w:szCs w:val="21"/>
                      <w:lang w:eastAsia="zh-CN"/>
                    </w:rPr>
                    <w:t>矿物油</w:t>
                  </w:r>
                  <w:r>
                    <w:rPr>
                      <w:bCs/>
                      <w:color w:val="auto"/>
                      <w:szCs w:val="21"/>
                    </w:rPr>
                    <w:t>使用</w:t>
                  </w:r>
                </w:p>
              </w:tc>
              <w:tc>
                <w:tcPr>
                  <w:tcW w:w="277" w:type="pct"/>
                  <w:vMerge w:val="continue"/>
                  <w:tcMar>
                    <w:top w:w="0" w:type="dxa"/>
                    <w:left w:w="0" w:type="dxa"/>
                    <w:bottom w:w="0" w:type="dxa"/>
                    <w:right w:w="0" w:type="dxa"/>
                  </w:tcMar>
                  <w:vAlign w:val="center"/>
                </w:tcPr>
                <w:p>
                  <w:pPr>
                    <w:pStyle w:val="104"/>
                    <w:rPr>
                      <w:snapToGrid w:val="0"/>
                      <w:color w:val="auto"/>
                    </w:rPr>
                  </w:pPr>
                </w:p>
              </w:tc>
              <w:tc>
                <w:tcPr>
                  <w:tcW w:w="554" w:type="pct"/>
                  <w:tcMar>
                    <w:top w:w="0" w:type="dxa"/>
                    <w:left w:w="0" w:type="dxa"/>
                    <w:bottom w:w="0" w:type="dxa"/>
                    <w:right w:w="0" w:type="dxa"/>
                  </w:tcMar>
                  <w:vAlign w:val="center"/>
                </w:tcPr>
                <w:p>
                  <w:pPr>
                    <w:adjustRightInd w:val="0"/>
                    <w:snapToGrid w:val="0"/>
                    <w:jc w:val="center"/>
                    <w:rPr>
                      <w:color w:val="auto"/>
                      <w:szCs w:val="21"/>
                    </w:rPr>
                  </w:pPr>
                  <w:r>
                    <w:rPr>
                      <w:color w:val="auto"/>
                      <w:szCs w:val="21"/>
                    </w:rPr>
                    <w:t>HW49</w:t>
                  </w:r>
                </w:p>
              </w:tc>
              <w:tc>
                <w:tcPr>
                  <w:tcW w:w="647" w:type="pct"/>
                  <w:tcMar>
                    <w:top w:w="0" w:type="dxa"/>
                    <w:left w:w="0" w:type="dxa"/>
                    <w:bottom w:w="0" w:type="dxa"/>
                    <w:right w:w="0" w:type="dxa"/>
                  </w:tcMar>
                  <w:vAlign w:val="center"/>
                </w:tcPr>
                <w:p>
                  <w:pPr>
                    <w:adjustRightInd w:val="0"/>
                    <w:snapToGrid w:val="0"/>
                    <w:jc w:val="center"/>
                    <w:rPr>
                      <w:color w:val="auto"/>
                      <w:szCs w:val="21"/>
                    </w:rPr>
                  </w:pPr>
                  <w:r>
                    <w:rPr>
                      <w:color w:val="auto"/>
                      <w:szCs w:val="21"/>
                    </w:rPr>
                    <w:t>900-041-49</w:t>
                  </w:r>
                </w:p>
              </w:tc>
              <w:tc>
                <w:tcPr>
                  <w:tcW w:w="461" w:type="pct"/>
                  <w:tcMar>
                    <w:top w:w="0" w:type="dxa"/>
                    <w:left w:w="0" w:type="dxa"/>
                    <w:bottom w:w="0" w:type="dxa"/>
                    <w:right w:w="0" w:type="dxa"/>
                  </w:tcMar>
                  <w:vAlign w:val="center"/>
                </w:tcPr>
                <w:p>
                  <w:pPr>
                    <w:adjustRightInd w:val="0"/>
                    <w:snapToGrid w:val="0"/>
                    <w:jc w:val="center"/>
                    <w:rPr>
                      <w:color w:val="auto"/>
                      <w:kern w:val="0"/>
                      <w:szCs w:val="21"/>
                    </w:rPr>
                  </w:pPr>
                  <w:r>
                    <w:rPr>
                      <w:color w:val="auto"/>
                      <w:kern w:val="0"/>
                      <w:szCs w:val="21"/>
                    </w:rPr>
                    <w:t>1.16</w:t>
                  </w:r>
                </w:p>
              </w:tc>
              <w:tc>
                <w:tcPr>
                  <w:tcW w:w="370" w:type="pct"/>
                  <w:tcBorders>
                    <w:top w:val="single" w:color="auto" w:sz="4" w:space="0"/>
                  </w:tcBorders>
                  <w:tcMar>
                    <w:top w:w="0" w:type="dxa"/>
                    <w:left w:w="0" w:type="dxa"/>
                    <w:bottom w:w="0" w:type="dxa"/>
                    <w:right w:w="0" w:type="dxa"/>
                  </w:tcMar>
                  <w:vAlign w:val="center"/>
                </w:tcPr>
                <w:p>
                  <w:pPr>
                    <w:pStyle w:val="104"/>
                    <w:rPr>
                      <w:color w:val="auto"/>
                      <w:kern w:val="0"/>
                      <w:szCs w:val="21"/>
                    </w:rPr>
                  </w:pPr>
                  <w:r>
                    <w:rPr>
                      <w:rFonts w:hint="eastAsia"/>
                      <w:color w:val="auto"/>
                      <w:kern w:val="0"/>
                      <w:szCs w:val="21"/>
                    </w:rPr>
                    <w:t>/</w:t>
                  </w:r>
                </w:p>
              </w:tc>
              <w:tc>
                <w:tcPr>
                  <w:tcW w:w="554" w:type="pct"/>
                  <w:vMerge w:val="continue"/>
                  <w:tcBorders>
                    <w:top w:val="single" w:color="auto" w:sz="4" w:space="0"/>
                  </w:tcBorders>
                  <w:tcMar>
                    <w:top w:w="0" w:type="dxa"/>
                    <w:left w:w="0" w:type="dxa"/>
                    <w:bottom w:w="0" w:type="dxa"/>
                    <w:right w:w="0" w:type="dxa"/>
                  </w:tcMar>
                  <w:vAlign w:val="center"/>
                </w:tcPr>
                <w:p>
                  <w:pPr>
                    <w:pStyle w:val="104"/>
                    <w:rPr>
                      <w:color w:val="auto"/>
                    </w:rPr>
                  </w:pPr>
                </w:p>
              </w:tc>
              <w:tc>
                <w:tcPr>
                  <w:tcW w:w="452" w:type="pct"/>
                  <w:vMerge w:val="continue"/>
                  <w:tcBorders>
                    <w:top w:val="single" w:color="auto" w:sz="4" w:space="0"/>
                  </w:tcBorders>
                  <w:tcMar>
                    <w:top w:w="0" w:type="dxa"/>
                    <w:left w:w="0" w:type="dxa"/>
                    <w:bottom w:w="0" w:type="dxa"/>
                    <w:right w:w="0" w:type="dxa"/>
                  </w:tcMar>
                  <w:vAlign w:val="center"/>
                </w:tcPr>
                <w:p>
                  <w:pPr>
                    <w:pStyle w:val="104"/>
                    <w:rPr>
                      <w:color w:val="auto"/>
                    </w:rPr>
                  </w:pPr>
                </w:p>
              </w:tc>
              <w:tc>
                <w:tcPr>
                  <w:tcW w:w="390" w:type="pct"/>
                  <w:vMerge w:val="continue"/>
                  <w:tcBorders>
                    <w:top w:val="single" w:color="auto" w:sz="4" w:space="0"/>
                  </w:tcBorders>
                  <w:tcMar>
                    <w:top w:w="0" w:type="dxa"/>
                    <w:left w:w="0" w:type="dxa"/>
                    <w:bottom w:w="0" w:type="dxa"/>
                    <w:right w:w="0" w:type="dxa"/>
                  </w:tcMar>
                  <w:vAlign w:val="center"/>
                </w:tcPr>
                <w:p>
                  <w:pPr>
                    <w:pStyle w:val="104"/>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4" w:hRule="atLeast"/>
                <w:jc w:val="center"/>
              </w:trPr>
              <w:tc>
                <w:tcPr>
                  <w:tcW w:w="646" w:type="pct"/>
                  <w:tcMar>
                    <w:top w:w="0" w:type="dxa"/>
                    <w:left w:w="0" w:type="dxa"/>
                    <w:bottom w:w="0" w:type="dxa"/>
                    <w:right w:w="0" w:type="dxa"/>
                  </w:tcMar>
                  <w:vAlign w:val="center"/>
                </w:tcPr>
                <w:p>
                  <w:pPr>
                    <w:jc w:val="center"/>
                    <w:rPr>
                      <w:bCs/>
                      <w:color w:val="auto"/>
                      <w:szCs w:val="21"/>
                    </w:rPr>
                  </w:pPr>
                  <w:r>
                    <w:rPr>
                      <w:color w:val="auto"/>
                      <w:szCs w:val="21"/>
                    </w:rPr>
                    <w:t>废抹布</w:t>
                  </w:r>
                  <w:r>
                    <w:rPr>
                      <w:rFonts w:hint="eastAsia"/>
                      <w:color w:val="auto"/>
                      <w:szCs w:val="21"/>
                    </w:rPr>
                    <w:t>手套</w:t>
                  </w:r>
                </w:p>
              </w:tc>
              <w:tc>
                <w:tcPr>
                  <w:tcW w:w="645" w:type="pct"/>
                  <w:tcMar>
                    <w:top w:w="0" w:type="dxa"/>
                    <w:left w:w="0" w:type="dxa"/>
                    <w:bottom w:w="0" w:type="dxa"/>
                    <w:right w:w="0" w:type="dxa"/>
                  </w:tcMar>
                  <w:vAlign w:val="center"/>
                </w:tcPr>
                <w:p>
                  <w:pPr>
                    <w:jc w:val="center"/>
                    <w:rPr>
                      <w:color w:val="auto"/>
                      <w:szCs w:val="21"/>
                    </w:rPr>
                  </w:pPr>
                  <w:r>
                    <w:rPr>
                      <w:color w:val="auto"/>
                      <w:kern w:val="0"/>
                      <w:szCs w:val="21"/>
                    </w:rPr>
                    <w:t>设备维保</w:t>
                  </w:r>
                </w:p>
              </w:tc>
              <w:tc>
                <w:tcPr>
                  <w:tcW w:w="277" w:type="pct"/>
                  <w:vMerge w:val="continue"/>
                  <w:tcMar>
                    <w:top w:w="0" w:type="dxa"/>
                    <w:left w:w="0" w:type="dxa"/>
                    <w:bottom w:w="0" w:type="dxa"/>
                    <w:right w:w="0" w:type="dxa"/>
                  </w:tcMar>
                  <w:vAlign w:val="center"/>
                </w:tcPr>
                <w:p>
                  <w:pPr>
                    <w:pStyle w:val="104"/>
                    <w:rPr>
                      <w:snapToGrid w:val="0"/>
                      <w:color w:val="auto"/>
                    </w:rPr>
                  </w:pPr>
                </w:p>
              </w:tc>
              <w:tc>
                <w:tcPr>
                  <w:tcW w:w="554" w:type="pct"/>
                  <w:tcMar>
                    <w:top w:w="0" w:type="dxa"/>
                    <w:left w:w="0" w:type="dxa"/>
                    <w:bottom w:w="0" w:type="dxa"/>
                    <w:right w:w="0" w:type="dxa"/>
                  </w:tcMar>
                  <w:vAlign w:val="center"/>
                </w:tcPr>
                <w:p>
                  <w:pPr>
                    <w:adjustRightInd w:val="0"/>
                    <w:snapToGrid w:val="0"/>
                    <w:jc w:val="center"/>
                    <w:rPr>
                      <w:color w:val="auto"/>
                      <w:szCs w:val="21"/>
                    </w:rPr>
                  </w:pPr>
                  <w:r>
                    <w:rPr>
                      <w:color w:val="auto"/>
                      <w:szCs w:val="21"/>
                    </w:rPr>
                    <w:t>HW49</w:t>
                  </w:r>
                </w:p>
              </w:tc>
              <w:tc>
                <w:tcPr>
                  <w:tcW w:w="647" w:type="pct"/>
                  <w:tcMar>
                    <w:top w:w="0" w:type="dxa"/>
                    <w:left w:w="0" w:type="dxa"/>
                    <w:bottom w:w="0" w:type="dxa"/>
                    <w:right w:w="0" w:type="dxa"/>
                  </w:tcMar>
                  <w:vAlign w:val="center"/>
                </w:tcPr>
                <w:p>
                  <w:pPr>
                    <w:adjustRightInd w:val="0"/>
                    <w:snapToGrid w:val="0"/>
                    <w:jc w:val="center"/>
                    <w:rPr>
                      <w:color w:val="auto"/>
                      <w:szCs w:val="21"/>
                    </w:rPr>
                  </w:pPr>
                  <w:r>
                    <w:rPr>
                      <w:color w:val="auto"/>
                      <w:szCs w:val="21"/>
                    </w:rPr>
                    <w:t>900-041-49</w:t>
                  </w:r>
                </w:p>
              </w:tc>
              <w:tc>
                <w:tcPr>
                  <w:tcW w:w="461" w:type="pct"/>
                  <w:tcMar>
                    <w:top w:w="0" w:type="dxa"/>
                    <w:left w:w="0" w:type="dxa"/>
                    <w:bottom w:w="0" w:type="dxa"/>
                    <w:right w:w="0" w:type="dxa"/>
                  </w:tcMar>
                  <w:vAlign w:val="center"/>
                </w:tcPr>
                <w:p>
                  <w:pPr>
                    <w:adjustRightInd w:val="0"/>
                    <w:snapToGrid w:val="0"/>
                    <w:jc w:val="center"/>
                    <w:rPr>
                      <w:color w:val="auto"/>
                      <w:szCs w:val="21"/>
                    </w:rPr>
                  </w:pPr>
                  <w:r>
                    <w:rPr>
                      <w:rFonts w:hint="eastAsia"/>
                      <w:color w:val="auto"/>
                      <w:szCs w:val="21"/>
                    </w:rPr>
                    <w:t>0.05</w:t>
                  </w:r>
                </w:p>
              </w:tc>
              <w:tc>
                <w:tcPr>
                  <w:tcW w:w="370" w:type="pct"/>
                  <w:tcBorders>
                    <w:top w:val="single" w:color="auto" w:sz="4" w:space="0"/>
                  </w:tcBorders>
                  <w:tcMar>
                    <w:top w:w="0" w:type="dxa"/>
                    <w:left w:w="0" w:type="dxa"/>
                    <w:bottom w:w="0" w:type="dxa"/>
                    <w:right w:w="0" w:type="dxa"/>
                  </w:tcMar>
                  <w:vAlign w:val="center"/>
                </w:tcPr>
                <w:p>
                  <w:pPr>
                    <w:pStyle w:val="104"/>
                    <w:rPr>
                      <w:color w:val="auto"/>
                      <w:kern w:val="0"/>
                      <w:szCs w:val="21"/>
                    </w:rPr>
                  </w:pPr>
                  <w:r>
                    <w:rPr>
                      <w:rFonts w:hint="eastAsia"/>
                      <w:color w:val="auto"/>
                      <w:kern w:val="0"/>
                      <w:szCs w:val="21"/>
                    </w:rPr>
                    <w:t>桶</w:t>
                  </w:r>
                  <w:r>
                    <w:rPr>
                      <w:color w:val="auto"/>
                      <w:kern w:val="0"/>
                      <w:szCs w:val="21"/>
                    </w:rPr>
                    <w:t>装</w:t>
                  </w:r>
                </w:p>
              </w:tc>
              <w:tc>
                <w:tcPr>
                  <w:tcW w:w="554" w:type="pct"/>
                  <w:vMerge w:val="continue"/>
                  <w:tcBorders>
                    <w:top w:val="single" w:color="auto" w:sz="4" w:space="0"/>
                  </w:tcBorders>
                  <w:tcMar>
                    <w:top w:w="0" w:type="dxa"/>
                    <w:left w:w="0" w:type="dxa"/>
                    <w:bottom w:w="0" w:type="dxa"/>
                    <w:right w:w="0" w:type="dxa"/>
                  </w:tcMar>
                  <w:vAlign w:val="center"/>
                </w:tcPr>
                <w:p>
                  <w:pPr>
                    <w:pStyle w:val="104"/>
                    <w:rPr>
                      <w:color w:val="auto"/>
                    </w:rPr>
                  </w:pPr>
                </w:p>
              </w:tc>
              <w:tc>
                <w:tcPr>
                  <w:tcW w:w="452" w:type="pct"/>
                  <w:vMerge w:val="continue"/>
                  <w:tcBorders>
                    <w:top w:val="single" w:color="auto" w:sz="4" w:space="0"/>
                  </w:tcBorders>
                  <w:tcMar>
                    <w:top w:w="0" w:type="dxa"/>
                    <w:left w:w="0" w:type="dxa"/>
                    <w:bottom w:w="0" w:type="dxa"/>
                    <w:right w:w="0" w:type="dxa"/>
                  </w:tcMar>
                  <w:vAlign w:val="center"/>
                </w:tcPr>
                <w:p>
                  <w:pPr>
                    <w:pStyle w:val="104"/>
                    <w:rPr>
                      <w:color w:val="auto"/>
                    </w:rPr>
                  </w:pPr>
                </w:p>
              </w:tc>
              <w:tc>
                <w:tcPr>
                  <w:tcW w:w="390" w:type="pct"/>
                  <w:vMerge w:val="continue"/>
                  <w:tcBorders>
                    <w:top w:val="single" w:color="auto" w:sz="4" w:space="0"/>
                  </w:tcBorders>
                  <w:tcMar>
                    <w:top w:w="0" w:type="dxa"/>
                    <w:left w:w="0" w:type="dxa"/>
                    <w:bottom w:w="0" w:type="dxa"/>
                    <w:right w:w="0" w:type="dxa"/>
                  </w:tcMar>
                  <w:vAlign w:val="center"/>
                </w:tcPr>
                <w:p>
                  <w:pPr>
                    <w:pStyle w:val="104"/>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6" w:type="pct"/>
                  <w:tcMar>
                    <w:top w:w="0" w:type="dxa"/>
                    <w:left w:w="0" w:type="dxa"/>
                    <w:bottom w:w="0" w:type="dxa"/>
                    <w:right w:w="0" w:type="dxa"/>
                  </w:tcMar>
                  <w:vAlign w:val="center"/>
                </w:tcPr>
                <w:p>
                  <w:pPr>
                    <w:jc w:val="center"/>
                    <w:rPr>
                      <w:color w:val="auto"/>
                      <w:kern w:val="0"/>
                      <w:szCs w:val="21"/>
                    </w:rPr>
                  </w:pPr>
                  <w:r>
                    <w:rPr>
                      <w:color w:val="auto"/>
                      <w:szCs w:val="21"/>
                    </w:rPr>
                    <w:t>边角料</w:t>
                  </w:r>
                </w:p>
              </w:tc>
              <w:tc>
                <w:tcPr>
                  <w:tcW w:w="645" w:type="pct"/>
                  <w:tcMar>
                    <w:top w:w="0" w:type="dxa"/>
                    <w:left w:w="0" w:type="dxa"/>
                    <w:bottom w:w="0" w:type="dxa"/>
                    <w:right w:w="0" w:type="dxa"/>
                  </w:tcMar>
                  <w:vAlign w:val="center"/>
                </w:tcPr>
                <w:p>
                  <w:pPr>
                    <w:jc w:val="center"/>
                    <w:rPr>
                      <w:color w:val="auto"/>
                      <w:szCs w:val="21"/>
                    </w:rPr>
                  </w:pPr>
                  <w:r>
                    <w:rPr>
                      <w:rFonts w:hint="eastAsia"/>
                      <w:color w:val="auto"/>
                    </w:rPr>
                    <w:t>裁纸</w:t>
                  </w:r>
                </w:p>
              </w:tc>
              <w:tc>
                <w:tcPr>
                  <w:tcW w:w="277" w:type="pct"/>
                  <w:vMerge w:val="restart"/>
                  <w:tcMar>
                    <w:top w:w="0" w:type="dxa"/>
                    <w:left w:w="0" w:type="dxa"/>
                    <w:bottom w:w="0" w:type="dxa"/>
                    <w:right w:w="0" w:type="dxa"/>
                  </w:tcMar>
                  <w:vAlign w:val="center"/>
                </w:tcPr>
                <w:p>
                  <w:pPr>
                    <w:pStyle w:val="104"/>
                    <w:rPr>
                      <w:color w:val="auto"/>
                      <w:kern w:val="0"/>
                    </w:rPr>
                  </w:pPr>
                  <w:r>
                    <w:rPr>
                      <w:snapToGrid w:val="0"/>
                      <w:color w:val="auto"/>
                    </w:rPr>
                    <w:t>一般固废</w:t>
                  </w:r>
                </w:p>
              </w:tc>
              <w:tc>
                <w:tcPr>
                  <w:tcW w:w="554" w:type="pct"/>
                  <w:tcMar>
                    <w:top w:w="0" w:type="dxa"/>
                    <w:left w:w="0" w:type="dxa"/>
                    <w:bottom w:w="0" w:type="dxa"/>
                    <w:right w:w="0" w:type="dxa"/>
                  </w:tcMar>
                  <w:vAlign w:val="center"/>
                </w:tcPr>
                <w:p>
                  <w:pPr>
                    <w:adjustRightInd w:val="0"/>
                    <w:snapToGrid w:val="0"/>
                    <w:jc w:val="center"/>
                    <w:rPr>
                      <w:bCs/>
                      <w:color w:val="auto"/>
                      <w:szCs w:val="21"/>
                    </w:rPr>
                  </w:pPr>
                  <w:r>
                    <w:rPr>
                      <w:bCs/>
                      <w:color w:val="auto"/>
                      <w:szCs w:val="21"/>
                    </w:rPr>
                    <w:t>其他废物</w:t>
                  </w:r>
                </w:p>
              </w:tc>
              <w:tc>
                <w:tcPr>
                  <w:tcW w:w="647" w:type="pct"/>
                  <w:tcMar>
                    <w:top w:w="0" w:type="dxa"/>
                    <w:left w:w="0" w:type="dxa"/>
                    <w:bottom w:w="0" w:type="dxa"/>
                    <w:right w:w="0" w:type="dxa"/>
                  </w:tcMar>
                  <w:vAlign w:val="center"/>
                </w:tcPr>
                <w:p>
                  <w:pPr>
                    <w:adjustRightInd w:val="0"/>
                    <w:snapToGrid w:val="0"/>
                    <w:jc w:val="center"/>
                    <w:rPr>
                      <w:color w:val="auto"/>
                      <w:szCs w:val="21"/>
                    </w:rPr>
                  </w:pPr>
                  <w:r>
                    <w:rPr>
                      <w:bCs/>
                      <w:color w:val="auto"/>
                      <w:szCs w:val="21"/>
                    </w:rPr>
                    <w:t>900-999-99</w:t>
                  </w:r>
                </w:p>
              </w:tc>
              <w:tc>
                <w:tcPr>
                  <w:tcW w:w="461" w:type="pct"/>
                  <w:tcMar>
                    <w:top w:w="0" w:type="dxa"/>
                    <w:left w:w="0" w:type="dxa"/>
                    <w:bottom w:w="0" w:type="dxa"/>
                    <w:right w:w="0" w:type="dxa"/>
                  </w:tcMar>
                  <w:vAlign w:val="center"/>
                </w:tcPr>
                <w:p>
                  <w:pPr>
                    <w:adjustRightInd w:val="0"/>
                    <w:snapToGrid w:val="0"/>
                    <w:jc w:val="center"/>
                    <w:rPr>
                      <w:bCs/>
                      <w:color w:val="auto"/>
                      <w:szCs w:val="21"/>
                    </w:rPr>
                  </w:pPr>
                  <w:r>
                    <w:rPr>
                      <w:rFonts w:hint="eastAsia"/>
                      <w:bCs/>
                      <w:color w:val="auto"/>
                      <w:szCs w:val="21"/>
                    </w:rPr>
                    <w:t>10</w:t>
                  </w:r>
                </w:p>
              </w:tc>
              <w:tc>
                <w:tcPr>
                  <w:tcW w:w="370" w:type="pct"/>
                  <w:tcMar>
                    <w:top w:w="0" w:type="dxa"/>
                    <w:left w:w="0" w:type="dxa"/>
                    <w:bottom w:w="0" w:type="dxa"/>
                    <w:right w:w="0" w:type="dxa"/>
                  </w:tcMar>
                  <w:vAlign w:val="center"/>
                </w:tcPr>
                <w:p>
                  <w:pPr>
                    <w:adjustRightInd w:val="0"/>
                    <w:snapToGrid w:val="0"/>
                    <w:jc w:val="center"/>
                    <w:rPr>
                      <w:color w:val="auto"/>
                    </w:rPr>
                  </w:pPr>
                  <w:r>
                    <w:rPr>
                      <w:color w:val="auto"/>
                      <w:kern w:val="0"/>
                      <w:szCs w:val="21"/>
                    </w:rPr>
                    <w:t>袋装</w:t>
                  </w:r>
                </w:p>
              </w:tc>
              <w:tc>
                <w:tcPr>
                  <w:tcW w:w="554" w:type="pct"/>
                  <w:vMerge w:val="restart"/>
                  <w:tcMar>
                    <w:top w:w="0" w:type="dxa"/>
                    <w:left w:w="0" w:type="dxa"/>
                    <w:bottom w:w="0" w:type="dxa"/>
                    <w:right w:w="0" w:type="dxa"/>
                  </w:tcMar>
                  <w:vAlign w:val="center"/>
                </w:tcPr>
                <w:p>
                  <w:pPr>
                    <w:pStyle w:val="104"/>
                    <w:rPr>
                      <w:color w:val="auto"/>
                    </w:rPr>
                  </w:pPr>
                  <w:r>
                    <w:rPr>
                      <w:color w:val="auto"/>
                    </w:rPr>
                    <w:t>一般固废堆场20m</w:t>
                  </w:r>
                  <w:r>
                    <w:rPr>
                      <w:color w:val="auto"/>
                      <w:vertAlign w:val="superscript"/>
                    </w:rPr>
                    <w:t>2</w:t>
                  </w:r>
                </w:p>
              </w:tc>
              <w:tc>
                <w:tcPr>
                  <w:tcW w:w="452" w:type="pct"/>
                  <w:vMerge w:val="restart"/>
                  <w:tcMar>
                    <w:top w:w="0" w:type="dxa"/>
                    <w:left w:w="0" w:type="dxa"/>
                    <w:bottom w:w="0" w:type="dxa"/>
                    <w:right w:w="0" w:type="dxa"/>
                  </w:tcMar>
                  <w:vAlign w:val="center"/>
                </w:tcPr>
                <w:p>
                  <w:pPr>
                    <w:pStyle w:val="104"/>
                    <w:rPr>
                      <w:color w:val="auto"/>
                    </w:rPr>
                  </w:pPr>
                  <w:r>
                    <w:rPr>
                      <w:color w:val="auto"/>
                    </w:rPr>
                    <w:t>外售</w:t>
                  </w:r>
                  <w:r>
                    <w:rPr>
                      <w:rFonts w:hint="eastAsia"/>
                      <w:color w:val="auto"/>
                    </w:rPr>
                    <w:t>综合利用</w:t>
                  </w:r>
                </w:p>
              </w:tc>
              <w:tc>
                <w:tcPr>
                  <w:tcW w:w="390" w:type="pct"/>
                  <w:vMerge w:val="restart"/>
                  <w:tcMar>
                    <w:top w:w="0" w:type="dxa"/>
                    <w:left w:w="0" w:type="dxa"/>
                    <w:bottom w:w="0" w:type="dxa"/>
                    <w:right w:w="0" w:type="dxa"/>
                  </w:tcMar>
                  <w:vAlign w:val="center"/>
                </w:tcPr>
                <w:p>
                  <w:pPr>
                    <w:pStyle w:val="104"/>
                    <w:rPr>
                      <w:color w:val="auto"/>
                    </w:rPr>
                  </w:pPr>
                  <w:r>
                    <w:rPr>
                      <w:color w:val="auto"/>
                    </w:rPr>
                    <w:t>资源回收单位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6" w:type="pct"/>
                  <w:tcMar>
                    <w:top w:w="0" w:type="dxa"/>
                    <w:left w:w="0" w:type="dxa"/>
                    <w:bottom w:w="0" w:type="dxa"/>
                    <w:right w:w="0" w:type="dxa"/>
                  </w:tcMar>
                  <w:vAlign w:val="center"/>
                </w:tcPr>
                <w:p>
                  <w:pPr>
                    <w:jc w:val="center"/>
                    <w:rPr>
                      <w:color w:val="auto"/>
                      <w:szCs w:val="21"/>
                    </w:rPr>
                  </w:pPr>
                  <w:r>
                    <w:rPr>
                      <w:rFonts w:hint="eastAsia"/>
                      <w:color w:val="auto"/>
                      <w:szCs w:val="21"/>
                    </w:rPr>
                    <w:t>不合格品</w:t>
                  </w:r>
                </w:p>
              </w:tc>
              <w:tc>
                <w:tcPr>
                  <w:tcW w:w="645" w:type="pct"/>
                  <w:tcMar>
                    <w:top w:w="0" w:type="dxa"/>
                    <w:left w:w="0" w:type="dxa"/>
                    <w:bottom w:w="0" w:type="dxa"/>
                    <w:right w:w="0" w:type="dxa"/>
                  </w:tcMar>
                  <w:vAlign w:val="center"/>
                </w:tcPr>
                <w:p>
                  <w:pPr>
                    <w:jc w:val="center"/>
                    <w:rPr>
                      <w:color w:val="auto"/>
                    </w:rPr>
                  </w:pPr>
                  <w:r>
                    <w:rPr>
                      <w:rFonts w:hint="eastAsia"/>
                      <w:color w:val="auto"/>
                    </w:rPr>
                    <w:t>检验包装</w:t>
                  </w:r>
                </w:p>
              </w:tc>
              <w:tc>
                <w:tcPr>
                  <w:tcW w:w="277" w:type="pct"/>
                  <w:vMerge w:val="continue"/>
                  <w:tcMar>
                    <w:top w:w="0" w:type="dxa"/>
                    <w:left w:w="0" w:type="dxa"/>
                    <w:bottom w:w="0" w:type="dxa"/>
                    <w:right w:w="0" w:type="dxa"/>
                  </w:tcMar>
                  <w:vAlign w:val="center"/>
                </w:tcPr>
                <w:p>
                  <w:pPr>
                    <w:pStyle w:val="104"/>
                    <w:rPr>
                      <w:snapToGrid w:val="0"/>
                      <w:color w:val="auto"/>
                    </w:rPr>
                  </w:pPr>
                </w:p>
              </w:tc>
              <w:tc>
                <w:tcPr>
                  <w:tcW w:w="554" w:type="pct"/>
                  <w:tcMar>
                    <w:top w:w="0" w:type="dxa"/>
                    <w:left w:w="0" w:type="dxa"/>
                    <w:bottom w:w="0" w:type="dxa"/>
                    <w:right w:w="0" w:type="dxa"/>
                  </w:tcMar>
                  <w:vAlign w:val="center"/>
                </w:tcPr>
                <w:p>
                  <w:pPr>
                    <w:adjustRightInd w:val="0"/>
                    <w:snapToGrid w:val="0"/>
                    <w:jc w:val="center"/>
                    <w:rPr>
                      <w:bCs/>
                      <w:color w:val="auto"/>
                      <w:szCs w:val="21"/>
                    </w:rPr>
                  </w:pPr>
                  <w:r>
                    <w:rPr>
                      <w:bCs/>
                      <w:color w:val="auto"/>
                      <w:szCs w:val="21"/>
                    </w:rPr>
                    <w:t>其他废物</w:t>
                  </w:r>
                </w:p>
              </w:tc>
              <w:tc>
                <w:tcPr>
                  <w:tcW w:w="647" w:type="pct"/>
                  <w:tcMar>
                    <w:top w:w="0" w:type="dxa"/>
                    <w:left w:w="0" w:type="dxa"/>
                    <w:bottom w:w="0" w:type="dxa"/>
                    <w:right w:w="0" w:type="dxa"/>
                  </w:tcMar>
                  <w:vAlign w:val="center"/>
                </w:tcPr>
                <w:p>
                  <w:pPr>
                    <w:adjustRightInd w:val="0"/>
                    <w:snapToGrid w:val="0"/>
                    <w:jc w:val="center"/>
                    <w:rPr>
                      <w:color w:val="auto"/>
                      <w:szCs w:val="21"/>
                    </w:rPr>
                  </w:pPr>
                  <w:r>
                    <w:rPr>
                      <w:bCs/>
                      <w:color w:val="auto"/>
                      <w:szCs w:val="21"/>
                    </w:rPr>
                    <w:t>900-999-99</w:t>
                  </w:r>
                </w:p>
              </w:tc>
              <w:tc>
                <w:tcPr>
                  <w:tcW w:w="461" w:type="pct"/>
                  <w:tcMar>
                    <w:top w:w="0" w:type="dxa"/>
                    <w:left w:w="0" w:type="dxa"/>
                    <w:bottom w:w="0" w:type="dxa"/>
                    <w:right w:w="0" w:type="dxa"/>
                  </w:tcMar>
                  <w:vAlign w:val="center"/>
                </w:tcPr>
                <w:p>
                  <w:pPr>
                    <w:adjustRightInd w:val="0"/>
                    <w:snapToGrid w:val="0"/>
                    <w:jc w:val="center"/>
                    <w:rPr>
                      <w:bCs/>
                      <w:color w:val="auto"/>
                      <w:szCs w:val="21"/>
                    </w:rPr>
                  </w:pPr>
                  <w:r>
                    <w:rPr>
                      <w:bCs/>
                      <w:color w:val="auto"/>
                      <w:szCs w:val="21"/>
                    </w:rPr>
                    <w:t>5</w:t>
                  </w:r>
                </w:p>
              </w:tc>
              <w:tc>
                <w:tcPr>
                  <w:tcW w:w="370" w:type="pct"/>
                  <w:tcMar>
                    <w:top w:w="0" w:type="dxa"/>
                    <w:left w:w="0" w:type="dxa"/>
                    <w:bottom w:w="0" w:type="dxa"/>
                    <w:right w:w="0" w:type="dxa"/>
                  </w:tcMar>
                  <w:vAlign w:val="center"/>
                </w:tcPr>
                <w:p>
                  <w:pPr>
                    <w:adjustRightInd w:val="0"/>
                    <w:snapToGrid w:val="0"/>
                    <w:jc w:val="center"/>
                    <w:rPr>
                      <w:color w:val="auto"/>
                      <w:kern w:val="0"/>
                      <w:szCs w:val="21"/>
                    </w:rPr>
                  </w:pPr>
                  <w:r>
                    <w:rPr>
                      <w:rFonts w:hint="eastAsia"/>
                      <w:color w:val="auto"/>
                      <w:kern w:val="0"/>
                      <w:szCs w:val="21"/>
                    </w:rPr>
                    <w:t>/</w:t>
                  </w:r>
                </w:p>
              </w:tc>
              <w:tc>
                <w:tcPr>
                  <w:tcW w:w="554" w:type="pct"/>
                  <w:vMerge w:val="continue"/>
                  <w:tcMar>
                    <w:top w:w="0" w:type="dxa"/>
                    <w:left w:w="0" w:type="dxa"/>
                    <w:bottom w:w="0" w:type="dxa"/>
                    <w:right w:w="0" w:type="dxa"/>
                  </w:tcMar>
                  <w:vAlign w:val="center"/>
                </w:tcPr>
                <w:p>
                  <w:pPr>
                    <w:pStyle w:val="104"/>
                    <w:rPr>
                      <w:color w:val="auto"/>
                    </w:rPr>
                  </w:pPr>
                </w:p>
              </w:tc>
              <w:tc>
                <w:tcPr>
                  <w:tcW w:w="452" w:type="pct"/>
                  <w:vMerge w:val="continue"/>
                  <w:tcMar>
                    <w:top w:w="0" w:type="dxa"/>
                    <w:left w:w="0" w:type="dxa"/>
                    <w:bottom w:w="0" w:type="dxa"/>
                    <w:right w:w="0" w:type="dxa"/>
                  </w:tcMar>
                  <w:vAlign w:val="center"/>
                </w:tcPr>
                <w:p>
                  <w:pPr>
                    <w:pStyle w:val="104"/>
                    <w:rPr>
                      <w:color w:val="auto"/>
                    </w:rPr>
                  </w:pPr>
                </w:p>
              </w:tc>
              <w:tc>
                <w:tcPr>
                  <w:tcW w:w="390" w:type="pct"/>
                  <w:vMerge w:val="continue"/>
                  <w:tcMar>
                    <w:top w:w="0" w:type="dxa"/>
                    <w:left w:w="0" w:type="dxa"/>
                    <w:bottom w:w="0" w:type="dxa"/>
                    <w:right w:w="0" w:type="dxa"/>
                  </w:tcMar>
                  <w:vAlign w:val="center"/>
                </w:tcPr>
                <w:p>
                  <w:pPr>
                    <w:pStyle w:val="104"/>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6" w:type="pct"/>
                  <w:tcMar>
                    <w:top w:w="0" w:type="dxa"/>
                    <w:left w:w="0" w:type="dxa"/>
                    <w:bottom w:w="0" w:type="dxa"/>
                    <w:right w:w="0" w:type="dxa"/>
                  </w:tcMar>
                  <w:vAlign w:val="center"/>
                </w:tcPr>
                <w:p>
                  <w:pPr>
                    <w:jc w:val="center"/>
                    <w:rPr>
                      <w:color w:val="auto"/>
                      <w:szCs w:val="21"/>
                    </w:rPr>
                  </w:pPr>
                  <w:r>
                    <w:rPr>
                      <w:rFonts w:hint="eastAsia"/>
                      <w:color w:val="auto"/>
                      <w:szCs w:val="21"/>
                    </w:rPr>
                    <w:t>废包装袋</w:t>
                  </w:r>
                </w:p>
              </w:tc>
              <w:tc>
                <w:tcPr>
                  <w:tcW w:w="645" w:type="pct"/>
                  <w:tcMar>
                    <w:top w:w="0" w:type="dxa"/>
                    <w:left w:w="0" w:type="dxa"/>
                    <w:bottom w:w="0" w:type="dxa"/>
                    <w:right w:w="0" w:type="dxa"/>
                  </w:tcMar>
                  <w:vAlign w:val="center"/>
                </w:tcPr>
                <w:p>
                  <w:pPr>
                    <w:jc w:val="center"/>
                    <w:rPr>
                      <w:color w:val="auto"/>
                    </w:rPr>
                  </w:pPr>
                  <w:r>
                    <w:rPr>
                      <w:rFonts w:hint="eastAsia"/>
                      <w:color w:val="auto"/>
                    </w:rPr>
                    <w:t>浸胶纸使用</w:t>
                  </w:r>
                </w:p>
              </w:tc>
              <w:tc>
                <w:tcPr>
                  <w:tcW w:w="277" w:type="pct"/>
                  <w:vMerge w:val="continue"/>
                  <w:tcMar>
                    <w:top w:w="0" w:type="dxa"/>
                    <w:left w:w="0" w:type="dxa"/>
                    <w:bottom w:w="0" w:type="dxa"/>
                    <w:right w:w="0" w:type="dxa"/>
                  </w:tcMar>
                  <w:vAlign w:val="center"/>
                </w:tcPr>
                <w:p>
                  <w:pPr>
                    <w:pStyle w:val="104"/>
                    <w:rPr>
                      <w:snapToGrid w:val="0"/>
                      <w:color w:val="auto"/>
                    </w:rPr>
                  </w:pPr>
                </w:p>
              </w:tc>
              <w:tc>
                <w:tcPr>
                  <w:tcW w:w="554" w:type="pct"/>
                  <w:tcMar>
                    <w:top w:w="0" w:type="dxa"/>
                    <w:left w:w="0" w:type="dxa"/>
                    <w:bottom w:w="0" w:type="dxa"/>
                    <w:right w:w="0" w:type="dxa"/>
                  </w:tcMar>
                  <w:vAlign w:val="center"/>
                </w:tcPr>
                <w:p>
                  <w:pPr>
                    <w:adjustRightInd w:val="0"/>
                    <w:snapToGrid w:val="0"/>
                    <w:jc w:val="center"/>
                    <w:rPr>
                      <w:bCs/>
                      <w:color w:val="auto"/>
                      <w:szCs w:val="21"/>
                    </w:rPr>
                  </w:pPr>
                  <w:r>
                    <w:rPr>
                      <w:bCs/>
                      <w:color w:val="auto"/>
                      <w:szCs w:val="21"/>
                    </w:rPr>
                    <w:t>其他废物</w:t>
                  </w:r>
                </w:p>
              </w:tc>
              <w:tc>
                <w:tcPr>
                  <w:tcW w:w="647" w:type="pct"/>
                  <w:tcMar>
                    <w:top w:w="0" w:type="dxa"/>
                    <w:left w:w="0" w:type="dxa"/>
                    <w:bottom w:w="0" w:type="dxa"/>
                    <w:right w:w="0" w:type="dxa"/>
                  </w:tcMar>
                  <w:vAlign w:val="center"/>
                </w:tcPr>
                <w:p>
                  <w:pPr>
                    <w:adjustRightInd w:val="0"/>
                    <w:snapToGrid w:val="0"/>
                    <w:jc w:val="center"/>
                    <w:rPr>
                      <w:color w:val="auto"/>
                      <w:szCs w:val="21"/>
                    </w:rPr>
                  </w:pPr>
                  <w:r>
                    <w:rPr>
                      <w:bCs/>
                      <w:color w:val="auto"/>
                      <w:szCs w:val="21"/>
                    </w:rPr>
                    <w:t>900-999-99</w:t>
                  </w:r>
                </w:p>
              </w:tc>
              <w:tc>
                <w:tcPr>
                  <w:tcW w:w="461" w:type="pct"/>
                  <w:tcMar>
                    <w:top w:w="0" w:type="dxa"/>
                    <w:left w:w="0" w:type="dxa"/>
                    <w:bottom w:w="0" w:type="dxa"/>
                    <w:right w:w="0" w:type="dxa"/>
                  </w:tcMar>
                  <w:vAlign w:val="center"/>
                </w:tcPr>
                <w:p>
                  <w:pPr>
                    <w:adjustRightInd w:val="0"/>
                    <w:snapToGrid w:val="0"/>
                    <w:jc w:val="center"/>
                    <w:rPr>
                      <w:bCs/>
                      <w:color w:val="auto"/>
                      <w:szCs w:val="21"/>
                    </w:rPr>
                  </w:pPr>
                  <w:r>
                    <w:rPr>
                      <w:rFonts w:hint="eastAsia"/>
                      <w:bCs/>
                      <w:color w:val="auto"/>
                      <w:szCs w:val="21"/>
                    </w:rPr>
                    <w:t>0.5</w:t>
                  </w:r>
                </w:p>
              </w:tc>
              <w:tc>
                <w:tcPr>
                  <w:tcW w:w="370" w:type="pct"/>
                  <w:tcMar>
                    <w:top w:w="0" w:type="dxa"/>
                    <w:left w:w="0" w:type="dxa"/>
                    <w:bottom w:w="0" w:type="dxa"/>
                    <w:right w:w="0" w:type="dxa"/>
                  </w:tcMar>
                  <w:vAlign w:val="center"/>
                </w:tcPr>
                <w:p>
                  <w:pPr>
                    <w:adjustRightInd w:val="0"/>
                    <w:snapToGrid w:val="0"/>
                    <w:jc w:val="center"/>
                    <w:rPr>
                      <w:color w:val="auto"/>
                      <w:kern w:val="0"/>
                      <w:szCs w:val="21"/>
                    </w:rPr>
                  </w:pPr>
                  <w:r>
                    <w:rPr>
                      <w:color w:val="auto"/>
                      <w:kern w:val="0"/>
                      <w:szCs w:val="21"/>
                    </w:rPr>
                    <w:t>袋装</w:t>
                  </w:r>
                </w:p>
              </w:tc>
              <w:tc>
                <w:tcPr>
                  <w:tcW w:w="554" w:type="pct"/>
                  <w:vMerge w:val="continue"/>
                  <w:tcMar>
                    <w:top w:w="0" w:type="dxa"/>
                    <w:left w:w="0" w:type="dxa"/>
                    <w:bottom w:w="0" w:type="dxa"/>
                    <w:right w:w="0" w:type="dxa"/>
                  </w:tcMar>
                  <w:vAlign w:val="center"/>
                </w:tcPr>
                <w:p>
                  <w:pPr>
                    <w:pStyle w:val="104"/>
                    <w:rPr>
                      <w:color w:val="auto"/>
                    </w:rPr>
                  </w:pPr>
                </w:p>
              </w:tc>
              <w:tc>
                <w:tcPr>
                  <w:tcW w:w="452" w:type="pct"/>
                  <w:vMerge w:val="continue"/>
                  <w:tcMar>
                    <w:top w:w="0" w:type="dxa"/>
                    <w:left w:w="0" w:type="dxa"/>
                    <w:bottom w:w="0" w:type="dxa"/>
                    <w:right w:w="0" w:type="dxa"/>
                  </w:tcMar>
                  <w:vAlign w:val="center"/>
                </w:tcPr>
                <w:p>
                  <w:pPr>
                    <w:pStyle w:val="104"/>
                    <w:rPr>
                      <w:color w:val="auto"/>
                    </w:rPr>
                  </w:pPr>
                </w:p>
              </w:tc>
              <w:tc>
                <w:tcPr>
                  <w:tcW w:w="390" w:type="pct"/>
                  <w:vMerge w:val="continue"/>
                  <w:tcMar>
                    <w:top w:w="0" w:type="dxa"/>
                    <w:left w:w="0" w:type="dxa"/>
                    <w:bottom w:w="0" w:type="dxa"/>
                    <w:right w:w="0" w:type="dxa"/>
                  </w:tcMar>
                  <w:vAlign w:val="center"/>
                </w:tcPr>
                <w:p>
                  <w:pPr>
                    <w:pStyle w:val="104"/>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6" w:type="pct"/>
                  <w:tcMar>
                    <w:top w:w="0" w:type="dxa"/>
                    <w:left w:w="0" w:type="dxa"/>
                    <w:bottom w:w="0" w:type="dxa"/>
                    <w:right w:w="0" w:type="dxa"/>
                  </w:tcMar>
                  <w:vAlign w:val="center"/>
                </w:tcPr>
                <w:p>
                  <w:pPr>
                    <w:adjustRightInd w:val="0"/>
                    <w:snapToGrid w:val="0"/>
                    <w:jc w:val="center"/>
                    <w:rPr>
                      <w:color w:val="auto"/>
                    </w:rPr>
                  </w:pPr>
                  <w:r>
                    <w:rPr>
                      <w:bCs/>
                      <w:color w:val="auto"/>
                    </w:rPr>
                    <w:t>生活垃圾</w:t>
                  </w:r>
                </w:p>
              </w:tc>
              <w:tc>
                <w:tcPr>
                  <w:tcW w:w="645" w:type="pct"/>
                  <w:tcMar>
                    <w:top w:w="0" w:type="dxa"/>
                    <w:left w:w="0" w:type="dxa"/>
                    <w:bottom w:w="0" w:type="dxa"/>
                    <w:right w:w="0" w:type="dxa"/>
                  </w:tcMar>
                  <w:vAlign w:val="center"/>
                </w:tcPr>
                <w:p>
                  <w:pPr>
                    <w:jc w:val="center"/>
                    <w:rPr>
                      <w:color w:val="auto"/>
                      <w:szCs w:val="21"/>
                    </w:rPr>
                  </w:pPr>
                  <w:r>
                    <w:rPr>
                      <w:color w:val="auto"/>
                      <w:kern w:val="0"/>
                      <w:szCs w:val="21"/>
                    </w:rPr>
                    <w:t>员工生活</w:t>
                  </w:r>
                </w:p>
              </w:tc>
              <w:tc>
                <w:tcPr>
                  <w:tcW w:w="277" w:type="pct"/>
                  <w:vMerge w:val="continue"/>
                  <w:tcMar>
                    <w:top w:w="0" w:type="dxa"/>
                    <w:left w:w="0" w:type="dxa"/>
                    <w:bottom w:w="0" w:type="dxa"/>
                    <w:right w:w="0" w:type="dxa"/>
                  </w:tcMar>
                  <w:vAlign w:val="center"/>
                </w:tcPr>
                <w:p>
                  <w:pPr>
                    <w:pStyle w:val="104"/>
                    <w:rPr>
                      <w:color w:val="auto"/>
                      <w:kern w:val="0"/>
                    </w:rPr>
                  </w:pPr>
                </w:p>
              </w:tc>
              <w:tc>
                <w:tcPr>
                  <w:tcW w:w="554" w:type="pct"/>
                  <w:tcMar>
                    <w:top w:w="0" w:type="dxa"/>
                    <w:left w:w="0" w:type="dxa"/>
                    <w:bottom w:w="0" w:type="dxa"/>
                    <w:right w:w="0" w:type="dxa"/>
                  </w:tcMar>
                  <w:vAlign w:val="center"/>
                </w:tcPr>
                <w:p>
                  <w:pPr>
                    <w:adjustRightInd w:val="0"/>
                    <w:snapToGrid w:val="0"/>
                    <w:jc w:val="center"/>
                    <w:rPr>
                      <w:color w:val="auto"/>
                    </w:rPr>
                  </w:pPr>
                  <w:r>
                    <w:rPr>
                      <w:bCs/>
                      <w:color w:val="auto"/>
                      <w:szCs w:val="21"/>
                    </w:rPr>
                    <w:t>其他废物</w:t>
                  </w:r>
                </w:p>
              </w:tc>
              <w:tc>
                <w:tcPr>
                  <w:tcW w:w="647" w:type="pct"/>
                  <w:tcMar>
                    <w:top w:w="0" w:type="dxa"/>
                    <w:left w:w="0" w:type="dxa"/>
                    <w:bottom w:w="0" w:type="dxa"/>
                    <w:right w:w="0" w:type="dxa"/>
                  </w:tcMar>
                  <w:vAlign w:val="center"/>
                </w:tcPr>
                <w:p>
                  <w:pPr>
                    <w:adjustRightInd w:val="0"/>
                    <w:snapToGrid w:val="0"/>
                    <w:jc w:val="center"/>
                    <w:rPr>
                      <w:color w:val="auto"/>
                    </w:rPr>
                  </w:pPr>
                  <w:r>
                    <w:rPr>
                      <w:bCs/>
                      <w:color w:val="auto"/>
                      <w:szCs w:val="21"/>
                    </w:rPr>
                    <w:t>900-999-99</w:t>
                  </w:r>
                </w:p>
              </w:tc>
              <w:tc>
                <w:tcPr>
                  <w:tcW w:w="461" w:type="pct"/>
                  <w:tcMar>
                    <w:top w:w="0" w:type="dxa"/>
                    <w:left w:w="0" w:type="dxa"/>
                    <w:bottom w:w="0" w:type="dxa"/>
                    <w:right w:w="0" w:type="dxa"/>
                  </w:tcMar>
                  <w:vAlign w:val="center"/>
                </w:tcPr>
                <w:p>
                  <w:pPr>
                    <w:adjustRightInd w:val="0"/>
                    <w:snapToGrid w:val="0"/>
                    <w:jc w:val="center"/>
                    <w:rPr>
                      <w:rFonts w:hint="default" w:eastAsia="宋体"/>
                      <w:bCs/>
                      <w:color w:val="auto"/>
                      <w:szCs w:val="21"/>
                      <w:lang w:val="en-US" w:eastAsia="zh-CN"/>
                    </w:rPr>
                  </w:pPr>
                  <w:r>
                    <w:rPr>
                      <w:rFonts w:hint="eastAsia"/>
                      <w:color w:val="auto"/>
                      <w:szCs w:val="21"/>
                      <w:lang w:val="en-US" w:eastAsia="zh-CN"/>
                    </w:rPr>
                    <w:t>8.16</w:t>
                  </w:r>
                </w:p>
              </w:tc>
              <w:tc>
                <w:tcPr>
                  <w:tcW w:w="370" w:type="pct"/>
                  <w:tcMar>
                    <w:top w:w="0" w:type="dxa"/>
                    <w:left w:w="0" w:type="dxa"/>
                    <w:bottom w:w="0" w:type="dxa"/>
                    <w:right w:w="0" w:type="dxa"/>
                  </w:tcMar>
                  <w:vAlign w:val="center"/>
                </w:tcPr>
                <w:p>
                  <w:pPr>
                    <w:adjustRightInd w:val="0"/>
                    <w:snapToGrid w:val="0"/>
                    <w:jc w:val="center"/>
                    <w:rPr>
                      <w:color w:val="auto"/>
                    </w:rPr>
                  </w:pPr>
                  <w:r>
                    <w:rPr>
                      <w:color w:val="auto"/>
                      <w:kern w:val="0"/>
                      <w:szCs w:val="22"/>
                    </w:rPr>
                    <w:t>桶装</w:t>
                  </w:r>
                </w:p>
              </w:tc>
              <w:tc>
                <w:tcPr>
                  <w:tcW w:w="554" w:type="pct"/>
                  <w:tcMar>
                    <w:top w:w="0" w:type="dxa"/>
                    <w:left w:w="0" w:type="dxa"/>
                    <w:bottom w:w="0" w:type="dxa"/>
                    <w:right w:w="0" w:type="dxa"/>
                  </w:tcMar>
                  <w:vAlign w:val="center"/>
                </w:tcPr>
                <w:p>
                  <w:pPr>
                    <w:pStyle w:val="104"/>
                    <w:rPr>
                      <w:color w:val="auto"/>
                    </w:rPr>
                  </w:pPr>
                  <w:r>
                    <w:rPr>
                      <w:color w:val="auto"/>
                    </w:rPr>
                    <w:t>生活垃圾桶</w:t>
                  </w:r>
                </w:p>
              </w:tc>
              <w:tc>
                <w:tcPr>
                  <w:tcW w:w="452" w:type="pct"/>
                  <w:tcMar>
                    <w:top w:w="0" w:type="dxa"/>
                    <w:left w:w="0" w:type="dxa"/>
                    <w:bottom w:w="0" w:type="dxa"/>
                    <w:right w:w="0" w:type="dxa"/>
                  </w:tcMar>
                  <w:vAlign w:val="center"/>
                </w:tcPr>
                <w:p>
                  <w:pPr>
                    <w:pStyle w:val="104"/>
                    <w:rPr>
                      <w:color w:val="auto"/>
                    </w:rPr>
                  </w:pPr>
                  <w:r>
                    <w:rPr>
                      <w:color w:val="auto"/>
                    </w:rPr>
                    <w:t>环卫部门清运</w:t>
                  </w:r>
                </w:p>
              </w:tc>
              <w:tc>
                <w:tcPr>
                  <w:tcW w:w="390" w:type="pct"/>
                  <w:tcMar>
                    <w:top w:w="0" w:type="dxa"/>
                    <w:left w:w="0" w:type="dxa"/>
                    <w:bottom w:w="0" w:type="dxa"/>
                    <w:right w:w="0" w:type="dxa"/>
                  </w:tcMar>
                  <w:vAlign w:val="center"/>
                </w:tcPr>
                <w:p>
                  <w:pPr>
                    <w:pStyle w:val="104"/>
                    <w:rPr>
                      <w:color w:val="auto"/>
                    </w:rPr>
                  </w:pPr>
                  <w:r>
                    <w:rPr>
                      <w:color w:val="auto"/>
                    </w:rPr>
                    <w:t>环卫部门</w:t>
                  </w:r>
                </w:p>
              </w:tc>
            </w:tr>
            <w:bookmarkEnd w:id="9"/>
          </w:tbl>
          <w:p>
            <w:pPr>
              <w:pStyle w:val="26"/>
              <w:adjustRightInd w:val="0"/>
              <w:snapToGrid w:val="0"/>
              <w:spacing w:before="120" w:beforeLines="50" w:beforeAutospacing="0" w:after="0" w:afterAutospacing="0" w:line="360" w:lineRule="auto"/>
              <w:ind w:firstLine="480" w:firstLineChars="200"/>
              <w:jc w:val="both"/>
              <w:rPr>
                <w:rFonts w:ascii="Times New Roman" w:hAnsi="Times New Roman"/>
                <w:snapToGrid w:val="0"/>
                <w:color w:val="auto"/>
                <w:szCs w:val="24"/>
              </w:rPr>
            </w:pPr>
            <w:r>
              <w:rPr>
                <w:rFonts w:ascii="Times New Roman" w:hAnsi="Times New Roman"/>
                <w:color w:val="auto"/>
                <w:szCs w:val="24"/>
              </w:rPr>
              <w:t>由上表可见，项目建成后固废按其性质分类分区收集和暂存，并均能得到有效利用或妥善处置。在严格管理下，本项目的固体废物对周围环境不会产生二次污染</w:t>
            </w:r>
            <w:r>
              <w:rPr>
                <w:rFonts w:ascii="Times New Roman" w:hAnsi="Times New Roman"/>
                <w:snapToGrid w:val="0"/>
                <w:color w:val="auto"/>
                <w:szCs w:val="24"/>
              </w:rPr>
              <w:t>。</w:t>
            </w:r>
          </w:p>
          <w:p>
            <w:pPr>
              <w:adjustRightInd w:val="0"/>
              <w:snapToGrid w:val="0"/>
              <w:spacing w:line="360" w:lineRule="auto"/>
              <w:ind w:firstLine="480" w:firstLineChars="200"/>
              <w:rPr>
                <w:rFonts w:hint="eastAsia"/>
                <w:b w:val="0"/>
                <w:bCs w:val="0"/>
                <w:color w:val="auto"/>
                <w:sz w:val="24"/>
              </w:rPr>
            </w:pPr>
            <w:r>
              <w:rPr>
                <w:rFonts w:hint="eastAsia"/>
                <w:b w:val="0"/>
                <w:bCs w:val="0"/>
                <w:color w:val="auto"/>
                <w:sz w:val="24"/>
              </w:rPr>
              <w:t>（3）固体废物贮存场所分析</w:t>
            </w:r>
          </w:p>
          <w:p>
            <w:pPr>
              <w:adjustRightInd w:val="0"/>
              <w:snapToGrid w:val="0"/>
              <w:spacing w:line="360" w:lineRule="auto"/>
              <w:ind w:firstLine="480" w:firstLineChars="200"/>
              <w:rPr>
                <w:rFonts w:hint="eastAsia"/>
                <w:b w:val="0"/>
                <w:bCs w:val="0"/>
                <w:color w:val="auto"/>
                <w:sz w:val="24"/>
              </w:rPr>
            </w:pPr>
            <w:r>
              <w:rPr>
                <w:rFonts w:hint="eastAsia"/>
                <w:b w:val="0"/>
                <w:bCs w:val="0"/>
                <w:color w:val="auto"/>
                <w:sz w:val="24"/>
              </w:rPr>
              <w:t>本项目固废暂存场所应严格按照《危险废物贮存污染控制标准》（GB18597-2023）和《一般工业固体废物贮存和填埋污染控制标准》（GB18599-2020）的要求建设和维护使用。本项目一般固废贮存场所按照《一般工业固体废物贮存和填埋污染控制标准》（GB18599-2020）要求，设置相应防渗漏、防雨淋、防扬尘等措施。</w:t>
            </w:r>
          </w:p>
          <w:p>
            <w:pPr>
              <w:adjustRightInd w:val="0"/>
              <w:snapToGrid w:val="0"/>
              <w:spacing w:line="360" w:lineRule="auto"/>
              <w:ind w:firstLine="480" w:firstLineChars="200"/>
              <w:rPr>
                <w:rFonts w:hint="eastAsia"/>
                <w:b w:val="0"/>
                <w:bCs w:val="0"/>
                <w:color w:val="auto"/>
                <w:sz w:val="24"/>
              </w:rPr>
            </w:pPr>
            <w:r>
              <w:rPr>
                <w:rFonts w:hint="eastAsia"/>
                <w:b w:val="0"/>
                <w:bCs w:val="0"/>
                <w:color w:val="auto"/>
                <w:sz w:val="24"/>
              </w:rPr>
              <w:t>本项目产生的危险废物主要包括废活性炭</w:t>
            </w:r>
            <w:r>
              <w:rPr>
                <w:rFonts w:hint="eastAsia"/>
                <w:b w:val="0"/>
                <w:bCs w:val="0"/>
                <w:color w:val="auto"/>
                <w:sz w:val="24"/>
                <w:lang w:eastAsia="zh-CN"/>
              </w:rPr>
              <w:t>、废导热油、废液压油、</w:t>
            </w:r>
            <w:r>
              <w:rPr>
                <w:rFonts w:hint="eastAsia"/>
                <w:b w:val="0"/>
                <w:bCs w:val="0"/>
                <w:color w:val="auto"/>
                <w:sz w:val="24"/>
              </w:rPr>
              <w:t>废</w:t>
            </w:r>
            <w:r>
              <w:rPr>
                <w:rFonts w:hint="eastAsia"/>
                <w:b w:val="0"/>
                <w:bCs w:val="0"/>
                <w:color w:val="auto"/>
                <w:sz w:val="24"/>
                <w:lang w:eastAsia="zh-CN"/>
              </w:rPr>
              <w:t>包装</w:t>
            </w:r>
            <w:r>
              <w:rPr>
                <w:rFonts w:hint="eastAsia"/>
                <w:b w:val="0"/>
                <w:bCs w:val="0"/>
                <w:color w:val="auto"/>
                <w:sz w:val="24"/>
              </w:rPr>
              <w:t>桶</w:t>
            </w:r>
            <w:r>
              <w:rPr>
                <w:rFonts w:hint="eastAsia"/>
                <w:b w:val="0"/>
                <w:bCs w:val="0"/>
                <w:color w:val="auto"/>
                <w:sz w:val="24"/>
                <w:lang w:eastAsia="zh-CN"/>
              </w:rPr>
              <w:t>、</w:t>
            </w:r>
            <w:r>
              <w:rPr>
                <w:rFonts w:hint="eastAsia"/>
                <w:b w:val="0"/>
                <w:bCs w:val="0"/>
                <w:color w:val="auto"/>
                <w:sz w:val="24"/>
              </w:rPr>
              <w:t>废抹布手套，应按照《危险废物贮存污染控制标准》（GB18597-2023）要求建设危险废物贮存设施。贮存设施应采取必要的防风、防晒、防雨、防漏、防渗等措施。</w:t>
            </w:r>
          </w:p>
          <w:p>
            <w:pPr>
              <w:adjustRightInd w:val="0"/>
              <w:snapToGrid w:val="0"/>
              <w:spacing w:line="360" w:lineRule="auto"/>
              <w:ind w:firstLine="480" w:firstLineChars="200"/>
              <w:rPr>
                <w:rFonts w:hint="eastAsia"/>
                <w:b w:val="0"/>
                <w:bCs w:val="0"/>
                <w:color w:val="auto"/>
                <w:sz w:val="24"/>
              </w:rPr>
            </w:pPr>
            <w:r>
              <w:rPr>
                <w:rFonts w:hint="eastAsia"/>
                <w:b w:val="0"/>
                <w:bCs w:val="0"/>
                <w:color w:val="auto"/>
                <w:sz w:val="24"/>
              </w:rPr>
              <w:t>根据危险废物的类别、数量、形态、物理化学性质和污染防治等要求设置必要的贮存分区，不同贮存分区之间采取隔离措施。隔离措施可根据危险废物特性采用国道、隔板或隔墙等方式。</w:t>
            </w:r>
          </w:p>
          <w:p>
            <w:pPr>
              <w:adjustRightInd w:val="0"/>
              <w:snapToGrid w:val="0"/>
              <w:spacing w:line="360" w:lineRule="auto"/>
              <w:ind w:firstLine="480" w:firstLineChars="200"/>
              <w:rPr>
                <w:rFonts w:hint="eastAsia"/>
                <w:b w:val="0"/>
                <w:bCs w:val="0"/>
                <w:color w:val="auto"/>
                <w:sz w:val="24"/>
              </w:rPr>
            </w:pPr>
            <w:r>
              <w:rPr>
                <w:rFonts w:hint="eastAsia"/>
                <w:b w:val="0"/>
                <w:bCs w:val="0"/>
                <w:color w:val="auto"/>
                <w:sz w:val="24"/>
              </w:rPr>
              <w:t>贮存设施地面与裙角应采取表面防渗措施，表面防渗材料应与所接触的物料或污染物相容，可采用抗渗混凝土、高密度聚乙烯膜、钠基膨润土防水毯或其他防渗性能等效的材料。同一贮存设施宜采用相同的防渗措施，采用不同防渗、防腐工艺应分别建设贮存分区。</w:t>
            </w:r>
          </w:p>
          <w:p>
            <w:pPr>
              <w:adjustRightInd w:val="0"/>
              <w:snapToGrid w:val="0"/>
              <w:spacing w:line="360" w:lineRule="auto"/>
              <w:ind w:firstLine="480" w:firstLineChars="200"/>
              <w:rPr>
                <w:rFonts w:hint="eastAsia"/>
                <w:b w:val="0"/>
                <w:bCs w:val="0"/>
                <w:color w:val="auto"/>
                <w:sz w:val="24"/>
              </w:rPr>
            </w:pPr>
            <w:r>
              <w:rPr>
                <w:rFonts w:hint="eastAsia"/>
                <w:b w:val="0"/>
                <w:bCs w:val="0"/>
                <w:color w:val="auto"/>
                <w:sz w:val="24"/>
              </w:rPr>
              <w:t>在贮存库内或通过贮存分区方式贮存液态危险废物的，应具有液体泄漏堵截设施，堵截设施最小容积不应低于对应贮存区域最大液态废物容器容积或液态废物总储量1/10（二者取较大值）。</w:t>
            </w:r>
          </w:p>
          <w:p>
            <w:pPr>
              <w:spacing w:line="360" w:lineRule="auto"/>
              <w:ind w:firstLine="480" w:firstLineChars="200"/>
              <w:rPr>
                <w:color w:val="auto"/>
                <w:sz w:val="24"/>
              </w:rPr>
            </w:pPr>
            <w:r>
              <w:rPr>
                <w:rFonts w:hint="eastAsia"/>
                <w:b w:val="0"/>
                <w:bCs w:val="0"/>
                <w:color w:val="auto"/>
                <w:sz w:val="24"/>
              </w:rPr>
              <w:t>本项目拟设置的危险废物贮存类型为贮存库。本项目液态危险废物废</w:t>
            </w:r>
            <w:r>
              <w:rPr>
                <w:rFonts w:hint="eastAsia"/>
                <w:b w:val="0"/>
                <w:bCs w:val="0"/>
                <w:color w:val="auto"/>
                <w:sz w:val="24"/>
                <w:lang w:eastAsia="zh-CN"/>
              </w:rPr>
              <w:t>导热油、废液压油</w:t>
            </w:r>
            <w:r>
              <w:rPr>
                <w:rFonts w:hint="eastAsia"/>
                <w:b w:val="0"/>
                <w:bCs w:val="0"/>
                <w:color w:val="auto"/>
                <w:sz w:val="24"/>
              </w:rPr>
              <w:t>采用密闭包装桶贮存，废活性炭</w:t>
            </w:r>
            <w:r>
              <w:rPr>
                <w:rFonts w:hint="eastAsia"/>
                <w:b w:val="0"/>
                <w:bCs w:val="0"/>
                <w:color w:val="auto"/>
                <w:sz w:val="24"/>
                <w:lang w:eastAsia="zh-CN"/>
              </w:rPr>
              <w:t>、</w:t>
            </w:r>
            <w:r>
              <w:rPr>
                <w:rFonts w:hint="eastAsia"/>
                <w:b w:val="0"/>
                <w:bCs w:val="0"/>
                <w:color w:val="auto"/>
                <w:sz w:val="24"/>
              </w:rPr>
              <w:t>废抹布手套采用包装袋进行贮存。</w:t>
            </w:r>
          </w:p>
          <w:p>
            <w:pPr>
              <w:spacing w:line="360" w:lineRule="auto"/>
              <w:ind w:firstLine="480" w:firstLineChars="200"/>
              <w:rPr>
                <w:b/>
                <w:color w:val="auto"/>
                <w:sz w:val="24"/>
              </w:rPr>
            </w:pPr>
            <w:r>
              <w:rPr>
                <w:color w:val="auto"/>
                <w:sz w:val="24"/>
              </w:rPr>
              <w:t>固废贮存场所（设施）基本情况见表4-</w:t>
            </w:r>
            <w:r>
              <w:rPr>
                <w:rFonts w:hint="eastAsia"/>
                <w:color w:val="auto"/>
                <w:sz w:val="24"/>
                <w:lang w:val="en-US" w:eastAsia="zh-CN"/>
              </w:rPr>
              <w:t>18</w:t>
            </w:r>
            <w:r>
              <w:rPr>
                <w:color w:val="auto"/>
                <w:sz w:val="24"/>
              </w:rPr>
              <w:t>。</w:t>
            </w:r>
          </w:p>
          <w:p>
            <w:pPr>
              <w:ind w:firstLine="482" w:firstLineChars="200"/>
              <w:jc w:val="center"/>
              <w:rPr>
                <w:b/>
                <w:color w:val="auto"/>
                <w:sz w:val="24"/>
              </w:rPr>
            </w:pPr>
            <w:r>
              <w:rPr>
                <w:b/>
                <w:color w:val="auto"/>
                <w:sz w:val="24"/>
              </w:rPr>
              <w:t>表4-</w:t>
            </w:r>
            <w:r>
              <w:rPr>
                <w:rFonts w:hint="eastAsia"/>
                <w:b/>
                <w:color w:val="auto"/>
                <w:sz w:val="24"/>
                <w:lang w:val="en-US" w:eastAsia="zh-CN"/>
              </w:rPr>
              <w:t>18</w:t>
            </w:r>
            <w:r>
              <w:rPr>
                <w:b/>
                <w:color w:val="auto"/>
                <w:sz w:val="24"/>
              </w:rPr>
              <w:t xml:space="preserve">  建设项目固废贮存场所（设施）基本情况表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135"/>
              <w:gridCol w:w="992"/>
              <w:gridCol w:w="1005"/>
              <w:gridCol w:w="1060"/>
              <w:gridCol w:w="571"/>
              <w:gridCol w:w="604"/>
              <w:gridCol w:w="606"/>
              <w:gridCol w:w="639"/>
              <w:gridCol w:w="7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3"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kern w:val="0"/>
                      <w:szCs w:val="21"/>
                    </w:rPr>
                    <w:t>贮存场所（设施）名称</w:t>
                  </w:r>
                </w:p>
              </w:tc>
              <w:tc>
                <w:tcPr>
                  <w:tcW w:w="680"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szCs w:val="21"/>
                    </w:rPr>
                    <w:t>地理坐标/°</w:t>
                  </w:r>
                </w:p>
              </w:tc>
              <w:tc>
                <w:tcPr>
                  <w:tcW w:w="594"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kern w:val="0"/>
                      <w:szCs w:val="21"/>
                    </w:rPr>
                    <w:t>固废名称</w:t>
                  </w:r>
                </w:p>
              </w:tc>
              <w:tc>
                <w:tcPr>
                  <w:tcW w:w="602"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kern w:val="0"/>
                      <w:szCs w:val="21"/>
                    </w:rPr>
                    <w:t>废物</w:t>
                  </w:r>
                </w:p>
                <w:p>
                  <w:pPr>
                    <w:topLinePunct/>
                    <w:adjustRightInd w:val="0"/>
                    <w:snapToGrid w:val="0"/>
                    <w:jc w:val="center"/>
                    <w:rPr>
                      <w:b/>
                      <w:bCs/>
                      <w:color w:val="auto"/>
                      <w:kern w:val="0"/>
                      <w:szCs w:val="21"/>
                    </w:rPr>
                  </w:pPr>
                  <w:r>
                    <w:rPr>
                      <w:b/>
                      <w:bCs/>
                      <w:color w:val="auto"/>
                      <w:kern w:val="0"/>
                      <w:szCs w:val="21"/>
                    </w:rPr>
                    <w:t>类别</w:t>
                  </w:r>
                </w:p>
              </w:tc>
              <w:tc>
                <w:tcPr>
                  <w:tcW w:w="635"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kern w:val="0"/>
                      <w:szCs w:val="21"/>
                    </w:rPr>
                    <w:t>废物代码</w:t>
                  </w:r>
                </w:p>
              </w:tc>
              <w:tc>
                <w:tcPr>
                  <w:tcW w:w="342"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kern w:val="0"/>
                      <w:szCs w:val="21"/>
                    </w:rPr>
                    <w:t>位置</w:t>
                  </w:r>
                </w:p>
              </w:tc>
              <w:tc>
                <w:tcPr>
                  <w:tcW w:w="362"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kern w:val="0"/>
                      <w:szCs w:val="21"/>
                    </w:rPr>
                    <w:t>占地面积</w:t>
                  </w:r>
                </w:p>
              </w:tc>
              <w:tc>
                <w:tcPr>
                  <w:tcW w:w="363"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kern w:val="0"/>
                      <w:szCs w:val="21"/>
                    </w:rPr>
                    <w:t>贮存方式</w:t>
                  </w:r>
                </w:p>
              </w:tc>
              <w:tc>
                <w:tcPr>
                  <w:tcW w:w="383"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kern w:val="0"/>
                      <w:szCs w:val="21"/>
                    </w:rPr>
                    <w:t>贮存</w:t>
                  </w:r>
                </w:p>
                <w:p>
                  <w:pPr>
                    <w:topLinePunct/>
                    <w:adjustRightInd w:val="0"/>
                    <w:snapToGrid w:val="0"/>
                    <w:jc w:val="center"/>
                    <w:rPr>
                      <w:b/>
                      <w:bCs/>
                      <w:color w:val="auto"/>
                      <w:kern w:val="0"/>
                      <w:szCs w:val="21"/>
                    </w:rPr>
                  </w:pPr>
                  <w:r>
                    <w:rPr>
                      <w:b/>
                      <w:bCs/>
                      <w:color w:val="auto"/>
                      <w:kern w:val="0"/>
                      <w:szCs w:val="21"/>
                    </w:rPr>
                    <w:t>能力</w:t>
                  </w:r>
                </w:p>
              </w:tc>
              <w:tc>
                <w:tcPr>
                  <w:tcW w:w="466" w:type="pct"/>
                  <w:tcMar>
                    <w:top w:w="0" w:type="dxa"/>
                    <w:left w:w="6" w:type="dxa"/>
                    <w:bottom w:w="0" w:type="dxa"/>
                    <w:right w:w="6" w:type="dxa"/>
                  </w:tcMar>
                  <w:vAlign w:val="center"/>
                </w:tcPr>
                <w:p>
                  <w:pPr>
                    <w:topLinePunct/>
                    <w:adjustRightInd w:val="0"/>
                    <w:snapToGrid w:val="0"/>
                    <w:jc w:val="center"/>
                    <w:rPr>
                      <w:b/>
                      <w:bCs/>
                      <w:color w:val="auto"/>
                      <w:kern w:val="0"/>
                      <w:szCs w:val="21"/>
                    </w:rPr>
                  </w:pPr>
                  <w:r>
                    <w:rPr>
                      <w:b/>
                      <w:bCs/>
                      <w:color w:val="auto"/>
                      <w:kern w:val="0"/>
                      <w:szCs w:val="21"/>
                    </w:rPr>
                    <w:t>贮存</w:t>
                  </w:r>
                </w:p>
                <w:p>
                  <w:pPr>
                    <w:topLinePunct/>
                    <w:adjustRightInd w:val="0"/>
                    <w:snapToGrid w:val="0"/>
                    <w:jc w:val="center"/>
                    <w:rPr>
                      <w:b/>
                      <w:bCs/>
                      <w:color w:val="auto"/>
                      <w:kern w:val="0"/>
                      <w:szCs w:val="21"/>
                    </w:rPr>
                  </w:pPr>
                  <w:r>
                    <w:rPr>
                      <w:b/>
                      <w:bCs/>
                      <w:color w:val="auto"/>
                      <w:kern w:val="0"/>
                      <w:szCs w:val="21"/>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3" w:type="pct"/>
                  <w:vMerge w:val="restart"/>
                  <w:tcMar>
                    <w:top w:w="0" w:type="dxa"/>
                    <w:left w:w="6" w:type="dxa"/>
                    <w:bottom w:w="0" w:type="dxa"/>
                    <w:right w:w="6" w:type="dxa"/>
                  </w:tcMar>
                  <w:vAlign w:val="center"/>
                </w:tcPr>
                <w:p>
                  <w:pPr>
                    <w:topLinePunct/>
                    <w:adjustRightInd w:val="0"/>
                    <w:snapToGrid w:val="0"/>
                    <w:jc w:val="center"/>
                    <w:rPr>
                      <w:color w:val="auto"/>
                      <w:szCs w:val="21"/>
                    </w:rPr>
                  </w:pPr>
                  <w:r>
                    <w:rPr>
                      <w:color w:val="auto"/>
                      <w:szCs w:val="21"/>
                    </w:rPr>
                    <w:t>一般固废仓库</w:t>
                  </w:r>
                </w:p>
              </w:tc>
              <w:tc>
                <w:tcPr>
                  <w:tcW w:w="680" w:type="pct"/>
                  <w:vMerge w:val="restart"/>
                  <w:tcMar>
                    <w:top w:w="0" w:type="dxa"/>
                    <w:left w:w="6" w:type="dxa"/>
                    <w:bottom w:w="0" w:type="dxa"/>
                    <w:right w:w="6" w:type="dxa"/>
                  </w:tcMar>
                  <w:vAlign w:val="center"/>
                </w:tcPr>
                <w:p>
                  <w:pPr>
                    <w:widowControl/>
                    <w:jc w:val="center"/>
                    <w:textAlignment w:val="center"/>
                    <w:rPr>
                      <w:color w:val="auto"/>
                      <w:szCs w:val="21"/>
                      <w:highlight w:val="yellow"/>
                    </w:rPr>
                  </w:pPr>
                  <w:r>
                    <w:rPr>
                      <w:color w:val="auto"/>
                      <w:szCs w:val="21"/>
                    </w:rPr>
                    <w:t>120.224028</w:t>
                  </w:r>
                  <w:r>
                    <w:rPr>
                      <w:rFonts w:hint="eastAsia"/>
                      <w:color w:val="auto"/>
                      <w:szCs w:val="21"/>
                    </w:rPr>
                    <w:t>,</w:t>
                  </w:r>
                  <w:r>
                    <w:rPr>
                      <w:color w:val="auto"/>
                    </w:rPr>
                    <w:t xml:space="preserve"> </w:t>
                  </w:r>
                  <w:r>
                    <w:rPr>
                      <w:color w:val="auto"/>
                      <w:szCs w:val="21"/>
                    </w:rPr>
                    <w:t>31.719032</w:t>
                  </w:r>
                </w:p>
              </w:tc>
              <w:tc>
                <w:tcPr>
                  <w:tcW w:w="594" w:type="pct"/>
                  <w:tcMar>
                    <w:top w:w="0" w:type="dxa"/>
                    <w:left w:w="6" w:type="dxa"/>
                    <w:bottom w:w="0" w:type="dxa"/>
                    <w:right w:w="6" w:type="dxa"/>
                  </w:tcMar>
                  <w:vAlign w:val="center"/>
                </w:tcPr>
                <w:p>
                  <w:pPr>
                    <w:jc w:val="center"/>
                    <w:rPr>
                      <w:color w:val="auto"/>
                      <w:kern w:val="0"/>
                      <w:szCs w:val="21"/>
                    </w:rPr>
                  </w:pPr>
                  <w:r>
                    <w:rPr>
                      <w:color w:val="auto"/>
                      <w:szCs w:val="21"/>
                    </w:rPr>
                    <w:t>边角料</w:t>
                  </w:r>
                </w:p>
              </w:tc>
              <w:tc>
                <w:tcPr>
                  <w:tcW w:w="602" w:type="pct"/>
                  <w:tcMar>
                    <w:top w:w="0" w:type="dxa"/>
                    <w:left w:w="6" w:type="dxa"/>
                    <w:bottom w:w="0" w:type="dxa"/>
                    <w:right w:w="6" w:type="dxa"/>
                  </w:tcMar>
                  <w:vAlign w:val="center"/>
                </w:tcPr>
                <w:p>
                  <w:pPr>
                    <w:adjustRightInd w:val="0"/>
                    <w:snapToGrid w:val="0"/>
                    <w:jc w:val="center"/>
                    <w:rPr>
                      <w:bCs/>
                      <w:color w:val="auto"/>
                      <w:szCs w:val="21"/>
                    </w:rPr>
                  </w:pPr>
                  <w:r>
                    <w:rPr>
                      <w:bCs/>
                      <w:color w:val="auto"/>
                      <w:szCs w:val="21"/>
                    </w:rPr>
                    <w:t>其他废物</w:t>
                  </w:r>
                </w:p>
              </w:tc>
              <w:tc>
                <w:tcPr>
                  <w:tcW w:w="635" w:type="pct"/>
                  <w:tcMar>
                    <w:top w:w="0" w:type="dxa"/>
                    <w:left w:w="6" w:type="dxa"/>
                    <w:bottom w:w="0" w:type="dxa"/>
                    <w:right w:w="6" w:type="dxa"/>
                  </w:tcMar>
                  <w:vAlign w:val="center"/>
                </w:tcPr>
                <w:p>
                  <w:pPr>
                    <w:adjustRightInd w:val="0"/>
                    <w:snapToGrid w:val="0"/>
                    <w:jc w:val="center"/>
                    <w:rPr>
                      <w:bCs/>
                      <w:color w:val="auto"/>
                      <w:szCs w:val="21"/>
                    </w:rPr>
                  </w:pPr>
                  <w:r>
                    <w:rPr>
                      <w:bCs/>
                      <w:color w:val="auto"/>
                      <w:szCs w:val="21"/>
                    </w:rPr>
                    <w:t>900-999-99</w:t>
                  </w:r>
                </w:p>
              </w:tc>
              <w:tc>
                <w:tcPr>
                  <w:tcW w:w="342" w:type="pct"/>
                  <w:vMerge w:val="restart"/>
                  <w:tcMar>
                    <w:top w:w="0" w:type="dxa"/>
                    <w:left w:w="6" w:type="dxa"/>
                    <w:bottom w:w="0" w:type="dxa"/>
                    <w:right w:w="6" w:type="dxa"/>
                  </w:tcMar>
                  <w:vAlign w:val="center"/>
                </w:tcPr>
                <w:p>
                  <w:pPr>
                    <w:topLinePunct/>
                    <w:adjustRightInd w:val="0"/>
                    <w:snapToGrid w:val="0"/>
                    <w:jc w:val="center"/>
                    <w:rPr>
                      <w:color w:val="auto"/>
                      <w:kern w:val="0"/>
                      <w:szCs w:val="21"/>
                    </w:rPr>
                  </w:pPr>
                  <w:r>
                    <w:rPr>
                      <w:color w:val="auto"/>
                    </w:rPr>
                    <w:t>车间</w:t>
                  </w:r>
                  <w:r>
                    <w:rPr>
                      <w:rFonts w:hint="eastAsia"/>
                      <w:color w:val="auto"/>
                    </w:rPr>
                    <w:t>二</w:t>
                  </w:r>
                  <w:r>
                    <w:rPr>
                      <w:color w:val="auto"/>
                    </w:rPr>
                    <w:t>东</w:t>
                  </w:r>
                  <w:r>
                    <w:rPr>
                      <w:rFonts w:hint="eastAsia"/>
                      <w:color w:val="auto"/>
                    </w:rPr>
                    <w:t>南</w:t>
                  </w:r>
                  <w:r>
                    <w:rPr>
                      <w:color w:val="auto"/>
                    </w:rPr>
                    <w:t>侧</w:t>
                  </w:r>
                </w:p>
              </w:tc>
              <w:tc>
                <w:tcPr>
                  <w:tcW w:w="362" w:type="pct"/>
                  <w:vMerge w:val="restart"/>
                  <w:tcMar>
                    <w:top w:w="0" w:type="dxa"/>
                    <w:left w:w="6" w:type="dxa"/>
                    <w:bottom w:w="0" w:type="dxa"/>
                    <w:right w:w="6" w:type="dxa"/>
                  </w:tcMar>
                  <w:vAlign w:val="center"/>
                </w:tcPr>
                <w:p>
                  <w:pPr>
                    <w:topLinePunct/>
                    <w:adjustRightInd w:val="0"/>
                    <w:snapToGrid w:val="0"/>
                    <w:jc w:val="center"/>
                    <w:rPr>
                      <w:color w:val="auto"/>
                      <w:kern w:val="0"/>
                      <w:szCs w:val="21"/>
                    </w:rPr>
                  </w:pPr>
                  <w:r>
                    <w:rPr>
                      <w:color w:val="auto"/>
                      <w:kern w:val="0"/>
                      <w:szCs w:val="21"/>
                    </w:rPr>
                    <w:t>20</w:t>
                  </w:r>
                  <w:r>
                    <w:rPr>
                      <w:color w:val="auto"/>
                      <w:szCs w:val="21"/>
                    </w:rPr>
                    <w:t>m</w:t>
                  </w:r>
                  <w:r>
                    <w:rPr>
                      <w:color w:val="auto"/>
                      <w:szCs w:val="21"/>
                      <w:vertAlign w:val="superscript"/>
                    </w:rPr>
                    <w:t>2</w:t>
                  </w:r>
                </w:p>
              </w:tc>
              <w:tc>
                <w:tcPr>
                  <w:tcW w:w="363" w:type="pct"/>
                  <w:vMerge w:val="restart"/>
                  <w:tcMar>
                    <w:top w:w="0" w:type="dxa"/>
                    <w:left w:w="6" w:type="dxa"/>
                    <w:bottom w:w="0" w:type="dxa"/>
                    <w:right w:w="6" w:type="dxa"/>
                  </w:tcMar>
                  <w:vAlign w:val="center"/>
                </w:tcPr>
                <w:p>
                  <w:pPr>
                    <w:topLinePunct/>
                    <w:adjustRightInd w:val="0"/>
                    <w:snapToGrid w:val="0"/>
                    <w:jc w:val="center"/>
                    <w:rPr>
                      <w:color w:val="auto"/>
                      <w:kern w:val="0"/>
                      <w:szCs w:val="21"/>
                    </w:rPr>
                  </w:pPr>
                  <w:r>
                    <w:rPr>
                      <w:color w:val="auto"/>
                      <w:kern w:val="0"/>
                      <w:szCs w:val="21"/>
                    </w:rPr>
                    <w:t>堆放</w:t>
                  </w:r>
                </w:p>
              </w:tc>
              <w:tc>
                <w:tcPr>
                  <w:tcW w:w="383" w:type="pct"/>
                  <w:vMerge w:val="restart"/>
                  <w:tcMar>
                    <w:top w:w="0" w:type="dxa"/>
                    <w:left w:w="6" w:type="dxa"/>
                    <w:bottom w:w="0" w:type="dxa"/>
                    <w:right w:w="6" w:type="dxa"/>
                  </w:tcMar>
                  <w:vAlign w:val="center"/>
                </w:tcPr>
                <w:p>
                  <w:pPr>
                    <w:topLinePunct/>
                    <w:adjustRightInd w:val="0"/>
                    <w:snapToGrid w:val="0"/>
                    <w:jc w:val="center"/>
                    <w:rPr>
                      <w:color w:val="auto"/>
                      <w:kern w:val="0"/>
                      <w:szCs w:val="21"/>
                    </w:rPr>
                  </w:pPr>
                  <w:r>
                    <w:rPr>
                      <w:color w:val="auto"/>
                      <w:kern w:val="0"/>
                      <w:szCs w:val="21"/>
                    </w:rPr>
                    <w:t>20</w:t>
                  </w:r>
                  <w:r>
                    <w:rPr>
                      <w:color w:val="auto"/>
                      <w:szCs w:val="21"/>
                    </w:rPr>
                    <w:t>m</w:t>
                  </w:r>
                  <w:r>
                    <w:rPr>
                      <w:color w:val="auto"/>
                      <w:szCs w:val="21"/>
                      <w:vertAlign w:val="superscript"/>
                    </w:rPr>
                    <w:t>3</w:t>
                  </w:r>
                </w:p>
              </w:tc>
              <w:tc>
                <w:tcPr>
                  <w:tcW w:w="466" w:type="pct"/>
                  <w:tcMar>
                    <w:top w:w="0" w:type="dxa"/>
                    <w:left w:w="6" w:type="dxa"/>
                    <w:bottom w:w="0" w:type="dxa"/>
                    <w:right w:w="6" w:type="dxa"/>
                  </w:tcMar>
                  <w:vAlign w:val="center"/>
                </w:tcPr>
                <w:p>
                  <w:pPr>
                    <w:topLinePunct/>
                    <w:adjustRightInd w:val="0"/>
                    <w:snapToGrid w:val="0"/>
                    <w:jc w:val="center"/>
                    <w:rPr>
                      <w:color w:val="auto"/>
                      <w:kern w:val="0"/>
                      <w:szCs w:val="21"/>
                    </w:rPr>
                  </w:pPr>
                  <w:r>
                    <w:rPr>
                      <w:color w:val="auto"/>
                      <w:kern w:val="0"/>
                      <w:szCs w:val="21"/>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3"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680" w:type="pct"/>
                  <w:vMerge w:val="continue"/>
                  <w:tcMar>
                    <w:top w:w="0" w:type="dxa"/>
                    <w:left w:w="6" w:type="dxa"/>
                    <w:bottom w:w="0" w:type="dxa"/>
                    <w:right w:w="6" w:type="dxa"/>
                  </w:tcMar>
                  <w:vAlign w:val="center"/>
                </w:tcPr>
                <w:p>
                  <w:pPr>
                    <w:widowControl/>
                    <w:jc w:val="center"/>
                    <w:textAlignment w:val="center"/>
                    <w:rPr>
                      <w:color w:val="auto"/>
                      <w:szCs w:val="21"/>
                    </w:rPr>
                  </w:pPr>
                </w:p>
              </w:tc>
              <w:tc>
                <w:tcPr>
                  <w:tcW w:w="594" w:type="pct"/>
                  <w:tcMar>
                    <w:top w:w="0" w:type="dxa"/>
                    <w:left w:w="6" w:type="dxa"/>
                    <w:bottom w:w="0" w:type="dxa"/>
                    <w:right w:w="6" w:type="dxa"/>
                  </w:tcMar>
                  <w:vAlign w:val="center"/>
                </w:tcPr>
                <w:p>
                  <w:pPr>
                    <w:jc w:val="center"/>
                    <w:rPr>
                      <w:color w:val="auto"/>
                      <w:szCs w:val="21"/>
                    </w:rPr>
                  </w:pPr>
                  <w:r>
                    <w:rPr>
                      <w:rFonts w:hint="eastAsia"/>
                      <w:color w:val="auto"/>
                      <w:szCs w:val="21"/>
                    </w:rPr>
                    <w:t>不合格品</w:t>
                  </w:r>
                </w:p>
              </w:tc>
              <w:tc>
                <w:tcPr>
                  <w:tcW w:w="602" w:type="pct"/>
                  <w:tcMar>
                    <w:top w:w="0" w:type="dxa"/>
                    <w:left w:w="6" w:type="dxa"/>
                    <w:bottom w:w="0" w:type="dxa"/>
                    <w:right w:w="6" w:type="dxa"/>
                  </w:tcMar>
                  <w:vAlign w:val="center"/>
                </w:tcPr>
                <w:p>
                  <w:pPr>
                    <w:adjustRightInd w:val="0"/>
                    <w:snapToGrid w:val="0"/>
                    <w:jc w:val="center"/>
                    <w:rPr>
                      <w:bCs/>
                      <w:color w:val="auto"/>
                      <w:szCs w:val="21"/>
                    </w:rPr>
                  </w:pPr>
                  <w:r>
                    <w:rPr>
                      <w:bCs/>
                      <w:color w:val="auto"/>
                      <w:szCs w:val="21"/>
                    </w:rPr>
                    <w:t>其他废物</w:t>
                  </w:r>
                </w:p>
              </w:tc>
              <w:tc>
                <w:tcPr>
                  <w:tcW w:w="635" w:type="pct"/>
                  <w:tcMar>
                    <w:top w:w="0" w:type="dxa"/>
                    <w:left w:w="6" w:type="dxa"/>
                    <w:bottom w:w="0" w:type="dxa"/>
                    <w:right w:w="6" w:type="dxa"/>
                  </w:tcMar>
                  <w:vAlign w:val="center"/>
                </w:tcPr>
                <w:p>
                  <w:pPr>
                    <w:adjustRightInd w:val="0"/>
                    <w:snapToGrid w:val="0"/>
                    <w:jc w:val="center"/>
                    <w:rPr>
                      <w:bCs/>
                      <w:color w:val="auto"/>
                      <w:szCs w:val="21"/>
                    </w:rPr>
                  </w:pPr>
                  <w:r>
                    <w:rPr>
                      <w:bCs/>
                      <w:color w:val="auto"/>
                      <w:szCs w:val="21"/>
                    </w:rPr>
                    <w:t>900-999-99</w:t>
                  </w:r>
                </w:p>
              </w:tc>
              <w:tc>
                <w:tcPr>
                  <w:tcW w:w="342" w:type="pct"/>
                  <w:vMerge w:val="continue"/>
                  <w:tcMar>
                    <w:top w:w="0" w:type="dxa"/>
                    <w:left w:w="6" w:type="dxa"/>
                    <w:bottom w:w="0" w:type="dxa"/>
                    <w:right w:w="6" w:type="dxa"/>
                  </w:tcMar>
                  <w:vAlign w:val="center"/>
                </w:tcPr>
                <w:p>
                  <w:pPr>
                    <w:topLinePunct/>
                    <w:adjustRightInd w:val="0"/>
                    <w:snapToGrid w:val="0"/>
                    <w:jc w:val="center"/>
                    <w:rPr>
                      <w:color w:val="auto"/>
                    </w:rPr>
                  </w:pPr>
                </w:p>
              </w:tc>
              <w:tc>
                <w:tcPr>
                  <w:tcW w:w="36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3"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83"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466" w:type="pct"/>
                  <w:tcMar>
                    <w:top w:w="0" w:type="dxa"/>
                    <w:left w:w="6" w:type="dxa"/>
                    <w:bottom w:w="0" w:type="dxa"/>
                    <w:right w:w="6" w:type="dxa"/>
                  </w:tcMar>
                  <w:vAlign w:val="center"/>
                </w:tcPr>
                <w:p>
                  <w:pPr>
                    <w:topLinePunct/>
                    <w:adjustRightInd w:val="0"/>
                    <w:snapToGrid w:val="0"/>
                    <w:jc w:val="center"/>
                    <w:rPr>
                      <w:color w:val="auto"/>
                      <w:kern w:val="0"/>
                      <w:szCs w:val="21"/>
                    </w:rPr>
                  </w:pPr>
                  <w:r>
                    <w:rPr>
                      <w:color w:val="auto"/>
                      <w:kern w:val="0"/>
                      <w:szCs w:val="21"/>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3"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680" w:type="pct"/>
                  <w:vMerge w:val="continue"/>
                  <w:tcMar>
                    <w:top w:w="0" w:type="dxa"/>
                    <w:left w:w="6" w:type="dxa"/>
                    <w:bottom w:w="0" w:type="dxa"/>
                    <w:right w:w="6" w:type="dxa"/>
                  </w:tcMar>
                  <w:vAlign w:val="center"/>
                </w:tcPr>
                <w:p>
                  <w:pPr>
                    <w:widowControl/>
                    <w:jc w:val="center"/>
                    <w:textAlignment w:val="center"/>
                    <w:rPr>
                      <w:color w:val="auto"/>
                      <w:szCs w:val="21"/>
                    </w:rPr>
                  </w:pPr>
                </w:p>
              </w:tc>
              <w:tc>
                <w:tcPr>
                  <w:tcW w:w="594" w:type="pct"/>
                  <w:tcMar>
                    <w:top w:w="0" w:type="dxa"/>
                    <w:left w:w="6" w:type="dxa"/>
                    <w:bottom w:w="0" w:type="dxa"/>
                    <w:right w:w="6" w:type="dxa"/>
                  </w:tcMar>
                  <w:vAlign w:val="center"/>
                </w:tcPr>
                <w:p>
                  <w:pPr>
                    <w:jc w:val="center"/>
                    <w:rPr>
                      <w:color w:val="auto"/>
                      <w:szCs w:val="21"/>
                    </w:rPr>
                  </w:pPr>
                  <w:r>
                    <w:rPr>
                      <w:rFonts w:hint="eastAsia"/>
                      <w:color w:val="auto"/>
                      <w:szCs w:val="21"/>
                    </w:rPr>
                    <w:t>废包装袋</w:t>
                  </w:r>
                </w:p>
              </w:tc>
              <w:tc>
                <w:tcPr>
                  <w:tcW w:w="602" w:type="pct"/>
                  <w:tcMar>
                    <w:top w:w="0" w:type="dxa"/>
                    <w:left w:w="6" w:type="dxa"/>
                    <w:bottom w:w="0" w:type="dxa"/>
                    <w:right w:w="6" w:type="dxa"/>
                  </w:tcMar>
                  <w:vAlign w:val="center"/>
                </w:tcPr>
                <w:p>
                  <w:pPr>
                    <w:adjustRightInd w:val="0"/>
                    <w:snapToGrid w:val="0"/>
                    <w:jc w:val="center"/>
                    <w:rPr>
                      <w:bCs/>
                      <w:color w:val="auto"/>
                      <w:szCs w:val="21"/>
                    </w:rPr>
                  </w:pPr>
                  <w:r>
                    <w:rPr>
                      <w:bCs/>
                      <w:color w:val="auto"/>
                      <w:szCs w:val="21"/>
                    </w:rPr>
                    <w:t>其他废物</w:t>
                  </w:r>
                </w:p>
              </w:tc>
              <w:tc>
                <w:tcPr>
                  <w:tcW w:w="635" w:type="pct"/>
                  <w:tcMar>
                    <w:top w:w="0" w:type="dxa"/>
                    <w:left w:w="6" w:type="dxa"/>
                    <w:bottom w:w="0" w:type="dxa"/>
                    <w:right w:w="6" w:type="dxa"/>
                  </w:tcMar>
                  <w:vAlign w:val="center"/>
                </w:tcPr>
                <w:p>
                  <w:pPr>
                    <w:adjustRightInd w:val="0"/>
                    <w:snapToGrid w:val="0"/>
                    <w:jc w:val="center"/>
                    <w:rPr>
                      <w:bCs/>
                      <w:color w:val="auto"/>
                      <w:szCs w:val="21"/>
                    </w:rPr>
                  </w:pPr>
                  <w:r>
                    <w:rPr>
                      <w:bCs/>
                      <w:color w:val="auto"/>
                      <w:szCs w:val="21"/>
                    </w:rPr>
                    <w:t>900-999-99</w:t>
                  </w:r>
                </w:p>
              </w:tc>
              <w:tc>
                <w:tcPr>
                  <w:tcW w:w="342" w:type="pct"/>
                  <w:vMerge w:val="continue"/>
                  <w:tcMar>
                    <w:top w:w="0" w:type="dxa"/>
                    <w:left w:w="6" w:type="dxa"/>
                    <w:bottom w:w="0" w:type="dxa"/>
                    <w:right w:w="6" w:type="dxa"/>
                  </w:tcMar>
                  <w:vAlign w:val="center"/>
                </w:tcPr>
                <w:p>
                  <w:pPr>
                    <w:topLinePunct/>
                    <w:adjustRightInd w:val="0"/>
                    <w:snapToGrid w:val="0"/>
                    <w:jc w:val="center"/>
                    <w:rPr>
                      <w:color w:val="auto"/>
                    </w:rPr>
                  </w:pPr>
                </w:p>
              </w:tc>
              <w:tc>
                <w:tcPr>
                  <w:tcW w:w="36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3"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83"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466" w:type="pct"/>
                  <w:tcMar>
                    <w:top w:w="0" w:type="dxa"/>
                    <w:left w:w="6" w:type="dxa"/>
                    <w:bottom w:w="0" w:type="dxa"/>
                    <w:right w:w="6" w:type="dxa"/>
                  </w:tcMar>
                  <w:vAlign w:val="center"/>
                </w:tcPr>
                <w:p>
                  <w:pPr>
                    <w:topLinePunct/>
                    <w:adjustRightInd w:val="0"/>
                    <w:snapToGrid w:val="0"/>
                    <w:jc w:val="center"/>
                    <w:rPr>
                      <w:color w:val="auto"/>
                      <w:kern w:val="0"/>
                      <w:szCs w:val="21"/>
                    </w:rPr>
                  </w:pPr>
                  <w:r>
                    <w:rPr>
                      <w:color w:val="auto"/>
                      <w:kern w:val="0"/>
                      <w:szCs w:val="21"/>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73" w:type="pct"/>
                  <w:vMerge w:val="restart"/>
                  <w:tcMar>
                    <w:top w:w="0" w:type="dxa"/>
                    <w:left w:w="6" w:type="dxa"/>
                    <w:bottom w:w="0" w:type="dxa"/>
                    <w:right w:w="6" w:type="dxa"/>
                  </w:tcMar>
                  <w:vAlign w:val="center"/>
                </w:tcPr>
                <w:p>
                  <w:pPr>
                    <w:topLinePunct/>
                    <w:adjustRightInd w:val="0"/>
                    <w:snapToGrid w:val="0"/>
                    <w:jc w:val="center"/>
                    <w:rPr>
                      <w:color w:val="auto"/>
                      <w:kern w:val="0"/>
                      <w:szCs w:val="21"/>
                    </w:rPr>
                  </w:pPr>
                  <w:r>
                    <w:rPr>
                      <w:color w:val="auto"/>
                      <w:szCs w:val="21"/>
                    </w:rPr>
                    <w:t>危废仓库</w:t>
                  </w:r>
                </w:p>
              </w:tc>
              <w:tc>
                <w:tcPr>
                  <w:tcW w:w="680" w:type="pct"/>
                  <w:vMerge w:val="restart"/>
                  <w:tcMar>
                    <w:top w:w="0" w:type="dxa"/>
                    <w:left w:w="6" w:type="dxa"/>
                    <w:bottom w:w="0" w:type="dxa"/>
                    <w:right w:w="6" w:type="dxa"/>
                  </w:tcMar>
                  <w:vAlign w:val="center"/>
                </w:tcPr>
                <w:p>
                  <w:pPr>
                    <w:widowControl/>
                    <w:jc w:val="center"/>
                    <w:textAlignment w:val="center"/>
                    <w:rPr>
                      <w:color w:val="auto"/>
                      <w:szCs w:val="21"/>
                      <w:highlight w:val="yellow"/>
                    </w:rPr>
                  </w:pPr>
                  <w:r>
                    <w:rPr>
                      <w:color w:val="auto"/>
                      <w:szCs w:val="21"/>
                    </w:rPr>
                    <w:t>120.224028</w:t>
                  </w:r>
                  <w:r>
                    <w:rPr>
                      <w:rFonts w:hint="eastAsia"/>
                      <w:color w:val="auto"/>
                      <w:szCs w:val="21"/>
                    </w:rPr>
                    <w:t>,</w:t>
                  </w:r>
                  <w:r>
                    <w:rPr>
                      <w:color w:val="auto"/>
                    </w:rPr>
                    <w:t xml:space="preserve"> </w:t>
                  </w:r>
                  <w:r>
                    <w:rPr>
                      <w:color w:val="auto"/>
                      <w:szCs w:val="21"/>
                    </w:rPr>
                    <w:t>31.719077</w:t>
                  </w:r>
                </w:p>
              </w:tc>
              <w:tc>
                <w:tcPr>
                  <w:tcW w:w="594" w:type="pct"/>
                  <w:tcMar>
                    <w:top w:w="0" w:type="dxa"/>
                    <w:left w:w="6" w:type="dxa"/>
                    <w:bottom w:w="0" w:type="dxa"/>
                    <w:right w:w="6" w:type="dxa"/>
                  </w:tcMar>
                  <w:vAlign w:val="center"/>
                </w:tcPr>
                <w:p>
                  <w:pPr>
                    <w:widowControl/>
                    <w:adjustRightInd w:val="0"/>
                    <w:snapToGrid w:val="0"/>
                    <w:jc w:val="center"/>
                    <w:rPr>
                      <w:bCs/>
                      <w:color w:val="auto"/>
                      <w:szCs w:val="21"/>
                    </w:rPr>
                  </w:pPr>
                  <w:r>
                    <w:rPr>
                      <w:bCs/>
                      <w:color w:val="auto"/>
                      <w:szCs w:val="21"/>
                    </w:rPr>
                    <w:t>废活性炭</w:t>
                  </w:r>
                </w:p>
              </w:tc>
              <w:tc>
                <w:tcPr>
                  <w:tcW w:w="602" w:type="pct"/>
                  <w:tcMar>
                    <w:top w:w="0" w:type="dxa"/>
                    <w:left w:w="6" w:type="dxa"/>
                    <w:bottom w:w="0" w:type="dxa"/>
                    <w:right w:w="6" w:type="dxa"/>
                  </w:tcMar>
                  <w:vAlign w:val="center"/>
                </w:tcPr>
                <w:p>
                  <w:pPr>
                    <w:adjustRightInd w:val="0"/>
                    <w:snapToGrid w:val="0"/>
                    <w:jc w:val="center"/>
                    <w:rPr>
                      <w:snapToGrid w:val="0"/>
                      <w:color w:val="auto"/>
                      <w:szCs w:val="21"/>
                    </w:rPr>
                  </w:pPr>
                  <w:r>
                    <w:rPr>
                      <w:color w:val="auto"/>
                      <w:szCs w:val="21"/>
                    </w:rPr>
                    <w:t>HW49</w:t>
                  </w:r>
                </w:p>
              </w:tc>
              <w:tc>
                <w:tcPr>
                  <w:tcW w:w="635" w:type="pct"/>
                  <w:tcMar>
                    <w:top w:w="0" w:type="dxa"/>
                    <w:left w:w="6" w:type="dxa"/>
                    <w:bottom w:w="0" w:type="dxa"/>
                    <w:right w:w="6" w:type="dxa"/>
                  </w:tcMar>
                  <w:vAlign w:val="center"/>
                </w:tcPr>
                <w:p>
                  <w:pPr>
                    <w:adjustRightInd w:val="0"/>
                    <w:snapToGrid w:val="0"/>
                    <w:jc w:val="center"/>
                    <w:rPr>
                      <w:snapToGrid w:val="0"/>
                      <w:color w:val="auto"/>
                      <w:szCs w:val="21"/>
                    </w:rPr>
                  </w:pPr>
                  <w:r>
                    <w:rPr>
                      <w:color w:val="auto"/>
                      <w:szCs w:val="21"/>
                    </w:rPr>
                    <w:t>900-039-49</w:t>
                  </w:r>
                </w:p>
              </w:tc>
              <w:tc>
                <w:tcPr>
                  <w:tcW w:w="342" w:type="pct"/>
                  <w:vMerge w:val="restart"/>
                  <w:tcMar>
                    <w:top w:w="0" w:type="dxa"/>
                    <w:left w:w="6" w:type="dxa"/>
                    <w:bottom w:w="0" w:type="dxa"/>
                    <w:right w:w="6" w:type="dxa"/>
                  </w:tcMar>
                  <w:vAlign w:val="center"/>
                </w:tcPr>
                <w:p>
                  <w:pPr>
                    <w:topLinePunct/>
                    <w:adjustRightInd w:val="0"/>
                    <w:snapToGrid w:val="0"/>
                    <w:jc w:val="center"/>
                    <w:rPr>
                      <w:color w:val="auto"/>
                      <w:kern w:val="0"/>
                      <w:szCs w:val="21"/>
                    </w:rPr>
                  </w:pPr>
                  <w:r>
                    <w:rPr>
                      <w:color w:val="auto"/>
                    </w:rPr>
                    <w:t>车间</w:t>
                  </w:r>
                  <w:r>
                    <w:rPr>
                      <w:rFonts w:hint="eastAsia"/>
                      <w:color w:val="auto"/>
                    </w:rPr>
                    <w:t>二</w:t>
                  </w:r>
                  <w:r>
                    <w:rPr>
                      <w:color w:val="auto"/>
                    </w:rPr>
                    <w:t>东</w:t>
                  </w:r>
                  <w:r>
                    <w:rPr>
                      <w:rFonts w:hint="eastAsia"/>
                      <w:color w:val="auto"/>
                    </w:rPr>
                    <w:t>南</w:t>
                  </w:r>
                  <w:r>
                    <w:rPr>
                      <w:color w:val="auto"/>
                    </w:rPr>
                    <w:t>侧</w:t>
                  </w:r>
                </w:p>
              </w:tc>
              <w:tc>
                <w:tcPr>
                  <w:tcW w:w="362" w:type="pct"/>
                  <w:vMerge w:val="restart"/>
                  <w:tcMar>
                    <w:top w:w="0" w:type="dxa"/>
                    <w:left w:w="6" w:type="dxa"/>
                    <w:bottom w:w="0" w:type="dxa"/>
                    <w:right w:w="6" w:type="dxa"/>
                  </w:tcMar>
                  <w:vAlign w:val="center"/>
                </w:tcPr>
                <w:p>
                  <w:pPr>
                    <w:topLinePunct/>
                    <w:adjustRightInd w:val="0"/>
                    <w:snapToGrid w:val="0"/>
                    <w:jc w:val="center"/>
                    <w:rPr>
                      <w:color w:val="auto"/>
                      <w:kern w:val="0"/>
                      <w:szCs w:val="21"/>
                    </w:rPr>
                  </w:pPr>
                  <w:r>
                    <w:rPr>
                      <w:color w:val="auto"/>
                      <w:kern w:val="0"/>
                      <w:szCs w:val="21"/>
                    </w:rPr>
                    <w:t>6</w:t>
                  </w:r>
                  <w:r>
                    <w:rPr>
                      <w:color w:val="auto"/>
                      <w:szCs w:val="21"/>
                    </w:rPr>
                    <w:t>m</w:t>
                  </w:r>
                  <w:r>
                    <w:rPr>
                      <w:color w:val="auto"/>
                      <w:szCs w:val="21"/>
                      <w:vertAlign w:val="superscript"/>
                    </w:rPr>
                    <w:t>2</w:t>
                  </w:r>
                </w:p>
              </w:tc>
              <w:tc>
                <w:tcPr>
                  <w:tcW w:w="363" w:type="pct"/>
                  <w:tcMar>
                    <w:top w:w="0" w:type="dxa"/>
                    <w:left w:w="6" w:type="dxa"/>
                    <w:bottom w:w="0" w:type="dxa"/>
                    <w:right w:w="6" w:type="dxa"/>
                  </w:tcMar>
                  <w:vAlign w:val="center"/>
                </w:tcPr>
                <w:p>
                  <w:pPr>
                    <w:pStyle w:val="104"/>
                    <w:rPr>
                      <w:color w:val="auto"/>
                    </w:rPr>
                  </w:pPr>
                  <w:r>
                    <w:rPr>
                      <w:color w:val="auto"/>
                      <w:kern w:val="0"/>
                      <w:szCs w:val="21"/>
                    </w:rPr>
                    <w:t>袋装</w:t>
                  </w:r>
                </w:p>
              </w:tc>
              <w:tc>
                <w:tcPr>
                  <w:tcW w:w="383" w:type="pct"/>
                  <w:vMerge w:val="restart"/>
                  <w:tcMar>
                    <w:top w:w="0" w:type="dxa"/>
                    <w:left w:w="6" w:type="dxa"/>
                    <w:bottom w:w="0" w:type="dxa"/>
                    <w:right w:w="6" w:type="dxa"/>
                  </w:tcMar>
                  <w:vAlign w:val="center"/>
                </w:tcPr>
                <w:p>
                  <w:pPr>
                    <w:topLinePunct/>
                    <w:adjustRightInd w:val="0"/>
                    <w:snapToGrid w:val="0"/>
                    <w:jc w:val="center"/>
                    <w:rPr>
                      <w:color w:val="auto"/>
                      <w:kern w:val="0"/>
                      <w:szCs w:val="21"/>
                    </w:rPr>
                  </w:pPr>
                  <w:r>
                    <w:rPr>
                      <w:color w:val="auto"/>
                      <w:kern w:val="0"/>
                      <w:szCs w:val="21"/>
                    </w:rPr>
                    <w:t>6</w:t>
                  </w:r>
                  <w:r>
                    <w:rPr>
                      <w:color w:val="auto"/>
                      <w:szCs w:val="21"/>
                    </w:rPr>
                    <w:t>m</w:t>
                  </w:r>
                  <w:r>
                    <w:rPr>
                      <w:color w:val="auto"/>
                      <w:szCs w:val="21"/>
                      <w:vertAlign w:val="superscript"/>
                    </w:rPr>
                    <w:t>3</w:t>
                  </w:r>
                </w:p>
              </w:tc>
              <w:tc>
                <w:tcPr>
                  <w:tcW w:w="466" w:type="pct"/>
                  <w:tcMar>
                    <w:top w:w="0" w:type="dxa"/>
                    <w:left w:w="6" w:type="dxa"/>
                    <w:bottom w:w="0" w:type="dxa"/>
                    <w:right w:w="6" w:type="dxa"/>
                  </w:tcMar>
                  <w:vAlign w:val="center"/>
                </w:tcPr>
                <w:p>
                  <w:pPr>
                    <w:adjustRightInd w:val="0"/>
                    <w:snapToGrid w:val="0"/>
                    <w:jc w:val="center"/>
                    <w:rPr>
                      <w:color w:val="auto"/>
                      <w:kern w:val="0"/>
                      <w:szCs w:val="21"/>
                    </w:rPr>
                  </w:pPr>
                  <w:r>
                    <w:rPr>
                      <w:color w:val="auto"/>
                      <w:kern w:val="0"/>
                      <w:szCs w:val="21"/>
                    </w:rPr>
                    <w:t>3个月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680"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594" w:type="pct"/>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rPr>
                    <w:t>废</w:t>
                  </w:r>
                  <w:r>
                    <w:rPr>
                      <w:rFonts w:hint="eastAsia"/>
                      <w:bCs/>
                      <w:color w:val="auto"/>
                      <w:szCs w:val="21"/>
                      <w:lang w:eastAsia="zh-CN"/>
                    </w:rPr>
                    <w:t>导热</w:t>
                  </w:r>
                  <w:r>
                    <w:rPr>
                      <w:rFonts w:hint="eastAsia"/>
                      <w:bCs/>
                      <w:color w:val="auto"/>
                      <w:szCs w:val="21"/>
                    </w:rPr>
                    <w:t>油</w:t>
                  </w:r>
                </w:p>
              </w:tc>
              <w:tc>
                <w:tcPr>
                  <w:tcW w:w="602" w:type="pct"/>
                  <w:tcMar>
                    <w:top w:w="0" w:type="dxa"/>
                    <w:left w:w="6" w:type="dxa"/>
                    <w:bottom w:w="0" w:type="dxa"/>
                    <w:right w:w="6" w:type="dxa"/>
                  </w:tcMar>
                  <w:vAlign w:val="center"/>
                </w:tcPr>
                <w:p>
                  <w:pPr>
                    <w:adjustRightInd w:val="0"/>
                    <w:snapToGrid w:val="0"/>
                    <w:jc w:val="center"/>
                    <w:rPr>
                      <w:color w:val="auto"/>
                      <w:kern w:val="0"/>
                      <w:szCs w:val="21"/>
                    </w:rPr>
                  </w:pPr>
                  <w:r>
                    <w:rPr>
                      <w:color w:val="auto"/>
                    </w:rPr>
                    <w:t>HW08</w:t>
                  </w:r>
                </w:p>
              </w:tc>
              <w:tc>
                <w:tcPr>
                  <w:tcW w:w="635" w:type="pct"/>
                  <w:tcMar>
                    <w:top w:w="0" w:type="dxa"/>
                    <w:left w:w="6" w:type="dxa"/>
                    <w:bottom w:w="0" w:type="dxa"/>
                    <w:right w:w="6" w:type="dxa"/>
                  </w:tcMar>
                  <w:vAlign w:val="center"/>
                </w:tcPr>
                <w:p>
                  <w:pPr>
                    <w:adjustRightInd w:val="0"/>
                    <w:snapToGrid w:val="0"/>
                    <w:jc w:val="center"/>
                    <w:rPr>
                      <w:bCs/>
                      <w:color w:val="auto"/>
                      <w:szCs w:val="21"/>
                    </w:rPr>
                  </w:pPr>
                  <w:r>
                    <w:rPr>
                      <w:rFonts w:hint="eastAsia"/>
                      <w:bCs/>
                      <w:color w:val="auto"/>
                      <w:szCs w:val="21"/>
                    </w:rPr>
                    <w:t>900-249-08</w:t>
                  </w:r>
                </w:p>
              </w:tc>
              <w:tc>
                <w:tcPr>
                  <w:tcW w:w="34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3" w:type="pct"/>
                  <w:tcMar>
                    <w:top w:w="0" w:type="dxa"/>
                    <w:left w:w="6" w:type="dxa"/>
                    <w:bottom w:w="0" w:type="dxa"/>
                    <w:right w:w="6" w:type="dxa"/>
                  </w:tcMar>
                  <w:vAlign w:val="center"/>
                </w:tcPr>
                <w:p>
                  <w:pPr>
                    <w:pStyle w:val="104"/>
                    <w:rPr>
                      <w:color w:val="auto"/>
                      <w:kern w:val="0"/>
                      <w:szCs w:val="21"/>
                    </w:rPr>
                  </w:pPr>
                  <w:r>
                    <w:rPr>
                      <w:rFonts w:hint="eastAsia"/>
                      <w:color w:val="auto"/>
                      <w:kern w:val="0"/>
                      <w:szCs w:val="21"/>
                    </w:rPr>
                    <w:t>桶</w:t>
                  </w:r>
                  <w:r>
                    <w:rPr>
                      <w:color w:val="auto"/>
                      <w:kern w:val="0"/>
                      <w:szCs w:val="21"/>
                    </w:rPr>
                    <w:t>装</w:t>
                  </w:r>
                </w:p>
              </w:tc>
              <w:tc>
                <w:tcPr>
                  <w:tcW w:w="383"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466" w:type="pct"/>
                  <w:tcMar>
                    <w:top w:w="0" w:type="dxa"/>
                    <w:left w:w="6" w:type="dxa"/>
                    <w:bottom w:w="0" w:type="dxa"/>
                    <w:right w:w="6" w:type="dxa"/>
                  </w:tcMar>
                  <w:vAlign w:val="center"/>
                </w:tcPr>
                <w:p>
                  <w:pPr>
                    <w:kinsoku w:val="0"/>
                    <w:adjustRightInd w:val="0"/>
                    <w:snapToGrid w:val="0"/>
                    <w:jc w:val="center"/>
                    <w:rPr>
                      <w:color w:val="auto"/>
                      <w:kern w:val="0"/>
                      <w:szCs w:val="21"/>
                    </w:rPr>
                  </w:pPr>
                  <w:r>
                    <w:rPr>
                      <w:rFonts w:hint="eastAsia"/>
                      <w:color w:val="auto"/>
                      <w:kern w:val="0"/>
                      <w:szCs w:val="21"/>
                    </w:rPr>
                    <w:t>产生即</w:t>
                  </w:r>
                  <w:r>
                    <w:rPr>
                      <w:color w:val="auto"/>
                      <w:kern w:val="0"/>
                      <w:szCs w:val="21"/>
                    </w:rPr>
                    <w:t>转移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680"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594" w:type="pct"/>
                  <w:tcMar>
                    <w:top w:w="0" w:type="dxa"/>
                    <w:left w:w="6" w:type="dxa"/>
                    <w:bottom w:w="0" w:type="dxa"/>
                    <w:right w:w="6" w:type="dxa"/>
                  </w:tcMar>
                  <w:vAlign w:val="center"/>
                </w:tcPr>
                <w:p>
                  <w:pPr>
                    <w:widowControl/>
                    <w:adjustRightInd w:val="0"/>
                    <w:snapToGrid w:val="0"/>
                    <w:jc w:val="center"/>
                    <w:rPr>
                      <w:rFonts w:hint="eastAsia" w:eastAsia="宋体"/>
                      <w:bCs/>
                      <w:color w:val="auto"/>
                      <w:szCs w:val="21"/>
                      <w:lang w:eastAsia="zh-CN"/>
                    </w:rPr>
                  </w:pPr>
                  <w:r>
                    <w:rPr>
                      <w:rFonts w:hint="eastAsia"/>
                      <w:bCs/>
                      <w:color w:val="auto"/>
                      <w:szCs w:val="21"/>
                      <w:lang w:eastAsia="zh-CN"/>
                    </w:rPr>
                    <w:t>废液压油</w:t>
                  </w:r>
                </w:p>
              </w:tc>
              <w:tc>
                <w:tcPr>
                  <w:tcW w:w="1005" w:type="dxa"/>
                  <w:tcMar>
                    <w:top w:w="0" w:type="dxa"/>
                    <w:left w:w="6" w:type="dxa"/>
                    <w:bottom w:w="0" w:type="dxa"/>
                    <w:right w:w="6" w:type="dxa"/>
                  </w:tcMar>
                  <w:vAlign w:val="center"/>
                </w:tcPr>
                <w:p>
                  <w:pPr>
                    <w:adjustRightInd w:val="0"/>
                    <w:snapToGrid w:val="0"/>
                    <w:jc w:val="center"/>
                    <w:rPr>
                      <w:color w:val="auto"/>
                    </w:rPr>
                  </w:pPr>
                  <w:r>
                    <w:rPr>
                      <w:color w:val="auto"/>
                    </w:rPr>
                    <w:t>HW08</w:t>
                  </w:r>
                </w:p>
              </w:tc>
              <w:tc>
                <w:tcPr>
                  <w:tcW w:w="1060" w:type="dxa"/>
                  <w:tcMar>
                    <w:top w:w="0" w:type="dxa"/>
                    <w:left w:w="6" w:type="dxa"/>
                    <w:bottom w:w="0" w:type="dxa"/>
                    <w:right w:w="6" w:type="dxa"/>
                  </w:tcMar>
                  <w:vAlign w:val="center"/>
                </w:tcPr>
                <w:p>
                  <w:pPr>
                    <w:adjustRightInd w:val="0"/>
                    <w:snapToGrid w:val="0"/>
                    <w:jc w:val="center"/>
                    <w:rPr>
                      <w:rFonts w:hint="eastAsia"/>
                      <w:bCs/>
                      <w:color w:val="auto"/>
                      <w:szCs w:val="21"/>
                    </w:rPr>
                  </w:pPr>
                  <w:r>
                    <w:rPr>
                      <w:rFonts w:hint="eastAsia"/>
                      <w:bCs/>
                      <w:color w:val="auto"/>
                      <w:szCs w:val="21"/>
                    </w:rPr>
                    <w:t>900-2</w:t>
                  </w:r>
                  <w:r>
                    <w:rPr>
                      <w:rFonts w:hint="eastAsia"/>
                      <w:bCs/>
                      <w:color w:val="auto"/>
                      <w:szCs w:val="21"/>
                      <w:lang w:val="en-US" w:eastAsia="zh-CN"/>
                    </w:rPr>
                    <w:t>18</w:t>
                  </w:r>
                  <w:r>
                    <w:rPr>
                      <w:rFonts w:hint="eastAsia"/>
                      <w:bCs/>
                      <w:color w:val="auto"/>
                      <w:szCs w:val="21"/>
                    </w:rPr>
                    <w:t>-08</w:t>
                  </w:r>
                </w:p>
              </w:tc>
              <w:tc>
                <w:tcPr>
                  <w:tcW w:w="34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3" w:type="pct"/>
                  <w:tcMar>
                    <w:top w:w="0" w:type="dxa"/>
                    <w:left w:w="6" w:type="dxa"/>
                    <w:bottom w:w="0" w:type="dxa"/>
                    <w:right w:w="6" w:type="dxa"/>
                  </w:tcMar>
                  <w:vAlign w:val="center"/>
                </w:tcPr>
                <w:p>
                  <w:pPr>
                    <w:pStyle w:val="104"/>
                    <w:rPr>
                      <w:rFonts w:hint="eastAsia"/>
                      <w:color w:val="auto"/>
                      <w:kern w:val="0"/>
                      <w:szCs w:val="21"/>
                    </w:rPr>
                  </w:pPr>
                  <w:r>
                    <w:rPr>
                      <w:rFonts w:hint="eastAsia"/>
                      <w:color w:val="auto"/>
                      <w:kern w:val="0"/>
                      <w:szCs w:val="21"/>
                    </w:rPr>
                    <w:t>桶</w:t>
                  </w:r>
                  <w:r>
                    <w:rPr>
                      <w:color w:val="auto"/>
                      <w:kern w:val="0"/>
                      <w:szCs w:val="21"/>
                    </w:rPr>
                    <w:t>装</w:t>
                  </w:r>
                </w:p>
              </w:tc>
              <w:tc>
                <w:tcPr>
                  <w:tcW w:w="383"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466" w:type="pct"/>
                  <w:tcMar>
                    <w:top w:w="0" w:type="dxa"/>
                    <w:left w:w="6" w:type="dxa"/>
                    <w:bottom w:w="0" w:type="dxa"/>
                    <w:right w:w="6" w:type="dxa"/>
                  </w:tcMar>
                  <w:vAlign w:val="center"/>
                </w:tcPr>
                <w:p>
                  <w:pPr>
                    <w:kinsoku w:val="0"/>
                    <w:adjustRightInd w:val="0"/>
                    <w:snapToGrid w:val="0"/>
                    <w:jc w:val="center"/>
                    <w:rPr>
                      <w:rFonts w:hint="eastAsia"/>
                      <w:color w:val="auto"/>
                      <w:kern w:val="0"/>
                      <w:szCs w:val="21"/>
                    </w:rPr>
                  </w:pPr>
                  <w:r>
                    <w:rPr>
                      <w:rFonts w:hint="eastAsia"/>
                      <w:color w:val="auto"/>
                      <w:kern w:val="0"/>
                      <w:szCs w:val="21"/>
                    </w:rPr>
                    <w:t>产生即</w:t>
                  </w:r>
                  <w:r>
                    <w:rPr>
                      <w:color w:val="auto"/>
                      <w:kern w:val="0"/>
                      <w:szCs w:val="21"/>
                    </w:rPr>
                    <w:t>转移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680"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594" w:type="pct"/>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rPr>
                    <w:t>废包装桶</w:t>
                  </w:r>
                </w:p>
              </w:tc>
              <w:tc>
                <w:tcPr>
                  <w:tcW w:w="602" w:type="pct"/>
                  <w:tcMar>
                    <w:top w:w="0" w:type="dxa"/>
                    <w:left w:w="6" w:type="dxa"/>
                    <w:bottom w:w="0" w:type="dxa"/>
                    <w:right w:w="6" w:type="dxa"/>
                  </w:tcMar>
                  <w:vAlign w:val="center"/>
                </w:tcPr>
                <w:p>
                  <w:pPr>
                    <w:adjustRightInd w:val="0"/>
                    <w:snapToGrid w:val="0"/>
                    <w:jc w:val="center"/>
                    <w:rPr>
                      <w:color w:val="auto"/>
                      <w:szCs w:val="21"/>
                    </w:rPr>
                  </w:pPr>
                  <w:r>
                    <w:rPr>
                      <w:color w:val="auto"/>
                      <w:szCs w:val="21"/>
                    </w:rPr>
                    <w:t>HW49</w:t>
                  </w:r>
                </w:p>
              </w:tc>
              <w:tc>
                <w:tcPr>
                  <w:tcW w:w="635" w:type="pct"/>
                  <w:tcMar>
                    <w:top w:w="0" w:type="dxa"/>
                    <w:left w:w="6" w:type="dxa"/>
                    <w:bottom w:w="0" w:type="dxa"/>
                    <w:right w:w="6" w:type="dxa"/>
                  </w:tcMar>
                  <w:vAlign w:val="center"/>
                </w:tcPr>
                <w:p>
                  <w:pPr>
                    <w:adjustRightInd w:val="0"/>
                    <w:snapToGrid w:val="0"/>
                    <w:jc w:val="center"/>
                    <w:rPr>
                      <w:color w:val="auto"/>
                      <w:szCs w:val="21"/>
                    </w:rPr>
                  </w:pPr>
                  <w:r>
                    <w:rPr>
                      <w:color w:val="auto"/>
                      <w:szCs w:val="21"/>
                    </w:rPr>
                    <w:t>900-041-49</w:t>
                  </w:r>
                </w:p>
              </w:tc>
              <w:tc>
                <w:tcPr>
                  <w:tcW w:w="34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3" w:type="pct"/>
                  <w:tcMar>
                    <w:top w:w="0" w:type="dxa"/>
                    <w:left w:w="6" w:type="dxa"/>
                    <w:bottom w:w="0" w:type="dxa"/>
                    <w:right w:w="6" w:type="dxa"/>
                  </w:tcMar>
                  <w:vAlign w:val="center"/>
                </w:tcPr>
                <w:p>
                  <w:pPr>
                    <w:pStyle w:val="104"/>
                    <w:rPr>
                      <w:color w:val="auto"/>
                      <w:kern w:val="0"/>
                      <w:szCs w:val="21"/>
                    </w:rPr>
                  </w:pPr>
                  <w:r>
                    <w:rPr>
                      <w:rFonts w:hint="eastAsia"/>
                      <w:color w:val="auto"/>
                      <w:kern w:val="0"/>
                      <w:szCs w:val="21"/>
                    </w:rPr>
                    <w:t>/</w:t>
                  </w:r>
                </w:p>
              </w:tc>
              <w:tc>
                <w:tcPr>
                  <w:tcW w:w="383"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466" w:type="pct"/>
                  <w:tcMar>
                    <w:top w:w="0" w:type="dxa"/>
                    <w:left w:w="6" w:type="dxa"/>
                    <w:bottom w:w="0" w:type="dxa"/>
                    <w:right w:w="6" w:type="dxa"/>
                  </w:tcMar>
                  <w:vAlign w:val="center"/>
                </w:tcPr>
                <w:p>
                  <w:pPr>
                    <w:kinsoku w:val="0"/>
                    <w:adjustRightInd w:val="0"/>
                    <w:snapToGrid w:val="0"/>
                    <w:jc w:val="center"/>
                    <w:rPr>
                      <w:color w:val="auto"/>
                      <w:kern w:val="0"/>
                      <w:szCs w:val="21"/>
                    </w:rPr>
                  </w:pPr>
                  <w:r>
                    <w:rPr>
                      <w:rFonts w:hint="eastAsia"/>
                      <w:color w:val="auto"/>
                      <w:kern w:val="0"/>
                      <w:szCs w:val="21"/>
                    </w:rPr>
                    <w:t>产生即</w:t>
                  </w:r>
                  <w:r>
                    <w:rPr>
                      <w:color w:val="auto"/>
                      <w:kern w:val="0"/>
                      <w:szCs w:val="21"/>
                    </w:rPr>
                    <w:t>转移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680" w:type="pct"/>
                  <w:vMerge w:val="continue"/>
                  <w:tcMar>
                    <w:top w:w="0" w:type="dxa"/>
                    <w:left w:w="6" w:type="dxa"/>
                    <w:bottom w:w="0" w:type="dxa"/>
                    <w:right w:w="6" w:type="dxa"/>
                  </w:tcMar>
                  <w:vAlign w:val="center"/>
                </w:tcPr>
                <w:p>
                  <w:pPr>
                    <w:topLinePunct/>
                    <w:adjustRightInd w:val="0"/>
                    <w:snapToGrid w:val="0"/>
                    <w:jc w:val="center"/>
                    <w:rPr>
                      <w:color w:val="auto"/>
                      <w:szCs w:val="21"/>
                    </w:rPr>
                  </w:pPr>
                </w:p>
              </w:tc>
              <w:tc>
                <w:tcPr>
                  <w:tcW w:w="594" w:type="pct"/>
                  <w:tcMar>
                    <w:top w:w="0" w:type="dxa"/>
                    <w:left w:w="6" w:type="dxa"/>
                    <w:bottom w:w="0" w:type="dxa"/>
                    <w:right w:w="6" w:type="dxa"/>
                  </w:tcMar>
                  <w:vAlign w:val="center"/>
                </w:tcPr>
                <w:p>
                  <w:pPr>
                    <w:jc w:val="center"/>
                    <w:rPr>
                      <w:bCs/>
                      <w:color w:val="auto"/>
                      <w:szCs w:val="21"/>
                    </w:rPr>
                  </w:pPr>
                  <w:r>
                    <w:rPr>
                      <w:color w:val="auto"/>
                      <w:szCs w:val="21"/>
                    </w:rPr>
                    <w:t>废抹布</w:t>
                  </w:r>
                  <w:r>
                    <w:rPr>
                      <w:rFonts w:hint="eastAsia"/>
                      <w:color w:val="auto"/>
                      <w:szCs w:val="21"/>
                    </w:rPr>
                    <w:t>手套</w:t>
                  </w:r>
                </w:p>
              </w:tc>
              <w:tc>
                <w:tcPr>
                  <w:tcW w:w="602" w:type="pct"/>
                  <w:tcMar>
                    <w:top w:w="0" w:type="dxa"/>
                    <w:left w:w="6" w:type="dxa"/>
                    <w:bottom w:w="0" w:type="dxa"/>
                    <w:right w:w="6" w:type="dxa"/>
                  </w:tcMar>
                  <w:vAlign w:val="center"/>
                </w:tcPr>
                <w:p>
                  <w:pPr>
                    <w:adjustRightInd w:val="0"/>
                    <w:snapToGrid w:val="0"/>
                    <w:jc w:val="center"/>
                    <w:rPr>
                      <w:color w:val="auto"/>
                      <w:szCs w:val="21"/>
                    </w:rPr>
                  </w:pPr>
                  <w:r>
                    <w:rPr>
                      <w:color w:val="auto"/>
                      <w:szCs w:val="21"/>
                    </w:rPr>
                    <w:t>HW49</w:t>
                  </w:r>
                </w:p>
              </w:tc>
              <w:tc>
                <w:tcPr>
                  <w:tcW w:w="635" w:type="pct"/>
                  <w:tcMar>
                    <w:top w:w="0" w:type="dxa"/>
                    <w:left w:w="6" w:type="dxa"/>
                    <w:bottom w:w="0" w:type="dxa"/>
                    <w:right w:w="6" w:type="dxa"/>
                  </w:tcMar>
                  <w:vAlign w:val="center"/>
                </w:tcPr>
                <w:p>
                  <w:pPr>
                    <w:adjustRightInd w:val="0"/>
                    <w:snapToGrid w:val="0"/>
                    <w:jc w:val="center"/>
                    <w:rPr>
                      <w:color w:val="auto"/>
                      <w:szCs w:val="21"/>
                    </w:rPr>
                  </w:pPr>
                  <w:r>
                    <w:rPr>
                      <w:color w:val="auto"/>
                      <w:szCs w:val="21"/>
                    </w:rPr>
                    <w:t>900-041-49</w:t>
                  </w:r>
                </w:p>
              </w:tc>
              <w:tc>
                <w:tcPr>
                  <w:tcW w:w="34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2"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363" w:type="pct"/>
                  <w:tcMar>
                    <w:top w:w="0" w:type="dxa"/>
                    <w:left w:w="6" w:type="dxa"/>
                    <w:bottom w:w="0" w:type="dxa"/>
                    <w:right w:w="6" w:type="dxa"/>
                  </w:tcMar>
                  <w:vAlign w:val="center"/>
                </w:tcPr>
                <w:p>
                  <w:pPr>
                    <w:pStyle w:val="104"/>
                    <w:rPr>
                      <w:color w:val="auto"/>
                      <w:kern w:val="0"/>
                      <w:szCs w:val="21"/>
                    </w:rPr>
                  </w:pPr>
                  <w:r>
                    <w:rPr>
                      <w:rFonts w:hint="eastAsia"/>
                      <w:color w:val="auto"/>
                      <w:kern w:val="0"/>
                      <w:szCs w:val="21"/>
                    </w:rPr>
                    <w:t>桶</w:t>
                  </w:r>
                  <w:r>
                    <w:rPr>
                      <w:color w:val="auto"/>
                      <w:kern w:val="0"/>
                      <w:szCs w:val="21"/>
                    </w:rPr>
                    <w:t>装</w:t>
                  </w:r>
                </w:p>
              </w:tc>
              <w:tc>
                <w:tcPr>
                  <w:tcW w:w="383" w:type="pct"/>
                  <w:vMerge w:val="continue"/>
                  <w:tcMar>
                    <w:top w:w="0" w:type="dxa"/>
                    <w:left w:w="6" w:type="dxa"/>
                    <w:bottom w:w="0" w:type="dxa"/>
                    <w:right w:w="6" w:type="dxa"/>
                  </w:tcMar>
                  <w:vAlign w:val="center"/>
                </w:tcPr>
                <w:p>
                  <w:pPr>
                    <w:topLinePunct/>
                    <w:adjustRightInd w:val="0"/>
                    <w:snapToGrid w:val="0"/>
                    <w:jc w:val="center"/>
                    <w:rPr>
                      <w:color w:val="auto"/>
                      <w:kern w:val="0"/>
                      <w:szCs w:val="21"/>
                    </w:rPr>
                  </w:pPr>
                </w:p>
              </w:tc>
              <w:tc>
                <w:tcPr>
                  <w:tcW w:w="466" w:type="pct"/>
                  <w:tcMar>
                    <w:top w:w="0" w:type="dxa"/>
                    <w:left w:w="6" w:type="dxa"/>
                    <w:bottom w:w="0" w:type="dxa"/>
                    <w:right w:w="6" w:type="dxa"/>
                  </w:tcMar>
                  <w:vAlign w:val="center"/>
                </w:tcPr>
                <w:p>
                  <w:pPr>
                    <w:kinsoku w:val="0"/>
                    <w:adjustRightInd w:val="0"/>
                    <w:snapToGrid w:val="0"/>
                    <w:jc w:val="center"/>
                    <w:rPr>
                      <w:color w:val="auto"/>
                      <w:kern w:val="0"/>
                      <w:szCs w:val="21"/>
                    </w:rPr>
                  </w:pPr>
                  <w:r>
                    <w:rPr>
                      <w:color w:val="auto"/>
                      <w:kern w:val="0"/>
                      <w:szCs w:val="21"/>
                    </w:rPr>
                    <w:t>3个月</w:t>
                  </w:r>
                </w:p>
              </w:tc>
            </w:tr>
          </w:tbl>
          <w:p>
            <w:pPr>
              <w:spacing w:line="360" w:lineRule="auto"/>
              <w:ind w:firstLine="480" w:firstLineChars="200"/>
              <w:rPr>
                <w:color w:val="auto"/>
                <w:sz w:val="24"/>
              </w:rPr>
            </w:pPr>
            <w:r>
              <w:rPr>
                <w:color w:val="auto"/>
                <w:sz w:val="24"/>
              </w:rPr>
              <w:t>本项目建成后产生的一般固废为</w:t>
            </w:r>
            <w:r>
              <w:rPr>
                <w:rFonts w:hint="eastAsia"/>
                <w:color w:val="auto"/>
                <w:sz w:val="24"/>
              </w:rPr>
              <w:t>边角料</w:t>
            </w:r>
            <w:r>
              <w:rPr>
                <w:color w:val="auto"/>
                <w:sz w:val="24"/>
              </w:rPr>
              <w:t>1</w:t>
            </w:r>
            <w:r>
              <w:rPr>
                <w:rFonts w:hint="eastAsia"/>
                <w:color w:val="auto"/>
                <w:sz w:val="24"/>
              </w:rPr>
              <w:t>0</w:t>
            </w:r>
            <w:r>
              <w:rPr>
                <w:color w:val="auto"/>
                <w:sz w:val="24"/>
              </w:rPr>
              <w:t>t/a、</w:t>
            </w:r>
            <w:r>
              <w:rPr>
                <w:rFonts w:hint="eastAsia"/>
                <w:color w:val="auto"/>
                <w:sz w:val="24"/>
              </w:rPr>
              <w:t>不合格品</w:t>
            </w:r>
            <w:r>
              <w:rPr>
                <w:color w:val="auto"/>
                <w:sz w:val="24"/>
              </w:rPr>
              <w:t>5t/a</w:t>
            </w:r>
            <w:r>
              <w:rPr>
                <w:rFonts w:hint="eastAsia"/>
                <w:color w:val="auto"/>
                <w:sz w:val="24"/>
              </w:rPr>
              <w:t>、废包装袋</w:t>
            </w:r>
            <w:r>
              <w:rPr>
                <w:color w:val="auto"/>
                <w:sz w:val="24"/>
              </w:rPr>
              <w:t>0.5</w:t>
            </w:r>
            <w:r>
              <w:rPr>
                <w:rFonts w:hint="eastAsia"/>
                <w:color w:val="auto"/>
                <w:sz w:val="24"/>
              </w:rPr>
              <w:t>t/a</w:t>
            </w:r>
            <w:r>
              <w:rPr>
                <w:color w:val="auto"/>
                <w:sz w:val="24"/>
              </w:rPr>
              <w:t>，贮存周期为半年，贮存密度以0.8t/m</w:t>
            </w:r>
            <w:r>
              <w:rPr>
                <w:color w:val="auto"/>
                <w:sz w:val="24"/>
                <w:vertAlign w:val="superscript"/>
              </w:rPr>
              <w:t>3</w:t>
            </w:r>
            <w:r>
              <w:rPr>
                <w:color w:val="auto"/>
                <w:sz w:val="24"/>
              </w:rPr>
              <w:t>计，则一般固废仓库所需储存面积约9.7m</w:t>
            </w:r>
            <w:r>
              <w:rPr>
                <w:color w:val="auto"/>
                <w:sz w:val="24"/>
                <w:vertAlign w:val="superscript"/>
              </w:rPr>
              <w:t>3</w:t>
            </w:r>
            <w:r>
              <w:rPr>
                <w:color w:val="auto"/>
                <w:sz w:val="24"/>
              </w:rPr>
              <w:t>。一般固废仓库面积20m</w:t>
            </w:r>
            <w:r>
              <w:rPr>
                <w:color w:val="auto"/>
                <w:sz w:val="24"/>
                <w:vertAlign w:val="superscript"/>
              </w:rPr>
              <w:t>2</w:t>
            </w:r>
            <w:r>
              <w:rPr>
                <w:color w:val="auto"/>
                <w:sz w:val="24"/>
              </w:rPr>
              <w:t>，高度以1m计，存储体积为20m</w:t>
            </w:r>
            <w:r>
              <w:rPr>
                <w:color w:val="auto"/>
                <w:sz w:val="24"/>
                <w:vertAlign w:val="superscript"/>
              </w:rPr>
              <w:t>3</w:t>
            </w:r>
            <w:r>
              <w:rPr>
                <w:color w:val="auto"/>
                <w:sz w:val="24"/>
              </w:rPr>
              <w:t>，能够满足存储要求。</w:t>
            </w:r>
          </w:p>
          <w:p>
            <w:pPr>
              <w:spacing w:line="360" w:lineRule="auto"/>
              <w:ind w:firstLine="480" w:firstLineChars="200"/>
              <w:rPr>
                <w:color w:val="auto"/>
                <w:sz w:val="24"/>
              </w:rPr>
            </w:pPr>
            <w:r>
              <w:rPr>
                <w:color w:val="auto"/>
                <w:sz w:val="24"/>
              </w:rPr>
              <w:t>本项目建成后危废产生及贮存情况：</w:t>
            </w:r>
            <w:r>
              <w:rPr>
                <w:rFonts w:hint="eastAsia"/>
                <w:color w:val="auto"/>
                <w:sz w:val="24"/>
              </w:rPr>
              <w:t>废活性炭</w:t>
            </w:r>
            <w:r>
              <w:rPr>
                <w:color w:val="auto"/>
                <w:sz w:val="24"/>
              </w:rPr>
              <w:t>产生量为</w:t>
            </w:r>
            <w:r>
              <w:rPr>
                <w:rFonts w:hint="eastAsia"/>
                <w:color w:val="auto"/>
                <w:sz w:val="24"/>
                <w:lang w:val="en-US" w:eastAsia="zh-CN"/>
              </w:rPr>
              <w:t>11.2</w:t>
            </w:r>
            <w:r>
              <w:rPr>
                <w:color w:val="auto"/>
                <w:sz w:val="24"/>
              </w:rPr>
              <w:t>t/a，</w:t>
            </w:r>
            <w:r>
              <w:rPr>
                <w:rFonts w:hint="eastAsia"/>
                <w:color w:val="auto"/>
                <w:sz w:val="24"/>
              </w:rPr>
              <w:t>废</w:t>
            </w:r>
            <w:r>
              <w:rPr>
                <w:rFonts w:hint="eastAsia"/>
                <w:color w:val="auto"/>
                <w:sz w:val="24"/>
                <w:lang w:eastAsia="zh-CN"/>
              </w:rPr>
              <w:t>导热</w:t>
            </w:r>
            <w:r>
              <w:rPr>
                <w:rFonts w:hint="eastAsia"/>
                <w:color w:val="auto"/>
                <w:sz w:val="24"/>
              </w:rPr>
              <w:t>油</w:t>
            </w:r>
            <w:r>
              <w:rPr>
                <w:color w:val="auto"/>
                <w:sz w:val="24"/>
              </w:rPr>
              <w:t>产生量为</w:t>
            </w:r>
            <w:r>
              <w:rPr>
                <w:rFonts w:hint="eastAsia"/>
                <w:color w:val="auto"/>
                <w:sz w:val="24"/>
              </w:rPr>
              <w:t>2.5t/5a</w:t>
            </w:r>
            <w:r>
              <w:rPr>
                <w:color w:val="auto"/>
                <w:sz w:val="24"/>
              </w:rPr>
              <w:t>，</w:t>
            </w:r>
            <w:r>
              <w:rPr>
                <w:rFonts w:hint="eastAsia"/>
                <w:color w:val="auto"/>
                <w:sz w:val="24"/>
                <w:lang w:eastAsia="zh-CN"/>
              </w:rPr>
              <w:t>废液压油</w:t>
            </w:r>
            <w:r>
              <w:rPr>
                <w:rFonts w:hint="eastAsia"/>
                <w:color w:val="auto"/>
                <w:sz w:val="24"/>
                <w:lang w:val="en-US" w:eastAsia="zh-CN"/>
              </w:rPr>
              <w:t>9t/a，</w:t>
            </w:r>
            <w:r>
              <w:rPr>
                <w:rFonts w:hint="eastAsia"/>
                <w:color w:val="auto"/>
                <w:sz w:val="24"/>
              </w:rPr>
              <w:t>废包装桶</w:t>
            </w:r>
            <w:r>
              <w:rPr>
                <w:color w:val="auto"/>
                <w:sz w:val="24"/>
              </w:rPr>
              <w:t>产生量为1.16t/a，</w:t>
            </w:r>
            <w:r>
              <w:rPr>
                <w:rFonts w:hint="eastAsia"/>
                <w:color w:val="auto"/>
                <w:sz w:val="24"/>
              </w:rPr>
              <w:t>废抹布手套</w:t>
            </w:r>
            <w:r>
              <w:rPr>
                <w:color w:val="auto"/>
                <w:sz w:val="24"/>
              </w:rPr>
              <w:t>产生量为0.05t/a，</w:t>
            </w:r>
            <w:r>
              <w:rPr>
                <w:rFonts w:hint="eastAsia"/>
                <w:color w:val="auto"/>
                <w:sz w:val="24"/>
              </w:rPr>
              <w:t>废活性炭及废抹布手套</w:t>
            </w:r>
            <w:r>
              <w:rPr>
                <w:color w:val="auto"/>
                <w:sz w:val="24"/>
              </w:rPr>
              <w:t>产生后3个月转运1次，最大贮存量为</w:t>
            </w:r>
            <w:r>
              <w:rPr>
                <w:rFonts w:hint="eastAsia"/>
                <w:color w:val="auto"/>
                <w:sz w:val="24"/>
                <w:lang w:val="en-US" w:eastAsia="zh-CN"/>
              </w:rPr>
              <w:t>3.75</w:t>
            </w:r>
            <w:r>
              <w:rPr>
                <w:color w:val="auto"/>
                <w:sz w:val="24"/>
              </w:rPr>
              <w:t>t/a</w:t>
            </w:r>
            <w:r>
              <w:rPr>
                <w:rFonts w:hint="eastAsia"/>
                <w:color w:val="auto"/>
                <w:sz w:val="24"/>
              </w:rPr>
              <w:t>。固态危废</w:t>
            </w:r>
            <w:r>
              <w:rPr>
                <w:color w:val="auto"/>
                <w:sz w:val="24"/>
              </w:rPr>
              <w:t>综合密度按0.8t/m</w:t>
            </w:r>
            <w:r>
              <w:rPr>
                <w:color w:val="auto"/>
                <w:sz w:val="24"/>
                <w:vertAlign w:val="superscript"/>
              </w:rPr>
              <w:t>3</w:t>
            </w:r>
            <w:r>
              <w:rPr>
                <w:color w:val="auto"/>
                <w:sz w:val="24"/>
              </w:rPr>
              <w:t>计</w:t>
            </w:r>
            <w:r>
              <w:rPr>
                <w:rFonts w:hint="eastAsia"/>
                <w:color w:val="auto"/>
                <w:sz w:val="24"/>
              </w:rPr>
              <w:t>，</w:t>
            </w:r>
            <w:r>
              <w:rPr>
                <w:color w:val="auto"/>
                <w:sz w:val="24"/>
              </w:rPr>
              <w:t>则</w:t>
            </w:r>
            <w:r>
              <w:rPr>
                <w:rFonts w:hint="eastAsia"/>
                <w:color w:val="auto"/>
                <w:sz w:val="24"/>
              </w:rPr>
              <w:t>固态</w:t>
            </w:r>
            <w:r>
              <w:rPr>
                <w:color w:val="auto"/>
                <w:sz w:val="24"/>
              </w:rPr>
              <w:t>危废所需储存</w:t>
            </w:r>
            <w:r>
              <w:rPr>
                <w:rFonts w:hint="eastAsia"/>
                <w:color w:val="auto"/>
                <w:sz w:val="24"/>
              </w:rPr>
              <w:t>面积</w:t>
            </w:r>
            <w:r>
              <w:rPr>
                <w:color w:val="auto"/>
                <w:sz w:val="24"/>
              </w:rPr>
              <w:t>约</w:t>
            </w:r>
            <w:r>
              <w:rPr>
                <w:rFonts w:hint="eastAsia"/>
                <w:color w:val="auto"/>
                <w:sz w:val="24"/>
                <w:lang w:val="en-US" w:eastAsia="zh-CN"/>
              </w:rPr>
              <w:t>4.7</w:t>
            </w:r>
            <w:r>
              <w:rPr>
                <w:color w:val="auto"/>
                <w:sz w:val="24"/>
              </w:rPr>
              <w:t>m</w:t>
            </w:r>
            <w:r>
              <w:rPr>
                <w:color w:val="auto"/>
                <w:sz w:val="24"/>
                <w:vertAlign w:val="superscript"/>
              </w:rPr>
              <w:t>2</w:t>
            </w:r>
            <w:r>
              <w:rPr>
                <w:rFonts w:hint="eastAsia"/>
                <w:color w:val="auto"/>
                <w:sz w:val="24"/>
              </w:rPr>
              <w:t>；废</w:t>
            </w:r>
            <w:r>
              <w:rPr>
                <w:rFonts w:hint="eastAsia"/>
                <w:color w:val="auto"/>
                <w:sz w:val="24"/>
                <w:lang w:eastAsia="zh-CN"/>
              </w:rPr>
              <w:t>导热油</w:t>
            </w:r>
            <w:r>
              <w:rPr>
                <w:rFonts w:hint="eastAsia"/>
                <w:color w:val="auto"/>
                <w:sz w:val="24"/>
              </w:rPr>
              <w:t>产生</w:t>
            </w:r>
            <w:r>
              <w:rPr>
                <w:color w:val="auto"/>
                <w:sz w:val="24"/>
              </w:rPr>
              <w:t>周期</w:t>
            </w:r>
            <w:r>
              <w:rPr>
                <w:rFonts w:hint="eastAsia"/>
                <w:color w:val="auto"/>
                <w:sz w:val="24"/>
              </w:rPr>
              <w:t>为</w:t>
            </w:r>
            <w:r>
              <w:rPr>
                <w:rFonts w:hint="eastAsia"/>
                <w:color w:val="auto"/>
                <w:sz w:val="24"/>
                <w:lang w:val="en-US" w:eastAsia="zh-CN"/>
              </w:rPr>
              <w:t>5</w:t>
            </w:r>
            <w:r>
              <w:rPr>
                <w:rFonts w:hint="eastAsia"/>
                <w:color w:val="auto"/>
                <w:sz w:val="24"/>
              </w:rPr>
              <w:t>年</w:t>
            </w:r>
            <w:r>
              <w:rPr>
                <w:rFonts w:hint="eastAsia"/>
                <w:color w:val="auto"/>
                <w:sz w:val="24"/>
                <w:lang w:eastAsia="zh-CN"/>
              </w:rPr>
              <w:t>，废液压</w:t>
            </w:r>
            <w:r>
              <w:rPr>
                <w:rFonts w:hint="eastAsia"/>
                <w:color w:val="auto"/>
                <w:sz w:val="24"/>
              </w:rPr>
              <w:t>油、废包装桶产生</w:t>
            </w:r>
            <w:r>
              <w:rPr>
                <w:color w:val="auto"/>
                <w:sz w:val="24"/>
              </w:rPr>
              <w:t>周期</w:t>
            </w:r>
            <w:r>
              <w:rPr>
                <w:rFonts w:hint="eastAsia"/>
                <w:color w:val="auto"/>
                <w:sz w:val="24"/>
              </w:rPr>
              <w:t>为1年</w:t>
            </w:r>
            <w:r>
              <w:rPr>
                <w:color w:val="auto"/>
                <w:sz w:val="24"/>
              </w:rPr>
              <w:t>，产生</w:t>
            </w:r>
            <w:r>
              <w:rPr>
                <w:rFonts w:hint="eastAsia"/>
                <w:color w:val="auto"/>
                <w:sz w:val="24"/>
                <w:lang w:eastAsia="zh-CN"/>
              </w:rPr>
              <w:t>后</w:t>
            </w:r>
            <w:r>
              <w:rPr>
                <w:color w:val="auto"/>
                <w:sz w:val="24"/>
              </w:rPr>
              <w:t>即</w:t>
            </w:r>
            <w:r>
              <w:rPr>
                <w:rFonts w:hint="eastAsia"/>
                <w:color w:val="auto"/>
                <w:sz w:val="24"/>
              </w:rPr>
              <w:t>安排转移</w:t>
            </w:r>
            <w:r>
              <w:rPr>
                <w:color w:val="auto"/>
                <w:sz w:val="24"/>
              </w:rPr>
              <w:t>，不在厂内暂存，</w:t>
            </w:r>
            <w:r>
              <w:rPr>
                <w:rFonts w:hint="eastAsia"/>
                <w:color w:val="auto"/>
                <w:sz w:val="24"/>
              </w:rPr>
              <w:t>因此</w:t>
            </w:r>
            <w:r>
              <w:rPr>
                <w:color w:val="auto"/>
                <w:sz w:val="24"/>
              </w:rPr>
              <w:t>，</w:t>
            </w:r>
            <w:r>
              <w:rPr>
                <w:rFonts w:hint="eastAsia"/>
                <w:color w:val="auto"/>
                <w:sz w:val="24"/>
              </w:rPr>
              <w:t>危废</w:t>
            </w:r>
            <w:r>
              <w:rPr>
                <w:color w:val="auto"/>
                <w:sz w:val="24"/>
              </w:rPr>
              <w:t>所需储存</w:t>
            </w:r>
            <w:r>
              <w:rPr>
                <w:rFonts w:hint="eastAsia"/>
                <w:color w:val="auto"/>
                <w:sz w:val="24"/>
              </w:rPr>
              <w:t>面积</w:t>
            </w:r>
            <w:r>
              <w:rPr>
                <w:color w:val="auto"/>
                <w:sz w:val="24"/>
              </w:rPr>
              <w:t>约</w:t>
            </w:r>
            <w:r>
              <w:rPr>
                <w:rFonts w:hint="eastAsia"/>
                <w:color w:val="auto"/>
                <w:sz w:val="24"/>
                <w:lang w:val="en-US" w:eastAsia="zh-CN"/>
              </w:rPr>
              <w:t>4.7</w:t>
            </w:r>
            <w:r>
              <w:rPr>
                <w:color w:val="auto"/>
                <w:sz w:val="24"/>
              </w:rPr>
              <w:t>m</w:t>
            </w:r>
            <w:r>
              <w:rPr>
                <w:color w:val="auto"/>
                <w:sz w:val="24"/>
                <w:vertAlign w:val="superscript"/>
              </w:rPr>
              <w:t>2</w:t>
            </w:r>
            <w:r>
              <w:rPr>
                <w:rFonts w:hint="eastAsia"/>
                <w:color w:val="auto"/>
                <w:sz w:val="24"/>
              </w:rPr>
              <w:t>，</w:t>
            </w:r>
            <w:r>
              <w:rPr>
                <w:color w:val="auto"/>
                <w:sz w:val="24"/>
              </w:rPr>
              <w:t>危废仓库面积为6m</w:t>
            </w:r>
            <w:r>
              <w:rPr>
                <w:color w:val="auto"/>
                <w:sz w:val="24"/>
                <w:vertAlign w:val="superscript"/>
              </w:rPr>
              <w:t>2</w:t>
            </w:r>
            <w:r>
              <w:rPr>
                <w:color w:val="auto"/>
                <w:sz w:val="24"/>
              </w:rPr>
              <w:t>，堆放高度按1m计，能够满足存储要求。</w:t>
            </w:r>
          </w:p>
          <w:p>
            <w:pPr>
              <w:adjustRightInd w:val="0"/>
              <w:snapToGrid w:val="0"/>
              <w:spacing w:line="360" w:lineRule="auto"/>
              <w:ind w:firstLine="482" w:firstLineChars="200"/>
              <w:rPr>
                <w:rFonts w:hint="default" w:eastAsia="宋体"/>
                <w:color w:val="auto"/>
                <w:sz w:val="24"/>
                <w:highlight w:val="none"/>
                <w:lang w:val="en-US" w:eastAsia="zh-CN"/>
              </w:rPr>
            </w:pPr>
            <w:r>
              <w:rPr>
                <w:rFonts w:hint="eastAsia"/>
                <w:b/>
                <w:bCs/>
                <w:color w:val="auto"/>
                <w:sz w:val="24"/>
                <w:highlight w:val="none"/>
              </w:rPr>
              <w:t>（</w:t>
            </w:r>
            <w:r>
              <w:rPr>
                <w:rFonts w:hint="eastAsia"/>
                <w:b/>
                <w:bCs/>
                <w:color w:val="auto"/>
                <w:sz w:val="24"/>
                <w:highlight w:val="none"/>
                <w:lang w:val="en-US" w:eastAsia="zh-CN"/>
              </w:rPr>
              <w:t>4</w:t>
            </w:r>
            <w:r>
              <w:rPr>
                <w:rFonts w:hint="eastAsia"/>
                <w:b/>
                <w:bCs/>
                <w:color w:val="auto"/>
                <w:sz w:val="24"/>
                <w:highlight w:val="none"/>
              </w:rPr>
              <w:t>）</w:t>
            </w:r>
            <w:r>
              <w:rPr>
                <w:rFonts w:hint="eastAsia"/>
                <w:b/>
                <w:bCs/>
                <w:color w:val="auto"/>
                <w:sz w:val="24"/>
                <w:highlight w:val="none"/>
                <w:lang w:val="en-US" w:eastAsia="zh-CN"/>
              </w:rPr>
              <w:t>环境管理要求</w:t>
            </w:r>
          </w:p>
          <w:p>
            <w:pPr>
              <w:snapToGrid w:val="0"/>
              <w:spacing w:line="360" w:lineRule="auto"/>
              <w:ind w:firstLine="480" w:firstLineChars="200"/>
              <w:rPr>
                <w:color w:val="auto"/>
                <w:sz w:val="24"/>
                <w:highlight w:val="none"/>
              </w:rPr>
            </w:pPr>
            <w:r>
              <w:rPr>
                <w:color w:val="auto"/>
                <w:sz w:val="24"/>
                <w:highlight w:val="none"/>
              </w:rPr>
              <w:t>针对本项目正常运行阶段所产生的危险废物的日常管理提出要求：</w:t>
            </w:r>
          </w:p>
          <w:p>
            <w:pPr>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1</w:t>
            </w:r>
            <w:r>
              <w:rPr>
                <w:color w:val="auto"/>
                <w:sz w:val="24"/>
                <w:highlight w:val="none"/>
              </w:rPr>
              <w:t>）</w:t>
            </w:r>
            <w:r>
              <w:rPr>
                <w:rFonts w:hint="eastAsia"/>
                <w:color w:val="auto"/>
                <w:sz w:val="24"/>
                <w:highlight w:val="none"/>
                <w:lang w:val="en-US" w:eastAsia="zh-CN"/>
              </w:rPr>
              <w:t>按照《危险废物管理计划和管理台账制定技术导则》（HJ1259-2022）要求制定危险废物管理计划和管理台账，及危险废物申报相关资料。</w:t>
            </w:r>
          </w:p>
          <w:p>
            <w:pPr>
              <w:snapToGrid w:val="0"/>
              <w:spacing w:line="360" w:lineRule="auto"/>
              <w:ind w:firstLine="480" w:firstLineChars="200"/>
              <w:rPr>
                <w:color w:val="auto"/>
                <w:sz w:val="24"/>
                <w:highlight w:val="none"/>
              </w:rPr>
            </w:pPr>
            <w:r>
              <w:rPr>
                <w:rFonts w:hint="eastAsia"/>
                <w:color w:val="auto"/>
                <w:sz w:val="24"/>
                <w:highlight w:val="none"/>
                <w:lang w:val="en-US" w:eastAsia="zh-CN"/>
              </w:rPr>
              <w:t>2</w:t>
            </w:r>
            <w:r>
              <w:rPr>
                <w:color w:val="auto"/>
                <w:sz w:val="24"/>
                <w:highlight w:val="none"/>
              </w:rPr>
              <w:t>）危险废物的收集、运输按照《危险废物收集、贮存、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建设单位须针对此对员工进行培训，加强安全生产及防止污染的意识，培训通过后方可上岗。</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3</w:t>
            </w:r>
            <w:r>
              <w:rPr>
                <w:rFonts w:hint="eastAsia"/>
                <w:color w:val="auto"/>
                <w:sz w:val="24"/>
                <w:highlight w:val="none"/>
              </w:rPr>
              <w:t>）</w:t>
            </w:r>
            <w:r>
              <w:rPr>
                <w:color w:val="auto"/>
                <w:sz w:val="24"/>
                <w:highlight w:val="none"/>
              </w:rPr>
              <w:t>固废贮存</w:t>
            </w:r>
            <w:r>
              <w:rPr>
                <w:rFonts w:hint="eastAsia"/>
                <w:color w:val="auto"/>
                <w:sz w:val="24"/>
                <w:highlight w:val="none"/>
                <w:lang w:val="en-US" w:eastAsia="zh-CN"/>
              </w:rPr>
              <w:t>设施环境管理要求</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A.危险废物存入贮存设施前应对危险废物类别和特性与危险废物标签等危险废物识别标志的一致性进行核验，不一致的或类别、特性不明的不应存入。</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B.应定期检查危险废物的贮存状况，及时清理贮存设施地面，更换破损泄漏的危险废物贮存容器和包装物，保证堆存危险废物的防雨、防风、防扬尘等设施功能完好。</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C.作业设备及车辆等结束作业离开贮存设施时，应对其残留的危险废物进行清理，清理的废物或清洗废水应收集处理。</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D.贮存设施运行期间，应按国家有关标准和规定建立危险废物管理台账并保存。</w:t>
            </w:r>
          </w:p>
          <w:p>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E.贮存设施所有者或运营者应建立贮存设施环境管理制度、管理人员岗位职责制度、设施运行操作制度、人员岗位培训制度等。</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F.贮存设施所有者或运营者应依据国家土壤和地下水污染防治的有关规定，结合贮存设施特点建立土壤和地下水污染隐患排查制度，并定期开展隐患排查；发现隐患应及时采取措施消除隐患，并建立档案。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G.贮存设施所有者或运营者应建立贮存设施全部档案，包括设计、施工、验收、运行、监测和环境应急灯，应按国家有关档案管理的法律法规进行整理和归档。</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H.危险废物贮存点应按照要求具有固定的区域边界，并采取与其他区域进行隔离的措施；采取防风、防雨、防晒和防止危险废物流失、扬散等措施；危险废物应置于容器或包装物中，不应直接散堆；根据危险废物的形态、物理化学性质、包装形式等，采取防渗、防漏防治措施或采用具有相应功能的装置。贮存点应及时清运贮存的危险废物，实施贮存量不应超多3吨。</w:t>
            </w:r>
          </w:p>
          <w:p>
            <w:pPr>
              <w:autoSpaceDE w:val="0"/>
              <w:spacing w:line="360" w:lineRule="auto"/>
              <w:ind w:firstLine="480" w:firstLineChars="200"/>
              <w:rPr>
                <w:color w:val="auto"/>
                <w:sz w:val="24"/>
                <w:highlight w:val="none"/>
              </w:rPr>
            </w:pPr>
            <w:r>
              <w:rPr>
                <w:rFonts w:hint="eastAsia"/>
                <w:color w:val="auto"/>
                <w:sz w:val="24"/>
                <w:highlight w:val="none"/>
              </w:rPr>
              <w:t>H、</w:t>
            </w:r>
            <w:r>
              <w:rPr>
                <w:color w:val="auto"/>
                <w:sz w:val="24"/>
                <w:highlight w:val="none"/>
              </w:rPr>
              <w:t>排污口环境保护图形标志牌</w:t>
            </w:r>
          </w:p>
          <w:p>
            <w:pPr>
              <w:spacing w:line="360" w:lineRule="auto"/>
              <w:ind w:firstLine="480" w:firstLineChars="200"/>
              <w:rPr>
                <w:color w:val="auto"/>
                <w:sz w:val="24"/>
              </w:rPr>
            </w:pPr>
            <w:r>
              <w:rPr>
                <w:color w:val="auto"/>
                <w:sz w:val="24"/>
                <w:highlight w:val="none"/>
              </w:rPr>
              <w:t>建设单位按照《环境保护图形标志—固体废物贮存（处置）场》（GB15562.2-1995）</w:t>
            </w:r>
            <w:r>
              <w:rPr>
                <w:rFonts w:hint="eastAsia"/>
                <w:color w:val="auto"/>
                <w:sz w:val="24"/>
                <w:highlight w:val="none"/>
                <w:lang w:val="en-US" w:eastAsia="zh-CN"/>
              </w:rPr>
              <w:t>及</w:t>
            </w:r>
            <w:r>
              <w:rPr>
                <w:rFonts w:hint="eastAsia"/>
                <w:color w:val="auto"/>
                <w:sz w:val="24"/>
                <w:highlight w:val="none"/>
                <w:lang w:eastAsia="zh-CN"/>
              </w:rPr>
              <w:t>《</w:t>
            </w:r>
            <w:r>
              <w:rPr>
                <w:rFonts w:hint="eastAsia"/>
                <w:color w:val="auto"/>
                <w:sz w:val="24"/>
                <w:highlight w:val="none"/>
                <w:lang w:val="en-US" w:eastAsia="zh-CN"/>
              </w:rPr>
              <w:t>关于发布国家固体废物污染控制标准《环境保护图形标志-固体废物贮存（处置）场》（GB15562.2-1995）修改单的公告 公告2023年第5号</w:t>
            </w:r>
            <w:r>
              <w:rPr>
                <w:rFonts w:hint="eastAsia"/>
                <w:color w:val="auto"/>
                <w:sz w:val="24"/>
                <w:highlight w:val="none"/>
                <w:lang w:eastAsia="zh-CN"/>
              </w:rPr>
              <w:t>》、</w:t>
            </w:r>
            <w:r>
              <w:rPr>
                <w:rFonts w:hint="eastAsia"/>
                <w:b w:val="0"/>
                <w:bCs w:val="0"/>
                <w:color w:val="auto"/>
                <w:sz w:val="24"/>
                <w:highlight w:val="none"/>
                <w:lang w:val="en-US" w:eastAsia="zh-CN"/>
              </w:rPr>
              <w:t>《危险废物识别标志设施技术规范》（HJ1276-2022）、</w:t>
            </w:r>
            <w:r>
              <w:rPr>
                <w:color w:val="auto"/>
                <w:sz w:val="24"/>
                <w:highlight w:val="none"/>
              </w:rPr>
              <w:t>《省生态环境厅关于进一步加强危险废物污染防治工作的实施意见》（苏环办[2019]327号）</w:t>
            </w:r>
            <w:r>
              <w:rPr>
                <w:rFonts w:hint="eastAsia"/>
                <w:color w:val="auto"/>
                <w:highlight w:val="none"/>
              </w:rPr>
              <w:t>、</w:t>
            </w:r>
            <w:r>
              <w:rPr>
                <w:color w:val="auto"/>
                <w:sz w:val="24"/>
                <w:highlight w:val="none"/>
              </w:rPr>
              <w:t>《省生态环境厅关于做好江苏省危险废物全生命周期监控系统上线运行工作的通知》（苏环办[2020]401号）的要求设置固体废物堆放场的环境保护图形标志</w:t>
            </w:r>
            <w:r>
              <w:rPr>
                <w:rFonts w:hint="eastAsia"/>
                <w:color w:val="auto"/>
                <w:sz w:val="24"/>
                <w:highlight w:val="none"/>
              </w:rPr>
              <w:t>，具体见下表</w:t>
            </w:r>
            <w:r>
              <w:rPr>
                <w:color w:val="auto"/>
                <w:sz w:val="24"/>
                <w:highlight w:val="none"/>
              </w:rPr>
              <w:t>。</w:t>
            </w:r>
          </w:p>
          <w:p>
            <w:pPr>
              <w:widowControl/>
              <w:adjustRightInd w:val="0"/>
              <w:snapToGrid w:val="0"/>
              <w:jc w:val="center"/>
              <w:rPr>
                <w:b/>
                <w:bCs/>
                <w:color w:val="auto"/>
                <w:sz w:val="24"/>
                <w:highlight w:val="none"/>
              </w:rPr>
            </w:pPr>
          </w:p>
          <w:p>
            <w:pPr>
              <w:widowControl/>
              <w:adjustRightInd w:val="0"/>
              <w:snapToGrid w:val="0"/>
              <w:jc w:val="center"/>
              <w:rPr>
                <w:b/>
                <w:bCs/>
                <w:color w:val="auto"/>
                <w:sz w:val="24"/>
                <w:highlight w:val="none"/>
              </w:rPr>
            </w:pPr>
          </w:p>
          <w:p>
            <w:pPr>
              <w:widowControl/>
              <w:adjustRightInd w:val="0"/>
              <w:snapToGrid w:val="0"/>
              <w:jc w:val="center"/>
              <w:rPr>
                <w:b/>
                <w:bCs/>
                <w:color w:val="auto"/>
                <w:sz w:val="24"/>
                <w:highlight w:val="none"/>
              </w:rPr>
            </w:pPr>
          </w:p>
          <w:p>
            <w:pPr>
              <w:widowControl/>
              <w:adjustRightInd w:val="0"/>
              <w:snapToGrid w:val="0"/>
              <w:jc w:val="center"/>
              <w:rPr>
                <w:b/>
                <w:bCs/>
                <w:color w:val="auto"/>
                <w:sz w:val="24"/>
                <w:highlight w:val="none"/>
              </w:rPr>
            </w:pPr>
          </w:p>
          <w:p>
            <w:pPr>
              <w:widowControl/>
              <w:adjustRightInd w:val="0"/>
              <w:snapToGrid w:val="0"/>
              <w:jc w:val="center"/>
              <w:rPr>
                <w:b/>
                <w:bCs/>
                <w:color w:val="auto"/>
                <w:sz w:val="24"/>
                <w:highlight w:val="none"/>
              </w:rPr>
            </w:pPr>
            <w:r>
              <w:rPr>
                <w:b/>
                <w:bCs/>
                <w:color w:val="auto"/>
                <w:sz w:val="24"/>
                <w:highlight w:val="none"/>
              </w:rPr>
              <w:t>表</w:t>
            </w:r>
            <w:r>
              <w:rPr>
                <w:rFonts w:hint="eastAsia"/>
                <w:b/>
                <w:bCs/>
                <w:color w:val="auto"/>
                <w:sz w:val="24"/>
                <w:highlight w:val="none"/>
              </w:rPr>
              <w:t>4</w:t>
            </w:r>
            <w:r>
              <w:rPr>
                <w:b/>
                <w:bCs/>
                <w:color w:val="auto"/>
                <w:sz w:val="24"/>
                <w:highlight w:val="none"/>
              </w:rPr>
              <w:t>-</w:t>
            </w:r>
            <w:r>
              <w:rPr>
                <w:rFonts w:hint="eastAsia"/>
                <w:b/>
                <w:bCs/>
                <w:color w:val="auto"/>
                <w:sz w:val="24"/>
                <w:highlight w:val="none"/>
              </w:rPr>
              <w:t>1</w:t>
            </w:r>
            <w:r>
              <w:rPr>
                <w:rFonts w:hint="eastAsia"/>
                <w:b/>
                <w:bCs/>
                <w:color w:val="auto"/>
                <w:sz w:val="24"/>
                <w:highlight w:val="none"/>
                <w:lang w:val="en-US" w:eastAsia="zh-CN"/>
              </w:rPr>
              <w:t>9</w:t>
            </w:r>
            <w:r>
              <w:rPr>
                <w:rFonts w:hint="eastAsia"/>
                <w:b/>
                <w:bCs/>
                <w:color w:val="auto"/>
                <w:sz w:val="24"/>
                <w:highlight w:val="none"/>
              </w:rPr>
              <w:t xml:space="preserve"> </w:t>
            </w:r>
            <w:r>
              <w:rPr>
                <w:b/>
                <w:bCs/>
                <w:color w:val="auto"/>
                <w:sz w:val="24"/>
                <w:highlight w:val="none"/>
              </w:rPr>
              <w:t xml:space="preserve"> </w:t>
            </w:r>
            <w:r>
              <w:rPr>
                <w:rFonts w:hint="eastAsia"/>
                <w:b/>
                <w:bCs/>
                <w:color w:val="auto"/>
                <w:sz w:val="24"/>
                <w:highlight w:val="none"/>
                <w:lang w:val="en-US" w:eastAsia="zh-CN"/>
              </w:rPr>
              <w:t>固体废物贮存场所</w:t>
            </w:r>
            <w:r>
              <w:rPr>
                <w:b/>
                <w:bCs/>
                <w:color w:val="auto"/>
                <w:sz w:val="24"/>
                <w:highlight w:val="none"/>
              </w:rPr>
              <w:t>的环境保护图形标志</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113"/>
              <w:gridCol w:w="1182"/>
              <w:gridCol w:w="991"/>
              <w:gridCol w:w="1221"/>
              <w:gridCol w:w="22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adjustRightInd w:val="0"/>
                    <w:snapToGrid w:val="0"/>
                    <w:jc w:val="center"/>
                    <w:rPr>
                      <w:b/>
                      <w:bCs/>
                      <w:color w:val="auto"/>
                      <w:szCs w:val="21"/>
                      <w:highlight w:val="none"/>
                    </w:rPr>
                  </w:pPr>
                  <w:r>
                    <w:rPr>
                      <w:b/>
                      <w:bCs/>
                      <w:color w:val="auto"/>
                      <w:szCs w:val="21"/>
                      <w:highlight w:val="none"/>
                    </w:rPr>
                    <w:t>排放口名称</w:t>
                  </w:r>
                </w:p>
              </w:tc>
              <w:tc>
                <w:tcPr>
                  <w:tcW w:w="666" w:type="pct"/>
                  <w:vAlign w:val="center"/>
                </w:tcPr>
                <w:p>
                  <w:pPr>
                    <w:adjustRightInd w:val="0"/>
                    <w:snapToGrid w:val="0"/>
                    <w:jc w:val="center"/>
                    <w:rPr>
                      <w:b/>
                      <w:bCs/>
                      <w:color w:val="auto"/>
                      <w:szCs w:val="21"/>
                      <w:highlight w:val="none"/>
                    </w:rPr>
                  </w:pPr>
                  <w:r>
                    <w:rPr>
                      <w:b/>
                      <w:bCs/>
                      <w:color w:val="auto"/>
                      <w:szCs w:val="21"/>
                      <w:highlight w:val="none"/>
                    </w:rPr>
                    <w:t>图形标志</w:t>
                  </w:r>
                </w:p>
              </w:tc>
              <w:tc>
                <w:tcPr>
                  <w:tcW w:w="707" w:type="pct"/>
                  <w:vAlign w:val="center"/>
                </w:tcPr>
                <w:p>
                  <w:pPr>
                    <w:adjustRightInd w:val="0"/>
                    <w:snapToGrid w:val="0"/>
                    <w:jc w:val="center"/>
                    <w:rPr>
                      <w:b/>
                      <w:bCs/>
                      <w:color w:val="auto"/>
                      <w:szCs w:val="21"/>
                      <w:highlight w:val="none"/>
                    </w:rPr>
                  </w:pPr>
                  <w:r>
                    <w:rPr>
                      <w:b/>
                      <w:bCs/>
                      <w:color w:val="auto"/>
                      <w:szCs w:val="21"/>
                      <w:highlight w:val="none"/>
                    </w:rPr>
                    <w:t>形状</w:t>
                  </w:r>
                </w:p>
              </w:tc>
              <w:tc>
                <w:tcPr>
                  <w:tcW w:w="593" w:type="pct"/>
                  <w:vAlign w:val="center"/>
                </w:tcPr>
                <w:p>
                  <w:pPr>
                    <w:adjustRightInd w:val="0"/>
                    <w:snapToGrid w:val="0"/>
                    <w:jc w:val="center"/>
                    <w:rPr>
                      <w:b/>
                      <w:bCs/>
                      <w:color w:val="auto"/>
                      <w:szCs w:val="21"/>
                      <w:highlight w:val="none"/>
                    </w:rPr>
                  </w:pPr>
                  <w:r>
                    <w:rPr>
                      <w:b/>
                      <w:bCs/>
                      <w:color w:val="auto"/>
                      <w:szCs w:val="21"/>
                      <w:highlight w:val="none"/>
                    </w:rPr>
                    <w:t>背景颜色</w:t>
                  </w:r>
                </w:p>
              </w:tc>
              <w:tc>
                <w:tcPr>
                  <w:tcW w:w="730" w:type="pct"/>
                  <w:vAlign w:val="center"/>
                </w:tcPr>
                <w:p>
                  <w:pPr>
                    <w:adjustRightInd w:val="0"/>
                    <w:snapToGrid w:val="0"/>
                    <w:jc w:val="center"/>
                    <w:rPr>
                      <w:b/>
                      <w:bCs/>
                      <w:color w:val="auto"/>
                      <w:szCs w:val="21"/>
                      <w:highlight w:val="none"/>
                    </w:rPr>
                  </w:pPr>
                  <w:r>
                    <w:rPr>
                      <w:b/>
                      <w:bCs/>
                      <w:color w:val="auto"/>
                      <w:szCs w:val="21"/>
                      <w:highlight w:val="none"/>
                    </w:rPr>
                    <w:t>图形颜色</w:t>
                  </w:r>
                </w:p>
              </w:tc>
              <w:tc>
                <w:tcPr>
                  <w:tcW w:w="1366" w:type="pct"/>
                  <w:vAlign w:val="center"/>
                </w:tcPr>
                <w:p>
                  <w:pPr>
                    <w:adjustRightInd w:val="0"/>
                    <w:snapToGrid w:val="0"/>
                    <w:jc w:val="center"/>
                    <w:rPr>
                      <w:b/>
                      <w:bCs/>
                      <w:color w:val="auto"/>
                      <w:szCs w:val="21"/>
                      <w:highlight w:val="none"/>
                    </w:rPr>
                  </w:pPr>
                  <w:r>
                    <w:rPr>
                      <w:b/>
                      <w:bCs/>
                      <w:color w:val="auto"/>
                      <w:szCs w:val="21"/>
                      <w:highlight w:val="none"/>
                    </w:rPr>
                    <w:t>提示图形符号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adjustRightInd w:val="0"/>
                    <w:snapToGrid w:val="0"/>
                    <w:jc w:val="center"/>
                    <w:rPr>
                      <w:color w:val="auto"/>
                      <w:szCs w:val="21"/>
                      <w:highlight w:val="none"/>
                    </w:rPr>
                  </w:pPr>
                  <w:r>
                    <w:rPr>
                      <w:color w:val="auto"/>
                      <w:szCs w:val="21"/>
                      <w:highlight w:val="none"/>
                    </w:rPr>
                    <w:t>一般固废</w:t>
                  </w:r>
                </w:p>
                <w:p>
                  <w:pPr>
                    <w:adjustRightInd w:val="0"/>
                    <w:snapToGrid w:val="0"/>
                    <w:jc w:val="center"/>
                    <w:rPr>
                      <w:color w:val="auto"/>
                      <w:szCs w:val="21"/>
                      <w:highlight w:val="none"/>
                    </w:rPr>
                  </w:pPr>
                  <w:r>
                    <w:rPr>
                      <w:color w:val="auto"/>
                      <w:szCs w:val="21"/>
                      <w:highlight w:val="none"/>
                    </w:rPr>
                    <w:t>暂堆场所</w:t>
                  </w:r>
                </w:p>
              </w:tc>
              <w:tc>
                <w:tcPr>
                  <w:tcW w:w="666" w:type="pct"/>
                  <w:vAlign w:val="center"/>
                </w:tcPr>
                <w:p>
                  <w:pPr>
                    <w:adjustRightInd w:val="0"/>
                    <w:snapToGrid w:val="0"/>
                    <w:jc w:val="center"/>
                    <w:rPr>
                      <w:color w:val="auto"/>
                      <w:szCs w:val="21"/>
                      <w:highlight w:val="none"/>
                    </w:rPr>
                  </w:pPr>
                  <w:r>
                    <w:rPr>
                      <w:color w:val="auto"/>
                      <w:szCs w:val="21"/>
                      <w:highlight w:val="none"/>
                    </w:rPr>
                    <w:t>提示标志</w:t>
                  </w:r>
                </w:p>
              </w:tc>
              <w:tc>
                <w:tcPr>
                  <w:tcW w:w="707" w:type="pct"/>
                  <w:vAlign w:val="center"/>
                </w:tcPr>
                <w:p>
                  <w:pPr>
                    <w:adjustRightInd w:val="0"/>
                    <w:snapToGrid w:val="0"/>
                    <w:jc w:val="center"/>
                    <w:rPr>
                      <w:color w:val="auto"/>
                      <w:szCs w:val="21"/>
                      <w:highlight w:val="none"/>
                    </w:rPr>
                  </w:pPr>
                  <w:r>
                    <w:rPr>
                      <w:color w:val="auto"/>
                      <w:szCs w:val="21"/>
                      <w:highlight w:val="none"/>
                    </w:rPr>
                    <w:t>正方形边框</w:t>
                  </w:r>
                </w:p>
              </w:tc>
              <w:tc>
                <w:tcPr>
                  <w:tcW w:w="593" w:type="pct"/>
                  <w:vAlign w:val="center"/>
                </w:tcPr>
                <w:p>
                  <w:pPr>
                    <w:adjustRightInd w:val="0"/>
                    <w:snapToGrid w:val="0"/>
                    <w:jc w:val="center"/>
                    <w:rPr>
                      <w:color w:val="auto"/>
                      <w:szCs w:val="21"/>
                      <w:highlight w:val="none"/>
                    </w:rPr>
                  </w:pPr>
                  <w:r>
                    <w:rPr>
                      <w:color w:val="auto"/>
                      <w:szCs w:val="21"/>
                      <w:highlight w:val="none"/>
                    </w:rPr>
                    <w:t>绿色</w:t>
                  </w:r>
                </w:p>
              </w:tc>
              <w:tc>
                <w:tcPr>
                  <w:tcW w:w="730" w:type="pct"/>
                  <w:vAlign w:val="center"/>
                </w:tcPr>
                <w:p>
                  <w:pPr>
                    <w:adjustRightInd w:val="0"/>
                    <w:snapToGrid w:val="0"/>
                    <w:jc w:val="center"/>
                    <w:rPr>
                      <w:color w:val="auto"/>
                      <w:szCs w:val="21"/>
                      <w:highlight w:val="none"/>
                    </w:rPr>
                  </w:pPr>
                  <w:r>
                    <w:rPr>
                      <w:color w:val="auto"/>
                      <w:szCs w:val="21"/>
                      <w:highlight w:val="none"/>
                    </w:rPr>
                    <w:t>白色</w:t>
                  </w:r>
                </w:p>
              </w:tc>
              <w:tc>
                <w:tcPr>
                  <w:tcW w:w="1366" w:type="pct"/>
                </w:tcPr>
                <w:p>
                  <w:pPr>
                    <w:adjustRightInd w:val="0"/>
                    <w:snapToGrid w:val="0"/>
                    <w:jc w:val="center"/>
                    <w:rPr>
                      <w:color w:val="auto"/>
                      <w:szCs w:val="21"/>
                      <w:highlight w:val="none"/>
                    </w:rPr>
                  </w:pPr>
                  <w:r>
                    <w:rPr>
                      <w:color w:val="auto"/>
                      <w:szCs w:val="21"/>
                      <w:highlight w:val="none"/>
                    </w:rPr>
                    <w:drawing>
                      <wp:inline distT="0" distB="0" distL="114300" distR="114300">
                        <wp:extent cx="819785" cy="798830"/>
                        <wp:effectExtent l="0" t="0" r="18415" b="1270"/>
                        <wp:docPr id="72" name="图片 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descr="一般固废"/>
                                <pic:cNvPicPr>
                                  <a:picLocks noChangeAspect="1"/>
                                </pic:cNvPicPr>
                              </pic:nvPicPr>
                              <pic:blipFill>
                                <a:blip r:embed="rId21"/>
                                <a:stretch>
                                  <a:fillRect/>
                                </a:stretch>
                              </pic:blipFill>
                              <pic:spPr>
                                <a:xfrm>
                                  <a:off x="0" y="0"/>
                                  <a:ext cx="819785" cy="79883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危险废物贮存、处置场</w:t>
                  </w:r>
                </w:p>
              </w:tc>
              <w:tc>
                <w:tcPr>
                  <w:tcW w:w="666"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警告标志</w:t>
                  </w:r>
                </w:p>
              </w:tc>
              <w:tc>
                <w:tcPr>
                  <w:tcW w:w="707"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三角型边框</w:t>
                  </w:r>
                </w:p>
              </w:tc>
              <w:tc>
                <w:tcPr>
                  <w:tcW w:w="593" w:type="pct"/>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黄色</w:t>
                  </w:r>
                </w:p>
              </w:tc>
              <w:tc>
                <w:tcPr>
                  <w:tcW w:w="730" w:type="pct"/>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黑色</w:t>
                  </w:r>
                </w:p>
              </w:tc>
              <w:tc>
                <w:tcPr>
                  <w:tcW w:w="1366" w:type="pct"/>
                </w:tcPr>
                <w:p>
                  <w:pPr>
                    <w:adjustRightInd w:val="0"/>
                    <w:snapToGrid w:val="0"/>
                    <w:jc w:val="center"/>
                    <w:rPr>
                      <w:rFonts w:hint="eastAsia" w:eastAsia="宋体"/>
                      <w:color w:val="auto"/>
                      <w:szCs w:val="21"/>
                      <w:highlight w:val="none"/>
                      <w:lang w:eastAsia="zh-CN"/>
                    </w:rPr>
                  </w:pPr>
                  <w:r>
                    <w:rPr>
                      <w:rFonts w:hint="eastAsia" w:eastAsia="宋体"/>
                      <w:color w:val="auto"/>
                      <w:szCs w:val="21"/>
                      <w:highlight w:val="none"/>
                      <w:lang w:eastAsia="zh-CN"/>
                    </w:rPr>
                    <w:drawing>
                      <wp:inline distT="0" distB="0" distL="114300" distR="114300">
                        <wp:extent cx="980440" cy="807085"/>
                        <wp:effectExtent l="0" t="0" r="10160" b="12065"/>
                        <wp:docPr id="3" name="图片 3" descr="16805896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589696279"/>
                                <pic:cNvPicPr>
                                  <a:picLocks noChangeAspect="1"/>
                                </pic:cNvPicPr>
                              </pic:nvPicPr>
                              <pic:blipFill>
                                <a:blip r:embed="rId22"/>
                                <a:stretch>
                                  <a:fillRect/>
                                </a:stretch>
                              </pic:blipFill>
                              <pic:spPr>
                                <a:xfrm>
                                  <a:off x="0" y="0"/>
                                  <a:ext cx="980440" cy="807085"/>
                                </a:xfrm>
                                <a:prstGeom prst="rect">
                                  <a:avLst/>
                                </a:prstGeom>
                              </pic:spPr>
                            </pic:pic>
                          </a:graphicData>
                        </a:graphic>
                      </wp:inline>
                    </w:drawing>
                  </w:r>
                </w:p>
              </w:tc>
            </w:tr>
          </w:tbl>
          <w:p>
            <w:pPr>
              <w:spacing w:line="360" w:lineRule="auto"/>
              <w:ind w:firstLine="480" w:firstLineChars="200"/>
              <w:rPr>
                <w:rFonts w:hint="eastAsia"/>
                <w:b w:val="0"/>
                <w:bCs w:val="0"/>
                <w:color w:val="auto"/>
                <w:sz w:val="24"/>
                <w:highlight w:val="none"/>
                <w:lang w:val="en-US" w:eastAsia="zh-CN"/>
              </w:rPr>
            </w:pPr>
            <w:r>
              <w:rPr>
                <w:rFonts w:hint="eastAsia"/>
                <w:b w:val="0"/>
                <w:bCs w:val="0"/>
                <w:color w:val="auto"/>
                <w:sz w:val="24"/>
                <w:highlight w:val="none"/>
                <w:lang w:val="en-US" w:eastAsia="zh-CN"/>
              </w:rPr>
              <w:t>同时，危险废物的容器和包装物，危险废物贮存分区，危险废物贮存设施、利用设施和处置设施等应按照《危险废物识别标志设施技术规范》（HJ1276-2022）和</w:t>
            </w:r>
            <w:r>
              <w:rPr>
                <w:color w:val="auto"/>
                <w:sz w:val="24"/>
                <w:highlight w:val="none"/>
              </w:rPr>
              <w:t>《省生态环境厅关于进一步加强危险废物污染防治工作的实施意见》（苏环办[2019]327号）</w:t>
            </w:r>
            <w:r>
              <w:rPr>
                <w:rFonts w:hint="eastAsia"/>
                <w:color w:val="auto"/>
                <w:highlight w:val="none"/>
              </w:rPr>
              <w:t>、</w:t>
            </w:r>
            <w:r>
              <w:rPr>
                <w:color w:val="auto"/>
                <w:sz w:val="24"/>
                <w:highlight w:val="none"/>
              </w:rPr>
              <w:t>《省生态环境厅关于做好江苏省危险废物全生命周期监控系统上线运行工作的通知》（苏环办[2020]401号）</w:t>
            </w:r>
            <w:r>
              <w:rPr>
                <w:rFonts w:hint="eastAsia"/>
                <w:color w:val="auto"/>
                <w:sz w:val="24"/>
                <w:highlight w:val="none"/>
                <w:lang w:val="en-US" w:eastAsia="zh-CN"/>
              </w:rPr>
              <w:t>等文件要求</w:t>
            </w:r>
            <w:r>
              <w:rPr>
                <w:rFonts w:hint="eastAsia"/>
                <w:b w:val="0"/>
                <w:bCs w:val="0"/>
                <w:color w:val="auto"/>
                <w:sz w:val="24"/>
                <w:highlight w:val="none"/>
                <w:lang w:val="en-US" w:eastAsia="zh-CN"/>
              </w:rPr>
              <w:t>设置环境保护识别标志。</w:t>
            </w:r>
          </w:p>
          <w:p>
            <w:pPr>
              <w:adjustRightInd/>
              <w:snapToGrid/>
              <w:spacing w:before="0" w:beforeLines="0" w:line="360" w:lineRule="auto"/>
              <w:ind w:firstLine="480" w:firstLineChars="200"/>
              <w:rPr>
                <w:rFonts w:eastAsia="宋体"/>
                <w:color w:val="auto"/>
                <w:sz w:val="24"/>
              </w:rPr>
            </w:pPr>
            <w:r>
              <w:rPr>
                <w:rFonts w:eastAsia="宋体"/>
                <w:color w:val="auto"/>
                <w:sz w:val="24"/>
              </w:rPr>
              <w:t>③与苏环办[2019]327号</w:t>
            </w:r>
            <w:r>
              <w:rPr>
                <w:rFonts w:eastAsia="宋体"/>
                <w:color w:val="auto"/>
                <w:kern w:val="2"/>
                <w:sz w:val="24"/>
              </w:rPr>
              <w:t>文相符性分析</w:t>
            </w:r>
          </w:p>
          <w:p>
            <w:pPr>
              <w:spacing w:line="360" w:lineRule="auto"/>
              <w:ind w:firstLine="480" w:firstLineChars="200"/>
              <w:rPr>
                <w:color w:val="auto"/>
                <w:sz w:val="24"/>
              </w:rPr>
            </w:pPr>
            <w:r>
              <w:rPr>
                <w:color w:val="auto"/>
                <w:sz w:val="24"/>
              </w:rPr>
              <w:t>根据《省生态环境厅关于进一步加强危险废物污染防治工作的实施意见》</w:t>
            </w:r>
            <w:r>
              <w:rPr>
                <w:rFonts w:hint="eastAsia"/>
                <w:color w:val="auto"/>
                <w:sz w:val="24"/>
                <w:lang w:eastAsia="zh-CN"/>
              </w:rPr>
              <w:t>（</w:t>
            </w:r>
            <w:r>
              <w:rPr>
                <w:color w:val="auto"/>
                <w:sz w:val="24"/>
              </w:rPr>
              <w:t>苏环办[2019]327号</w:t>
            </w:r>
            <w:r>
              <w:rPr>
                <w:rFonts w:hint="eastAsia"/>
                <w:color w:val="auto"/>
                <w:sz w:val="24"/>
                <w:lang w:eastAsia="zh-CN"/>
              </w:rPr>
              <w:t>）</w:t>
            </w:r>
            <w:r>
              <w:rPr>
                <w:color w:val="auto"/>
                <w:sz w:val="24"/>
              </w:rPr>
              <w:t>，具体要求见下表：</w:t>
            </w:r>
          </w:p>
          <w:p>
            <w:pPr>
              <w:adjustRightInd w:val="0"/>
              <w:snapToGrid w:val="0"/>
              <w:jc w:val="center"/>
              <w:rPr>
                <w:b/>
                <w:bCs/>
                <w:color w:val="auto"/>
                <w:sz w:val="24"/>
              </w:rPr>
            </w:pPr>
            <w:r>
              <w:rPr>
                <w:b/>
                <w:bCs/>
                <w:color w:val="auto"/>
                <w:sz w:val="24"/>
              </w:rPr>
              <w:t>表4-</w:t>
            </w:r>
            <w:r>
              <w:rPr>
                <w:rFonts w:hint="eastAsia"/>
                <w:b/>
                <w:bCs/>
                <w:color w:val="auto"/>
                <w:sz w:val="24"/>
                <w:lang w:val="en-US" w:eastAsia="zh-CN"/>
              </w:rPr>
              <w:t>20</w:t>
            </w:r>
            <w:r>
              <w:rPr>
                <w:b/>
                <w:bCs/>
                <w:color w:val="auto"/>
                <w:sz w:val="24"/>
              </w:rPr>
              <w:t xml:space="preserve">  本项目与苏环办[2019]327号文符合性分析情况一览表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7"/>
              <w:gridCol w:w="3619"/>
              <w:gridCol w:w="3313"/>
              <w:gridCol w:w="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b/>
                      <w:color w:val="auto"/>
                      <w:szCs w:val="21"/>
                    </w:rPr>
                  </w:pPr>
                  <w:r>
                    <w:rPr>
                      <w:b/>
                      <w:color w:val="auto"/>
                      <w:szCs w:val="21"/>
                    </w:rPr>
                    <w:t>序号</w:t>
                  </w:r>
                </w:p>
              </w:tc>
              <w:tc>
                <w:tcPr>
                  <w:tcW w:w="2165" w:type="pct"/>
                  <w:vAlign w:val="center"/>
                </w:tcPr>
                <w:p>
                  <w:pPr>
                    <w:topLinePunct/>
                    <w:adjustRightInd w:val="0"/>
                    <w:snapToGrid w:val="0"/>
                    <w:jc w:val="center"/>
                    <w:rPr>
                      <w:b/>
                      <w:color w:val="auto"/>
                      <w:kern w:val="0"/>
                      <w:szCs w:val="21"/>
                    </w:rPr>
                  </w:pPr>
                  <w:r>
                    <w:rPr>
                      <w:b/>
                      <w:color w:val="auto"/>
                      <w:kern w:val="0"/>
                      <w:szCs w:val="21"/>
                    </w:rPr>
                    <w:t>苏环办[2019]327号文件要求</w:t>
                  </w:r>
                </w:p>
              </w:tc>
              <w:tc>
                <w:tcPr>
                  <w:tcW w:w="1982" w:type="pct"/>
                  <w:vAlign w:val="center"/>
                </w:tcPr>
                <w:p>
                  <w:pPr>
                    <w:topLinePunct/>
                    <w:adjustRightInd w:val="0"/>
                    <w:snapToGrid w:val="0"/>
                    <w:jc w:val="center"/>
                    <w:rPr>
                      <w:b/>
                      <w:color w:val="auto"/>
                      <w:kern w:val="0"/>
                      <w:szCs w:val="21"/>
                    </w:rPr>
                  </w:pPr>
                  <w:r>
                    <w:rPr>
                      <w:b/>
                      <w:color w:val="auto"/>
                      <w:kern w:val="0"/>
                      <w:szCs w:val="21"/>
                    </w:rPr>
                    <w:t>拟实施情况</w:t>
                  </w:r>
                </w:p>
              </w:tc>
              <w:tc>
                <w:tcPr>
                  <w:tcW w:w="524" w:type="pct"/>
                  <w:vAlign w:val="center"/>
                </w:tcPr>
                <w:p>
                  <w:pPr>
                    <w:topLinePunct/>
                    <w:adjustRightInd w:val="0"/>
                    <w:snapToGrid w:val="0"/>
                    <w:jc w:val="center"/>
                    <w:rPr>
                      <w:b/>
                      <w:color w:val="auto"/>
                      <w:kern w:val="0"/>
                      <w:szCs w:val="21"/>
                    </w:rPr>
                  </w:pPr>
                  <w:r>
                    <w:rPr>
                      <w:b/>
                      <w:color w:val="auto"/>
                      <w:kern w:val="0"/>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b/>
                      <w:color w:val="auto"/>
                      <w:szCs w:val="21"/>
                    </w:rPr>
                  </w:pPr>
                  <w:r>
                    <w:rPr>
                      <w:color w:val="auto"/>
                      <w:szCs w:val="21"/>
                    </w:rPr>
                    <w:t>1</w:t>
                  </w:r>
                </w:p>
              </w:tc>
              <w:tc>
                <w:tcPr>
                  <w:tcW w:w="2165" w:type="pct"/>
                  <w:vAlign w:val="center"/>
                </w:tcPr>
                <w:p>
                  <w:pPr>
                    <w:topLinePunct/>
                    <w:adjustRightInd w:val="0"/>
                    <w:snapToGrid w:val="0"/>
                    <w:jc w:val="center"/>
                    <w:rPr>
                      <w:b/>
                      <w:color w:val="auto"/>
                      <w:kern w:val="0"/>
                      <w:szCs w:val="21"/>
                    </w:rPr>
                  </w:pPr>
                  <w:r>
                    <w:rPr>
                      <w:color w:val="auto"/>
                      <w:szCs w:val="21"/>
                    </w:rPr>
                    <w:t>对建设项目危险废物种类、数量、属性、贮存设施、利用或处置方式进行科学分析</w:t>
                  </w:r>
                </w:p>
              </w:tc>
              <w:tc>
                <w:tcPr>
                  <w:tcW w:w="1982" w:type="pct"/>
                  <w:vAlign w:val="center"/>
                </w:tcPr>
                <w:p>
                  <w:pPr>
                    <w:topLinePunct/>
                    <w:adjustRightInd w:val="0"/>
                    <w:snapToGrid w:val="0"/>
                    <w:jc w:val="center"/>
                    <w:rPr>
                      <w:bCs/>
                      <w:color w:val="auto"/>
                      <w:kern w:val="0"/>
                      <w:szCs w:val="21"/>
                    </w:rPr>
                  </w:pPr>
                  <w:r>
                    <w:rPr>
                      <w:bCs/>
                      <w:color w:val="auto"/>
                      <w:kern w:val="0"/>
                      <w:szCs w:val="21"/>
                    </w:rPr>
                    <w:t>本项目产生的危险废物主要有废活性炭</w:t>
                  </w:r>
                  <w:r>
                    <w:rPr>
                      <w:rFonts w:hint="eastAsia"/>
                      <w:bCs/>
                      <w:color w:val="auto"/>
                      <w:kern w:val="0"/>
                      <w:szCs w:val="21"/>
                    </w:rPr>
                    <w:t>、废</w:t>
                  </w:r>
                  <w:r>
                    <w:rPr>
                      <w:rFonts w:hint="eastAsia"/>
                      <w:bCs/>
                      <w:color w:val="auto"/>
                      <w:kern w:val="0"/>
                      <w:szCs w:val="21"/>
                      <w:lang w:eastAsia="zh-CN"/>
                    </w:rPr>
                    <w:t>导热油、废液压</w:t>
                  </w:r>
                  <w:r>
                    <w:rPr>
                      <w:rFonts w:hint="eastAsia"/>
                      <w:bCs/>
                      <w:color w:val="auto"/>
                      <w:kern w:val="0"/>
                      <w:szCs w:val="21"/>
                    </w:rPr>
                    <w:t>油</w:t>
                  </w:r>
                  <w:r>
                    <w:rPr>
                      <w:bCs/>
                      <w:color w:val="auto"/>
                      <w:kern w:val="0"/>
                      <w:szCs w:val="21"/>
                    </w:rPr>
                    <w:t>、废包装桶、废抹布</w:t>
                  </w:r>
                  <w:r>
                    <w:rPr>
                      <w:rFonts w:hint="eastAsia"/>
                      <w:bCs/>
                      <w:color w:val="auto"/>
                      <w:kern w:val="0"/>
                      <w:szCs w:val="21"/>
                    </w:rPr>
                    <w:t>手套</w:t>
                  </w:r>
                  <w:r>
                    <w:rPr>
                      <w:bCs/>
                      <w:color w:val="auto"/>
                      <w:kern w:val="0"/>
                      <w:szCs w:val="21"/>
                    </w:rPr>
                    <w:t>等，本次环评已对项目可能产生的</w:t>
                  </w:r>
                  <w:r>
                    <w:rPr>
                      <w:color w:val="auto"/>
                      <w:szCs w:val="21"/>
                    </w:rPr>
                    <w:t>危险废物种类、数量、属性、贮存设施、利用及处置方式进行了分析描述，详见“主要环境影响和分析”章节</w:t>
                  </w:r>
                </w:p>
              </w:tc>
              <w:tc>
                <w:tcPr>
                  <w:tcW w:w="524" w:type="pct"/>
                  <w:vAlign w:val="center"/>
                </w:tcPr>
                <w:p>
                  <w:pPr>
                    <w:topLinePunct/>
                    <w:adjustRightInd w:val="0"/>
                    <w:snapToGrid w:val="0"/>
                    <w:jc w:val="center"/>
                    <w:rPr>
                      <w:b/>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b/>
                      <w:color w:val="auto"/>
                      <w:szCs w:val="21"/>
                    </w:rPr>
                  </w:pPr>
                  <w:r>
                    <w:rPr>
                      <w:bCs/>
                      <w:color w:val="auto"/>
                      <w:szCs w:val="21"/>
                    </w:rPr>
                    <w:t>2</w:t>
                  </w:r>
                </w:p>
              </w:tc>
              <w:tc>
                <w:tcPr>
                  <w:tcW w:w="2165" w:type="pct"/>
                  <w:vAlign w:val="center"/>
                </w:tcPr>
                <w:p>
                  <w:pPr>
                    <w:topLinePunct/>
                    <w:adjustRightInd w:val="0"/>
                    <w:snapToGrid w:val="0"/>
                    <w:jc w:val="center"/>
                    <w:rPr>
                      <w:b/>
                      <w:color w:val="auto"/>
                      <w:kern w:val="0"/>
                      <w:szCs w:val="21"/>
                    </w:rPr>
                  </w:pPr>
                  <w:r>
                    <w:rPr>
                      <w:color w:val="auto"/>
                      <w:szCs w:val="21"/>
                    </w:rPr>
                    <w:t>对建设项目危险废物的环境影响以及环境风险评价，并提出切实可行的污染防治对策措施</w:t>
                  </w:r>
                </w:p>
              </w:tc>
              <w:tc>
                <w:tcPr>
                  <w:tcW w:w="1982" w:type="pct"/>
                  <w:vAlign w:val="center"/>
                </w:tcPr>
                <w:p>
                  <w:pPr>
                    <w:topLinePunct/>
                    <w:adjustRightInd w:val="0"/>
                    <w:snapToGrid w:val="0"/>
                    <w:jc w:val="center"/>
                    <w:rPr>
                      <w:bCs/>
                      <w:color w:val="auto"/>
                      <w:kern w:val="0"/>
                      <w:szCs w:val="21"/>
                    </w:rPr>
                  </w:pPr>
                  <w:r>
                    <w:rPr>
                      <w:rFonts w:hint="eastAsia"/>
                      <w:bCs/>
                      <w:color w:val="auto"/>
                      <w:kern w:val="0"/>
                      <w:szCs w:val="21"/>
                    </w:rPr>
                    <w:t>废</w:t>
                  </w:r>
                  <w:r>
                    <w:rPr>
                      <w:rFonts w:hint="eastAsia"/>
                      <w:bCs/>
                      <w:color w:val="auto"/>
                      <w:kern w:val="0"/>
                      <w:szCs w:val="21"/>
                      <w:lang w:eastAsia="zh-CN"/>
                    </w:rPr>
                    <w:t>导热油、废液压</w:t>
                  </w:r>
                  <w:r>
                    <w:rPr>
                      <w:rFonts w:hint="eastAsia"/>
                      <w:bCs/>
                      <w:color w:val="auto"/>
                      <w:kern w:val="0"/>
                      <w:szCs w:val="21"/>
                    </w:rPr>
                    <w:t>油等</w:t>
                  </w:r>
                  <w:r>
                    <w:rPr>
                      <w:bCs/>
                      <w:color w:val="auto"/>
                      <w:kern w:val="0"/>
                      <w:szCs w:val="21"/>
                    </w:rPr>
                    <w:t>可能</w:t>
                  </w:r>
                  <w:r>
                    <w:rPr>
                      <w:color w:val="auto"/>
                      <w:szCs w:val="21"/>
                    </w:rPr>
                    <w:t>发生</w:t>
                  </w:r>
                  <w:r>
                    <w:rPr>
                      <w:rFonts w:hint="eastAsia"/>
                      <w:color w:val="auto"/>
                      <w:szCs w:val="21"/>
                    </w:rPr>
                    <w:t>泄漏</w:t>
                  </w:r>
                  <w:r>
                    <w:rPr>
                      <w:color w:val="auto"/>
                      <w:szCs w:val="21"/>
                    </w:rPr>
                    <w:t>，造成环境污染，采用</w:t>
                  </w:r>
                  <w:r>
                    <w:rPr>
                      <w:rFonts w:hint="eastAsia"/>
                      <w:color w:val="auto"/>
                      <w:szCs w:val="21"/>
                    </w:rPr>
                    <w:t>密闭桶</w:t>
                  </w:r>
                  <w:r>
                    <w:rPr>
                      <w:color w:val="auto"/>
                      <w:szCs w:val="21"/>
                    </w:rPr>
                    <w:t>贮存，危废仓库地面采取防渗措施，并设置托盘、收集沟，可基本防止其流失、渗漏。</w:t>
                  </w:r>
                </w:p>
              </w:tc>
              <w:tc>
                <w:tcPr>
                  <w:tcW w:w="524" w:type="pct"/>
                  <w:vAlign w:val="center"/>
                </w:tcPr>
                <w:p>
                  <w:pPr>
                    <w:topLinePunct/>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bCs/>
                      <w:color w:val="auto"/>
                      <w:szCs w:val="21"/>
                    </w:rPr>
                  </w:pPr>
                  <w:r>
                    <w:rPr>
                      <w:bCs/>
                      <w:color w:val="auto"/>
                      <w:szCs w:val="21"/>
                    </w:rPr>
                    <w:t>3</w:t>
                  </w:r>
                </w:p>
              </w:tc>
              <w:tc>
                <w:tcPr>
                  <w:tcW w:w="2165" w:type="pct"/>
                  <w:vAlign w:val="center"/>
                </w:tcPr>
                <w:p>
                  <w:pPr>
                    <w:topLinePunct/>
                    <w:adjustRightInd w:val="0"/>
                    <w:snapToGrid w:val="0"/>
                    <w:jc w:val="center"/>
                    <w:rPr>
                      <w:b/>
                      <w:color w:val="auto"/>
                      <w:kern w:val="0"/>
                      <w:szCs w:val="21"/>
                    </w:rPr>
                  </w:pPr>
                  <w:r>
                    <w:rPr>
                      <w:color w:val="auto"/>
                      <w:szCs w:val="21"/>
                    </w:rPr>
                    <w:t>企业应根据危险废物的种类和特性进行分区、分类贮存</w:t>
                  </w:r>
                </w:p>
              </w:tc>
              <w:tc>
                <w:tcPr>
                  <w:tcW w:w="1982" w:type="pct"/>
                  <w:vAlign w:val="center"/>
                </w:tcPr>
                <w:p>
                  <w:pPr>
                    <w:topLinePunct/>
                    <w:adjustRightInd w:val="0"/>
                    <w:snapToGrid w:val="0"/>
                    <w:jc w:val="center"/>
                    <w:rPr>
                      <w:bCs/>
                      <w:color w:val="auto"/>
                      <w:kern w:val="0"/>
                      <w:szCs w:val="21"/>
                    </w:rPr>
                  </w:pPr>
                  <w:r>
                    <w:rPr>
                      <w:bCs/>
                      <w:color w:val="auto"/>
                      <w:kern w:val="0"/>
                      <w:szCs w:val="21"/>
                    </w:rPr>
                    <w:t>本项目产生的危险废物主要为废活性炭</w:t>
                  </w:r>
                  <w:r>
                    <w:rPr>
                      <w:rFonts w:hint="eastAsia"/>
                      <w:bCs/>
                      <w:color w:val="auto"/>
                      <w:kern w:val="0"/>
                      <w:szCs w:val="21"/>
                    </w:rPr>
                    <w:t>、废</w:t>
                  </w:r>
                  <w:r>
                    <w:rPr>
                      <w:rFonts w:hint="eastAsia"/>
                      <w:bCs/>
                      <w:color w:val="auto"/>
                      <w:kern w:val="0"/>
                      <w:szCs w:val="21"/>
                      <w:lang w:eastAsia="zh-CN"/>
                    </w:rPr>
                    <w:t>导热油、废液压</w:t>
                  </w:r>
                  <w:r>
                    <w:rPr>
                      <w:rFonts w:hint="eastAsia"/>
                      <w:bCs/>
                      <w:color w:val="auto"/>
                      <w:kern w:val="0"/>
                      <w:szCs w:val="21"/>
                    </w:rPr>
                    <w:t>油</w:t>
                  </w:r>
                  <w:r>
                    <w:rPr>
                      <w:bCs/>
                      <w:color w:val="auto"/>
                      <w:kern w:val="0"/>
                      <w:szCs w:val="21"/>
                    </w:rPr>
                    <w:t>、废包装桶、废抹布</w:t>
                  </w:r>
                  <w:r>
                    <w:rPr>
                      <w:rFonts w:hint="eastAsia"/>
                      <w:bCs/>
                      <w:color w:val="auto"/>
                      <w:kern w:val="0"/>
                      <w:szCs w:val="21"/>
                    </w:rPr>
                    <w:t>手套</w:t>
                  </w:r>
                  <w:r>
                    <w:rPr>
                      <w:bCs/>
                      <w:color w:val="auto"/>
                      <w:kern w:val="0"/>
                      <w:szCs w:val="21"/>
                    </w:rPr>
                    <w:t>等，公司设置危废仓库将其分类安全贮存。</w:t>
                  </w:r>
                </w:p>
              </w:tc>
              <w:tc>
                <w:tcPr>
                  <w:tcW w:w="524" w:type="pct"/>
                  <w:vAlign w:val="center"/>
                </w:tcPr>
                <w:p>
                  <w:pPr>
                    <w:topLinePunct/>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bCs/>
                      <w:color w:val="auto"/>
                      <w:szCs w:val="21"/>
                    </w:rPr>
                  </w:pPr>
                  <w:r>
                    <w:rPr>
                      <w:bCs/>
                      <w:color w:val="auto"/>
                      <w:szCs w:val="21"/>
                    </w:rPr>
                    <w:t>4</w:t>
                  </w:r>
                </w:p>
              </w:tc>
              <w:tc>
                <w:tcPr>
                  <w:tcW w:w="2165" w:type="pct"/>
                  <w:vAlign w:val="center"/>
                </w:tcPr>
                <w:p>
                  <w:pPr>
                    <w:topLinePunct/>
                    <w:adjustRightInd w:val="0"/>
                    <w:snapToGrid w:val="0"/>
                    <w:jc w:val="center"/>
                    <w:rPr>
                      <w:b/>
                      <w:color w:val="auto"/>
                      <w:kern w:val="0"/>
                      <w:szCs w:val="21"/>
                    </w:rPr>
                  </w:pPr>
                  <w:r>
                    <w:rPr>
                      <w:color w:val="auto"/>
                      <w:szCs w:val="21"/>
                    </w:rPr>
                    <w:t>危险废物贮存设置防雨、防火、防雷、防扬散、防渗漏装置及泄漏液体收集装置</w:t>
                  </w:r>
                </w:p>
              </w:tc>
              <w:tc>
                <w:tcPr>
                  <w:tcW w:w="1982" w:type="pct"/>
                  <w:vAlign w:val="center"/>
                </w:tcPr>
                <w:p>
                  <w:pPr>
                    <w:topLinePunct/>
                    <w:adjustRightInd w:val="0"/>
                    <w:snapToGrid w:val="0"/>
                    <w:jc w:val="center"/>
                    <w:rPr>
                      <w:bCs/>
                      <w:color w:val="auto"/>
                      <w:kern w:val="0"/>
                      <w:szCs w:val="21"/>
                    </w:rPr>
                  </w:pPr>
                  <w:r>
                    <w:rPr>
                      <w:color w:val="auto"/>
                      <w:szCs w:val="21"/>
                    </w:rPr>
                    <w:t>危废仓库加强管理做好防雨、防火措施，设置防渗漏</w:t>
                  </w:r>
                  <w:r>
                    <w:rPr>
                      <w:rFonts w:hint="eastAsia"/>
                      <w:color w:val="auto"/>
                      <w:szCs w:val="21"/>
                    </w:rPr>
                    <w:t>措施</w:t>
                  </w:r>
                  <w:r>
                    <w:rPr>
                      <w:color w:val="auto"/>
                      <w:szCs w:val="21"/>
                    </w:rPr>
                    <w:t>及泄漏液体收集装置；仓库内</w:t>
                  </w:r>
                  <w:r>
                    <w:rPr>
                      <w:color w:val="auto"/>
                      <w:kern w:val="0"/>
                      <w:szCs w:val="21"/>
                    </w:rPr>
                    <w:t>设禁火标志，配置灭火器等设施。</w:t>
                  </w:r>
                </w:p>
              </w:tc>
              <w:tc>
                <w:tcPr>
                  <w:tcW w:w="524" w:type="pct"/>
                  <w:vAlign w:val="center"/>
                </w:tcPr>
                <w:p>
                  <w:pPr>
                    <w:topLinePunct/>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color w:val="auto"/>
                      <w:szCs w:val="21"/>
                    </w:rPr>
                  </w:pPr>
                  <w:r>
                    <w:rPr>
                      <w:color w:val="auto"/>
                      <w:szCs w:val="21"/>
                    </w:rPr>
                    <w:t>5</w:t>
                  </w:r>
                </w:p>
              </w:tc>
              <w:tc>
                <w:tcPr>
                  <w:tcW w:w="2165" w:type="pct"/>
                  <w:vAlign w:val="center"/>
                </w:tcPr>
                <w:p>
                  <w:pPr>
                    <w:adjustRightInd w:val="0"/>
                    <w:snapToGrid w:val="0"/>
                    <w:jc w:val="center"/>
                    <w:rPr>
                      <w:color w:val="auto"/>
                      <w:szCs w:val="21"/>
                    </w:rPr>
                  </w:pPr>
                  <w:r>
                    <w:rPr>
                      <w:color w:val="auto"/>
                      <w:szCs w:val="21"/>
                    </w:rPr>
                    <w:t>对易爆、易燃及排出有毒气体的危险废物进行预处理，稳定后贮存</w:t>
                  </w:r>
                </w:p>
              </w:tc>
              <w:tc>
                <w:tcPr>
                  <w:tcW w:w="1982" w:type="pct"/>
                  <w:vAlign w:val="center"/>
                </w:tcPr>
                <w:p>
                  <w:pPr>
                    <w:topLinePunct/>
                    <w:adjustRightInd w:val="0"/>
                    <w:snapToGrid w:val="0"/>
                    <w:jc w:val="center"/>
                    <w:rPr>
                      <w:bCs/>
                      <w:color w:val="auto"/>
                      <w:kern w:val="0"/>
                      <w:szCs w:val="21"/>
                    </w:rPr>
                  </w:pPr>
                  <w:r>
                    <w:rPr>
                      <w:rFonts w:hint="eastAsia"/>
                      <w:color w:val="auto"/>
                      <w:kern w:val="0"/>
                      <w:szCs w:val="21"/>
                    </w:rPr>
                    <w:t>本项目不涉及易燃、易爆及排放有毒气体的危险废物</w:t>
                  </w:r>
                </w:p>
              </w:tc>
              <w:tc>
                <w:tcPr>
                  <w:tcW w:w="524" w:type="pct"/>
                  <w:vAlign w:val="center"/>
                </w:tcPr>
                <w:p>
                  <w:pPr>
                    <w:topLinePunct/>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b/>
                      <w:color w:val="auto"/>
                      <w:szCs w:val="21"/>
                    </w:rPr>
                  </w:pPr>
                  <w:r>
                    <w:rPr>
                      <w:bCs/>
                      <w:color w:val="auto"/>
                      <w:szCs w:val="21"/>
                    </w:rPr>
                    <w:t>6</w:t>
                  </w:r>
                </w:p>
              </w:tc>
              <w:tc>
                <w:tcPr>
                  <w:tcW w:w="2165" w:type="pct"/>
                  <w:vAlign w:val="center"/>
                </w:tcPr>
                <w:p>
                  <w:pPr>
                    <w:adjustRightInd w:val="0"/>
                    <w:snapToGrid w:val="0"/>
                    <w:jc w:val="center"/>
                    <w:rPr>
                      <w:color w:val="auto"/>
                      <w:szCs w:val="21"/>
                    </w:rPr>
                  </w:pPr>
                  <w:r>
                    <w:rPr>
                      <w:color w:val="auto"/>
                      <w:szCs w:val="21"/>
                    </w:rPr>
                    <w:t>贮存废弃剧毒化学品的，应按照公安机关要求落实治安防范措施</w:t>
                  </w:r>
                </w:p>
              </w:tc>
              <w:tc>
                <w:tcPr>
                  <w:tcW w:w="1982" w:type="pct"/>
                  <w:vAlign w:val="center"/>
                </w:tcPr>
                <w:p>
                  <w:pPr>
                    <w:topLinePunct/>
                    <w:adjustRightInd w:val="0"/>
                    <w:snapToGrid w:val="0"/>
                    <w:jc w:val="center"/>
                    <w:rPr>
                      <w:bCs/>
                      <w:color w:val="auto"/>
                      <w:kern w:val="0"/>
                      <w:szCs w:val="21"/>
                    </w:rPr>
                  </w:pPr>
                  <w:r>
                    <w:rPr>
                      <w:bCs/>
                      <w:color w:val="auto"/>
                      <w:kern w:val="0"/>
                      <w:szCs w:val="21"/>
                    </w:rPr>
                    <w:t>本项目不涉及废弃剧毒化学品</w:t>
                  </w:r>
                </w:p>
              </w:tc>
              <w:tc>
                <w:tcPr>
                  <w:tcW w:w="524" w:type="pct"/>
                  <w:vAlign w:val="center"/>
                </w:tcPr>
                <w:p>
                  <w:pPr>
                    <w:topLinePunct/>
                    <w:adjustRightInd w:val="0"/>
                    <w:snapToGrid w:val="0"/>
                    <w:jc w:val="center"/>
                    <w:rPr>
                      <w:bCs/>
                      <w:color w:val="auto"/>
                      <w:kern w:val="0"/>
                      <w:szCs w:val="21"/>
                    </w:rPr>
                  </w:pPr>
                  <w:r>
                    <w:rPr>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color w:val="auto"/>
                      <w:szCs w:val="21"/>
                    </w:rPr>
                  </w:pPr>
                  <w:r>
                    <w:rPr>
                      <w:color w:val="auto"/>
                      <w:szCs w:val="21"/>
                    </w:rPr>
                    <w:t>7</w:t>
                  </w:r>
                </w:p>
              </w:tc>
              <w:tc>
                <w:tcPr>
                  <w:tcW w:w="2165" w:type="pct"/>
                  <w:vAlign w:val="center"/>
                </w:tcPr>
                <w:p>
                  <w:pPr>
                    <w:adjustRightInd w:val="0"/>
                    <w:snapToGrid w:val="0"/>
                    <w:jc w:val="center"/>
                    <w:rPr>
                      <w:color w:val="auto"/>
                      <w:szCs w:val="21"/>
                    </w:rPr>
                  </w:pPr>
                  <w:r>
                    <w:rPr>
                      <w:color w:val="auto"/>
                      <w:szCs w:val="21"/>
                    </w:rPr>
                    <w:t>企业严格执行《省生态环境厅关于印发江苏省危险废物贮存规范化管理专项整治行动方案的通知》（苏环办〔2019〕149号）要求，按照《环境保护图形标志固体废物贮存（处置）场》（GB15562.2-1995）和危险废物识别标识设置规范设置标志（具体要求必须符合苏环办[2019]327号附件1“危险废物识别标识规范化设置要求”的规定）</w:t>
                  </w:r>
                </w:p>
              </w:tc>
              <w:tc>
                <w:tcPr>
                  <w:tcW w:w="1982" w:type="pct"/>
                  <w:vAlign w:val="center"/>
                </w:tcPr>
                <w:p>
                  <w:pPr>
                    <w:topLinePunct/>
                    <w:adjustRightInd w:val="0"/>
                    <w:snapToGrid w:val="0"/>
                    <w:jc w:val="center"/>
                    <w:rPr>
                      <w:bCs/>
                      <w:color w:val="auto"/>
                      <w:kern w:val="0"/>
                      <w:szCs w:val="21"/>
                    </w:rPr>
                  </w:pPr>
                  <w:r>
                    <w:rPr>
                      <w:rFonts w:hint="eastAsia"/>
                      <w:color w:val="auto"/>
                      <w:kern w:val="0"/>
                      <w:szCs w:val="21"/>
                    </w:rPr>
                    <w:t>本</w:t>
                  </w:r>
                  <w:r>
                    <w:rPr>
                      <w:color w:val="auto"/>
                      <w:kern w:val="0"/>
                      <w:szCs w:val="21"/>
                    </w:rPr>
                    <w:t>项目建成后将设置危废信息公开栏，危废仓库外墙及各类危险固废贮存处墙面设置贮存设施警示标志牌。</w:t>
                  </w:r>
                </w:p>
              </w:tc>
              <w:tc>
                <w:tcPr>
                  <w:tcW w:w="524" w:type="pct"/>
                  <w:vAlign w:val="center"/>
                </w:tcPr>
                <w:p>
                  <w:pPr>
                    <w:topLinePunct/>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2" w:hRule="atLeast"/>
                <w:jc w:val="center"/>
              </w:trPr>
              <w:tc>
                <w:tcPr>
                  <w:tcW w:w="327" w:type="pct"/>
                  <w:vAlign w:val="center"/>
                </w:tcPr>
                <w:p>
                  <w:pPr>
                    <w:adjustRightInd w:val="0"/>
                    <w:snapToGrid w:val="0"/>
                    <w:jc w:val="center"/>
                    <w:rPr>
                      <w:color w:val="auto"/>
                      <w:szCs w:val="21"/>
                    </w:rPr>
                  </w:pPr>
                  <w:r>
                    <w:rPr>
                      <w:color w:val="auto"/>
                      <w:szCs w:val="21"/>
                    </w:rPr>
                    <w:t>8</w:t>
                  </w:r>
                </w:p>
              </w:tc>
              <w:tc>
                <w:tcPr>
                  <w:tcW w:w="2165" w:type="pct"/>
                  <w:vAlign w:val="center"/>
                </w:tcPr>
                <w:p>
                  <w:pPr>
                    <w:adjustRightInd w:val="0"/>
                    <w:snapToGrid w:val="0"/>
                    <w:jc w:val="center"/>
                    <w:rPr>
                      <w:color w:val="auto"/>
                      <w:szCs w:val="21"/>
                    </w:rPr>
                  </w:pPr>
                  <w:r>
                    <w:rPr>
                      <w:color w:val="auto"/>
                      <w:szCs w:val="21"/>
                    </w:rPr>
                    <w:t>危废仓库须配备通讯设备、照明设施和消防设施</w:t>
                  </w:r>
                </w:p>
              </w:tc>
              <w:tc>
                <w:tcPr>
                  <w:tcW w:w="1982" w:type="pct"/>
                  <w:vAlign w:val="center"/>
                </w:tcPr>
                <w:p>
                  <w:pPr>
                    <w:topLinePunct/>
                    <w:adjustRightInd w:val="0"/>
                    <w:snapToGrid w:val="0"/>
                    <w:jc w:val="center"/>
                    <w:rPr>
                      <w:bCs/>
                      <w:color w:val="auto"/>
                      <w:kern w:val="0"/>
                      <w:szCs w:val="21"/>
                    </w:rPr>
                  </w:pPr>
                  <w:r>
                    <w:rPr>
                      <w:color w:val="auto"/>
                      <w:szCs w:val="21"/>
                    </w:rPr>
                    <w:t>危废仓库</w:t>
                  </w:r>
                  <w:r>
                    <w:rPr>
                      <w:rFonts w:hint="eastAsia"/>
                      <w:color w:val="auto"/>
                      <w:szCs w:val="21"/>
                    </w:rPr>
                    <w:t>拟</w:t>
                  </w:r>
                  <w:r>
                    <w:rPr>
                      <w:color w:val="auto"/>
                      <w:szCs w:val="21"/>
                    </w:rPr>
                    <w:t>配备通讯设备、照明设施和</w:t>
                  </w:r>
                  <w:r>
                    <w:rPr>
                      <w:color w:val="auto"/>
                      <w:kern w:val="0"/>
                      <w:szCs w:val="21"/>
                    </w:rPr>
                    <w:t>禁火标志、灭火器等</w:t>
                  </w:r>
                </w:p>
              </w:tc>
              <w:tc>
                <w:tcPr>
                  <w:tcW w:w="524" w:type="pct"/>
                  <w:vAlign w:val="center"/>
                </w:tcPr>
                <w:p>
                  <w:pPr>
                    <w:topLinePunct/>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color w:val="auto"/>
                      <w:szCs w:val="21"/>
                    </w:rPr>
                  </w:pPr>
                  <w:r>
                    <w:rPr>
                      <w:color w:val="auto"/>
                      <w:szCs w:val="21"/>
                    </w:rPr>
                    <w:t>9</w:t>
                  </w:r>
                </w:p>
              </w:tc>
              <w:tc>
                <w:tcPr>
                  <w:tcW w:w="2165" w:type="pct"/>
                  <w:vAlign w:val="center"/>
                </w:tcPr>
                <w:p>
                  <w:pPr>
                    <w:widowControl/>
                    <w:adjustRightInd w:val="0"/>
                    <w:snapToGrid w:val="0"/>
                    <w:jc w:val="center"/>
                    <w:rPr>
                      <w:color w:val="auto"/>
                      <w:szCs w:val="21"/>
                    </w:rPr>
                  </w:pPr>
                  <w:r>
                    <w:rPr>
                      <w:color w:val="auto"/>
                      <w:kern w:val="0"/>
                      <w:szCs w:val="21"/>
                    </w:rPr>
                    <w:t>危险废物仓库须设置气体导出口及气体净化装置，确保废气达标排放</w:t>
                  </w:r>
                </w:p>
              </w:tc>
              <w:tc>
                <w:tcPr>
                  <w:tcW w:w="1982" w:type="pct"/>
                  <w:vAlign w:val="center"/>
                </w:tcPr>
                <w:p>
                  <w:pPr>
                    <w:widowControl/>
                    <w:adjustRightInd w:val="0"/>
                    <w:snapToGrid w:val="0"/>
                    <w:jc w:val="center"/>
                    <w:rPr>
                      <w:color w:val="auto"/>
                      <w:szCs w:val="21"/>
                    </w:rPr>
                  </w:pPr>
                  <w:r>
                    <w:rPr>
                      <w:rFonts w:hint="eastAsia"/>
                      <w:color w:val="auto"/>
                      <w:kern w:val="0"/>
                      <w:szCs w:val="21"/>
                    </w:rPr>
                    <w:t>本项目</w:t>
                  </w:r>
                  <w:r>
                    <w:rPr>
                      <w:color w:val="auto"/>
                      <w:kern w:val="0"/>
                      <w:szCs w:val="21"/>
                    </w:rPr>
                    <w:t>产生的危险废物均</w:t>
                  </w:r>
                  <w:r>
                    <w:rPr>
                      <w:rFonts w:hint="eastAsia"/>
                      <w:color w:val="auto"/>
                      <w:kern w:val="0"/>
                      <w:szCs w:val="21"/>
                      <w:lang w:eastAsia="zh-CN"/>
                    </w:rPr>
                    <w:t>使用包装袋</w:t>
                  </w:r>
                  <w:r>
                    <w:rPr>
                      <w:rFonts w:hint="eastAsia"/>
                      <w:color w:val="auto"/>
                      <w:kern w:val="0"/>
                      <w:szCs w:val="21"/>
                      <w:lang w:val="en-US" w:eastAsia="zh-CN"/>
                    </w:rPr>
                    <w:t>（桶）</w:t>
                  </w:r>
                  <w:r>
                    <w:rPr>
                      <w:rFonts w:hint="eastAsia"/>
                      <w:color w:val="auto"/>
                      <w:kern w:val="0"/>
                      <w:szCs w:val="21"/>
                    </w:rPr>
                    <w:t>密闭</w:t>
                  </w:r>
                  <w:r>
                    <w:rPr>
                      <w:color w:val="auto"/>
                      <w:kern w:val="0"/>
                      <w:szCs w:val="21"/>
                    </w:rPr>
                    <w:t>贮存，</w:t>
                  </w:r>
                  <w:r>
                    <w:rPr>
                      <w:rFonts w:hint="eastAsia"/>
                      <w:color w:val="auto"/>
                      <w:kern w:val="0"/>
                      <w:szCs w:val="21"/>
                      <w:lang w:eastAsia="zh-CN"/>
                    </w:rPr>
                    <w:t>产生</w:t>
                  </w:r>
                  <w:r>
                    <w:rPr>
                      <w:rFonts w:hint="eastAsia"/>
                      <w:color w:val="auto"/>
                      <w:kern w:val="0"/>
                      <w:szCs w:val="21"/>
                      <w:lang w:val="en-US" w:eastAsia="zh-CN"/>
                    </w:rPr>
                    <w:t>废气量极小，</w:t>
                  </w:r>
                  <w:r>
                    <w:rPr>
                      <w:rFonts w:hint="eastAsia"/>
                      <w:color w:val="auto"/>
                      <w:kern w:val="0"/>
                      <w:szCs w:val="21"/>
                      <w:lang w:eastAsia="zh-CN"/>
                    </w:rPr>
                    <w:t>企业为</w:t>
                  </w:r>
                  <w:r>
                    <w:rPr>
                      <w:rFonts w:hint="eastAsia"/>
                      <w:color w:val="auto"/>
                      <w:kern w:val="0"/>
                      <w:szCs w:val="21"/>
                    </w:rPr>
                    <w:t>响应《危险废物贮存污染控制标准》要求，</w:t>
                  </w:r>
                  <w:r>
                    <w:rPr>
                      <w:rFonts w:hint="eastAsia"/>
                      <w:color w:val="auto"/>
                      <w:kern w:val="0"/>
                      <w:szCs w:val="21"/>
                      <w:lang w:val="en-US" w:eastAsia="zh-CN"/>
                    </w:rPr>
                    <w:t>引入二级活性炭处理后排放</w:t>
                  </w:r>
                  <w:r>
                    <w:rPr>
                      <w:rFonts w:hint="eastAsia"/>
                      <w:color w:val="auto"/>
                      <w:kern w:val="0"/>
                      <w:szCs w:val="21"/>
                    </w:rPr>
                    <w:t>。</w:t>
                  </w:r>
                </w:p>
              </w:tc>
              <w:tc>
                <w:tcPr>
                  <w:tcW w:w="524" w:type="pct"/>
                  <w:vAlign w:val="center"/>
                </w:tcPr>
                <w:p>
                  <w:pPr>
                    <w:widowControl/>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color w:val="auto"/>
                      <w:szCs w:val="21"/>
                    </w:rPr>
                  </w:pPr>
                  <w:r>
                    <w:rPr>
                      <w:color w:val="auto"/>
                      <w:szCs w:val="21"/>
                    </w:rPr>
                    <w:t>10</w:t>
                  </w:r>
                </w:p>
              </w:tc>
              <w:tc>
                <w:tcPr>
                  <w:tcW w:w="2165" w:type="pct"/>
                  <w:vAlign w:val="center"/>
                </w:tcPr>
                <w:p>
                  <w:pPr>
                    <w:adjustRightInd w:val="0"/>
                    <w:snapToGrid w:val="0"/>
                    <w:jc w:val="center"/>
                    <w:rPr>
                      <w:color w:val="auto"/>
                      <w:szCs w:val="21"/>
                    </w:rPr>
                  </w:pPr>
                  <w:r>
                    <w:rPr>
                      <w:color w:val="auto"/>
                      <w:szCs w:val="21"/>
                    </w:rPr>
                    <w:t>在危险废物仓库出入口、设施内部、危险废物运输车辆通道等关键位置按照危险废物贮存设施视频监控布设要求设置视频监控，并与中控室联网（具体要求必须符合苏环办[2019]327号附件2“危险废物贮存设施视频监控布设要求”的规定）</w:t>
                  </w:r>
                </w:p>
              </w:tc>
              <w:tc>
                <w:tcPr>
                  <w:tcW w:w="1982" w:type="pct"/>
                  <w:vAlign w:val="center"/>
                </w:tcPr>
                <w:p>
                  <w:pPr>
                    <w:topLinePunct/>
                    <w:adjustRightInd w:val="0"/>
                    <w:snapToGrid w:val="0"/>
                    <w:jc w:val="center"/>
                    <w:rPr>
                      <w:bCs/>
                      <w:color w:val="auto"/>
                      <w:kern w:val="0"/>
                      <w:szCs w:val="21"/>
                    </w:rPr>
                  </w:pPr>
                  <w:r>
                    <w:rPr>
                      <w:color w:val="auto"/>
                      <w:szCs w:val="21"/>
                    </w:rPr>
                    <w:t>项目建成后将在危险废物仓库出入口、设施内部、危险废物运输车辆通道等关键位置按照危险废物贮存设施视频监控布设要求设置视频监控，并与中控室联网。</w:t>
                  </w:r>
                </w:p>
              </w:tc>
              <w:tc>
                <w:tcPr>
                  <w:tcW w:w="524" w:type="pct"/>
                  <w:vAlign w:val="center"/>
                </w:tcPr>
                <w:p>
                  <w:pPr>
                    <w:topLinePunct/>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7" w:type="pct"/>
                  <w:vAlign w:val="center"/>
                </w:tcPr>
                <w:p>
                  <w:pPr>
                    <w:adjustRightInd w:val="0"/>
                    <w:snapToGrid w:val="0"/>
                    <w:jc w:val="center"/>
                    <w:rPr>
                      <w:color w:val="auto"/>
                      <w:szCs w:val="21"/>
                    </w:rPr>
                  </w:pPr>
                  <w:r>
                    <w:rPr>
                      <w:color w:val="auto"/>
                      <w:szCs w:val="21"/>
                    </w:rPr>
                    <w:t>11</w:t>
                  </w:r>
                </w:p>
              </w:tc>
              <w:tc>
                <w:tcPr>
                  <w:tcW w:w="2165" w:type="pct"/>
                  <w:vAlign w:val="center"/>
                </w:tcPr>
                <w:p>
                  <w:pPr>
                    <w:adjustRightInd w:val="0"/>
                    <w:snapToGrid w:val="0"/>
                    <w:jc w:val="center"/>
                    <w:rPr>
                      <w:color w:val="auto"/>
                      <w:szCs w:val="21"/>
                    </w:rPr>
                  </w:pPr>
                  <w:r>
                    <w:rPr>
                      <w:color w:val="auto"/>
                      <w:szCs w:val="21"/>
                    </w:rPr>
                    <w:t>环评文件中涉及有副产品内容的，应严格对照《固体废物鉴别标准通则》（GB34330-2017），依据其产生来源、利用和处置过程等进行鉴别，禁止以副产品的名义逃避监管。</w:t>
                  </w:r>
                </w:p>
              </w:tc>
              <w:tc>
                <w:tcPr>
                  <w:tcW w:w="1982" w:type="pct"/>
                  <w:vAlign w:val="center"/>
                </w:tcPr>
                <w:p>
                  <w:pPr>
                    <w:topLinePunct/>
                    <w:adjustRightInd w:val="0"/>
                    <w:snapToGrid w:val="0"/>
                    <w:jc w:val="center"/>
                    <w:rPr>
                      <w:bCs/>
                      <w:color w:val="auto"/>
                      <w:kern w:val="0"/>
                      <w:szCs w:val="21"/>
                    </w:rPr>
                  </w:pPr>
                  <w:r>
                    <w:rPr>
                      <w:bCs/>
                      <w:color w:val="auto"/>
                      <w:kern w:val="0"/>
                      <w:szCs w:val="21"/>
                    </w:rPr>
                    <w:t>本次环评已对项目可能产生的</w:t>
                  </w:r>
                  <w:r>
                    <w:rPr>
                      <w:color w:val="auto"/>
                      <w:szCs w:val="21"/>
                    </w:rPr>
                    <w:t>副产物，</w:t>
                  </w:r>
                  <w:r>
                    <w:rPr>
                      <w:color w:val="auto"/>
                      <w:kern w:val="0"/>
                      <w:szCs w:val="21"/>
                    </w:rPr>
                    <w:t>均对照《固体废物鉴别标准通则》（GB34330-2017）进行分析，</w:t>
                  </w:r>
                  <w:r>
                    <w:rPr>
                      <w:color w:val="auto"/>
                      <w:szCs w:val="21"/>
                    </w:rPr>
                    <w:t>依据其产生来源、利用和处置过程等进行鉴别，</w:t>
                  </w:r>
                  <w:r>
                    <w:rPr>
                      <w:color w:val="auto"/>
                      <w:kern w:val="0"/>
                      <w:szCs w:val="21"/>
                    </w:rPr>
                    <w:t>定位为固体废物，不属于副产品，</w:t>
                  </w:r>
                  <w:r>
                    <w:rPr>
                      <w:color w:val="auto"/>
                      <w:szCs w:val="21"/>
                    </w:rPr>
                    <w:t>详见“主要环境影响和分析”章节。</w:t>
                  </w:r>
                </w:p>
              </w:tc>
              <w:tc>
                <w:tcPr>
                  <w:tcW w:w="524" w:type="pct"/>
                  <w:vAlign w:val="center"/>
                </w:tcPr>
                <w:p>
                  <w:pPr>
                    <w:topLinePunct/>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27" w:type="pct"/>
                  <w:vAlign w:val="center"/>
                </w:tcPr>
                <w:p>
                  <w:pPr>
                    <w:adjustRightInd w:val="0"/>
                    <w:snapToGrid w:val="0"/>
                    <w:jc w:val="center"/>
                    <w:rPr>
                      <w:color w:val="auto"/>
                      <w:szCs w:val="21"/>
                    </w:rPr>
                  </w:pPr>
                  <w:r>
                    <w:rPr>
                      <w:color w:val="auto"/>
                      <w:szCs w:val="21"/>
                    </w:rPr>
                    <w:t>12</w:t>
                  </w:r>
                </w:p>
              </w:tc>
              <w:tc>
                <w:tcPr>
                  <w:tcW w:w="2165" w:type="pct"/>
                  <w:vAlign w:val="center"/>
                </w:tcPr>
                <w:p>
                  <w:pPr>
                    <w:widowControl/>
                    <w:adjustRightInd w:val="0"/>
                    <w:snapToGrid w:val="0"/>
                    <w:jc w:val="center"/>
                    <w:rPr>
                      <w:color w:val="auto"/>
                      <w:szCs w:val="21"/>
                    </w:rPr>
                  </w:pPr>
                  <w:r>
                    <w:rPr>
                      <w:color w:val="auto"/>
                      <w:kern w:val="0"/>
                      <w:szCs w:val="21"/>
                    </w:rPr>
                    <w:t>贮存易爆、易燃及排出有毒气体的危险废物贮存设施应按照应急管理、消防、规划建设等相关职能部门的要求办理相关手续</w:t>
                  </w:r>
                </w:p>
              </w:tc>
              <w:tc>
                <w:tcPr>
                  <w:tcW w:w="1982" w:type="pct"/>
                  <w:vAlign w:val="center"/>
                </w:tcPr>
                <w:p>
                  <w:pPr>
                    <w:widowControl/>
                    <w:adjustRightInd w:val="0"/>
                    <w:snapToGrid w:val="0"/>
                    <w:jc w:val="center"/>
                    <w:rPr>
                      <w:bCs/>
                      <w:color w:val="auto"/>
                      <w:kern w:val="0"/>
                      <w:szCs w:val="21"/>
                    </w:rPr>
                  </w:pPr>
                  <w:r>
                    <w:rPr>
                      <w:rFonts w:hint="eastAsia"/>
                      <w:color w:val="auto"/>
                      <w:kern w:val="0"/>
                      <w:szCs w:val="21"/>
                    </w:rPr>
                    <w:t>本项目不涉及易燃、易爆及挥发有毒气体的危险废物</w:t>
                  </w:r>
                </w:p>
              </w:tc>
              <w:tc>
                <w:tcPr>
                  <w:tcW w:w="524" w:type="pct"/>
                  <w:vAlign w:val="center"/>
                </w:tcPr>
                <w:p>
                  <w:pPr>
                    <w:widowControl/>
                    <w:adjustRightInd w:val="0"/>
                    <w:snapToGrid w:val="0"/>
                    <w:jc w:val="center"/>
                    <w:rPr>
                      <w:bCs/>
                      <w:color w:val="auto"/>
                      <w:kern w:val="0"/>
                      <w:szCs w:val="21"/>
                    </w:rPr>
                  </w:pPr>
                  <w:r>
                    <w:rPr>
                      <w:bCs/>
                      <w:color w:val="auto"/>
                      <w:kern w:val="0"/>
                      <w:szCs w:val="21"/>
                    </w:rPr>
                    <w:t>符合</w:t>
                  </w:r>
                </w:p>
              </w:tc>
            </w:tr>
          </w:tbl>
          <w:p>
            <w:pPr>
              <w:adjustRightInd w:val="0"/>
              <w:snapToGrid w:val="0"/>
              <w:spacing w:before="120" w:beforeLines="50" w:line="360" w:lineRule="auto"/>
              <w:ind w:firstLine="480" w:firstLineChars="200"/>
              <w:rPr>
                <w:color w:val="auto"/>
                <w:kern w:val="0"/>
                <w:sz w:val="24"/>
              </w:rPr>
            </w:pPr>
            <w:r>
              <w:rPr>
                <w:color w:val="auto"/>
                <w:sz w:val="24"/>
              </w:rPr>
              <w:t>④运输过程的环境影响分析</w:t>
            </w:r>
          </w:p>
          <w:p>
            <w:pPr>
              <w:pStyle w:val="80"/>
              <w:adjustRightInd w:val="0"/>
              <w:snapToGrid w:val="0"/>
              <w:rPr>
                <w:rFonts w:ascii="Times New Roman" w:hAnsi="Times New Roman" w:eastAsia="宋体"/>
                <w:color w:val="auto"/>
              </w:rPr>
            </w:pPr>
            <w:r>
              <w:rPr>
                <w:rFonts w:ascii="Times New Roman" w:hAnsi="Times New Roman" w:eastAsia="宋体"/>
                <w:color w:val="auto"/>
              </w:rPr>
              <w:t>危险废物的收集、运输按照《危险废物收集、贮存、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采取以上措施后，运输过程中对环境影响较小。</w:t>
            </w:r>
          </w:p>
          <w:p>
            <w:pPr>
              <w:adjustRightInd w:val="0"/>
              <w:snapToGrid w:val="0"/>
              <w:spacing w:line="360" w:lineRule="auto"/>
              <w:ind w:firstLine="480" w:firstLineChars="200"/>
              <w:rPr>
                <w:color w:val="auto"/>
                <w:sz w:val="24"/>
              </w:rPr>
            </w:pPr>
            <w:r>
              <w:rPr>
                <w:color w:val="auto"/>
                <w:sz w:val="24"/>
              </w:rPr>
              <w:t>建设单位须针对此对员工进行培训，加强安全生产及防止污染的意识，培训通过后方可上岗，对于固体废弃物的收集、运输要实施专人专职管理制度并建立好台账。</w:t>
            </w:r>
          </w:p>
          <w:p>
            <w:pPr>
              <w:adjustRightInd w:val="0"/>
              <w:snapToGrid w:val="0"/>
              <w:spacing w:line="360" w:lineRule="auto"/>
              <w:ind w:firstLine="480" w:firstLineChars="200"/>
              <w:rPr>
                <w:color w:val="auto"/>
                <w:sz w:val="24"/>
              </w:rPr>
            </w:pPr>
            <w:r>
              <w:rPr>
                <w:color w:val="auto"/>
                <w:sz w:val="24"/>
              </w:rPr>
              <w:t>综上所述，建设项目固废采取上述治理措施后，各类固废均能得到合理处置，不产生二次污染，不会对周围环境产生影响。</w:t>
            </w:r>
          </w:p>
          <w:p>
            <w:pPr>
              <w:adjustRightInd w:val="0"/>
              <w:snapToGrid w:val="0"/>
              <w:spacing w:line="360" w:lineRule="auto"/>
              <w:rPr>
                <w:b/>
                <w:bCs/>
                <w:color w:val="auto"/>
                <w:kern w:val="0"/>
                <w:sz w:val="24"/>
              </w:rPr>
            </w:pPr>
            <w:r>
              <w:rPr>
                <w:b/>
                <w:bCs/>
                <w:color w:val="auto"/>
                <w:kern w:val="0"/>
                <w:sz w:val="24"/>
              </w:rPr>
              <w:t>5、地下水、土壤</w:t>
            </w:r>
          </w:p>
          <w:p>
            <w:pPr>
              <w:snapToGrid w:val="0"/>
              <w:spacing w:line="360" w:lineRule="auto"/>
              <w:ind w:firstLine="480" w:firstLineChars="200"/>
              <w:rPr>
                <w:color w:val="auto"/>
                <w:sz w:val="24"/>
              </w:rPr>
            </w:pPr>
            <w:r>
              <w:rPr>
                <w:color w:val="auto"/>
                <w:sz w:val="24"/>
              </w:rPr>
              <w:t>（1）污染源分析</w:t>
            </w:r>
          </w:p>
          <w:p>
            <w:pPr>
              <w:snapToGrid w:val="0"/>
              <w:spacing w:line="360" w:lineRule="auto"/>
              <w:ind w:firstLine="480" w:firstLineChars="200"/>
              <w:rPr>
                <w:color w:val="auto"/>
                <w:sz w:val="24"/>
              </w:rPr>
            </w:pPr>
            <w:r>
              <w:rPr>
                <w:color w:val="auto"/>
                <w:sz w:val="24"/>
              </w:rPr>
              <w:t>土壤是复杂的三相共存体系，其污染物质主要通过被污染大气的沉降、工业废水的漫流和入渗、以及固体废物通过大气迁移、扩散、沉降或降水淋溶、地表径流等而进入土壤环境。</w:t>
            </w:r>
          </w:p>
          <w:p>
            <w:pPr>
              <w:adjustRightInd w:val="0"/>
              <w:snapToGrid w:val="0"/>
              <w:spacing w:line="360" w:lineRule="auto"/>
              <w:ind w:firstLine="480" w:firstLineChars="200"/>
              <w:rPr>
                <w:color w:val="auto"/>
                <w:sz w:val="24"/>
              </w:rPr>
            </w:pPr>
            <w:r>
              <w:rPr>
                <w:color w:val="auto"/>
                <w:sz w:val="24"/>
              </w:rPr>
              <w:t>本项目废气经合理处置后达标排放；原料存储于室内原料仓库，固废堆放于室内一般固废仓库、危废仓库，合理分类收集堆放，均满足“防风、防雨、防晒”的要求，且采取有效防渗措施，防止降水淋溶、地表径流，因此本项目正常运营情况下对土壤和地下水基本无影响。</w:t>
            </w:r>
          </w:p>
          <w:p>
            <w:pPr>
              <w:snapToGrid w:val="0"/>
              <w:spacing w:line="360" w:lineRule="auto"/>
              <w:ind w:firstLine="480" w:firstLineChars="200"/>
              <w:rPr>
                <w:color w:val="auto"/>
                <w:sz w:val="24"/>
              </w:rPr>
            </w:pPr>
            <w:r>
              <w:rPr>
                <w:color w:val="auto"/>
                <w:sz w:val="24"/>
              </w:rPr>
              <w:t>（2）防治措施</w:t>
            </w:r>
          </w:p>
          <w:p>
            <w:pPr>
              <w:adjustRightInd w:val="0"/>
              <w:snapToGrid w:val="0"/>
              <w:spacing w:line="360" w:lineRule="auto"/>
              <w:ind w:firstLine="480" w:firstLineChars="200"/>
              <w:rPr>
                <w:color w:val="auto"/>
                <w:sz w:val="24"/>
              </w:rPr>
            </w:pPr>
            <w:r>
              <w:rPr>
                <w:color w:val="auto"/>
                <w:sz w:val="24"/>
              </w:rPr>
              <w:t>本项目</w:t>
            </w:r>
            <w:r>
              <w:rPr>
                <w:rFonts w:hint="eastAsia"/>
                <w:color w:val="auto"/>
                <w:sz w:val="24"/>
              </w:rPr>
              <w:t>分区防渗要求</w:t>
            </w:r>
            <w:r>
              <w:rPr>
                <w:color w:val="auto"/>
                <w:sz w:val="24"/>
              </w:rPr>
              <w:t>如下表。</w:t>
            </w:r>
          </w:p>
          <w:p>
            <w:pPr>
              <w:jc w:val="center"/>
              <w:rPr>
                <w:color w:val="auto"/>
                <w:szCs w:val="21"/>
              </w:rPr>
            </w:pPr>
            <w:r>
              <w:rPr>
                <w:b/>
                <w:bCs/>
                <w:color w:val="auto"/>
                <w:sz w:val="24"/>
              </w:rPr>
              <w:t>表4-</w:t>
            </w:r>
            <w:r>
              <w:rPr>
                <w:rFonts w:hint="eastAsia"/>
                <w:b/>
                <w:bCs/>
                <w:color w:val="auto"/>
                <w:sz w:val="24"/>
                <w:lang w:val="en-US" w:eastAsia="zh-CN"/>
              </w:rPr>
              <w:t>21</w:t>
            </w:r>
            <w:r>
              <w:rPr>
                <w:b/>
                <w:bCs/>
                <w:color w:val="auto"/>
                <w:sz w:val="24"/>
              </w:rPr>
              <w:t xml:space="preserve">  本项目分区防渗要求</w:t>
            </w:r>
          </w:p>
          <w:tbl>
            <w:tblPr>
              <w:tblStyle w:val="28"/>
              <w:tblW w:w="49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050"/>
              <w:gridCol w:w="5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4" w:type="pct"/>
                  <w:vAlign w:val="center"/>
                </w:tcPr>
                <w:p>
                  <w:pPr>
                    <w:jc w:val="center"/>
                    <w:rPr>
                      <w:b/>
                      <w:color w:val="auto"/>
                      <w:szCs w:val="21"/>
                    </w:rPr>
                  </w:pPr>
                  <w:r>
                    <w:rPr>
                      <w:b/>
                      <w:color w:val="auto"/>
                      <w:szCs w:val="21"/>
                    </w:rPr>
                    <w:t>序号</w:t>
                  </w:r>
                </w:p>
              </w:tc>
              <w:tc>
                <w:tcPr>
                  <w:tcW w:w="1242" w:type="pct"/>
                  <w:vAlign w:val="center"/>
                </w:tcPr>
                <w:p>
                  <w:pPr>
                    <w:jc w:val="center"/>
                    <w:rPr>
                      <w:b/>
                      <w:color w:val="auto"/>
                      <w:szCs w:val="21"/>
                    </w:rPr>
                  </w:pPr>
                  <w:r>
                    <w:rPr>
                      <w:b/>
                      <w:color w:val="auto"/>
                      <w:szCs w:val="21"/>
                    </w:rPr>
                    <w:t>防渗分区</w:t>
                  </w:r>
                </w:p>
              </w:tc>
              <w:tc>
                <w:tcPr>
                  <w:tcW w:w="3304" w:type="pct"/>
                  <w:vAlign w:val="center"/>
                </w:tcPr>
                <w:p>
                  <w:pPr>
                    <w:jc w:val="center"/>
                    <w:rPr>
                      <w:b/>
                      <w:color w:val="auto"/>
                      <w:szCs w:val="21"/>
                    </w:rPr>
                  </w:pPr>
                  <w:r>
                    <w:rPr>
                      <w:b/>
                      <w:bCs/>
                      <w:color w:val="auto"/>
                      <w:szCs w:val="21"/>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4" w:type="pct"/>
                  <w:vAlign w:val="center"/>
                </w:tcPr>
                <w:p>
                  <w:pPr>
                    <w:snapToGrid w:val="0"/>
                    <w:jc w:val="center"/>
                    <w:rPr>
                      <w:color w:val="auto"/>
                      <w:szCs w:val="21"/>
                    </w:rPr>
                  </w:pPr>
                  <w:r>
                    <w:rPr>
                      <w:color w:val="auto"/>
                      <w:szCs w:val="21"/>
                    </w:rPr>
                    <w:t>1</w:t>
                  </w:r>
                </w:p>
              </w:tc>
              <w:tc>
                <w:tcPr>
                  <w:tcW w:w="1242" w:type="pct"/>
                  <w:vAlign w:val="center"/>
                </w:tcPr>
                <w:p>
                  <w:pPr>
                    <w:adjustRightInd w:val="0"/>
                    <w:snapToGrid w:val="0"/>
                    <w:jc w:val="center"/>
                    <w:rPr>
                      <w:color w:val="auto"/>
                      <w:szCs w:val="21"/>
                    </w:rPr>
                  </w:pPr>
                  <w:r>
                    <w:rPr>
                      <w:rFonts w:hint="eastAsia"/>
                      <w:color w:val="auto"/>
                      <w:szCs w:val="21"/>
                    </w:rPr>
                    <w:t>车间一（</w:t>
                  </w:r>
                  <w:r>
                    <w:rPr>
                      <w:color w:val="auto"/>
                      <w:szCs w:val="21"/>
                    </w:rPr>
                    <w:t>原料仓库、</w:t>
                  </w:r>
                  <w:r>
                    <w:rPr>
                      <w:rFonts w:hint="eastAsia"/>
                      <w:color w:val="auto"/>
                      <w:szCs w:val="21"/>
                    </w:rPr>
                    <w:t>成品</w:t>
                  </w:r>
                  <w:r>
                    <w:rPr>
                      <w:color w:val="auto"/>
                      <w:szCs w:val="21"/>
                    </w:rPr>
                    <w:t>仓库</w:t>
                  </w:r>
                  <w:r>
                    <w:rPr>
                      <w:rFonts w:hint="eastAsia"/>
                      <w:color w:val="auto"/>
                      <w:szCs w:val="21"/>
                    </w:rPr>
                    <w:t>）</w:t>
                  </w:r>
                </w:p>
              </w:tc>
              <w:tc>
                <w:tcPr>
                  <w:tcW w:w="3304" w:type="pct"/>
                  <w:vAlign w:val="center"/>
                </w:tcPr>
                <w:p>
                  <w:pPr>
                    <w:jc w:val="center"/>
                    <w:rPr>
                      <w:color w:val="auto"/>
                      <w:szCs w:val="21"/>
                    </w:rPr>
                  </w:pPr>
                  <w:r>
                    <w:rPr>
                      <w:color w:val="auto"/>
                      <w:szCs w:val="21"/>
                    </w:rPr>
                    <w:t>重要防渗区域：水泥硬化基础+环氧树脂涂层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4" w:type="pct"/>
                  <w:vAlign w:val="center"/>
                </w:tcPr>
                <w:p>
                  <w:pPr>
                    <w:snapToGrid w:val="0"/>
                    <w:jc w:val="center"/>
                    <w:rPr>
                      <w:color w:val="auto"/>
                      <w:szCs w:val="21"/>
                    </w:rPr>
                  </w:pPr>
                  <w:r>
                    <w:rPr>
                      <w:color w:val="auto"/>
                      <w:szCs w:val="21"/>
                    </w:rPr>
                    <w:t>2</w:t>
                  </w:r>
                </w:p>
              </w:tc>
              <w:tc>
                <w:tcPr>
                  <w:tcW w:w="1242" w:type="pct"/>
                  <w:vAlign w:val="center"/>
                </w:tcPr>
                <w:p>
                  <w:pPr>
                    <w:adjustRightInd w:val="0"/>
                    <w:snapToGrid w:val="0"/>
                    <w:jc w:val="center"/>
                    <w:rPr>
                      <w:color w:val="auto"/>
                      <w:szCs w:val="21"/>
                    </w:rPr>
                  </w:pPr>
                  <w:r>
                    <w:rPr>
                      <w:color w:val="auto"/>
                      <w:szCs w:val="21"/>
                    </w:rPr>
                    <w:t>车间</w:t>
                  </w:r>
                  <w:r>
                    <w:rPr>
                      <w:rFonts w:hint="eastAsia"/>
                      <w:color w:val="auto"/>
                      <w:szCs w:val="21"/>
                    </w:rPr>
                    <w:t>二</w:t>
                  </w:r>
                </w:p>
              </w:tc>
              <w:tc>
                <w:tcPr>
                  <w:tcW w:w="3304" w:type="pct"/>
                  <w:vAlign w:val="center"/>
                </w:tcPr>
                <w:p>
                  <w:pPr>
                    <w:jc w:val="center"/>
                    <w:rPr>
                      <w:color w:val="auto"/>
                      <w:szCs w:val="21"/>
                    </w:rPr>
                  </w:pPr>
                  <w:r>
                    <w:rPr>
                      <w:color w:val="auto"/>
                      <w:szCs w:val="21"/>
                    </w:rPr>
                    <w:t>重要防渗区域：水泥硬化基础+环氧树脂涂层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4" w:type="pct"/>
                  <w:vAlign w:val="center"/>
                </w:tcPr>
                <w:p>
                  <w:pPr>
                    <w:snapToGrid w:val="0"/>
                    <w:jc w:val="center"/>
                    <w:rPr>
                      <w:color w:val="auto"/>
                      <w:szCs w:val="21"/>
                    </w:rPr>
                  </w:pPr>
                  <w:r>
                    <w:rPr>
                      <w:color w:val="auto"/>
                      <w:szCs w:val="21"/>
                    </w:rPr>
                    <w:t>3</w:t>
                  </w:r>
                </w:p>
              </w:tc>
              <w:tc>
                <w:tcPr>
                  <w:tcW w:w="1242" w:type="pct"/>
                  <w:vAlign w:val="center"/>
                </w:tcPr>
                <w:p>
                  <w:pPr>
                    <w:widowControl/>
                    <w:adjustRightInd w:val="0"/>
                    <w:snapToGrid w:val="0"/>
                    <w:jc w:val="center"/>
                    <w:rPr>
                      <w:color w:val="auto"/>
                      <w:szCs w:val="21"/>
                    </w:rPr>
                  </w:pPr>
                  <w:r>
                    <w:rPr>
                      <w:color w:val="auto"/>
                      <w:szCs w:val="21"/>
                    </w:rPr>
                    <w:t>危废仓库</w:t>
                  </w:r>
                </w:p>
              </w:tc>
              <w:tc>
                <w:tcPr>
                  <w:tcW w:w="3304" w:type="pct"/>
                  <w:vAlign w:val="center"/>
                </w:tcPr>
                <w:p>
                  <w:pPr>
                    <w:jc w:val="center"/>
                    <w:rPr>
                      <w:color w:val="auto"/>
                      <w:szCs w:val="21"/>
                    </w:rPr>
                  </w:pPr>
                  <w:r>
                    <w:rPr>
                      <w:color w:val="auto"/>
                      <w:szCs w:val="21"/>
                    </w:rPr>
                    <w:t>重要防渗区域：水泥硬化基础+环氧树脂涂层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4" w:type="pct"/>
                  <w:vAlign w:val="center"/>
                </w:tcPr>
                <w:p>
                  <w:pPr>
                    <w:snapToGrid w:val="0"/>
                    <w:jc w:val="center"/>
                    <w:rPr>
                      <w:color w:val="auto"/>
                      <w:szCs w:val="21"/>
                    </w:rPr>
                  </w:pPr>
                  <w:r>
                    <w:rPr>
                      <w:rFonts w:hint="eastAsia"/>
                      <w:color w:val="auto"/>
                      <w:szCs w:val="21"/>
                    </w:rPr>
                    <w:t>4</w:t>
                  </w:r>
                </w:p>
              </w:tc>
              <w:tc>
                <w:tcPr>
                  <w:tcW w:w="1242" w:type="pct"/>
                  <w:vAlign w:val="center"/>
                </w:tcPr>
                <w:p>
                  <w:pPr>
                    <w:widowControl/>
                    <w:adjustRightInd w:val="0"/>
                    <w:snapToGrid w:val="0"/>
                    <w:jc w:val="center"/>
                    <w:rPr>
                      <w:color w:val="auto"/>
                      <w:szCs w:val="21"/>
                    </w:rPr>
                  </w:pPr>
                  <w:r>
                    <w:rPr>
                      <w:color w:val="auto"/>
                      <w:szCs w:val="21"/>
                    </w:rPr>
                    <w:t>一般固废仓库</w:t>
                  </w:r>
                </w:p>
              </w:tc>
              <w:tc>
                <w:tcPr>
                  <w:tcW w:w="3304" w:type="pct"/>
                  <w:vAlign w:val="center"/>
                </w:tcPr>
                <w:p>
                  <w:pPr>
                    <w:jc w:val="center"/>
                    <w:rPr>
                      <w:color w:val="auto"/>
                      <w:szCs w:val="21"/>
                    </w:rPr>
                  </w:pPr>
                  <w:r>
                    <w:rPr>
                      <w:color w:val="auto"/>
                      <w:szCs w:val="21"/>
                    </w:rPr>
                    <w:t>一般防渗：黏土铺底+水泥硬化基础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4" w:type="pct"/>
                  <w:vAlign w:val="center"/>
                </w:tcPr>
                <w:p>
                  <w:pPr>
                    <w:snapToGrid w:val="0"/>
                    <w:jc w:val="center"/>
                    <w:rPr>
                      <w:color w:val="auto"/>
                      <w:szCs w:val="21"/>
                    </w:rPr>
                  </w:pPr>
                  <w:r>
                    <w:rPr>
                      <w:rFonts w:hint="eastAsia"/>
                      <w:color w:val="auto"/>
                      <w:szCs w:val="21"/>
                    </w:rPr>
                    <w:t>5</w:t>
                  </w:r>
                </w:p>
              </w:tc>
              <w:tc>
                <w:tcPr>
                  <w:tcW w:w="1242" w:type="pct"/>
                  <w:vAlign w:val="center"/>
                </w:tcPr>
                <w:p>
                  <w:pPr>
                    <w:widowControl/>
                    <w:adjustRightInd w:val="0"/>
                    <w:snapToGrid w:val="0"/>
                    <w:jc w:val="center"/>
                    <w:rPr>
                      <w:color w:val="auto"/>
                      <w:szCs w:val="21"/>
                    </w:rPr>
                  </w:pPr>
                  <w:r>
                    <w:rPr>
                      <w:rFonts w:hint="eastAsia"/>
                      <w:color w:val="auto"/>
                      <w:szCs w:val="21"/>
                    </w:rPr>
                    <w:t>办公楼</w:t>
                  </w:r>
                </w:p>
              </w:tc>
              <w:tc>
                <w:tcPr>
                  <w:tcW w:w="3304" w:type="pct"/>
                  <w:vAlign w:val="center"/>
                </w:tcPr>
                <w:p>
                  <w:pPr>
                    <w:jc w:val="center"/>
                    <w:rPr>
                      <w:color w:val="auto"/>
                      <w:szCs w:val="21"/>
                    </w:rPr>
                  </w:pPr>
                  <w:r>
                    <w:rPr>
                      <w:color w:val="auto"/>
                      <w:szCs w:val="21"/>
                    </w:rPr>
                    <w:t>一般防渗：黏土铺底+水泥硬化基础</w:t>
                  </w:r>
                </w:p>
              </w:tc>
            </w:tr>
          </w:tbl>
          <w:p>
            <w:pPr>
              <w:adjustRightInd w:val="0"/>
              <w:snapToGrid w:val="0"/>
              <w:spacing w:before="120" w:beforeLines="50" w:line="360" w:lineRule="auto"/>
              <w:ind w:firstLine="480" w:firstLineChars="200"/>
              <w:rPr>
                <w:color w:val="auto"/>
                <w:sz w:val="24"/>
              </w:rPr>
            </w:pPr>
            <w:r>
              <w:rPr>
                <w:rFonts w:hint="eastAsia"/>
                <w:color w:val="auto"/>
                <w:sz w:val="24"/>
              </w:rPr>
              <w:t>厂区</w:t>
            </w:r>
            <w:r>
              <w:rPr>
                <w:color w:val="auto"/>
                <w:sz w:val="24"/>
              </w:rPr>
              <w:t>拟采取分区防渗、废气治理措施等完善的污染防治措施，可有效防止土壤、地下水环境污染，对土壤、地下水环境影响较小。</w:t>
            </w:r>
          </w:p>
          <w:p>
            <w:pPr>
              <w:snapToGrid w:val="0"/>
              <w:spacing w:line="360" w:lineRule="auto"/>
              <w:ind w:firstLine="480" w:firstLineChars="200"/>
              <w:rPr>
                <w:color w:val="auto"/>
                <w:sz w:val="24"/>
              </w:rPr>
            </w:pPr>
            <w:r>
              <w:rPr>
                <w:color w:val="auto"/>
                <w:sz w:val="24"/>
              </w:rPr>
              <w:t>（3）跟踪监测计划</w:t>
            </w:r>
          </w:p>
          <w:p>
            <w:pPr>
              <w:adjustRightInd w:val="0"/>
              <w:snapToGrid w:val="0"/>
              <w:spacing w:line="360" w:lineRule="auto"/>
              <w:ind w:firstLine="480" w:firstLineChars="200"/>
              <w:rPr>
                <w:color w:val="auto"/>
                <w:sz w:val="24"/>
              </w:rPr>
            </w:pPr>
            <w:r>
              <w:rPr>
                <w:color w:val="auto"/>
                <w:sz w:val="24"/>
              </w:rPr>
              <w:t>本项目地下水和土壤污染的可能性和程度均较小，正常情况可不开展地下水和土壤跟踪监测，当发生液态物料及危险</w:t>
            </w:r>
            <w:r>
              <w:rPr>
                <w:rFonts w:hint="eastAsia"/>
                <w:color w:val="auto"/>
                <w:sz w:val="24"/>
              </w:rPr>
              <w:t>废物</w:t>
            </w:r>
            <w:r>
              <w:rPr>
                <w:color w:val="auto"/>
                <w:sz w:val="24"/>
              </w:rPr>
              <w:t>等物质泄漏、废气处理装置事故且泄漏液可能进入到外环境时，在泄漏物质流经的区域附近开展地下水和土壤的监测，检查泄漏事故污染影响情况。</w:t>
            </w:r>
          </w:p>
          <w:p>
            <w:pPr>
              <w:spacing w:line="360" w:lineRule="auto"/>
              <w:jc w:val="left"/>
              <w:rPr>
                <w:b/>
                <w:bCs/>
                <w:color w:val="auto"/>
                <w:sz w:val="24"/>
              </w:rPr>
            </w:pPr>
            <w:r>
              <w:rPr>
                <w:b/>
                <w:bCs/>
                <w:color w:val="auto"/>
                <w:sz w:val="24"/>
              </w:rPr>
              <w:t>6、生态</w:t>
            </w:r>
          </w:p>
          <w:p>
            <w:pPr>
              <w:spacing w:line="360" w:lineRule="auto"/>
              <w:ind w:firstLine="480" w:firstLineChars="200"/>
              <w:jc w:val="left"/>
              <w:rPr>
                <w:b/>
                <w:bCs/>
                <w:color w:val="auto"/>
              </w:rPr>
            </w:pPr>
            <w:r>
              <w:rPr>
                <w:color w:val="auto"/>
                <w:sz w:val="24"/>
              </w:rPr>
              <w:t>本项目位于无锡惠山工业转型集聚区北洲路与邓北路交叉口西北侧，范围内不涉及生态环境保护目标，</w:t>
            </w:r>
            <w:r>
              <w:rPr>
                <w:rFonts w:hint="eastAsia"/>
                <w:color w:val="auto"/>
                <w:sz w:val="24"/>
              </w:rPr>
              <w:t>本</w:t>
            </w:r>
            <w:r>
              <w:rPr>
                <w:color w:val="auto"/>
                <w:sz w:val="24"/>
              </w:rPr>
              <w:t>项目产生的废气、废水、噪声经过合理处置后达标排放，固体废物合理处置零排放，对生态影响较小。</w:t>
            </w:r>
          </w:p>
          <w:p>
            <w:pPr>
              <w:spacing w:line="360" w:lineRule="auto"/>
              <w:jc w:val="left"/>
              <w:rPr>
                <w:b/>
                <w:bCs/>
                <w:color w:val="auto"/>
                <w:sz w:val="24"/>
              </w:rPr>
            </w:pPr>
            <w:r>
              <w:rPr>
                <w:b/>
                <w:bCs/>
                <w:color w:val="auto"/>
                <w:sz w:val="24"/>
              </w:rPr>
              <w:t>7、环境风险</w:t>
            </w:r>
          </w:p>
          <w:p>
            <w:pPr>
              <w:adjustRightInd w:val="0"/>
              <w:snapToGrid w:val="0"/>
              <w:spacing w:line="360" w:lineRule="auto"/>
              <w:ind w:firstLine="482" w:firstLineChars="200"/>
              <w:rPr>
                <w:b/>
                <w:bCs/>
                <w:color w:val="auto"/>
                <w:sz w:val="24"/>
              </w:rPr>
            </w:pPr>
            <w:r>
              <w:rPr>
                <w:b/>
                <w:bCs/>
                <w:color w:val="auto"/>
                <w:sz w:val="24"/>
              </w:rPr>
              <w:t>（1）风险调查</w:t>
            </w:r>
          </w:p>
          <w:p>
            <w:pPr>
              <w:adjustRightInd w:val="0"/>
              <w:snapToGrid w:val="0"/>
              <w:spacing w:line="360" w:lineRule="auto"/>
              <w:ind w:firstLine="480" w:firstLineChars="200"/>
              <w:rPr>
                <w:b/>
                <w:color w:val="auto"/>
                <w:sz w:val="24"/>
              </w:rPr>
            </w:pPr>
            <w:r>
              <w:rPr>
                <w:color w:val="auto"/>
                <w:sz w:val="24"/>
              </w:rPr>
              <w:t>建设项目主要环境风险物质分布存储情况见表4-</w:t>
            </w:r>
            <w:r>
              <w:rPr>
                <w:rFonts w:hint="eastAsia"/>
                <w:color w:val="auto"/>
                <w:sz w:val="24"/>
                <w:lang w:val="en-US" w:eastAsia="zh-CN"/>
              </w:rPr>
              <w:t>22</w:t>
            </w:r>
            <w:r>
              <w:rPr>
                <w:color w:val="auto"/>
                <w:sz w:val="24"/>
              </w:rPr>
              <w:t>。</w:t>
            </w:r>
            <w:bookmarkStart w:id="10" w:name="_Ref38384898"/>
          </w:p>
          <w:p>
            <w:pPr>
              <w:adjustRightInd w:val="0"/>
              <w:snapToGrid w:val="0"/>
              <w:jc w:val="center"/>
              <w:rPr>
                <w:b/>
                <w:color w:val="auto"/>
                <w:sz w:val="24"/>
              </w:rPr>
            </w:pPr>
            <w:r>
              <w:rPr>
                <w:b/>
                <w:color w:val="auto"/>
                <w:sz w:val="24"/>
              </w:rPr>
              <w:t>表</w:t>
            </w:r>
            <w:bookmarkEnd w:id="10"/>
            <w:r>
              <w:rPr>
                <w:b/>
                <w:color w:val="auto"/>
                <w:sz w:val="24"/>
              </w:rPr>
              <w:t>4-</w:t>
            </w:r>
            <w:r>
              <w:rPr>
                <w:rFonts w:hint="eastAsia"/>
                <w:b/>
                <w:color w:val="auto"/>
                <w:sz w:val="24"/>
                <w:lang w:val="en-US" w:eastAsia="zh-CN"/>
              </w:rPr>
              <w:t>22</w:t>
            </w:r>
            <w:r>
              <w:rPr>
                <w:b/>
                <w:color w:val="auto"/>
                <w:sz w:val="24"/>
              </w:rPr>
              <w:t xml:space="preserve">  </w:t>
            </w:r>
            <w:r>
              <w:rPr>
                <w:b/>
                <w:bCs/>
                <w:color w:val="auto"/>
                <w:sz w:val="24"/>
              </w:rPr>
              <w:t>涉及的主要危险物质的最大储存量和辨识情况</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3"/>
              <w:gridCol w:w="760"/>
              <w:gridCol w:w="761"/>
              <w:gridCol w:w="1213"/>
              <w:gridCol w:w="1343"/>
              <w:gridCol w:w="1305"/>
              <w:gridCol w:w="1491"/>
              <w:gridCol w:w="1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adjustRightInd w:val="0"/>
                    <w:snapToGrid w:val="0"/>
                    <w:jc w:val="center"/>
                    <w:rPr>
                      <w:b/>
                      <w:color w:val="auto"/>
                      <w:szCs w:val="21"/>
                    </w:rPr>
                  </w:pPr>
                  <w:r>
                    <w:rPr>
                      <w:b/>
                      <w:color w:val="auto"/>
                      <w:szCs w:val="21"/>
                    </w:rPr>
                    <w:t>序号</w:t>
                  </w:r>
                </w:p>
              </w:tc>
              <w:tc>
                <w:tcPr>
                  <w:tcW w:w="911" w:type="pct"/>
                  <w:gridSpan w:val="2"/>
                  <w:vAlign w:val="center"/>
                </w:tcPr>
                <w:p>
                  <w:pPr>
                    <w:adjustRightInd w:val="0"/>
                    <w:snapToGrid w:val="0"/>
                    <w:jc w:val="center"/>
                    <w:rPr>
                      <w:b/>
                      <w:color w:val="auto"/>
                      <w:szCs w:val="21"/>
                    </w:rPr>
                  </w:pPr>
                  <w:r>
                    <w:rPr>
                      <w:b/>
                      <w:color w:val="auto"/>
                      <w:szCs w:val="21"/>
                    </w:rPr>
                    <w:t>名称</w:t>
                  </w:r>
                </w:p>
              </w:tc>
              <w:tc>
                <w:tcPr>
                  <w:tcW w:w="726" w:type="pct"/>
                  <w:vAlign w:val="center"/>
                </w:tcPr>
                <w:p>
                  <w:pPr>
                    <w:adjustRightInd w:val="0"/>
                    <w:snapToGrid w:val="0"/>
                    <w:jc w:val="center"/>
                    <w:rPr>
                      <w:b/>
                      <w:color w:val="auto"/>
                      <w:szCs w:val="21"/>
                    </w:rPr>
                  </w:pPr>
                  <w:r>
                    <w:rPr>
                      <w:b/>
                      <w:color w:val="auto"/>
                      <w:szCs w:val="21"/>
                    </w:rPr>
                    <w:t>存储位置</w:t>
                  </w:r>
                </w:p>
              </w:tc>
              <w:tc>
                <w:tcPr>
                  <w:tcW w:w="804" w:type="pct"/>
                  <w:vAlign w:val="center"/>
                </w:tcPr>
                <w:p>
                  <w:pPr>
                    <w:adjustRightInd w:val="0"/>
                    <w:snapToGrid w:val="0"/>
                    <w:jc w:val="center"/>
                    <w:rPr>
                      <w:b/>
                      <w:color w:val="auto"/>
                      <w:szCs w:val="21"/>
                    </w:rPr>
                  </w:pPr>
                  <w:r>
                    <w:rPr>
                      <w:b/>
                      <w:color w:val="auto"/>
                      <w:szCs w:val="21"/>
                    </w:rPr>
                    <w:t>年用量/年产生量（t）</w:t>
                  </w:r>
                </w:p>
              </w:tc>
              <w:tc>
                <w:tcPr>
                  <w:tcW w:w="781" w:type="pct"/>
                  <w:vAlign w:val="center"/>
                </w:tcPr>
                <w:p>
                  <w:pPr>
                    <w:adjustRightInd w:val="0"/>
                    <w:snapToGrid w:val="0"/>
                    <w:jc w:val="center"/>
                    <w:rPr>
                      <w:b/>
                      <w:color w:val="auto"/>
                      <w:szCs w:val="21"/>
                    </w:rPr>
                  </w:pPr>
                  <w:r>
                    <w:rPr>
                      <w:b/>
                      <w:color w:val="auto"/>
                      <w:szCs w:val="21"/>
                    </w:rPr>
                    <w:t>最大储存量+在线量（t）</w:t>
                  </w:r>
                  <w:r>
                    <w:rPr>
                      <w:b/>
                      <w:snapToGrid w:val="0"/>
                      <w:color w:val="auto"/>
                      <w:szCs w:val="21"/>
                    </w:rPr>
                    <w:t>q</w:t>
                  </w:r>
                </w:p>
              </w:tc>
              <w:tc>
                <w:tcPr>
                  <w:tcW w:w="893" w:type="pct"/>
                  <w:vAlign w:val="center"/>
                </w:tcPr>
                <w:p>
                  <w:pPr>
                    <w:adjustRightInd w:val="0"/>
                    <w:snapToGrid w:val="0"/>
                    <w:jc w:val="center"/>
                    <w:rPr>
                      <w:b/>
                      <w:color w:val="auto"/>
                      <w:szCs w:val="21"/>
                    </w:rPr>
                  </w:pPr>
                  <w:r>
                    <w:rPr>
                      <w:b/>
                      <w:snapToGrid w:val="0"/>
                      <w:color w:val="auto"/>
                      <w:szCs w:val="21"/>
                    </w:rPr>
                    <w:t>临界量（t）Q</w:t>
                  </w:r>
                </w:p>
              </w:tc>
              <w:tc>
                <w:tcPr>
                  <w:tcW w:w="605" w:type="pct"/>
                  <w:vAlign w:val="center"/>
                </w:tcPr>
                <w:p>
                  <w:pPr>
                    <w:adjustRightInd w:val="0"/>
                    <w:snapToGrid w:val="0"/>
                    <w:jc w:val="center"/>
                    <w:rPr>
                      <w:b/>
                      <w:color w:val="auto"/>
                      <w:szCs w:val="21"/>
                    </w:rPr>
                  </w:pPr>
                  <w:r>
                    <w:rPr>
                      <w:b/>
                      <w:snapToGrid w:val="0"/>
                      <w:color w:val="auto"/>
                      <w:szCs w:val="21"/>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adjustRightInd w:val="0"/>
                    <w:snapToGrid w:val="0"/>
                    <w:jc w:val="center"/>
                    <w:rPr>
                      <w:color w:val="auto"/>
                      <w:szCs w:val="21"/>
                    </w:rPr>
                  </w:pPr>
                  <w:r>
                    <w:rPr>
                      <w:color w:val="auto"/>
                    </w:rPr>
                    <w:t>1</w:t>
                  </w:r>
                </w:p>
              </w:tc>
              <w:tc>
                <w:tcPr>
                  <w:tcW w:w="911" w:type="pct"/>
                  <w:gridSpan w:val="2"/>
                  <w:vAlign w:val="center"/>
                </w:tcPr>
                <w:p>
                  <w:pPr>
                    <w:jc w:val="center"/>
                    <w:rPr>
                      <w:color w:val="auto"/>
                      <w:szCs w:val="21"/>
                    </w:rPr>
                  </w:pPr>
                  <w:r>
                    <w:rPr>
                      <w:color w:val="auto"/>
                      <w:szCs w:val="21"/>
                    </w:rPr>
                    <w:t>刨花板</w:t>
                  </w:r>
                </w:p>
              </w:tc>
              <w:tc>
                <w:tcPr>
                  <w:tcW w:w="726" w:type="pct"/>
                  <w:vMerge w:val="restart"/>
                  <w:vAlign w:val="center"/>
                </w:tcPr>
                <w:p>
                  <w:pPr>
                    <w:adjustRightInd w:val="0"/>
                    <w:snapToGrid w:val="0"/>
                    <w:jc w:val="center"/>
                    <w:rPr>
                      <w:color w:val="auto"/>
                      <w:szCs w:val="21"/>
                    </w:rPr>
                  </w:pPr>
                  <w:r>
                    <w:rPr>
                      <w:rFonts w:hint="eastAsia"/>
                      <w:color w:val="auto"/>
                      <w:szCs w:val="21"/>
                    </w:rPr>
                    <w:t>生产车间、</w:t>
                  </w:r>
                  <w:r>
                    <w:rPr>
                      <w:color w:val="auto"/>
                      <w:szCs w:val="21"/>
                    </w:rPr>
                    <w:t>原料仓库</w:t>
                  </w:r>
                </w:p>
              </w:tc>
              <w:tc>
                <w:tcPr>
                  <w:tcW w:w="804" w:type="pct"/>
                  <w:vAlign w:val="center"/>
                </w:tcPr>
                <w:p>
                  <w:pPr>
                    <w:adjustRightInd w:val="0"/>
                    <w:snapToGrid w:val="0"/>
                    <w:jc w:val="center"/>
                    <w:rPr>
                      <w:bCs/>
                      <w:color w:val="auto"/>
                      <w:szCs w:val="21"/>
                    </w:rPr>
                  </w:pPr>
                  <w:r>
                    <w:rPr>
                      <w:bCs/>
                      <w:color w:val="auto"/>
                      <w:szCs w:val="21"/>
                    </w:rPr>
                    <w:t>34</w:t>
                  </w:r>
                  <w:r>
                    <w:rPr>
                      <w:rFonts w:hint="eastAsia"/>
                      <w:bCs/>
                      <w:color w:val="auto"/>
                      <w:szCs w:val="21"/>
                    </w:rPr>
                    <w:t>0</w:t>
                  </w:r>
                  <w:r>
                    <w:rPr>
                      <w:rFonts w:hint="eastAsia"/>
                      <w:bCs/>
                      <w:color w:val="auto"/>
                      <w:szCs w:val="21"/>
                      <w:lang w:val="en-US" w:eastAsia="zh-CN"/>
                    </w:rPr>
                    <w:t>.034</w:t>
                  </w:r>
                  <w:r>
                    <w:rPr>
                      <w:rFonts w:hint="eastAsia"/>
                      <w:bCs/>
                      <w:color w:val="auto"/>
                      <w:szCs w:val="21"/>
                    </w:rPr>
                    <w:t>万张</w:t>
                  </w:r>
                </w:p>
              </w:tc>
              <w:tc>
                <w:tcPr>
                  <w:tcW w:w="781" w:type="pct"/>
                  <w:vAlign w:val="center"/>
                </w:tcPr>
                <w:p>
                  <w:pPr>
                    <w:adjustRightInd w:val="0"/>
                    <w:snapToGrid w:val="0"/>
                    <w:jc w:val="center"/>
                    <w:rPr>
                      <w:bCs/>
                      <w:color w:val="auto"/>
                      <w:szCs w:val="21"/>
                    </w:rPr>
                  </w:pPr>
                  <w:r>
                    <w:rPr>
                      <w:bCs/>
                      <w:color w:val="auto"/>
                      <w:szCs w:val="21"/>
                    </w:rPr>
                    <w:t>57</w:t>
                  </w:r>
                  <w:r>
                    <w:rPr>
                      <w:rFonts w:hint="eastAsia"/>
                      <w:bCs/>
                      <w:color w:val="auto"/>
                      <w:szCs w:val="21"/>
                    </w:rPr>
                    <w:t>万张</w:t>
                  </w:r>
                </w:p>
              </w:tc>
              <w:tc>
                <w:tcPr>
                  <w:tcW w:w="893" w:type="pct"/>
                  <w:vAlign w:val="center"/>
                </w:tcPr>
                <w:p>
                  <w:pPr>
                    <w:adjustRightInd w:val="0"/>
                    <w:snapToGrid w:val="0"/>
                    <w:jc w:val="center"/>
                    <w:rPr>
                      <w:snapToGrid w:val="0"/>
                      <w:color w:val="auto"/>
                      <w:szCs w:val="21"/>
                    </w:rPr>
                  </w:pPr>
                  <w:r>
                    <w:rPr>
                      <w:color w:val="auto"/>
                      <w:szCs w:val="20"/>
                    </w:rPr>
                    <w:t>/</w:t>
                  </w:r>
                </w:p>
              </w:tc>
              <w:tc>
                <w:tcPr>
                  <w:tcW w:w="605" w:type="pct"/>
                  <w:vAlign w:val="center"/>
                </w:tcPr>
                <w:p>
                  <w:pPr>
                    <w:adjustRightInd w:val="0"/>
                    <w:snapToGrid w:val="0"/>
                    <w:jc w:val="center"/>
                    <w:rPr>
                      <w:snapToGrid w:val="0"/>
                      <w:color w:val="auto"/>
                      <w:szCs w:val="21"/>
                    </w:rPr>
                  </w:pPr>
                  <w:r>
                    <w:rPr>
                      <w:snapToGrid w:val="0"/>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adjustRightInd w:val="0"/>
                    <w:snapToGrid w:val="0"/>
                    <w:jc w:val="center"/>
                    <w:rPr>
                      <w:color w:val="auto"/>
                      <w:szCs w:val="21"/>
                    </w:rPr>
                  </w:pPr>
                  <w:r>
                    <w:rPr>
                      <w:rFonts w:hint="eastAsia"/>
                      <w:color w:val="auto"/>
                      <w:szCs w:val="21"/>
                    </w:rPr>
                    <w:t>2</w:t>
                  </w:r>
                </w:p>
              </w:tc>
              <w:tc>
                <w:tcPr>
                  <w:tcW w:w="911" w:type="pct"/>
                  <w:gridSpan w:val="2"/>
                  <w:vAlign w:val="center"/>
                </w:tcPr>
                <w:p>
                  <w:pPr>
                    <w:jc w:val="center"/>
                    <w:rPr>
                      <w:color w:val="auto"/>
                      <w:szCs w:val="21"/>
                    </w:rPr>
                  </w:pPr>
                  <w:r>
                    <w:rPr>
                      <w:color w:val="auto"/>
                      <w:szCs w:val="21"/>
                    </w:rPr>
                    <w:t>密度板</w:t>
                  </w:r>
                </w:p>
              </w:tc>
              <w:tc>
                <w:tcPr>
                  <w:tcW w:w="726" w:type="pct"/>
                  <w:vMerge w:val="continue"/>
                  <w:vAlign w:val="center"/>
                </w:tcPr>
                <w:p>
                  <w:pPr>
                    <w:adjustRightInd w:val="0"/>
                    <w:snapToGrid w:val="0"/>
                    <w:jc w:val="center"/>
                    <w:rPr>
                      <w:color w:val="auto"/>
                      <w:szCs w:val="21"/>
                    </w:rPr>
                  </w:pPr>
                </w:p>
              </w:tc>
              <w:tc>
                <w:tcPr>
                  <w:tcW w:w="804" w:type="pct"/>
                  <w:vAlign w:val="center"/>
                </w:tcPr>
                <w:p>
                  <w:pPr>
                    <w:adjustRightInd w:val="0"/>
                    <w:snapToGrid w:val="0"/>
                    <w:jc w:val="center"/>
                    <w:rPr>
                      <w:bCs/>
                      <w:color w:val="auto"/>
                      <w:szCs w:val="21"/>
                    </w:rPr>
                  </w:pPr>
                  <w:r>
                    <w:rPr>
                      <w:rFonts w:hint="eastAsia"/>
                      <w:bCs/>
                      <w:color w:val="auto"/>
                      <w:szCs w:val="21"/>
                    </w:rPr>
                    <w:t>10</w:t>
                  </w:r>
                  <w:r>
                    <w:rPr>
                      <w:rFonts w:hint="eastAsia"/>
                      <w:bCs/>
                      <w:color w:val="auto"/>
                      <w:szCs w:val="21"/>
                      <w:lang w:val="en-US" w:eastAsia="zh-CN"/>
                    </w:rPr>
                    <w:t>.001</w:t>
                  </w:r>
                  <w:r>
                    <w:rPr>
                      <w:rFonts w:hint="eastAsia"/>
                      <w:bCs/>
                      <w:color w:val="auto"/>
                      <w:szCs w:val="21"/>
                    </w:rPr>
                    <w:t>万张</w:t>
                  </w:r>
                </w:p>
              </w:tc>
              <w:tc>
                <w:tcPr>
                  <w:tcW w:w="781" w:type="pct"/>
                  <w:vAlign w:val="center"/>
                </w:tcPr>
                <w:p>
                  <w:pPr>
                    <w:adjustRightInd w:val="0"/>
                    <w:snapToGrid w:val="0"/>
                    <w:jc w:val="center"/>
                    <w:rPr>
                      <w:bCs/>
                      <w:color w:val="auto"/>
                      <w:szCs w:val="21"/>
                    </w:rPr>
                  </w:pPr>
                  <w:r>
                    <w:rPr>
                      <w:bCs/>
                      <w:color w:val="auto"/>
                      <w:szCs w:val="21"/>
                    </w:rPr>
                    <w:t>1.6</w:t>
                  </w:r>
                  <w:r>
                    <w:rPr>
                      <w:rFonts w:hint="eastAsia"/>
                      <w:bCs/>
                      <w:color w:val="auto"/>
                      <w:szCs w:val="21"/>
                    </w:rPr>
                    <w:t>万张</w:t>
                  </w:r>
                </w:p>
              </w:tc>
              <w:tc>
                <w:tcPr>
                  <w:tcW w:w="893" w:type="pct"/>
                  <w:vAlign w:val="center"/>
                </w:tcPr>
                <w:p>
                  <w:pPr>
                    <w:adjustRightInd w:val="0"/>
                    <w:snapToGrid w:val="0"/>
                    <w:jc w:val="center"/>
                    <w:rPr>
                      <w:snapToGrid w:val="0"/>
                      <w:color w:val="auto"/>
                      <w:szCs w:val="21"/>
                    </w:rPr>
                  </w:pPr>
                  <w:r>
                    <w:rPr>
                      <w:color w:val="auto"/>
                      <w:szCs w:val="20"/>
                    </w:rPr>
                    <w:t>/</w:t>
                  </w:r>
                </w:p>
              </w:tc>
              <w:tc>
                <w:tcPr>
                  <w:tcW w:w="605" w:type="pct"/>
                  <w:vAlign w:val="center"/>
                </w:tcPr>
                <w:p>
                  <w:pPr>
                    <w:adjustRightInd w:val="0"/>
                    <w:snapToGrid w:val="0"/>
                    <w:jc w:val="center"/>
                    <w:rPr>
                      <w:snapToGrid w:val="0"/>
                      <w:color w:val="auto"/>
                      <w:szCs w:val="21"/>
                    </w:rPr>
                  </w:pPr>
                  <w:r>
                    <w:rPr>
                      <w:snapToGrid w:val="0"/>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77" w:type="pct"/>
                  <w:vAlign w:val="center"/>
                </w:tcPr>
                <w:p>
                  <w:pPr>
                    <w:widowControl/>
                    <w:adjustRightInd w:val="0"/>
                    <w:snapToGrid w:val="0"/>
                    <w:jc w:val="center"/>
                    <w:rPr>
                      <w:color w:val="auto"/>
                    </w:rPr>
                  </w:pPr>
                  <w:r>
                    <w:rPr>
                      <w:color w:val="auto"/>
                    </w:rPr>
                    <w:t>3</w:t>
                  </w:r>
                </w:p>
              </w:tc>
              <w:tc>
                <w:tcPr>
                  <w:tcW w:w="911" w:type="pct"/>
                  <w:gridSpan w:val="2"/>
                  <w:vAlign w:val="center"/>
                </w:tcPr>
                <w:p>
                  <w:pPr>
                    <w:jc w:val="center"/>
                    <w:rPr>
                      <w:color w:val="auto"/>
                      <w:szCs w:val="21"/>
                    </w:rPr>
                  </w:pPr>
                  <w:r>
                    <w:rPr>
                      <w:color w:val="auto"/>
                      <w:szCs w:val="21"/>
                    </w:rPr>
                    <w:t>多层板</w:t>
                  </w:r>
                </w:p>
              </w:tc>
              <w:tc>
                <w:tcPr>
                  <w:tcW w:w="726" w:type="pct"/>
                  <w:vMerge w:val="continue"/>
                  <w:vAlign w:val="center"/>
                </w:tcPr>
                <w:p>
                  <w:pPr>
                    <w:adjustRightInd w:val="0"/>
                    <w:snapToGrid w:val="0"/>
                    <w:jc w:val="center"/>
                    <w:rPr>
                      <w:color w:val="auto"/>
                      <w:szCs w:val="21"/>
                    </w:rPr>
                  </w:pPr>
                </w:p>
              </w:tc>
              <w:tc>
                <w:tcPr>
                  <w:tcW w:w="804" w:type="pct"/>
                  <w:vAlign w:val="center"/>
                </w:tcPr>
                <w:p>
                  <w:pPr>
                    <w:adjustRightInd w:val="0"/>
                    <w:snapToGrid w:val="0"/>
                    <w:jc w:val="center"/>
                    <w:rPr>
                      <w:bCs/>
                      <w:color w:val="auto"/>
                      <w:szCs w:val="21"/>
                    </w:rPr>
                  </w:pPr>
                  <w:r>
                    <w:rPr>
                      <w:rFonts w:hint="eastAsia"/>
                      <w:bCs/>
                      <w:color w:val="auto"/>
                      <w:szCs w:val="21"/>
                    </w:rPr>
                    <w:t>10</w:t>
                  </w:r>
                  <w:r>
                    <w:rPr>
                      <w:rFonts w:hint="eastAsia"/>
                      <w:bCs/>
                      <w:color w:val="auto"/>
                      <w:szCs w:val="21"/>
                      <w:lang w:val="en-US" w:eastAsia="zh-CN"/>
                    </w:rPr>
                    <w:t>.001</w:t>
                  </w:r>
                  <w:r>
                    <w:rPr>
                      <w:rFonts w:hint="eastAsia"/>
                      <w:bCs/>
                      <w:color w:val="auto"/>
                      <w:szCs w:val="21"/>
                    </w:rPr>
                    <w:t>万张</w:t>
                  </w:r>
                </w:p>
              </w:tc>
              <w:tc>
                <w:tcPr>
                  <w:tcW w:w="781" w:type="pct"/>
                  <w:vAlign w:val="center"/>
                </w:tcPr>
                <w:p>
                  <w:pPr>
                    <w:adjustRightInd w:val="0"/>
                    <w:snapToGrid w:val="0"/>
                    <w:jc w:val="center"/>
                    <w:rPr>
                      <w:bCs/>
                      <w:color w:val="auto"/>
                      <w:szCs w:val="21"/>
                    </w:rPr>
                  </w:pPr>
                  <w:r>
                    <w:rPr>
                      <w:bCs/>
                      <w:color w:val="auto"/>
                      <w:szCs w:val="21"/>
                    </w:rPr>
                    <w:t>1.6</w:t>
                  </w:r>
                  <w:r>
                    <w:rPr>
                      <w:rFonts w:hint="eastAsia"/>
                      <w:bCs/>
                      <w:color w:val="auto"/>
                      <w:szCs w:val="21"/>
                    </w:rPr>
                    <w:t>万张</w:t>
                  </w:r>
                </w:p>
              </w:tc>
              <w:tc>
                <w:tcPr>
                  <w:tcW w:w="893" w:type="pct"/>
                  <w:vAlign w:val="center"/>
                </w:tcPr>
                <w:p>
                  <w:pPr>
                    <w:adjustRightInd w:val="0"/>
                    <w:snapToGrid w:val="0"/>
                    <w:jc w:val="center"/>
                    <w:rPr>
                      <w:snapToGrid w:val="0"/>
                      <w:color w:val="auto"/>
                      <w:szCs w:val="21"/>
                    </w:rPr>
                  </w:pPr>
                  <w:r>
                    <w:rPr>
                      <w:color w:val="auto"/>
                      <w:szCs w:val="20"/>
                    </w:rPr>
                    <w:t>/</w:t>
                  </w:r>
                </w:p>
              </w:tc>
              <w:tc>
                <w:tcPr>
                  <w:tcW w:w="605" w:type="pct"/>
                  <w:vAlign w:val="center"/>
                </w:tcPr>
                <w:p>
                  <w:pPr>
                    <w:adjustRightInd w:val="0"/>
                    <w:snapToGrid w:val="0"/>
                    <w:jc w:val="center"/>
                    <w:rPr>
                      <w:snapToGrid w:val="0"/>
                      <w:color w:val="auto"/>
                      <w:szCs w:val="21"/>
                    </w:rPr>
                  </w:pPr>
                  <w:r>
                    <w:rPr>
                      <w:snapToGrid w:val="0"/>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widowControl/>
                    <w:adjustRightInd w:val="0"/>
                    <w:snapToGrid w:val="0"/>
                    <w:jc w:val="center"/>
                    <w:rPr>
                      <w:color w:val="auto"/>
                    </w:rPr>
                  </w:pPr>
                  <w:r>
                    <w:rPr>
                      <w:color w:val="auto"/>
                    </w:rPr>
                    <w:t>4</w:t>
                  </w:r>
                </w:p>
              </w:tc>
              <w:tc>
                <w:tcPr>
                  <w:tcW w:w="911" w:type="pct"/>
                  <w:gridSpan w:val="2"/>
                  <w:vAlign w:val="center"/>
                </w:tcPr>
                <w:p>
                  <w:pPr>
                    <w:jc w:val="center"/>
                    <w:rPr>
                      <w:color w:val="auto"/>
                      <w:szCs w:val="21"/>
                    </w:rPr>
                  </w:pPr>
                  <w:r>
                    <w:rPr>
                      <w:color w:val="auto"/>
                      <w:szCs w:val="21"/>
                    </w:rPr>
                    <w:t>浸胶纸</w:t>
                  </w:r>
                </w:p>
              </w:tc>
              <w:tc>
                <w:tcPr>
                  <w:tcW w:w="726" w:type="pct"/>
                  <w:vMerge w:val="continue"/>
                  <w:vAlign w:val="center"/>
                </w:tcPr>
                <w:p>
                  <w:pPr>
                    <w:adjustRightInd w:val="0"/>
                    <w:snapToGrid w:val="0"/>
                    <w:jc w:val="center"/>
                    <w:rPr>
                      <w:color w:val="auto"/>
                      <w:szCs w:val="21"/>
                    </w:rPr>
                  </w:pPr>
                </w:p>
              </w:tc>
              <w:tc>
                <w:tcPr>
                  <w:tcW w:w="804" w:type="pct"/>
                  <w:vAlign w:val="center"/>
                </w:tcPr>
                <w:p>
                  <w:pPr>
                    <w:adjustRightInd w:val="0"/>
                    <w:snapToGrid w:val="0"/>
                    <w:jc w:val="center"/>
                    <w:rPr>
                      <w:bCs/>
                      <w:color w:val="auto"/>
                      <w:szCs w:val="21"/>
                    </w:rPr>
                  </w:pPr>
                  <w:r>
                    <w:rPr>
                      <w:rFonts w:hint="eastAsia"/>
                      <w:bCs/>
                      <w:color w:val="auto"/>
                      <w:szCs w:val="21"/>
                    </w:rPr>
                    <w:t>720</w:t>
                  </w:r>
                  <w:r>
                    <w:rPr>
                      <w:rFonts w:hint="eastAsia"/>
                      <w:bCs/>
                      <w:color w:val="auto"/>
                      <w:szCs w:val="21"/>
                      <w:lang w:val="en-US" w:eastAsia="zh-CN"/>
                    </w:rPr>
                    <w:t>.072</w:t>
                  </w:r>
                  <w:r>
                    <w:rPr>
                      <w:rFonts w:hint="eastAsia"/>
                      <w:bCs/>
                      <w:color w:val="auto"/>
                      <w:szCs w:val="21"/>
                    </w:rPr>
                    <w:t>万张</w:t>
                  </w:r>
                </w:p>
              </w:tc>
              <w:tc>
                <w:tcPr>
                  <w:tcW w:w="781" w:type="pct"/>
                  <w:vAlign w:val="center"/>
                </w:tcPr>
                <w:p>
                  <w:pPr>
                    <w:adjustRightInd w:val="0"/>
                    <w:snapToGrid w:val="0"/>
                    <w:jc w:val="center"/>
                    <w:rPr>
                      <w:bCs/>
                      <w:color w:val="auto"/>
                      <w:szCs w:val="21"/>
                    </w:rPr>
                  </w:pPr>
                  <w:r>
                    <w:rPr>
                      <w:rFonts w:hint="eastAsia"/>
                      <w:bCs/>
                      <w:color w:val="auto"/>
                      <w:szCs w:val="21"/>
                    </w:rPr>
                    <w:t>120万张</w:t>
                  </w:r>
                </w:p>
              </w:tc>
              <w:tc>
                <w:tcPr>
                  <w:tcW w:w="893" w:type="pct"/>
                  <w:vAlign w:val="center"/>
                </w:tcPr>
                <w:p>
                  <w:pPr>
                    <w:adjustRightInd w:val="0"/>
                    <w:snapToGrid w:val="0"/>
                    <w:jc w:val="center"/>
                    <w:rPr>
                      <w:snapToGrid w:val="0"/>
                      <w:color w:val="auto"/>
                      <w:szCs w:val="21"/>
                    </w:rPr>
                  </w:pPr>
                  <w:r>
                    <w:rPr>
                      <w:color w:val="auto"/>
                      <w:szCs w:val="20"/>
                    </w:rPr>
                    <w:t>/</w:t>
                  </w:r>
                </w:p>
              </w:tc>
              <w:tc>
                <w:tcPr>
                  <w:tcW w:w="605" w:type="pct"/>
                  <w:vAlign w:val="center"/>
                </w:tcPr>
                <w:p>
                  <w:pPr>
                    <w:adjustRightInd w:val="0"/>
                    <w:snapToGrid w:val="0"/>
                    <w:jc w:val="center"/>
                    <w:rPr>
                      <w:snapToGrid w:val="0"/>
                      <w:color w:val="auto"/>
                      <w:szCs w:val="21"/>
                    </w:rPr>
                  </w:pPr>
                  <w:r>
                    <w:rPr>
                      <w:snapToGrid w:val="0"/>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widowControl/>
                    <w:adjustRightInd w:val="0"/>
                    <w:snapToGrid w:val="0"/>
                    <w:jc w:val="center"/>
                    <w:rPr>
                      <w:color w:val="auto"/>
                    </w:rPr>
                  </w:pPr>
                  <w:r>
                    <w:rPr>
                      <w:color w:val="auto"/>
                    </w:rPr>
                    <w:t>5</w:t>
                  </w:r>
                </w:p>
              </w:tc>
              <w:tc>
                <w:tcPr>
                  <w:tcW w:w="911" w:type="pct"/>
                  <w:gridSpan w:val="2"/>
                  <w:vAlign w:val="center"/>
                </w:tcPr>
                <w:p>
                  <w:pPr>
                    <w:jc w:val="center"/>
                    <w:rPr>
                      <w:color w:val="auto"/>
                      <w:szCs w:val="21"/>
                    </w:rPr>
                  </w:pPr>
                  <w:r>
                    <w:rPr>
                      <w:color w:val="auto"/>
                      <w:szCs w:val="21"/>
                    </w:rPr>
                    <w:t>液压油</w:t>
                  </w:r>
                </w:p>
              </w:tc>
              <w:tc>
                <w:tcPr>
                  <w:tcW w:w="726" w:type="pct"/>
                  <w:vMerge w:val="continue"/>
                  <w:vAlign w:val="center"/>
                </w:tcPr>
                <w:p>
                  <w:pPr>
                    <w:adjustRightInd w:val="0"/>
                    <w:snapToGrid w:val="0"/>
                    <w:jc w:val="center"/>
                    <w:rPr>
                      <w:color w:val="auto"/>
                      <w:szCs w:val="21"/>
                    </w:rPr>
                  </w:pPr>
                </w:p>
              </w:tc>
              <w:tc>
                <w:tcPr>
                  <w:tcW w:w="804" w:type="pct"/>
                  <w:vAlign w:val="center"/>
                </w:tcPr>
                <w:p>
                  <w:pPr>
                    <w:adjustRightInd w:val="0"/>
                    <w:snapToGrid w:val="0"/>
                    <w:jc w:val="center"/>
                    <w:rPr>
                      <w:bCs/>
                      <w:color w:val="auto"/>
                      <w:szCs w:val="21"/>
                    </w:rPr>
                  </w:pPr>
                  <w:r>
                    <w:rPr>
                      <w:rFonts w:hint="eastAsia"/>
                      <w:bCs/>
                      <w:color w:val="auto"/>
                      <w:szCs w:val="21"/>
                    </w:rPr>
                    <w:t>9.5</w:t>
                  </w:r>
                </w:p>
              </w:tc>
              <w:tc>
                <w:tcPr>
                  <w:tcW w:w="781" w:type="pct"/>
                  <w:vAlign w:val="center"/>
                </w:tcPr>
                <w:p>
                  <w:pPr>
                    <w:adjustRightInd w:val="0"/>
                    <w:snapToGrid w:val="0"/>
                    <w:jc w:val="center"/>
                    <w:rPr>
                      <w:bCs/>
                      <w:color w:val="auto"/>
                      <w:szCs w:val="21"/>
                    </w:rPr>
                  </w:pPr>
                  <w:r>
                    <w:rPr>
                      <w:rFonts w:hint="eastAsia"/>
                      <w:bCs/>
                      <w:color w:val="auto"/>
                      <w:szCs w:val="21"/>
                    </w:rPr>
                    <w:t>0.8</w:t>
                  </w:r>
                </w:p>
              </w:tc>
              <w:tc>
                <w:tcPr>
                  <w:tcW w:w="893" w:type="pct"/>
                  <w:vAlign w:val="center"/>
                </w:tcPr>
                <w:p>
                  <w:pPr>
                    <w:adjustRightInd w:val="0"/>
                    <w:snapToGrid w:val="0"/>
                    <w:jc w:val="center"/>
                    <w:rPr>
                      <w:rFonts w:hint="eastAsia" w:eastAsia="宋体"/>
                      <w:color w:val="auto"/>
                      <w:szCs w:val="20"/>
                      <w:lang w:eastAsia="zh-CN"/>
                    </w:rPr>
                  </w:pPr>
                  <w:r>
                    <w:rPr>
                      <w:rFonts w:hint="eastAsia"/>
                      <w:color w:val="auto"/>
                      <w:szCs w:val="20"/>
                    </w:rPr>
                    <w:t>2500</w:t>
                  </w:r>
                  <w:r>
                    <w:rPr>
                      <w:rFonts w:hint="eastAsia"/>
                      <w:color w:val="auto"/>
                      <w:szCs w:val="20"/>
                      <w:lang w:eastAsia="zh-CN"/>
                    </w:rPr>
                    <w:t>（油类物质）</w:t>
                  </w:r>
                </w:p>
              </w:tc>
              <w:tc>
                <w:tcPr>
                  <w:tcW w:w="605" w:type="pct"/>
                  <w:vAlign w:val="center"/>
                </w:tcPr>
                <w:p>
                  <w:pPr>
                    <w:adjustRightInd w:val="0"/>
                    <w:snapToGrid w:val="0"/>
                    <w:jc w:val="center"/>
                    <w:rPr>
                      <w:snapToGrid w:val="0"/>
                      <w:color w:val="auto"/>
                      <w:szCs w:val="21"/>
                    </w:rPr>
                  </w:pPr>
                  <w:r>
                    <w:rPr>
                      <w:rFonts w:hint="eastAsia"/>
                      <w:snapToGrid w:val="0"/>
                      <w:color w:val="auto"/>
                      <w:szCs w:val="21"/>
                    </w:rPr>
                    <w:t>0.00032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adjustRightInd w:val="0"/>
                    <w:snapToGrid w:val="0"/>
                    <w:jc w:val="center"/>
                    <w:rPr>
                      <w:color w:val="auto"/>
                      <w:szCs w:val="21"/>
                    </w:rPr>
                  </w:pPr>
                  <w:r>
                    <w:rPr>
                      <w:rFonts w:hint="eastAsia"/>
                      <w:color w:val="auto"/>
                      <w:szCs w:val="21"/>
                    </w:rPr>
                    <w:t>6</w:t>
                  </w:r>
                </w:p>
              </w:tc>
              <w:tc>
                <w:tcPr>
                  <w:tcW w:w="911" w:type="pct"/>
                  <w:gridSpan w:val="2"/>
                  <w:vAlign w:val="center"/>
                </w:tcPr>
                <w:p>
                  <w:pPr>
                    <w:jc w:val="center"/>
                    <w:rPr>
                      <w:color w:val="auto"/>
                      <w:szCs w:val="21"/>
                    </w:rPr>
                  </w:pPr>
                  <w:r>
                    <w:rPr>
                      <w:color w:val="auto"/>
                      <w:szCs w:val="21"/>
                    </w:rPr>
                    <w:t>导热油</w:t>
                  </w:r>
                </w:p>
              </w:tc>
              <w:tc>
                <w:tcPr>
                  <w:tcW w:w="726" w:type="pct"/>
                  <w:vMerge w:val="continue"/>
                  <w:vAlign w:val="center"/>
                </w:tcPr>
                <w:p>
                  <w:pPr>
                    <w:adjustRightInd w:val="0"/>
                    <w:snapToGrid w:val="0"/>
                    <w:jc w:val="center"/>
                    <w:rPr>
                      <w:color w:val="auto"/>
                      <w:szCs w:val="21"/>
                    </w:rPr>
                  </w:pPr>
                </w:p>
              </w:tc>
              <w:tc>
                <w:tcPr>
                  <w:tcW w:w="804" w:type="pct"/>
                  <w:vAlign w:val="center"/>
                </w:tcPr>
                <w:p>
                  <w:pPr>
                    <w:adjustRightInd w:val="0"/>
                    <w:snapToGrid w:val="0"/>
                    <w:jc w:val="center"/>
                    <w:rPr>
                      <w:bCs/>
                      <w:color w:val="auto"/>
                      <w:szCs w:val="21"/>
                    </w:rPr>
                  </w:pPr>
                  <w:r>
                    <w:rPr>
                      <w:rFonts w:hint="eastAsia"/>
                      <w:bCs/>
                      <w:color w:val="auto"/>
                      <w:szCs w:val="21"/>
                    </w:rPr>
                    <w:t>2.5</w:t>
                  </w:r>
                </w:p>
              </w:tc>
              <w:tc>
                <w:tcPr>
                  <w:tcW w:w="781" w:type="pct"/>
                  <w:vAlign w:val="center"/>
                </w:tcPr>
                <w:p>
                  <w:pPr>
                    <w:adjustRightInd w:val="0"/>
                    <w:snapToGrid w:val="0"/>
                    <w:jc w:val="center"/>
                    <w:rPr>
                      <w:bCs/>
                      <w:color w:val="auto"/>
                      <w:szCs w:val="21"/>
                    </w:rPr>
                  </w:pPr>
                  <w:r>
                    <w:rPr>
                      <w:rFonts w:hint="eastAsia"/>
                      <w:bCs/>
                      <w:color w:val="auto"/>
                      <w:szCs w:val="21"/>
                    </w:rPr>
                    <w:t>0.21</w:t>
                  </w:r>
                </w:p>
              </w:tc>
              <w:tc>
                <w:tcPr>
                  <w:tcW w:w="893" w:type="pct"/>
                  <w:vAlign w:val="center"/>
                </w:tcPr>
                <w:p>
                  <w:pPr>
                    <w:adjustRightInd w:val="0"/>
                    <w:snapToGrid w:val="0"/>
                    <w:jc w:val="center"/>
                    <w:rPr>
                      <w:snapToGrid w:val="0"/>
                      <w:color w:val="auto"/>
                      <w:szCs w:val="21"/>
                    </w:rPr>
                  </w:pPr>
                  <w:r>
                    <w:rPr>
                      <w:rFonts w:hint="eastAsia"/>
                      <w:color w:val="auto"/>
                      <w:szCs w:val="20"/>
                    </w:rPr>
                    <w:t>2500</w:t>
                  </w:r>
                  <w:r>
                    <w:rPr>
                      <w:rFonts w:hint="eastAsia"/>
                      <w:color w:val="auto"/>
                      <w:szCs w:val="20"/>
                      <w:lang w:eastAsia="zh-CN"/>
                    </w:rPr>
                    <w:t>（油类物质）</w:t>
                  </w:r>
                </w:p>
              </w:tc>
              <w:tc>
                <w:tcPr>
                  <w:tcW w:w="605" w:type="pct"/>
                  <w:vAlign w:val="center"/>
                </w:tcPr>
                <w:p>
                  <w:pPr>
                    <w:adjustRightInd w:val="0"/>
                    <w:snapToGrid w:val="0"/>
                    <w:jc w:val="center"/>
                    <w:rPr>
                      <w:snapToGrid w:val="0"/>
                      <w:color w:val="auto"/>
                      <w:szCs w:val="21"/>
                    </w:rPr>
                  </w:pPr>
                  <w:r>
                    <w:rPr>
                      <w:rFonts w:hint="eastAsia"/>
                      <w:snapToGrid w:val="0"/>
                      <w:color w:val="auto"/>
                      <w:szCs w:val="21"/>
                    </w:rPr>
                    <w:t>0.000084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widowControl/>
                    <w:adjustRightInd w:val="0"/>
                    <w:snapToGrid w:val="0"/>
                    <w:jc w:val="center"/>
                    <w:rPr>
                      <w:color w:val="auto"/>
                    </w:rPr>
                  </w:pPr>
                  <w:r>
                    <w:rPr>
                      <w:rFonts w:hint="eastAsia"/>
                      <w:color w:val="auto"/>
                    </w:rPr>
                    <w:t>7</w:t>
                  </w:r>
                </w:p>
              </w:tc>
              <w:tc>
                <w:tcPr>
                  <w:tcW w:w="911" w:type="pct"/>
                  <w:gridSpan w:val="2"/>
                  <w:vAlign w:val="center"/>
                </w:tcPr>
                <w:p>
                  <w:pPr>
                    <w:widowControl/>
                    <w:adjustRightInd w:val="0"/>
                    <w:snapToGrid w:val="0"/>
                    <w:jc w:val="center"/>
                    <w:rPr>
                      <w:color w:val="auto"/>
                      <w:szCs w:val="21"/>
                    </w:rPr>
                  </w:pPr>
                  <w:r>
                    <w:rPr>
                      <w:color w:val="auto"/>
                      <w:szCs w:val="21"/>
                    </w:rPr>
                    <w:t>天然气</w:t>
                  </w:r>
                </w:p>
              </w:tc>
              <w:tc>
                <w:tcPr>
                  <w:tcW w:w="726" w:type="pct"/>
                  <w:vAlign w:val="center"/>
                </w:tcPr>
                <w:p>
                  <w:pPr>
                    <w:adjustRightInd w:val="0"/>
                    <w:snapToGrid w:val="0"/>
                    <w:jc w:val="center"/>
                    <w:rPr>
                      <w:color w:val="auto"/>
                      <w:szCs w:val="21"/>
                    </w:rPr>
                  </w:pPr>
                  <w:r>
                    <w:rPr>
                      <w:color w:val="auto"/>
                      <w:szCs w:val="21"/>
                    </w:rPr>
                    <w:t>天然气管道</w:t>
                  </w:r>
                </w:p>
              </w:tc>
              <w:tc>
                <w:tcPr>
                  <w:tcW w:w="804" w:type="pct"/>
                  <w:vAlign w:val="center"/>
                </w:tcPr>
                <w:p>
                  <w:pPr>
                    <w:adjustRightInd w:val="0"/>
                    <w:snapToGrid w:val="0"/>
                    <w:jc w:val="center"/>
                    <w:rPr>
                      <w:color w:val="auto"/>
                    </w:rPr>
                  </w:pPr>
                  <w:r>
                    <w:rPr>
                      <w:color w:val="auto"/>
                    </w:rPr>
                    <w:t>24万立方米</w:t>
                  </w:r>
                </w:p>
              </w:tc>
              <w:tc>
                <w:tcPr>
                  <w:tcW w:w="781" w:type="pct"/>
                  <w:vAlign w:val="center"/>
                </w:tcPr>
                <w:p>
                  <w:pPr>
                    <w:widowControl/>
                    <w:adjustRightInd w:val="0"/>
                    <w:snapToGrid w:val="0"/>
                    <w:jc w:val="center"/>
                    <w:rPr>
                      <w:color w:val="auto"/>
                    </w:rPr>
                  </w:pPr>
                  <w:r>
                    <w:rPr>
                      <w:color w:val="auto"/>
                    </w:rPr>
                    <w:t>0.002*</w:t>
                  </w:r>
                </w:p>
              </w:tc>
              <w:tc>
                <w:tcPr>
                  <w:tcW w:w="893" w:type="pct"/>
                  <w:vAlign w:val="center"/>
                </w:tcPr>
                <w:p>
                  <w:pPr>
                    <w:widowControl/>
                    <w:autoSpaceDE w:val="0"/>
                    <w:adjustRightInd w:val="0"/>
                    <w:snapToGrid w:val="0"/>
                    <w:jc w:val="center"/>
                    <w:rPr>
                      <w:color w:val="auto"/>
                      <w:szCs w:val="20"/>
                    </w:rPr>
                  </w:pPr>
                  <w:r>
                    <w:rPr>
                      <w:color w:val="auto"/>
                      <w:szCs w:val="20"/>
                    </w:rPr>
                    <w:t>10*</w:t>
                  </w:r>
                </w:p>
              </w:tc>
              <w:tc>
                <w:tcPr>
                  <w:tcW w:w="605" w:type="pct"/>
                  <w:vAlign w:val="center"/>
                </w:tcPr>
                <w:p>
                  <w:pPr>
                    <w:jc w:val="center"/>
                    <w:rPr>
                      <w:color w:val="auto"/>
                      <w:szCs w:val="21"/>
                    </w:rPr>
                  </w:pPr>
                  <w:r>
                    <w:rPr>
                      <w:color w:val="auto"/>
                      <w:szCs w:val="21"/>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widowControl/>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8</w:t>
                  </w:r>
                </w:p>
              </w:tc>
              <w:tc>
                <w:tcPr>
                  <w:tcW w:w="455" w:type="pct"/>
                  <w:vAlign w:val="center"/>
                </w:tcPr>
                <w:p>
                  <w:pPr>
                    <w:widowControl/>
                    <w:adjustRightInd w:val="0"/>
                    <w:snapToGrid w:val="0"/>
                    <w:jc w:val="center"/>
                    <w:rPr>
                      <w:rFonts w:hint="eastAsia" w:eastAsia="宋体"/>
                      <w:color w:val="auto"/>
                      <w:szCs w:val="21"/>
                      <w:lang w:eastAsia="zh-CN"/>
                    </w:rPr>
                  </w:pPr>
                  <w:r>
                    <w:rPr>
                      <w:rFonts w:hint="eastAsia"/>
                      <w:color w:val="auto"/>
                      <w:szCs w:val="21"/>
                      <w:lang w:eastAsia="zh-CN"/>
                    </w:rPr>
                    <w:t>废气</w:t>
                  </w:r>
                </w:p>
              </w:tc>
              <w:tc>
                <w:tcPr>
                  <w:tcW w:w="455" w:type="pct"/>
                  <w:vAlign w:val="center"/>
                </w:tcPr>
                <w:p>
                  <w:pPr>
                    <w:widowControl/>
                    <w:adjustRightInd w:val="0"/>
                    <w:snapToGrid w:val="0"/>
                    <w:jc w:val="center"/>
                    <w:rPr>
                      <w:rFonts w:hint="eastAsia"/>
                      <w:color w:val="auto"/>
                      <w:szCs w:val="21"/>
                      <w:lang w:eastAsia="zh-CN"/>
                    </w:rPr>
                  </w:pPr>
                  <w:r>
                    <w:rPr>
                      <w:rFonts w:hint="eastAsia"/>
                      <w:color w:val="auto"/>
                      <w:szCs w:val="21"/>
                      <w:lang w:eastAsia="zh-CN"/>
                    </w:rPr>
                    <w:t>甲醛</w:t>
                  </w:r>
                </w:p>
              </w:tc>
              <w:tc>
                <w:tcPr>
                  <w:tcW w:w="726" w:type="pct"/>
                  <w:vAlign w:val="center"/>
                </w:tcPr>
                <w:p>
                  <w:pPr>
                    <w:adjustRightInd w:val="0"/>
                    <w:snapToGrid w:val="0"/>
                    <w:jc w:val="center"/>
                    <w:rPr>
                      <w:rFonts w:hint="eastAsia" w:eastAsia="宋体"/>
                      <w:color w:val="auto"/>
                      <w:szCs w:val="21"/>
                      <w:lang w:eastAsia="zh-CN"/>
                    </w:rPr>
                  </w:pPr>
                  <w:r>
                    <w:rPr>
                      <w:rFonts w:hint="eastAsia"/>
                      <w:color w:val="auto"/>
                      <w:szCs w:val="21"/>
                      <w:lang w:eastAsia="zh-CN"/>
                    </w:rPr>
                    <w:t>厂区内</w:t>
                  </w:r>
                </w:p>
              </w:tc>
              <w:tc>
                <w:tcPr>
                  <w:tcW w:w="804" w:type="pct"/>
                  <w:vAlign w:val="center"/>
                </w:tcPr>
                <w:p>
                  <w:pPr>
                    <w:adjustRightInd w:val="0"/>
                    <w:snapToGrid w:val="0"/>
                    <w:jc w:val="center"/>
                    <w:rPr>
                      <w:rFonts w:hint="default" w:eastAsia="宋体"/>
                      <w:color w:val="auto"/>
                      <w:lang w:val="en-US" w:eastAsia="zh-CN"/>
                    </w:rPr>
                  </w:pPr>
                  <w:r>
                    <w:rPr>
                      <w:rFonts w:hint="eastAsia"/>
                      <w:color w:val="auto"/>
                      <w:lang w:val="en-US" w:eastAsia="zh-CN"/>
                    </w:rPr>
                    <w:t>0.0127</w:t>
                  </w:r>
                </w:p>
              </w:tc>
              <w:tc>
                <w:tcPr>
                  <w:tcW w:w="781" w:type="pct"/>
                  <w:vAlign w:val="center"/>
                </w:tcPr>
                <w:p>
                  <w:pPr>
                    <w:widowControl/>
                    <w:adjustRightInd w:val="0"/>
                    <w:snapToGrid w:val="0"/>
                    <w:jc w:val="center"/>
                    <w:rPr>
                      <w:rFonts w:hint="eastAsia" w:eastAsia="宋体"/>
                      <w:color w:val="auto"/>
                      <w:lang w:val="en-US" w:eastAsia="zh-CN"/>
                    </w:rPr>
                  </w:pPr>
                  <w:r>
                    <w:rPr>
                      <w:rFonts w:hint="eastAsia"/>
                      <w:color w:val="auto"/>
                      <w:lang w:val="en-US" w:eastAsia="zh-CN"/>
                    </w:rPr>
                    <w:t>/</w:t>
                  </w:r>
                </w:p>
              </w:tc>
              <w:tc>
                <w:tcPr>
                  <w:tcW w:w="893" w:type="pct"/>
                  <w:vAlign w:val="center"/>
                </w:tcPr>
                <w:p>
                  <w:pPr>
                    <w:widowControl/>
                    <w:autoSpaceDE w:val="0"/>
                    <w:adjustRightInd w:val="0"/>
                    <w:snapToGrid w:val="0"/>
                    <w:jc w:val="center"/>
                    <w:rPr>
                      <w:rFonts w:hint="default" w:eastAsia="宋体"/>
                      <w:color w:val="auto"/>
                      <w:szCs w:val="20"/>
                      <w:lang w:val="en-US" w:eastAsia="zh-CN"/>
                    </w:rPr>
                  </w:pPr>
                  <w:r>
                    <w:rPr>
                      <w:rFonts w:hint="eastAsia"/>
                      <w:color w:val="auto"/>
                      <w:szCs w:val="20"/>
                      <w:lang w:val="en-US" w:eastAsia="zh-CN"/>
                    </w:rPr>
                    <w:t>0.5（甲醛）</w:t>
                  </w:r>
                </w:p>
              </w:tc>
              <w:tc>
                <w:tcPr>
                  <w:tcW w:w="605" w:type="pct"/>
                  <w:vAlign w:val="center"/>
                </w:tcPr>
                <w:p>
                  <w:pPr>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widowControl/>
                    <w:adjustRightInd w:val="0"/>
                    <w:snapToGrid w:val="0"/>
                    <w:jc w:val="center"/>
                    <w:rPr>
                      <w:color w:val="auto"/>
                    </w:rPr>
                  </w:pPr>
                  <w:r>
                    <w:rPr>
                      <w:rFonts w:hint="eastAsia"/>
                      <w:color w:val="auto"/>
                    </w:rPr>
                    <w:t>9</w:t>
                  </w:r>
                </w:p>
              </w:tc>
              <w:tc>
                <w:tcPr>
                  <w:tcW w:w="911" w:type="pct"/>
                  <w:gridSpan w:val="2"/>
                  <w:vAlign w:val="center"/>
                </w:tcPr>
                <w:p>
                  <w:pPr>
                    <w:jc w:val="center"/>
                    <w:rPr>
                      <w:color w:val="auto"/>
                      <w:kern w:val="0"/>
                      <w:szCs w:val="21"/>
                    </w:rPr>
                  </w:pPr>
                  <w:r>
                    <w:rPr>
                      <w:color w:val="auto"/>
                      <w:szCs w:val="21"/>
                    </w:rPr>
                    <w:t>废活性炭</w:t>
                  </w:r>
                </w:p>
              </w:tc>
              <w:tc>
                <w:tcPr>
                  <w:tcW w:w="726" w:type="pct"/>
                  <w:vMerge w:val="restart"/>
                  <w:vAlign w:val="center"/>
                </w:tcPr>
                <w:p>
                  <w:pPr>
                    <w:adjustRightInd w:val="0"/>
                    <w:snapToGrid w:val="0"/>
                    <w:jc w:val="center"/>
                    <w:rPr>
                      <w:color w:val="auto"/>
                      <w:szCs w:val="21"/>
                    </w:rPr>
                  </w:pPr>
                  <w:r>
                    <w:rPr>
                      <w:color w:val="auto"/>
                      <w:szCs w:val="21"/>
                    </w:rPr>
                    <w:t>危废仓库</w:t>
                  </w:r>
                </w:p>
              </w:tc>
              <w:tc>
                <w:tcPr>
                  <w:tcW w:w="804" w:type="pct"/>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11.2</w:t>
                  </w:r>
                </w:p>
              </w:tc>
              <w:tc>
                <w:tcPr>
                  <w:tcW w:w="781" w:type="pct"/>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2.8</w:t>
                  </w:r>
                </w:p>
              </w:tc>
              <w:tc>
                <w:tcPr>
                  <w:tcW w:w="893" w:type="pct"/>
                  <w:vAlign w:val="center"/>
                </w:tcPr>
                <w:p>
                  <w:pPr>
                    <w:widowControl/>
                    <w:autoSpaceDE w:val="0"/>
                    <w:adjustRightInd w:val="0"/>
                    <w:snapToGrid w:val="0"/>
                    <w:jc w:val="center"/>
                    <w:rPr>
                      <w:color w:val="auto"/>
                      <w:szCs w:val="20"/>
                    </w:rPr>
                  </w:pPr>
                  <w:r>
                    <w:rPr>
                      <w:color w:val="auto"/>
                      <w:szCs w:val="20"/>
                    </w:rPr>
                    <w:t>/</w:t>
                  </w:r>
                </w:p>
              </w:tc>
              <w:tc>
                <w:tcPr>
                  <w:tcW w:w="605" w:type="pct"/>
                  <w:vAlign w:val="center"/>
                </w:tcPr>
                <w:p>
                  <w:pPr>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widowControl/>
                    <w:adjustRightInd w:val="0"/>
                    <w:snapToGrid w:val="0"/>
                    <w:jc w:val="center"/>
                    <w:rPr>
                      <w:color w:val="auto"/>
                    </w:rPr>
                  </w:pPr>
                  <w:r>
                    <w:rPr>
                      <w:rFonts w:hint="eastAsia"/>
                      <w:color w:val="auto"/>
                      <w:lang w:val="en-US" w:eastAsia="zh-CN"/>
                    </w:rPr>
                    <w:t>10</w:t>
                  </w:r>
                </w:p>
              </w:tc>
              <w:tc>
                <w:tcPr>
                  <w:tcW w:w="911" w:type="pct"/>
                  <w:gridSpan w:val="2"/>
                  <w:vAlign w:val="center"/>
                </w:tcPr>
                <w:p>
                  <w:pPr>
                    <w:jc w:val="center"/>
                    <w:rPr>
                      <w:color w:val="auto"/>
                      <w:kern w:val="0"/>
                      <w:szCs w:val="21"/>
                    </w:rPr>
                  </w:pPr>
                  <w:r>
                    <w:rPr>
                      <w:rFonts w:hint="eastAsia"/>
                      <w:color w:val="auto"/>
                      <w:kern w:val="0"/>
                      <w:szCs w:val="21"/>
                    </w:rPr>
                    <w:t>废</w:t>
                  </w:r>
                  <w:r>
                    <w:rPr>
                      <w:rFonts w:hint="eastAsia"/>
                      <w:color w:val="auto"/>
                      <w:kern w:val="0"/>
                      <w:szCs w:val="21"/>
                      <w:lang w:eastAsia="zh-CN"/>
                    </w:rPr>
                    <w:t>导热</w:t>
                  </w:r>
                  <w:r>
                    <w:rPr>
                      <w:rFonts w:hint="eastAsia"/>
                      <w:color w:val="auto"/>
                      <w:kern w:val="0"/>
                      <w:szCs w:val="21"/>
                    </w:rPr>
                    <w:t>油</w:t>
                  </w:r>
                </w:p>
              </w:tc>
              <w:tc>
                <w:tcPr>
                  <w:tcW w:w="726" w:type="pct"/>
                  <w:vMerge w:val="continue"/>
                  <w:vAlign w:val="center"/>
                </w:tcPr>
                <w:p>
                  <w:pPr>
                    <w:adjustRightInd w:val="0"/>
                    <w:snapToGrid w:val="0"/>
                    <w:jc w:val="center"/>
                    <w:rPr>
                      <w:color w:val="auto"/>
                      <w:szCs w:val="21"/>
                    </w:rPr>
                  </w:pPr>
                </w:p>
              </w:tc>
              <w:tc>
                <w:tcPr>
                  <w:tcW w:w="804" w:type="pct"/>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2.5t/5a</w:t>
                  </w:r>
                </w:p>
              </w:tc>
              <w:tc>
                <w:tcPr>
                  <w:tcW w:w="781" w:type="pct"/>
                  <w:vAlign w:val="center"/>
                </w:tcPr>
                <w:p>
                  <w:pPr>
                    <w:adjustRightInd w:val="0"/>
                    <w:snapToGrid w:val="0"/>
                    <w:jc w:val="center"/>
                    <w:rPr>
                      <w:color w:val="auto"/>
                      <w:kern w:val="0"/>
                      <w:szCs w:val="21"/>
                    </w:rPr>
                  </w:pPr>
                  <w:r>
                    <w:rPr>
                      <w:rFonts w:hint="eastAsia"/>
                      <w:color w:val="auto"/>
                      <w:kern w:val="0"/>
                      <w:szCs w:val="21"/>
                      <w:lang w:val="en-US" w:eastAsia="zh-CN"/>
                    </w:rPr>
                    <w:t>2.5</w:t>
                  </w:r>
                </w:p>
              </w:tc>
              <w:tc>
                <w:tcPr>
                  <w:tcW w:w="893" w:type="pct"/>
                  <w:vAlign w:val="center"/>
                </w:tcPr>
                <w:p>
                  <w:pPr>
                    <w:widowControl/>
                    <w:autoSpaceDE w:val="0"/>
                    <w:adjustRightInd w:val="0"/>
                    <w:snapToGrid w:val="0"/>
                    <w:jc w:val="center"/>
                    <w:rPr>
                      <w:color w:val="auto"/>
                      <w:szCs w:val="20"/>
                    </w:rPr>
                  </w:pPr>
                  <w:r>
                    <w:rPr>
                      <w:rFonts w:hint="eastAsia"/>
                      <w:color w:val="auto"/>
                      <w:szCs w:val="20"/>
                    </w:rPr>
                    <w:t>2500</w:t>
                  </w:r>
                  <w:r>
                    <w:rPr>
                      <w:rFonts w:hint="eastAsia"/>
                      <w:color w:val="auto"/>
                      <w:szCs w:val="20"/>
                      <w:lang w:eastAsia="zh-CN"/>
                    </w:rPr>
                    <w:t>（油类物质）</w:t>
                  </w:r>
                </w:p>
              </w:tc>
              <w:tc>
                <w:tcPr>
                  <w:tcW w:w="605" w:type="pct"/>
                  <w:vAlign w:val="center"/>
                </w:tcPr>
                <w:p>
                  <w:pPr>
                    <w:jc w:val="center"/>
                    <w:rPr>
                      <w:rFonts w:hint="default" w:eastAsia="宋体"/>
                      <w:color w:val="auto"/>
                      <w:szCs w:val="21"/>
                      <w:lang w:val="en-US" w:eastAsia="zh-CN"/>
                    </w:rPr>
                  </w:pPr>
                  <w:r>
                    <w:rPr>
                      <w:color w:val="auto"/>
                      <w:szCs w:val="21"/>
                    </w:rPr>
                    <w:t>0.00</w:t>
                  </w:r>
                  <w:r>
                    <w:rPr>
                      <w:rFonts w:hint="eastAsia"/>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widowControl/>
                    <w:adjustRightInd w:val="0"/>
                    <w:snapToGrid w:val="0"/>
                    <w:jc w:val="center"/>
                    <w:rPr>
                      <w:rFonts w:hint="default" w:eastAsia="宋体"/>
                      <w:color w:val="auto"/>
                      <w:lang w:val="en-US" w:eastAsia="zh-CN"/>
                    </w:rPr>
                  </w:pPr>
                  <w:r>
                    <w:rPr>
                      <w:rFonts w:hint="eastAsia"/>
                      <w:color w:val="auto"/>
                      <w:lang w:val="en-US" w:eastAsia="zh-CN"/>
                    </w:rPr>
                    <w:t>11</w:t>
                  </w:r>
                </w:p>
              </w:tc>
              <w:tc>
                <w:tcPr>
                  <w:tcW w:w="911" w:type="pct"/>
                  <w:gridSpan w:val="2"/>
                  <w:vAlign w:val="center"/>
                </w:tcPr>
                <w:p>
                  <w:pPr>
                    <w:jc w:val="center"/>
                    <w:rPr>
                      <w:rFonts w:hint="eastAsia" w:eastAsia="宋体"/>
                      <w:color w:val="auto"/>
                      <w:kern w:val="0"/>
                      <w:szCs w:val="21"/>
                      <w:lang w:eastAsia="zh-CN"/>
                    </w:rPr>
                  </w:pPr>
                  <w:r>
                    <w:rPr>
                      <w:rFonts w:hint="eastAsia"/>
                      <w:color w:val="auto"/>
                      <w:kern w:val="0"/>
                      <w:szCs w:val="21"/>
                      <w:lang w:eastAsia="zh-CN"/>
                    </w:rPr>
                    <w:t>废液压油</w:t>
                  </w:r>
                </w:p>
              </w:tc>
              <w:tc>
                <w:tcPr>
                  <w:tcW w:w="726" w:type="pct"/>
                  <w:vMerge w:val="continue"/>
                  <w:vAlign w:val="center"/>
                </w:tcPr>
                <w:p>
                  <w:pPr>
                    <w:adjustRightInd w:val="0"/>
                    <w:snapToGrid w:val="0"/>
                    <w:jc w:val="center"/>
                    <w:rPr>
                      <w:color w:val="auto"/>
                      <w:szCs w:val="21"/>
                    </w:rPr>
                  </w:pPr>
                </w:p>
              </w:tc>
              <w:tc>
                <w:tcPr>
                  <w:tcW w:w="804" w:type="pct"/>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9</w:t>
                  </w:r>
                </w:p>
              </w:tc>
              <w:tc>
                <w:tcPr>
                  <w:tcW w:w="781" w:type="pct"/>
                  <w:vAlign w:val="center"/>
                </w:tcPr>
                <w:p>
                  <w:pPr>
                    <w:adjustRightInd w:val="0"/>
                    <w:snapToGrid w:val="0"/>
                    <w:jc w:val="center"/>
                    <w:rPr>
                      <w:color w:val="auto"/>
                      <w:kern w:val="0"/>
                      <w:szCs w:val="21"/>
                    </w:rPr>
                  </w:pPr>
                  <w:r>
                    <w:rPr>
                      <w:rFonts w:hint="eastAsia"/>
                      <w:color w:val="auto"/>
                      <w:kern w:val="0"/>
                      <w:szCs w:val="21"/>
                      <w:lang w:val="en-US" w:eastAsia="zh-CN"/>
                    </w:rPr>
                    <w:t>9</w:t>
                  </w:r>
                </w:p>
              </w:tc>
              <w:tc>
                <w:tcPr>
                  <w:tcW w:w="893" w:type="pct"/>
                  <w:vAlign w:val="center"/>
                </w:tcPr>
                <w:p>
                  <w:pPr>
                    <w:widowControl/>
                    <w:autoSpaceDE w:val="0"/>
                    <w:adjustRightInd w:val="0"/>
                    <w:snapToGrid w:val="0"/>
                    <w:jc w:val="center"/>
                    <w:rPr>
                      <w:color w:val="auto"/>
                      <w:szCs w:val="20"/>
                    </w:rPr>
                  </w:pPr>
                  <w:r>
                    <w:rPr>
                      <w:rFonts w:hint="eastAsia"/>
                      <w:color w:val="auto"/>
                      <w:szCs w:val="20"/>
                    </w:rPr>
                    <w:t>2500</w:t>
                  </w:r>
                  <w:r>
                    <w:rPr>
                      <w:rFonts w:hint="eastAsia"/>
                      <w:color w:val="auto"/>
                      <w:szCs w:val="20"/>
                      <w:lang w:eastAsia="zh-CN"/>
                    </w:rPr>
                    <w:t>（油类物质）</w:t>
                  </w:r>
                </w:p>
              </w:tc>
              <w:tc>
                <w:tcPr>
                  <w:tcW w:w="605" w:type="pct"/>
                  <w:vAlign w:val="center"/>
                </w:tcPr>
                <w:p>
                  <w:pPr>
                    <w:jc w:val="center"/>
                    <w:rPr>
                      <w:rFonts w:hint="default" w:eastAsia="宋体"/>
                      <w:color w:val="auto"/>
                      <w:szCs w:val="21"/>
                      <w:lang w:val="en-US" w:eastAsia="zh-CN"/>
                    </w:rPr>
                  </w:pPr>
                  <w:r>
                    <w:rPr>
                      <w:rFonts w:hint="eastAsia"/>
                      <w:color w:val="auto"/>
                      <w:szCs w:val="21"/>
                      <w:lang w:val="en-US" w:eastAsia="zh-CN"/>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widowControl/>
                    <w:adjustRightInd w:val="0"/>
                    <w:snapToGrid w:val="0"/>
                    <w:jc w:val="center"/>
                    <w:rPr>
                      <w:rFonts w:hint="default"/>
                      <w:color w:val="auto"/>
                      <w:lang w:val="en-US" w:eastAsia="zh-CN"/>
                    </w:rPr>
                  </w:pPr>
                  <w:r>
                    <w:rPr>
                      <w:rFonts w:hint="eastAsia"/>
                      <w:color w:val="auto"/>
                      <w:lang w:val="en-US" w:eastAsia="zh-CN"/>
                    </w:rPr>
                    <w:t>12</w:t>
                  </w:r>
                </w:p>
              </w:tc>
              <w:tc>
                <w:tcPr>
                  <w:tcW w:w="911" w:type="pct"/>
                  <w:gridSpan w:val="2"/>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废包装桶</w:t>
                  </w:r>
                </w:p>
              </w:tc>
              <w:tc>
                <w:tcPr>
                  <w:tcW w:w="726" w:type="pct"/>
                  <w:vMerge w:val="continue"/>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p>
              </w:tc>
              <w:tc>
                <w:tcPr>
                  <w:tcW w:w="804" w:type="pct"/>
                  <w:vAlign w:val="center"/>
                </w:tcPr>
                <w:p>
                  <w:pPr>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1.16</w:t>
                  </w:r>
                </w:p>
              </w:tc>
              <w:tc>
                <w:tcPr>
                  <w:tcW w:w="781" w:type="pct"/>
                  <w:vAlign w:val="center"/>
                </w:tcPr>
                <w:p>
                  <w:pPr>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1.16</w:t>
                  </w:r>
                </w:p>
              </w:tc>
              <w:tc>
                <w:tcPr>
                  <w:tcW w:w="893" w:type="pct"/>
                  <w:vAlign w:val="center"/>
                </w:tcPr>
                <w:p>
                  <w:pPr>
                    <w:widowControl/>
                    <w:autoSpaceDE w:val="0"/>
                    <w:adjustRightInd w:val="0"/>
                    <w:snapToGrid w:val="0"/>
                    <w:jc w:val="center"/>
                    <w:rPr>
                      <w:rFonts w:ascii="Times New Roman" w:hAnsi="Times New Roman" w:eastAsia="宋体" w:cs="Times New Roman"/>
                      <w:color w:val="auto"/>
                      <w:kern w:val="2"/>
                      <w:sz w:val="21"/>
                      <w:szCs w:val="20"/>
                      <w:lang w:val="en-US" w:eastAsia="zh-CN" w:bidi="ar-SA"/>
                    </w:rPr>
                  </w:pPr>
                  <w:r>
                    <w:rPr>
                      <w:color w:val="auto"/>
                      <w:szCs w:val="20"/>
                    </w:rPr>
                    <w:t>/</w:t>
                  </w:r>
                </w:p>
              </w:tc>
              <w:tc>
                <w:tcPr>
                  <w:tcW w:w="605" w:type="pct"/>
                  <w:vAlign w:val="center"/>
                </w:tcPr>
                <w:p>
                  <w:pPr>
                    <w:jc w:val="center"/>
                    <w:rPr>
                      <w:rFonts w:ascii="Times New Roman" w:hAnsi="Times New Roman" w:eastAsia="宋体" w:cs="Times New Roman"/>
                      <w:color w:val="auto"/>
                      <w:kern w:val="2"/>
                      <w:sz w:val="21"/>
                      <w:szCs w:val="21"/>
                      <w:lang w:val="en-US" w:eastAsia="zh-CN" w:bidi="ar-SA"/>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7" w:type="pct"/>
                  <w:vAlign w:val="center"/>
                </w:tcPr>
                <w:p>
                  <w:pPr>
                    <w:widowControl/>
                    <w:adjustRightInd w:val="0"/>
                    <w:snapToGrid w:val="0"/>
                    <w:jc w:val="center"/>
                    <w:rPr>
                      <w:rFonts w:hint="default" w:eastAsia="宋体"/>
                      <w:color w:val="auto"/>
                      <w:lang w:val="en-US" w:eastAsia="zh-CN"/>
                    </w:rPr>
                  </w:pPr>
                  <w:r>
                    <w:rPr>
                      <w:rFonts w:hint="eastAsia"/>
                      <w:color w:val="auto"/>
                      <w:lang w:val="en-US" w:eastAsia="zh-CN"/>
                    </w:rPr>
                    <w:t>13</w:t>
                  </w:r>
                </w:p>
              </w:tc>
              <w:tc>
                <w:tcPr>
                  <w:tcW w:w="911" w:type="pct"/>
                  <w:gridSpan w:val="2"/>
                  <w:vAlign w:val="center"/>
                </w:tcPr>
                <w:p>
                  <w:pPr>
                    <w:jc w:val="center"/>
                    <w:rPr>
                      <w:bCs/>
                      <w:color w:val="auto"/>
                      <w:szCs w:val="21"/>
                    </w:rPr>
                  </w:pPr>
                  <w:r>
                    <w:rPr>
                      <w:color w:val="auto"/>
                      <w:szCs w:val="21"/>
                    </w:rPr>
                    <w:t>废抹布</w:t>
                  </w:r>
                </w:p>
              </w:tc>
              <w:tc>
                <w:tcPr>
                  <w:tcW w:w="726" w:type="pct"/>
                  <w:vMerge w:val="continue"/>
                  <w:vAlign w:val="center"/>
                </w:tcPr>
                <w:p>
                  <w:pPr>
                    <w:adjustRightInd w:val="0"/>
                    <w:snapToGrid w:val="0"/>
                    <w:jc w:val="center"/>
                    <w:rPr>
                      <w:color w:val="auto"/>
                      <w:szCs w:val="21"/>
                    </w:rPr>
                  </w:pPr>
                </w:p>
              </w:tc>
              <w:tc>
                <w:tcPr>
                  <w:tcW w:w="804" w:type="pct"/>
                  <w:vAlign w:val="center"/>
                </w:tcPr>
                <w:p>
                  <w:pPr>
                    <w:adjustRightInd w:val="0"/>
                    <w:snapToGrid w:val="0"/>
                    <w:jc w:val="center"/>
                    <w:rPr>
                      <w:color w:val="auto"/>
                      <w:szCs w:val="21"/>
                    </w:rPr>
                  </w:pPr>
                  <w:r>
                    <w:rPr>
                      <w:rFonts w:hint="eastAsia"/>
                      <w:color w:val="auto"/>
                      <w:szCs w:val="21"/>
                    </w:rPr>
                    <w:t>0.05</w:t>
                  </w:r>
                </w:p>
              </w:tc>
              <w:tc>
                <w:tcPr>
                  <w:tcW w:w="781" w:type="pct"/>
                  <w:vAlign w:val="center"/>
                </w:tcPr>
                <w:p>
                  <w:pPr>
                    <w:adjustRightInd w:val="0"/>
                    <w:snapToGrid w:val="0"/>
                    <w:jc w:val="center"/>
                    <w:rPr>
                      <w:color w:val="auto"/>
                      <w:kern w:val="0"/>
                      <w:szCs w:val="21"/>
                    </w:rPr>
                  </w:pPr>
                  <w:r>
                    <w:rPr>
                      <w:rFonts w:hint="eastAsia"/>
                      <w:color w:val="auto"/>
                      <w:kern w:val="0"/>
                      <w:szCs w:val="21"/>
                    </w:rPr>
                    <w:t>0.0125</w:t>
                  </w:r>
                </w:p>
              </w:tc>
              <w:tc>
                <w:tcPr>
                  <w:tcW w:w="893" w:type="pct"/>
                  <w:vAlign w:val="center"/>
                </w:tcPr>
                <w:p>
                  <w:pPr>
                    <w:widowControl/>
                    <w:autoSpaceDE w:val="0"/>
                    <w:adjustRightInd w:val="0"/>
                    <w:snapToGrid w:val="0"/>
                    <w:jc w:val="center"/>
                    <w:rPr>
                      <w:color w:val="auto"/>
                      <w:szCs w:val="20"/>
                    </w:rPr>
                  </w:pPr>
                  <w:r>
                    <w:rPr>
                      <w:color w:val="auto"/>
                      <w:szCs w:val="20"/>
                    </w:rPr>
                    <w:t>/</w:t>
                  </w:r>
                </w:p>
              </w:tc>
              <w:tc>
                <w:tcPr>
                  <w:tcW w:w="605" w:type="pct"/>
                  <w:vAlign w:val="center"/>
                </w:tcPr>
                <w:p>
                  <w:pPr>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94" w:type="pct"/>
                  <w:gridSpan w:val="7"/>
                  <w:vAlign w:val="center"/>
                </w:tcPr>
                <w:p>
                  <w:pPr>
                    <w:widowControl/>
                    <w:autoSpaceDE w:val="0"/>
                    <w:adjustRightInd w:val="0"/>
                    <w:snapToGrid w:val="0"/>
                    <w:jc w:val="center"/>
                    <w:rPr>
                      <w:color w:val="auto"/>
                      <w:szCs w:val="20"/>
                    </w:rPr>
                  </w:pPr>
                  <w:r>
                    <w:rPr>
                      <w:color w:val="auto"/>
                    </w:rPr>
                    <w:t>Q=∑q</w:t>
                  </w:r>
                  <w:r>
                    <w:rPr>
                      <w:color w:val="auto"/>
                      <w:vertAlign w:val="subscript"/>
                    </w:rPr>
                    <w:t>n</w:t>
                  </w:r>
                  <w:r>
                    <w:rPr>
                      <w:color w:val="auto"/>
                    </w:rPr>
                    <w:t>/Q</w:t>
                  </w:r>
                  <w:r>
                    <w:rPr>
                      <w:color w:val="auto"/>
                      <w:vertAlign w:val="subscript"/>
                    </w:rPr>
                    <w:t>n</w:t>
                  </w:r>
                </w:p>
              </w:tc>
              <w:tc>
                <w:tcPr>
                  <w:tcW w:w="605" w:type="pct"/>
                  <w:vAlign w:val="center"/>
                </w:tcPr>
                <w:p>
                  <w:pPr>
                    <w:widowControl/>
                    <w:jc w:val="center"/>
                    <w:rPr>
                      <w:color w:val="auto"/>
                      <w:kern w:val="0"/>
                      <w:szCs w:val="21"/>
                    </w:rPr>
                  </w:pPr>
                  <w:r>
                    <w:rPr>
                      <w:rFonts w:hint="eastAsia"/>
                      <w:color w:val="auto"/>
                      <w:kern w:val="0"/>
                      <w:szCs w:val="21"/>
                    </w:rPr>
                    <w:t>0.00</w:t>
                  </w:r>
                  <w:r>
                    <w:rPr>
                      <w:rFonts w:hint="eastAsia"/>
                      <w:color w:val="auto"/>
                      <w:kern w:val="0"/>
                      <w:szCs w:val="21"/>
                      <w:lang w:val="en-US" w:eastAsia="zh-CN"/>
                    </w:rPr>
                    <w:t>52</w:t>
                  </w:r>
                  <w:r>
                    <w:rPr>
                      <w:color w:val="auto"/>
                      <w:kern w:val="0"/>
                      <w:szCs w:val="21"/>
                    </w:rPr>
                    <w:t>04</w:t>
                  </w:r>
                </w:p>
              </w:tc>
            </w:tr>
          </w:tbl>
          <w:p>
            <w:pPr>
              <w:adjustRightInd w:val="0"/>
              <w:snapToGrid w:val="0"/>
              <w:ind w:left="738" w:hanging="738" w:hangingChars="350"/>
              <w:rPr>
                <w:b/>
                <w:color w:val="auto"/>
                <w:szCs w:val="21"/>
              </w:rPr>
            </w:pPr>
            <w:r>
              <w:rPr>
                <w:b/>
                <w:color w:val="auto"/>
                <w:szCs w:val="21"/>
              </w:rPr>
              <w:t>*注：</w:t>
            </w:r>
            <w:r>
              <w:rPr>
                <w:rFonts w:hint="eastAsia"/>
                <w:b/>
                <w:color w:val="auto"/>
                <w:szCs w:val="21"/>
              </w:rPr>
              <w:t>①</w:t>
            </w:r>
            <w:r>
              <w:rPr>
                <w:rFonts w:hint="eastAsia"/>
                <w:b/>
                <w:color w:val="auto"/>
              </w:rPr>
              <w:t>天然气</w:t>
            </w:r>
            <w:r>
              <w:rPr>
                <w:rFonts w:hint="eastAsia"/>
                <w:b/>
                <w:color w:val="auto"/>
                <w:szCs w:val="21"/>
              </w:rPr>
              <w:t>临界量</w:t>
            </w:r>
            <w:r>
              <w:rPr>
                <w:b/>
                <w:color w:val="auto"/>
                <w:szCs w:val="21"/>
              </w:rPr>
              <w:t>参照</w:t>
            </w:r>
            <w:r>
              <w:rPr>
                <w:rFonts w:hint="eastAsia"/>
                <w:b/>
                <w:color w:val="auto"/>
                <w:szCs w:val="21"/>
              </w:rPr>
              <w:t>甲烷</w:t>
            </w:r>
            <w:r>
              <w:rPr>
                <w:b/>
                <w:color w:val="auto"/>
              </w:rPr>
              <w:t>。</w:t>
            </w:r>
          </w:p>
          <w:p>
            <w:pPr>
              <w:pStyle w:val="18"/>
              <w:spacing w:after="0"/>
              <w:ind w:left="0" w:leftChars="0" w:firstLine="527" w:firstLineChars="250"/>
              <w:rPr>
                <w:b/>
                <w:color w:val="auto"/>
              </w:rPr>
            </w:pPr>
            <w:r>
              <w:rPr>
                <w:rFonts w:hint="eastAsia"/>
                <w:b/>
                <w:color w:val="auto"/>
              </w:rPr>
              <w:t>②根据企业</w:t>
            </w:r>
            <w:r>
              <w:rPr>
                <w:b/>
                <w:color w:val="auto"/>
              </w:rPr>
              <w:t>提供资料，厂内天然气管道设计总长约</w:t>
            </w:r>
            <w:r>
              <w:rPr>
                <w:rFonts w:hint="eastAsia"/>
                <w:b/>
                <w:color w:val="auto"/>
              </w:rPr>
              <w:t>350米</w:t>
            </w:r>
            <w:r>
              <w:rPr>
                <w:b/>
                <w:color w:val="auto"/>
              </w:rPr>
              <w:t>，</w:t>
            </w:r>
            <w:r>
              <w:rPr>
                <w:rFonts w:hint="eastAsia"/>
                <w:b/>
                <w:color w:val="auto"/>
              </w:rPr>
              <w:t>平均</w:t>
            </w:r>
            <w:r>
              <w:rPr>
                <w:b/>
                <w:color w:val="auto"/>
              </w:rPr>
              <w:t>管径</w:t>
            </w:r>
            <w:r>
              <w:rPr>
                <w:rFonts w:hint="eastAsia"/>
                <w:b/>
                <w:color w:val="auto"/>
              </w:rPr>
              <w:t>约0.1米，</w:t>
            </w:r>
            <w:r>
              <w:rPr>
                <w:b/>
                <w:color w:val="auto"/>
              </w:rPr>
              <w:t>天然气密度按</w:t>
            </w:r>
            <w:r>
              <w:rPr>
                <w:rFonts w:hint="eastAsia"/>
                <w:b/>
                <w:color w:val="auto"/>
              </w:rPr>
              <w:t>0.72</w:t>
            </w:r>
            <w:r>
              <w:rPr>
                <w:b/>
                <w:color w:val="auto"/>
              </w:rPr>
              <w:t>kg/m</w:t>
            </w:r>
            <w:r>
              <w:rPr>
                <w:b/>
                <w:color w:val="auto"/>
                <w:vertAlign w:val="superscript"/>
              </w:rPr>
              <w:t>3</w:t>
            </w:r>
            <w:r>
              <w:rPr>
                <w:rFonts w:hint="eastAsia"/>
                <w:b/>
                <w:color w:val="auto"/>
              </w:rPr>
              <w:t>计，</w:t>
            </w:r>
            <w:r>
              <w:rPr>
                <w:b/>
                <w:color w:val="auto"/>
              </w:rPr>
              <w:t>则</w:t>
            </w:r>
            <w:r>
              <w:rPr>
                <w:rFonts w:hint="eastAsia"/>
                <w:b/>
                <w:color w:val="auto"/>
                <w:lang w:eastAsia="zh-CN"/>
              </w:rPr>
              <w:t>计算得</w:t>
            </w:r>
            <w:r>
              <w:rPr>
                <w:b/>
                <w:color w:val="auto"/>
              </w:rPr>
              <w:t>厂内天然气最大</w:t>
            </w:r>
            <w:r>
              <w:rPr>
                <w:rFonts w:hint="eastAsia"/>
                <w:b/>
                <w:color w:val="auto"/>
              </w:rPr>
              <w:t>存在量</w:t>
            </w:r>
            <w:r>
              <w:rPr>
                <w:b/>
                <w:color w:val="auto"/>
              </w:rPr>
              <w:t>约为</w:t>
            </w:r>
            <w:r>
              <w:rPr>
                <w:rFonts w:hint="eastAsia"/>
                <w:b/>
                <w:color w:val="auto"/>
              </w:rPr>
              <w:t>0.002</w:t>
            </w:r>
            <w:r>
              <w:rPr>
                <w:b/>
                <w:color w:val="auto"/>
              </w:rPr>
              <w:t xml:space="preserve"> t。</w:t>
            </w:r>
          </w:p>
          <w:p>
            <w:pPr>
              <w:adjustRightInd w:val="0"/>
              <w:snapToGrid w:val="0"/>
              <w:spacing w:line="360" w:lineRule="auto"/>
              <w:ind w:firstLine="480" w:firstLineChars="200"/>
              <w:rPr>
                <w:color w:val="auto"/>
                <w:sz w:val="24"/>
              </w:rPr>
            </w:pPr>
            <w:r>
              <w:rPr>
                <w:rFonts w:hint="eastAsia"/>
                <w:color w:val="auto"/>
                <w:kern w:val="28"/>
                <w:sz w:val="24"/>
              </w:rPr>
              <w:t>由上表</w:t>
            </w:r>
            <w:r>
              <w:rPr>
                <w:color w:val="auto"/>
                <w:kern w:val="28"/>
                <w:sz w:val="24"/>
              </w:rPr>
              <w:t>可知，本项目</w:t>
            </w:r>
            <w:r>
              <w:rPr>
                <w:rFonts w:hint="eastAsia"/>
                <w:color w:val="auto"/>
                <w:kern w:val="28"/>
                <w:sz w:val="24"/>
              </w:rPr>
              <w:t>Q&lt;1，</w:t>
            </w:r>
            <w:r>
              <w:rPr>
                <w:color w:val="auto"/>
                <w:kern w:val="28"/>
                <w:sz w:val="24"/>
              </w:rPr>
              <w:t>环境风险潜势为</w:t>
            </w:r>
            <w:r>
              <w:rPr>
                <w:rFonts w:hint="eastAsia"/>
                <w:color w:val="auto"/>
                <w:kern w:val="28"/>
                <w:sz w:val="24"/>
              </w:rPr>
              <w:t>Ⅰ，仅开展简单分析</w:t>
            </w:r>
            <w:r>
              <w:rPr>
                <w:color w:val="auto"/>
                <w:kern w:val="28"/>
                <w:sz w:val="24"/>
              </w:rPr>
              <w:t>。</w:t>
            </w:r>
          </w:p>
          <w:p>
            <w:pPr>
              <w:adjustRightInd w:val="0"/>
              <w:snapToGrid w:val="0"/>
              <w:spacing w:line="360" w:lineRule="auto"/>
              <w:ind w:firstLine="482" w:firstLineChars="200"/>
              <w:rPr>
                <w:b/>
                <w:bCs/>
                <w:color w:val="auto"/>
                <w:sz w:val="24"/>
              </w:rPr>
            </w:pPr>
            <w:r>
              <w:rPr>
                <w:b/>
                <w:bCs/>
                <w:color w:val="auto"/>
                <w:sz w:val="24"/>
              </w:rPr>
              <w:t>（2）环境风险识别</w:t>
            </w:r>
          </w:p>
          <w:p>
            <w:pPr>
              <w:adjustRightInd w:val="0"/>
              <w:snapToGrid w:val="0"/>
              <w:spacing w:line="360" w:lineRule="auto"/>
              <w:ind w:firstLine="480" w:firstLineChars="200"/>
              <w:rPr>
                <w:color w:val="auto"/>
                <w:sz w:val="24"/>
              </w:rPr>
            </w:pPr>
            <w:r>
              <w:rPr>
                <w:color w:val="auto"/>
                <w:kern w:val="28"/>
                <w:sz w:val="24"/>
              </w:rPr>
              <w:t>本项目主要危险物质环境风险识别见下表：</w:t>
            </w:r>
          </w:p>
          <w:p>
            <w:pPr>
              <w:jc w:val="center"/>
              <w:rPr>
                <w:color w:val="auto"/>
                <w:szCs w:val="21"/>
              </w:rPr>
            </w:pPr>
            <w:r>
              <w:rPr>
                <w:b/>
                <w:bCs/>
                <w:color w:val="auto"/>
                <w:sz w:val="24"/>
              </w:rPr>
              <w:t>表4-</w:t>
            </w:r>
            <w:r>
              <w:rPr>
                <w:rFonts w:hint="eastAsia"/>
                <w:b/>
                <w:bCs/>
                <w:color w:val="auto"/>
                <w:sz w:val="24"/>
                <w:lang w:val="en-US" w:eastAsia="zh-CN"/>
              </w:rPr>
              <w:t>23</w:t>
            </w:r>
            <w:r>
              <w:rPr>
                <w:b/>
                <w:bCs/>
                <w:color w:val="auto"/>
                <w:sz w:val="24"/>
              </w:rPr>
              <w:t xml:space="preserve">  本项目涉及的主要危险物质环境风险识别</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125"/>
              <w:gridCol w:w="1986"/>
              <w:gridCol w:w="34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8" w:type="pct"/>
                  <w:vAlign w:val="center"/>
                </w:tcPr>
                <w:p>
                  <w:pPr>
                    <w:jc w:val="center"/>
                    <w:rPr>
                      <w:b/>
                      <w:color w:val="auto"/>
                      <w:szCs w:val="21"/>
                    </w:rPr>
                  </w:pPr>
                  <w:r>
                    <w:rPr>
                      <w:b/>
                      <w:color w:val="auto"/>
                      <w:szCs w:val="21"/>
                    </w:rPr>
                    <w:t>风险单元</w:t>
                  </w:r>
                </w:p>
              </w:tc>
              <w:tc>
                <w:tcPr>
                  <w:tcW w:w="1273" w:type="pct"/>
                  <w:vAlign w:val="center"/>
                </w:tcPr>
                <w:p>
                  <w:pPr>
                    <w:jc w:val="center"/>
                    <w:rPr>
                      <w:b/>
                      <w:color w:val="auto"/>
                      <w:szCs w:val="21"/>
                    </w:rPr>
                  </w:pPr>
                  <w:r>
                    <w:rPr>
                      <w:b/>
                      <w:color w:val="auto"/>
                      <w:szCs w:val="21"/>
                    </w:rPr>
                    <w:t>涉及风险物质</w:t>
                  </w:r>
                </w:p>
              </w:tc>
              <w:tc>
                <w:tcPr>
                  <w:tcW w:w="1189" w:type="pct"/>
                  <w:vAlign w:val="center"/>
                </w:tcPr>
                <w:p>
                  <w:pPr>
                    <w:jc w:val="center"/>
                    <w:rPr>
                      <w:b/>
                      <w:color w:val="auto"/>
                      <w:szCs w:val="21"/>
                    </w:rPr>
                  </w:pPr>
                  <w:r>
                    <w:rPr>
                      <w:b/>
                      <w:bCs/>
                      <w:color w:val="auto"/>
                      <w:szCs w:val="21"/>
                    </w:rPr>
                    <w:t>环境风险类型</w:t>
                  </w:r>
                </w:p>
              </w:tc>
              <w:tc>
                <w:tcPr>
                  <w:tcW w:w="2048" w:type="pct"/>
                  <w:vAlign w:val="center"/>
                </w:tcPr>
                <w:p>
                  <w:pPr>
                    <w:tabs>
                      <w:tab w:val="center" w:pos="1384"/>
                      <w:tab w:val="right" w:pos="2644"/>
                    </w:tabs>
                    <w:jc w:val="center"/>
                    <w:rPr>
                      <w:color w:val="auto"/>
                      <w:szCs w:val="21"/>
                    </w:rPr>
                  </w:pPr>
                  <w:r>
                    <w:rPr>
                      <w:b/>
                      <w:color w:val="auto"/>
                      <w:szCs w:val="21"/>
                    </w:rPr>
                    <w:t>环境影响途径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8" w:type="pct"/>
                  <w:vMerge w:val="restart"/>
                  <w:vAlign w:val="center"/>
                </w:tcPr>
                <w:p>
                  <w:pPr>
                    <w:snapToGrid w:val="0"/>
                    <w:jc w:val="center"/>
                    <w:rPr>
                      <w:color w:val="auto"/>
                      <w:szCs w:val="21"/>
                    </w:rPr>
                  </w:pPr>
                  <w:r>
                    <w:rPr>
                      <w:color w:val="auto"/>
                    </w:rPr>
                    <w:t>原辅材料</w:t>
                  </w:r>
                </w:p>
              </w:tc>
              <w:tc>
                <w:tcPr>
                  <w:tcW w:w="1273" w:type="pct"/>
                  <w:vAlign w:val="center"/>
                </w:tcPr>
                <w:p>
                  <w:pPr>
                    <w:jc w:val="center"/>
                    <w:rPr>
                      <w:color w:val="auto"/>
                      <w:szCs w:val="21"/>
                    </w:rPr>
                  </w:pPr>
                  <w:r>
                    <w:rPr>
                      <w:color w:val="auto"/>
                      <w:szCs w:val="21"/>
                    </w:rPr>
                    <w:t>液压油</w:t>
                  </w:r>
                </w:p>
              </w:tc>
              <w:tc>
                <w:tcPr>
                  <w:tcW w:w="1189" w:type="pct"/>
                  <w:vAlign w:val="center"/>
                </w:tcPr>
                <w:p>
                  <w:pPr>
                    <w:jc w:val="center"/>
                    <w:rPr>
                      <w:bCs/>
                      <w:color w:val="auto"/>
                      <w:szCs w:val="21"/>
                    </w:rPr>
                  </w:pPr>
                  <w:r>
                    <w:rPr>
                      <w:color w:val="auto"/>
                      <w:szCs w:val="21"/>
                    </w:rPr>
                    <w:t>泄漏、火灾</w:t>
                  </w:r>
                </w:p>
              </w:tc>
              <w:tc>
                <w:tcPr>
                  <w:tcW w:w="2048" w:type="pct"/>
                  <w:vAlign w:val="center"/>
                </w:tcPr>
                <w:p>
                  <w:pPr>
                    <w:tabs>
                      <w:tab w:val="center" w:pos="1384"/>
                      <w:tab w:val="right" w:pos="2644"/>
                    </w:tabs>
                    <w:jc w:val="center"/>
                    <w:rPr>
                      <w:color w:val="auto"/>
                      <w:szCs w:val="21"/>
                    </w:rPr>
                  </w:pPr>
                  <w:r>
                    <w:rPr>
                      <w:color w:val="auto"/>
                    </w:rPr>
                    <w:t>大气、地表水、土壤、地下水环境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8" w:type="pct"/>
                  <w:vMerge w:val="continue"/>
                  <w:vAlign w:val="center"/>
                </w:tcPr>
                <w:p>
                  <w:pPr>
                    <w:snapToGrid w:val="0"/>
                    <w:jc w:val="center"/>
                    <w:rPr>
                      <w:color w:val="auto"/>
                      <w:szCs w:val="21"/>
                    </w:rPr>
                  </w:pPr>
                </w:p>
              </w:tc>
              <w:tc>
                <w:tcPr>
                  <w:tcW w:w="1273" w:type="pct"/>
                  <w:vAlign w:val="center"/>
                </w:tcPr>
                <w:p>
                  <w:pPr>
                    <w:jc w:val="center"/>
                    <w:rPr>
                      <w:color w:val="auto"/>
                      <w:szCs w:val="21"/>
                    </w:rPr>
                  </w:pPr>
                  <w:r>
                    <w:rPr>
                      <w:color w:val="auto"/>
                      <w:szCs w:val="21"/>
                    </w:rPr>
                    <w:t>导热油</w:t>
                  </w:r>
                </w:p>
              </w:tc>
              <w:tc>
                <w:tcPr>
                  <w:tcW w:w="1189" w:type="pct"/>
                  <w:vAlign w:val="center"/>
                </w:tcPr>
                <w:p>
                  <w:pPr>
                    <w:jc w:val="center"/>
                    <w:rPr>
                      <w:bCs/>
                      <w:color w:val="auto"/>
                      <w:szCs w:val="21"/>
                    </w:rPr>
                  </w:pPr>
                  <w:r>
                    <w:rPr>
                      <w:color w:val="auto"/>
                      <w:szCs w:val="21"/>
                    </w:rPr>
                    <w:t>泄漏、火灾</w:t>
                  </w:r>
                </w:p>
              </w:tc>
              <w:tc>
                <w:tcPr>
                  <w:tcW w:w="2048" w:type="pct"/>
                  <w:vAlign w:val="center"/>
                </w:tcPr>
                <w:p>
                  <w:pPr>
                    <w:tabs>
                      <w:tab w:val="center" w:pos="1384"/>
                      <w:tab w:val="right" w:pos="2644"/>
                    </w:tabs>
                    <w:jc w:val="center"/>
                    <w:rPr>
                      <w:color w:val="auto"/>
                      <w:szCs w:val="21"/>
                    </w:rPr>
                  </w:pPr>
                  <w:r>
                    <w:rPr>
                      <w:color w:val="auto"/>
                    </w:rPr>
                    <w:t>大气、地表水、土壤、地下水环境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8" w:type="pct"/>
                  <w:vMerge w:val="continue"/>
                  <w:vAlign w:val="center"/>
                </w:tcPr>
                <w:p>
                  <w:pPr>
                    <w:snapToGrid w:val="0"/>
                    <w:jc w:val="center"/>
                    <w:rPr>
                      <w:color w:val="auto"/>
                      <w:szCs w:val="21"/>
                    </w:rPr>
                  </w:pPr>
                </w:p>
              </w:tc>
              <w:tc>
                <w:tcPr>
                  <w:tcW w:w="1273" w:type="pct"/>
                  <w:vAlign w:val="center"/>
                </w:tcPr>
                <w:p>
                  <w:pPr>
                    <w:widowControl/>
                    <w:adjustRightInd w:val="0"/>
                    <w:snapToGrid w:val="0"/>
                    <w:jc w:val="center"/>
                    <w:rPr>
                      <w:color w:val="auto"/>
                      <w:szCs w:val="21"/>
                    </w:rPr>
                  </w:pPr>
                  <w:r>
                    <w:rPr>
                      <w:color w:val="auto"/>
                      <w:szCs w:val="21"/>
                    </w:rPr>
                    <w:t>天然气</w:t>
                  </w:r>
                </w:p>
              </w:tc>
              <w:tc>
                <w:tcPr>
                  <w:tcW w:w="1189" w:type="pct"/>
                  <w:vAlign w:val="center"/>
                </w:tcPr>
                <w:p>
                  <w:pPr>
                    <w:jc w:val="center"/>
                    <w:rPr>
                      <w:color w:val="auto"/>
                      <w:szCs w:val="21"/>
                    </w:rPr>
                  </w:pPr>
                  <w:r>
                    <w:rPr>
                      <w:color w:val="auto"/>
                      <w:szCs w:val="21"/>
                    </w:rPr>
                    <w:t>泄漏、火灾</w:t>
                  </w:r>
                  <w:r>
                    <w:rPr>
                      <w:rFonts w:hint="eastAsia"/>
                      <w:color w:val="auto"/>
                      <w:szCs w:val="21"/>
                    </w:rPr>
                    <w:t>、</w:t>
                  </w:r>
                  <w:r>
                    <w:rPr>
                      <w:color w:val="auto"/>
                      <w:szCs w:val="21"/>
                    </w:rPr>
                    <w:t>爆炸</w:t>
                  </w:r>
                </w:p>
              </w:tc>
              <w:tc>
                <w:tcPr>
                  <w:tcW w:w="2048" w:type="pct"/>
                  <w:vAlign w:val="center"/>
                </w:tcPr>
                <w:p>
                  <w:pPr>
                    <w:jc w:val="center"/>
                    <w:rPr>
                      <w:color w:val="auto"/>
                      <w:szCs w:val="21"/>
                    </w:rPr>
                  </w:pPr>
                  <w:r>
                    <w:rPr>
                      <w:color w:val="auto"/>
                    </w:rPr>
                    <w:t>大气、地表水、土壤、地下水环境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8" w:type="pct"/>
                  <w:vAlign w:val="center"/>
                </w:tcPr>
                <w:p>
                  <w:pPr>
                    <w:snapToGrid w:val="0"/>
                    <w:jc w:val="center"/>
                    <w:rPr>
                      <w:rFonts w:hint="eastAsia" w:eastAsia="宋体"/>
                      <w:color w:val="auto"/>
                      <w:szCs w:val="21"/>
                      <w:lang w:eastAsia="zh-CN"/>
                    </w:rPr>
                  </w:pPr>
                  <w:r>
                    <w:rPr>
                      <w:rFonts w:hint="eastAsia"/>
                      <w:color w:val="auto"/>
                      <w:szCs w:val="21"/>
                      <w:lang w:eastAsia="zh-CN"/>
                    </w:rPr>
                    <w:t>废气</w:t>
                  </w:r>
                </w:p>
              </w:tc>
              <w:tc>
                <w:tcPr>
                  <w:tcW w:w="1273" w:type="pct"/>
                  <w:vAlign w:val="center"/>
                </w:tcPr>
                <w:p>
                  <w:pPr>
                    <w:widowControl/>
                    <w:adjustRightInd w:val="0"/>
                    <w:snapToGrid w:val="0"/>
                    <w:jc w:val="center"/>
                    <w:rPr>
                      <w:rFonts w:hint="eastAsia" w:eastAsia="宋体"/>
                      <w:color w:val="auto"/>
                      <w:szCs w:val="21"/>
                      <w:lang w:eastAsia="zh-CN"/>
                    </w:rPr>
                  </w:pPr>
                  <w:r>
                    <w:rPr>
                      <w:rFonts w:hint="eastAsia"/>
                      <w:color w:val="auto"/>
                      <w:szCs w:val="21"/>
                      <w:lang w:eastAsia="zh-CN"/>
                    </w:rPr>
                    <w:t>甲醛</w:t>
                  </w:r>
                  <w:r>
                    <w:rPr>
                      <w:rFonts w:hint="eastAsia"/>
                      <w:color w:val="auto"/>
                      <w:lang w:eastAsia="zh-CN"/>
                    </w:rPr>
                    <w:t>等有机废气</w:t>
                  </w:r>
                </w:p>
              </w:tc>
              <w:tc>
                <w:tcPr>
                  <w:tcW w:w="1189" w:type="pct"/>
                  <w:vAlign w:val="center"/>
                </w:tcPr>
                <w:p>
                  <w:pPr>
                    <w:jc w:val="center"/>
                    <w:rPr>
                      <w:rFonts w:hint="eastAsia" w:eastAsia="宋体"/>
                      <w:color w:val="auto"/>
                      <w:szCs w:val="21"/>
                      <w:lang w:eastAsia="zh-CN"/>
                    </w:rPr>
                  </w:pPr>
                  <w:r>
                    <w:rPr>
                      <w:color w:val="auto"/>
                      <w:szCs w:val="21"/>
                    </w:rPr>
                    <w:t>火灾</w:t>
                  </w:r>
                  <w:r>
                    <w:rPr>
                      <w:rFonts w:hint="eastAsia"/>
                      <w:color w:val="auto"/>
                      <w:lang w:eastAsia="zh-CN"/>
                    </w:rPr>
                    <w:t>、爆炸</w:t>
                  </w:r>
                </w:p>
              </w:tc>
              <w:tc>
                <w:tcPr>
                  <w:tcW w:w="2048" w:type="pct"/>
                  <w:vAlign w:val="center"/>
                </w:tcPr>
                <w:p>
                  <w:pPr>
                    <w:jc w:val="center"/>
                    <w:rPr>
                      <w:color w:val="auto"/>
                    </w:rPr>
                  </w:pPr>
                  <w:r>
                    <w:rPr>
                      <w:color w:val="auto"/>
                    </w:rPr>
                    <w:t>大气、地表水、土壤、地下水环境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488" w:type="pct"/>
                  <w:vMerge w:val="restart"/>
                  <w:vAlign w:val="center"/>
                </w:tcPr>
                <w:p>
                  <w:pPr>
                    <w:jc w:val="center"/>
                    <w:rPr>
                      <w:color w:val="auto"/>
                      <w:szCs w:val="21"/>
                    </w:rPr>
                  </w:pPr>
                  <w:r>
                    <w:rPr>
                      <w:color w:val="auto"/>
                      <w:szCs w:val="21"/>
                    </w:rPr>
                    <w:t>危废</w:t>
                  </w:r>
                </w:p>
              </w:tc>
              <w:tc>
                <w:tcPr>
                  <w:tcW w:w="1273" w:type="pct"/>
                  <w:vAlign w:val="center"/>
                </w:tcPr>
                <w:p>
                  <w:pPr>
                    <w:jc w:val="center"/>
                    <w:rPr>
                      <w:color w:val="auto"/>
                      <w:kern w:val="0"/>
                      <w:szCs w:val="21"/>
                    </w:rPr>
                  </w:pPr>
                  <w:r>
                    <w:rPr>
                      <w:color w:val="auto"/>
                      <w:szCs w:val="21"/>
                    </w:rPr>
                    <w:t>废</w:t>
                  </w:r>
                  <w:r>
                    <w:rPr>
                      <w:rFonts w:hint="eastAsia"/>
                      <w:color w:val="auto"/>
                      <w:szCs w:val="21"/>
                      <w:lang w:eastAsia="zh-CN"/>
                    </w:rPr>
                    <w:t>导热</w:t>
                  </w:r>
                  <w:r>
                    <w:rPr>
                      <w:rFonts w:hint="eastAsia"/>
                      <w:color w:val="auto"/>
                      <w:szCs w:val="21"/>
                    </w:rPr>
                    <w:t>油</w:t>
                  </w:r>
                </w:p>
              </w:tc>
              <w:tc>
                <w:tcPr>
                  <w:tcW w:w="1189" w:type="pct"/>
                  <w:vAlign w:val="center"/>
                </w:tcPr>
                <w:p>
                  <w:pPr>
                    <w:jc w:val="center"/>
                    <w:rPr>
                      <w:color w:val="auto"/>
                      <w:szCs w:val="21"/>
                    </w:rPr>
                  </w:pPr>
                  <w:r>
                    <w:rPr>
                      <w:color w:val="auto"/>
                      <w:szCs w:val="21"/>
                    </w:rPr>
                    <w:t>泄漏、火灾</w:t>
                  </w:r>
                </w:p>
              </w:tc>
              <w:tc>
                <w:tcPr>
                  <w:tcW w:w="2048" w:type="pct"/>
                  <w:vAlign w:val="center"/>
                </w:tcPr>
                <w:p>
                  <w:pPr>
                    <w:jc w:val="center"/>
                    <w:rPr>
                      <w:color w:val="auto"/>
                      <w:szCs w:val="21"/>
                    </w:rPr>
                  </w:pPr>
                  <w:r>
                    <w:rPr>
                      <w:color w:val="auto"/>
                    </w:rPr>
                    <w:t>大气、地表水、土壤、地下水环境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8" w:type="pct"/>
                  <w:vMerge w:val="continue"/>
                  <w:vAlign w:val="center"/>
                </w:tcPr>
                <w:p>
                  <w:pPr>
                    <w:jc w:val="center"/>
                    <w:rPr>
                      <w:color w:val="auto"/>
                      <w:szCs w:val="21"/>
                    </w:rPr>
                  </w:pPr>
                </w:p>
              </w:tc>
              <w:tc>
                <w:tcPr>
                  <w:tcW w:w="1273" w:type="pct"/>
                  <w:vAlign w:val="center"/>
                </w:tcPr>
                <w:p>
                  <w:pPr>
                    <w:jc w:val="center"/>
                    <w:rPr>
                      <w:rFonts w:hint="eastAsia" w:eastAsia="宋体"/>
                      <w:color w:val="auto"/>
                      <w:szCs w:val="21"/>
                      <w:lang w:eastAsia="zh-CN"/>
                    </w:rPr>
                  </w:pPr>
                  <w:r>
                    <w:rPr>
                      <w:rFonts w:hint="eastAsia"/>
                      <w:color w:val="auto"/>
                      <w:szCs w:val="21"/>
                      <w:lang w:eastAsia="zh-CN"/>
                    </w:rPr>
                    <w:t>废液压油</w:t>
                  </w:r>
                </w:p>
              </w:tc>
              <w:tc>
                <w:tcPr>
                  <w:tcW w:w="1986" w:type="dxa"/>
                  <w:vAlign w:val="center"/>
                </w:tcPr>
                <w:p>
                  <w:pPr>
                    <w:jc w:val="center"/>
                    <w:rPr>
                      <w:color w:val="auto"/>
                      <w:szCs w:val="21"/>
                    </w:rPr>
                  </w:pPr>
                  <w:r>
                    <w:rPr>
                      <w:color w:val="auto"/>
                      <w:szCs w:val="21"/>
                    </w:rPr>
                    <w:t>泄漏、火灾</w:t>
                  </w:r>
                </w:p>
              </w:tc>
              <w:tc>
                <w:tcPr>
                  <w:tcW w:w="3419" w:type="dxa"/>
                  <w:vAlign w:val="center"/>
                </w:tcPr>
                <w:p>
                  <w:pPr>
                    <w:jc w:val="center"/>
                    <w:rPr>
                      <w:color w:val="auto"/>
                    </w:rPr>
                  </w:pPr>
                  <w:r>
                    <w:rPr>
                      <w:color w:val="auto"/>
                    </w:rPr>
                    <w:t>大气、地表水、土壤、地下水环境</w:t>
                  </w:r>
                </w:p>
              </w:tc>
            </w:tr>
          </w:tbl>
          <w:p>
            <w:pPr>
              <w:adjustRightInd w:val="0"/>
              <w:snapToGrid w:val="0"/>
              <w:spacing w:before="120" w:beforeLines="50" w:line="360" w:lineRule="auto"/>
              <w:ind w:firstLine="482" w:firstLineChars="200"/>
              <w:rPr>
                <w:b/>
                <w:bCs/>
                <w:color w:val="auto"/>
                <w:sz w:val="24"/>
              </w:rPr>
            </w:pPr>
            <w:r>
              <w:rPr>
                <w:b/>
                <w:bCs/>
                <w:color w:val="auto"/>
                <w:sz w:val="24"/>
              </w:rPr>
              <w:t>（3）环境风险分析</w:t>
            </w:r>
          </w:p>
          <w:p>
            <w:pPr>
              <w:pStyle w:val="80"/>
              <w:snapToGrid w:val="0"/>
              <w:rPr>
                <w:rFonts w:ascii="Times New Roman" w:hAnsi="Times New Roman" w:eastAsia="宋体"/>
                <w:color w:val="auto"/>
              </w:rPr>
            </w:pPr>
            <w:r>
              <w:rPr>
                <w:rFonts w:ascii="Times New Roman" w:hAnsi="Times New Roman" w:eastAsia="宋体"/>
                <w:color w:val="auto"/>
              </w:rPr>
              <w:t>经识别，</w:t>
            </w:r>
            <w:r>
              <w:rPr>
                <w:rFonts w:hint="eastAsia" w:ascii="Times New Roman" w:hAnsi="Times New Roman" w:eastAsia="宋体"/>
                <w:color w:val="auto"/>
              </w:rPr>
              <w:t>本项目</w:t>
            </w:r>
            <w:r>
              <w:rPr>
                <w:rFonts w:ascii="Times New Roman" w:hAnsi="Times New Roman" w:eastAsia="宋体"/>
                <w:color w:val="auto"/>
              </w:rPr>
              <w:t>涉及的主要风险物质为</w:t>
            </w:r>
            <w:r>
              <w:rPr>
                <w:rFonts w:hint="eastAsia" w:ascii="Times New Roman" w:hAnsi="Times New Roman" w:eastAsia="宋体"/>
                <w:color w:val="auto"/>
              </w:rPr>
              <w:t>液压油</w:t>
            </w:r>
            <w:r>
              <w:rPr>
                <w:rFonts w:ascii="Times New Roman" w:hAnsi="Times New Roman" w:eastAsia="宋体"/>
                <w:color w:val="auto"/>
              </w:rPr>
              <w:t>、导热油</w:t>
            </w:r>
            <w:r>
              <w:rPr>
                <w:rFonts w:hint="eastAsia" w:ascii="Times New Roman" w:hAnsi="Times New Roman" w:eastAsia="宋体"/>
                <w:color w:val="auto"/>
              </w:rPr>
              <w:t>、</w:t>
            </w:r>
            <w:r>
              <w:rPr>
                <w:rFonts w:ascii="Times New Roman" w:hAnsi="Times New Roman" w:eastAsia="宋体"/>
                <w:color w:val="auto"/>
              </w:rPr>
              <w:t>天然气、</w:t>
            </w:r>
            <w:r>
              <w:rPr>
                <w:rFonts w:hint="eastAsia" w:ascii="Times New Roman" w:hAnsi="Times New Roman" w:eastAsia="宋体"/>
                <w:color w:val="auto"/>
              </w:rPr>
              <w:t>废</w:t>
            </w:r>
            <w:r>
              <w:rPr>
                <w:rFonts w:ascii="Times New Roman" w:hAnsi="Times New Roman" w:eastAsia="宋体"/>
                <w:color w:val="auto"/>
              </w:rPr>
              <w:t>导热油、</w:t>
            </w:r>
            <w:r>
              <w:rPr>
                <w:rFonts w:hint="eastAsia" w:ascii="Times New Roman" w:hAnsi="Times New Roman" w:eastAsia="宋体"/>
                <w:color w:val="auto"/>
                <w:lang w:eastAsia="zh-CN"/>
              </w:rPr>
              <w:t>废</w:t>
            </w:r>
            <w:r>
              <w:rPr>
                <w:rFonts w:hint="eastAsia" w:ascii="Times New Roman" w:hAnsi="Times New Roman" w:eastAsia="宋体"/>
                <w:color w:val="auto"/>
              </w:rPr>
              <w:t>液压油</w:t>
            </w:r>
            <w:r>
              <w:rPr>
                <w:rFonts w:hint="eastAsia" w:ascii="Times New Roman" w:hAnsi="Times New Roman" w:eastAsia="宋体"/>
                <w:color w:val="auto"/>
                <w:lang w:eastAsia="zh-CN"/>
              </w:rPr>
              <w:t>以及</w:t>
            </w:r>
            <w:r>
              <w:rPr>
                <w:rFonts w:hint="eastAsia" w:ascii="Times New Roman" w:hAnsi="Times New Roman" w:eastAsia="宋体"/>
                <w:color w:val="auto"/>
              </w:rPr>
              <w:t>木材、浸胶纸受热挥发产生</w:t>
            </w:r>
            <w:r>
              <w:rPr>
                <w:rFonts w:hint="eastAsia" w:ascii="Times New Roman" w:hAnsi="Times New Roman" w:eastAsia="宋体"/>
                <w:color w:val="auto"/>
                <w:lang w:eastAsia="zh-CN"/>
              </w:rPr>
              <w:t>的</w:t>
            </w:r>
            <w:r>
              <w:rPr>
                <w:rFonts w:hint="eastAsia" w:ascii="Times New Roman" w:hAnsi="Times New Roman" w:eastAsia="宋体"/>
                <w:color w:val="auto"/>
              </w:rPr>
              <w:t>甲醛等有机废气</w:t>
            </w:r>
            <w:r>
              <w:rPr>
                <w:rFonts w:ascii="Times New Roman" w:hAnsi="Times New Roman" w:eastAsia="宋体"/>
                <w:color w:val="auto"/>
              </w:rPr>
              <w:t>。</w:t>
            </w:r>
            <w:r>
              <w:rPr>
                <w:rFonts w:hint="eastAsia" w:ascii="Times New Roman" w:hAnsi="Times New Roman" w:eastAsia="宋体"/>
                <w:color w:val="auto"/>
              </w:rPr>
              <w:t>液压油</w:t>
            </w:r>
            <w:r>
              <w:rPr>
                <w:rFonts w:ascii="Times New Roman" w:hAnsi="Times New Roman" w:eastAsia="宋体"/>
                <w:color w:val="auto"/>
              </w:rPr>
              <w:t>、导热油</w:t>
            </w:r>
            <w:r>
              <w:rPr>
                <w:rFonts w:hint="eastAsia" w:ascii="Times New Roman" w:hAnsi="Times New Roman" w:eastAsia="宋体"/>
                <w:color w:val="auto"/>
              </w:rPr>
              <w:t>、</w:t>
            </w:r>
            <w:r>
              <w:rPr>
                <w:rFonts w:ascii="Times New Roman" w:hAnsi="Times New Roman" w:eastAsia="宋体"/>
                <w:color w:val="auto"/>
              </w:rPr>
              <w:t>天然气、</w:t>
            </w:r>
            <w:r>
              <w:rPr>
                <w:rFonts w:hint="eastAsia" w:ascii="Times New Roman" w:hAnsi="Times New Roman" w:eastAsia="宋体"/>
                <w:color w:val="auto"/>
              </w:rPr>
              <w:t>废</w:t>
            </w:r>
            <w:r>
              <w:rPr>
                <w:rFonts w:ascii="Times New Roman" w:hAnsi="Times New Roman" w:eastAsia="宋体"/>
                <w:color w:val="auto"/>
              </w:rPr>
              <w:t>导热油、</w:t>
            </w:r>
            <w:r>
              <w:rPr>
                <w:rFonts w:hint="eastAsia" w:ascii="Times New Roman" w:hAnsi="Times New Roman" w:eastAsia="宋体"/>
                <w:color w:val="auto"/>
                <w:lang w:eastAsia="zh-CN"/>
              </w:rPr>
              <w:t>废</w:t>
            </w:r>
            <w:r>
              <w:rPr>
                <w:rFonts w:hint="eastAsia" w:ascii="Times New Roman" w:hAnsi="Times New Roman" w:eastAsia="宋体"/>
                <w:color w:val="auto"/>
              </w:rPr>
              <w:t>液压油</w:t>
            </w:r>
            <w:r>
              <w:rPr>
                <w:rFonts w:ascii="Times New Roman" w:hAnsi="Times New Roman" w:eastAsia="宋体"/>
                <w:color w:val="auto"/>
              </w:rPr>
              <w:t>等如遇明火，则可能发生火灾事故，同时燃烧产生烟尘</w:t>
            </w:r>
            <w:r>
              <w:rPr>
                <w:rFonts w:hint="eastAsia" w:ascii="Times New Roman" w:hAnsi="Times New Roman" w:eastAsia="宋体"/>
                <w:color w:val="auto"/>
              </w:rPr>
              <w:t>、</w:t>
            </w:r>
            <w:r>
              <w:rPr>
                <w:rFonts w:ascii="Times New Roman" w:hAnsi="Times New Roman" w:eastAsia="宋体"/>
                <w:color w:val="auto"/>
              </w:rPr>
              <w:t>SO</w:t>
            </w:r>
            <w:r>
              <w:rPr>
                <w:rFonts w:ascii="Times New Roman" w:hAnsi="Times New Roman" w:eastAsia="宋体"/>
                <w:color w:val="auto"/>
                <w:vertAlign w:val="subscript"/>
              </w:rPr>
              <w:t>2</w:t>
            </w:r>
            <w:r>
              <w:rPr>
                <w:rFonts w:ascii="Times New Roman" w:hAnsi="Times New Roman" w:eastAsia="宋体"/>
                <w:color w:val="auto"/>
              </w:rPr>
              <w:t>、NOx和大量有机废气</w:t>
            </w:r>
            <w:r>
              <w:rPr>
                <w:rFonts w:hint="eastAsia" w:ascii="Times New Roman" w:hAnsi="Times New Roman" w:eastAsia="宋体"/>
                <w:color w:val="auto"/>
              </w:rPr>
              <w:t>（非甲烷总烃、甲醛等）</w:t>
            </w:r>
            <w:r>
              <w:rPr>
                <w:rFonts w:ascii="Times New Roman" w:hAnsi="Times New Roman" w:eastAsia="宋体"/>
                <w:color w:val="auto"/>
              </w:rPr>
              <w:t>进入大气环境中，会导致周围大气环境中相应污染物浓度增高，造成环境空气质量污染；</w:t>
            </w:r>
            <w:r>
              <w:rPr>
                <w:rFonts w:hint="eastAsia" w:ascii="Times New Roman" w:hAnsi="Times New Roman" w:eastAsia="宋体"/>
                <w:color w:val="auto"/>
              </w:rPr>
              <w:t>液压油</w:t>
            </w:r>
            <w:r>
              <w:rPr>
                <w:rFonts w:ascii="Times New Roman" w:hAnsi="Times New Roman" w:eastAsia="宋体"/>
                <w:color w:val="auto"/>
              </w:rPr>
              <w:t>、导热油</w:t>
            </w:r>
            <w:r>
              <w:rPr>
                <w:rFonts w:hint="eastAsia" w:ascii="Times New Roman" w:hAnsi="Times New Roman" w:eastAsia="宋体"/>
                <w:color w:val="auto"/>
              </w:rPr>
              <w:t>、</w:t>
            </w:r>
            <w:r>
              <w:rPr>
                <w:rFonts w:ascii="Times New Roman" w:hAnsi="Times New Roman" w:eastAsia="宋体"/>
                <w:color w:val="auto"/>
              </w:rPr>
              <w:t>天然气、</w:t>
            </w:r>
            <w:r>
              <w:rPr>
                <w:rFonts w:hint="eastAsia" w:ascii="Times New Roman" w:hAnsi="Times New Roman" w:eastAsia="宋体"/>
                <w:color w:val="auto"/>
              </w:rPr>
              <w:t>废</w:t>
            </w:r>
            <w:r>
              <w:rPr>
                <w:rFonts w:ascii="Times New Roman" w:hAnsi="Times New Roman" w:eastAsia="宋体"/>
                <w:color w:val="auto"/>
              </w:rPr>
              <w:t>导热油、</w:t>
            </w:r>
            <w:r>
              <w:rPr>
                <w:rFonts w:hint="eastAsia" w:ascii="Times New Roman" w:hAnsi="Times New Roman" w:eastAsia="宋体"/>
                <w:color w:val="auto"/>
                <w:lang w:eastAsia="zh-CN"/>
              </w:rPr>
              <w:t>废</w:t>
            </w:r>
            <w:r>
              <w:rPr>
                <w:rFonts w:hint="eastAsia" w:ascii="Times New Roman" w:hAnsi="Times New Roman" w:eastAsia="宋体"/>
                <w:color w:val="auto"/>
              </w:rPr>
              <w:t>液压油</w:t>
            </w:r>
            <w:r>
              <w:rPr>
                <w:rFonts w:ascii="Times New Roman" w:hAnsi="Times New Roman" w:eastAsia="宋体"/>
                <w:color w:val="auto"/>
              </w:rPr>
              <w:t>如发生泄漏或火灾等事故，泄漏废液、消防废水等如拦截不当则可能会进入周围水环境中，会导致受纳水体环境中相应污染物浓度增高，造成水环境质量污染。</w:t>
            </w:r>
          </w:p>
          <w:p>
            <w:pPr>
              <w:adjustRightInd w:val="0"/>
              <w:snapToGrid w:val="0"/>
              <w:spacing w:line="360" w:lineRule="auto"/>
              <w:ind w:firstLine="480" w:firstLineChars="200"/>
              <w:rPr>
                <w:color w:val="auto"/>
                <w:sz w:val="24"/>
              </w:rPr>
            </w:pPr>
            <w:r>
              <w:rPr>
                <w:color w:val="auto"/>
                <w:sz w:val="24"/>
              </w:rPr>
              <w:t>项目重点防渗区</w:t>
            </w:r>
            <w:r>
              <w:rPr>
                <w:rFonts w:hint="eastAsia"/>
                <w:color w:val="auto"/>
                <w:sz w:val="24"/>
              </w:rPr>
              <w:t>车间一</w:t>
            </w:r>
            <w:r>
              <w:rPr>
                <w:color w:val="auto"/>
                <w:sz w:val="24"/>
              </w:rPr>
              <w:t>、车间</w:t>
            </w:r>
            <w:r>
              <w:rPr>
                <w:rFonts w:hint="eastAsia"/>
                <w:color w:val="auto"/>
                <w:sz w:val="24"/>
              </w:rPr>
              <w:t>二</w:t>
            </w:r>
            <w:r>
              <w:rPr>
                <w:color w:val="auto"/>
                <w:sz w:val="24"/>
              </w:rPr>
              <w:t>、危废仓库需采取防渗措施，对地下水、土壤环境风险影响较小。</w:t>
            </w:r>
          </w:p>
          <w:p>
            <w:pPr>
              <w:adjustRightInd w:val="0"/>
              <w:snapToGrid w:val="0"/>
              <w:spacing w:line="360" w:lineRule="auto"/>
              <w:ind w:firstLine="482" w:firstLineChars="200"/>
              <w:rPr>
                <w:b/>
                <w:bCs/>
                <w:color w:val="auto"/>
                <w:sz w:val="24"/>
              </w:rPr>
            </w:pPr>
            <w:r>
              <w:rPr>
                <w:b/>
                <w:bCs/>
                <w:color w:val="auto"/>
                <w:sz w:val="24"/>
              </w:rPr>
              <w:t>（4）环境风险防范应急措施</w:t>
            </w:r>
          </w:p>
          <w:p>
            <w:pPr>
              <w:pStyle w:val="80"/>
              <w:snapToGrid w:val="0"/>
              <w:rPr>
                <w:rFonts w:ascii="Times New Roman" w:hAnsi="Times New Roman" w:eastAsia="宋体"/>
                <w:color w:val="auto"/>
              </w:rPr>
            </w:pPr>
            <w:r>
              <w:rPr>
                <w:rFonts w:ascii="Times New Roman" w:hAnsi="Times New Roman" w:eastAsia="宋体"/>
                <w:color w:val="auto"/>
              </w:rPr>
              <w:t>为减少危险化学品可能造成的环境风险，宜采取以下风险防范及应急措施：</w:t>
            </w:r>
          </w:p>
          <w:p>
            <w:pPr>
              <w:snapToGrid w:val="0"/>
              <w:spacing w:line="360" w:lineRule="auto"/>
              <w:ind w:firstLine="480" w:firstLineChars="200"/>
              <w:rPr>
                <w:color w:val="auto"/>
                <w:kern w:val="28"/>
                <w:sz w:val="24"/>
                <w:szCs w:val="22"/>
              </w:rPr>
            </w:pPr>
            <w:r>
              <w:rPr>
                <w:color w:val="auto"/>
                <w:kern w:val="28"/>
                <w:sz w:val="24"/>
                <w:szCs w:val="22"/>
              </w:rPr>
              <w:t>①从生产管理、危险化学品贮存、工艺技术设计、自动控制设计、电气及电讯、消防及火灾报警系统等方面制定相应的环境风险防范措施。</w:t>
            </w:r>
          </w:p>
          <w:p>
            <w:pPr>
              <w:snapToGrid w:val="0"/>
              <w:spacing w:line="360" w:lineRule="auto"/>
              <w:ind w:firstLine="480" w:firstLineChars="200"/>
              <w:rPr>
                <w:rFonts w:hint="eastAsia" w:eastAsia="宋体"/>
                <w:color w:val="auto"/>
                <w:kern w:val="28"/>
                <w:sz w:val="24"/>
                <w:szCs w:val="22"/>
                <w:lang w:eastAsia="zh-CN"/>
              </w:rPr>
            </w:pPr>
            <w:r>
              <w:rPr>
                <w:color w:val="auto"/>
                <w:kern w:val="28"/>
                <w:sz w:val="24"/>
                <w:szCs w:val="22"/>
              </w:rPr>
              <w:t>②</w:t>
            </w:r>
            <w:r>
              <w:rPr>
                <w:rFonts w:hint="eastAsia"/>
                <w:color w:val="auto"/>
                <w:kern w:val="28"/>
                <w:sz w:val="24"/>
                <w:szCs w:val="22"/>
                <w:lang w:eastAsia="zh-CN"/>
              </w:rPr>
              <w:t>本项目</w:t>
            </w:r>
            <w:r>
              <w:rPr>
                <w:rFonts w:hint="eastAsia"/>
                <w:color w:val="auto"/>
                <w:kern w:val="28"/>
                <w:sz w:val="24"/>
                <w:szCs w:val="22"/>
              </w:rPr>
              <w:t>木材、浸胶纸受热挥发</w:t>
            </w:r>
            <w:r>
              <w:rPr>
                <w:rFonts w:hint="eastAsia"/>
                <w:color w:val="auto"/>
                <w:kern w:val="28"/>
                <w:sz w:val="24"/>
                <w:szCs w:val="22"/>
                <w:lang w:eastAsia="zh-CN"/>
              </w:rPr>
              <w:t>会</w:t>
            </w:r>
            <w:r>
              <w:rPr>
                <w:rFonts w:hint="eastAsia"/>
                <w:color w:val="auto"/>
                <w:kern w:val="28"/>
                <w:sz w:val="24"/>
                <w:szCs w:val="22"/>
              </w:rPr>
              <w:t>产生甲醛等有机废气</w:t>
            </w:r>
            <w:r>
              <w:rPr>
                <w:rFonts w:hint="eastAsia"/>
                <w:color w:val="auto"/>
                <w:kern w:val="28"/>
                <w:sz w:val="24"/>
                <w:szCs w:val="22"/>
                <w:lang w:eastAsia="zh-CN"/>
              </w:rPr>
              <w:t>，</w:t>
            </w:r>
            <w:r>
              <w:rPr>
                <w:rFonts w:hint="eastAsia"/>
                <w:color w:val="auto"/>
                <w:kern w:val="28"/>
                <w:sz w:val="24"/>
                <w:szCs w:val="22"/>
              </w:rPr>
              <w:t>应当按照国家有关规定建设环境风险预警体系，对排放口和周边环境进行定期监测，评估环境风险，排查环境安全隐患，并采取有效措施防范环境风险。</w:t>
            </w:r>
          </w:p>
          <w:p>
            <w:pPr>
              <w:snapToGrid w:val="0"/>
              <w:spacing w:line="360" w:lineRule="auto"/>
              <w:ind w:firstLine="480" w:firstLineChars="200"/>
              <w:rPr>
                <w:color w:val="auto"/>
                <w:kern w:val="28"/>
                <w:sz w:val="24"/>
                <w:szCs w:val="22"/>
              </w:rPr>
            </w:pPr>
            <w:r>
              <w:rPr>
                <w:color w:val="auto"/>
                <w:kern w:val="28"/>
                <w:sz w:val="24"/>
                <w:szCs w:val="22"/>
              </w:rPr>
              <w:t>③本项目使用</w:t>
            </w:r>
            <w:r>
              <w:rPr>
                <w:color w:val="auto"/>
                <w:sz w:val="24"/>
                <w:szCs w:val="22"/>
              </w:rPr>
              <w:t>的</w:t>
            </w:r>
            <w:r>
              <w:rPr>
                <w:rFonts w:hint="eastAsia"/>
                <w:color w:val="auto"/>
                <w:sz w:val="24"/>
              </w:rPr>
              <w:t>液压油、导热油</w:t>
            </w:r>
            <w:r>
              <w:rPr>
                <w:color w:val="auto"/>
                <w:kern w:val="28"/>
                <w:sz w:val="24"/>
                <w:szCs w:val="22"/>
              </w:rPr>
              <w:t>等为桶装，需定期检查其包装的完整性，加强风险源监控。</w:t>
            </w:r>
          </w:p>
          <w:p>
            <w:pPr>
              <w:snapToGrid w:val="0"/>
              <w:spacing w:line="360" w:lineRule="auto"/>
              <w:ind w:firstLine="480" w:firstLineChars="200"/>
              <w:rPr>
                <w:color w:val="auto"/>
                <w:kern w:val="28"/>
                <w:sz w:val="24"/>
                <w:szCs w:val="22"/>
              </w:rPr>
            </w:pPr>
            <w:r>
              <w:rPr>
                <w:rFonts w:hint="eastAsia"/>
                <w:color w:val="auto"/>
                <w:kern w:val="28"/>
                <w:sz w:val="24"/>
                <w:szCs w:val="22"/>
                <w:lang w:eastAsia="zh-CN"/>
              </w:rPr>
              <w:t>④</w:t>
            </w:r>
            <w:r>
              <w:rPr>
                <w:color w:val="auto"/>
                <w:kern w:val="28"/>
                <w:sz w:val="24"/>
                <w:szCs w:val="22"/>
              </w:rPr>
              <w:t>针对</w:t>
            </w:r>
            <w:r>
              <w:rPr>
                <w:rFonts w:hint="eastAsia"/>
                <w:color w:val="auto"/>
                <w:kern w:val="28"/>
                <w:sz w:val="24"/>
                <w:szCs w:val="22"/>
              </w:rPr>
              <w:t>液压油、导热油、</w:t>
            </w:r>
            <w:r>
              <w:rPr>
                <w:rFonts w:hint="eastAsia" w:ascii="Times New Roman" w:hAnsi="Times New Roman" w:eastAsia="宋体"/>
                <w:color w:val="auto"/>
                <w:sz w:val="24"/>
                <w:szCs w:val="32"/>
              </w:rPr>
              <w:t>废</w:t>
            </w:r>
            <w:r>
              <w:rPr>
                <w:rFonts w:ascii="Times New Roman" w:hAnsi="Times New Roman" w:eastAsia="宋体"/>
                <w:color w:val="auto"/>
                <w:sz w:val="24"/>
                <w:szCs w:val="32"/>
              </w:rPr>
              <w:t>导热油、</w:t>
            </w:r>
            <w:r>
              <w:rPr>
                <w:rFonts w:hint="eastAsia" w:ascii="Times New Roman" w:hAnsi="Times New Roman" w:eastAsia="宋体"/>
                <w:color w:val="auto"/>
                <w:sz w:val="24"/>
                <w:szCs w:val="32"/>
                <w:lang w:eastAsia="zh-CN"/>
              </w:rPr>
              <w:t>废</w:t>
            </w:r>
            <w:r>
              <w:rPr>
                <w:rFonts w:hint="eastAsia" w:ascii="Times New Roman" w:hAnsi="Times New Roman" w:eastAsia="宋体"/>
                <w:color w:val="auto"/>
                <w:sz w:val="24"/>
                <w:szCs w:val="32"/>
              </w:rPr>
              <w:t>液压油</w:t>
            </w:r>
            <w:r>
              <w:rPr>
                <w:color w:val="auto"/>
                <w:kern w:val="28"/>
                <w:sz w:val="24"/>
                <w:szCs w:val="22"/>
              </w:rPr>
              <w:t>等的泄漏、火灾风险，当危险物质少量泄漏时，不要直接接触泄漏物，远离泄漏污染区，不要吸入受污染空气，保持空气流通，同时佩戴防护用具，尽可能切断泄漏源，防止进入下水道、排洪沟等限制性空间，采用惰性材料吸收泄漏液。发生大量泄漏时，应迅速撤离泄漏污染区人员至安全区，并进行隔离、就医，严格限制出入。建议应急处理人员戴好面罩，穿化学防护服。不要直接接触泄漏物，禁止向泄漏物直接喷水，用沙土、干燥石灰或苏打灰混合，然后收集运至废物处理场所处置。事故结束后委托有资质的单位进行处置。</w:t>
            </w:r>
          </w:p>
          <w:p>
            <w:pPr>
              <w:adjustRightInd w:val="0"/>
              <w:snapToGrid w:val="0"/>
              <w:spacing w:line="360" w:lineRule="auto"/>
              <w:ind w:left="29" w:leftChars="14" w:firstLine="480" w:firstLineChars="200"/>
              <w:rPr>
                <w:color w:val="auto"/>
                <w:sz w:val="24"/>
                <w:szCs w:val="21"/>
              </w:rPr>
            </w:pPr>
            <w:r>
              <w:rPr>
                <w:color w:val="auto"/>
                <w:sz w:val="24"/>
                <w:szCs w:val="21"/>
              </w:rPr>
              <w:t>⑤</w:t>
            </w:r>
            <w:r>
              <w:rPr>
                <w:rFonts w:hint="eastAsia"/>
                <w:color w:val="auto"/>
                <w:sz w:val="24"/>
              </w:rPr>
              <w:t>厂区内</w:t>
            </w:r>
            <w:r>
              <w:rPr>
                <w:color w:val="auto"/>
                <w:sz w:val="24"/>
              </w:rPr>
              <w:t>需配备</w:t>
            </w:r>
            <w:r>
              <w:rPr>
                <w:rFonts w:hint="eastAsia"/>
                <w:color w:val="auto"/>
                <w:sz w:val="24"/>
              </w:rPr>
              <w:t>环境</w:t>
            </w:r>
            <w:r>
              <w:rPr>
                <w:color w:val="auto"/>
                <w:sz w:val="24"/>
              </w:rPr>
              <w:t>应急物资。</w:t>
            </w:r>
            <w:r>
              <w:rPr>
                <w:color w:val="auto"/>
                <w:sz w:val="24"/>
                <w:szCs w:val="21"/>
              </w:rPr>
              <w:t>生产车间配备灭火器、消防器材以及沙土、干燥石灰等泄漏应急处理物质；对于液态危废的存储，拟在液态危废存储桶底部设置托盘，防止泄漏后对地下水、土壤的污染。</w:t>
            </w:r>
          </w:p>
          <w:p>
            <w:pPr>
              <w:spacing w:line="360" w:lineRule="auto"/>
              <w:ind w:firstLine="480" w:firstLineChars="200"/>
              <w:rPr>
                <w:color w:val="auto"/>
                <w:sz w:val="24"/>
                <w:szCs w:val="21"/>
              </w:rPr>
            </w:pPr>
            <w:r>
              <w:rPr>
                <w:color w:val="auto"/>
                <w:sz w:val="24"/>
                <w:szCs w:val="21"/>
              </w:rPr>
              <w:t>⑥项目建成后企业应按照要求编制应急预案并备案，相应做好事故废水的收集措施，雨水排放口应安装雨水切断阀，并设立足够容积的应急池或其他等效措施对事故废水进行收集处理，避免事故废水进入外环境。</w:t>
            </w:r>
          </w:p>
          <w:p>
            <w:pPr>
              <w:spacing w:line="360" w:lineRule="auto"/>
              <w:ind w:firstLine="480" w:firstLineChars="200"/>
              <w:rPr>
                <w:color w:val="auto"/>
              </w:rPr>
            </w:pPr>
            <w:r>
              <w:rPr>
                <w:rFonts w:hint="eastAsia"/>
                <w:bCs/>
                <w:color w:val="auto"/>
                <w:sz w:val="24"/>
              </w:rPr>
              <w:t>⑦</w:t>
            </w:r>
            <w:r>
              <w:rPr>
                <w:rFonts w:hint="eastAsia"/>
                <w:color w:val="auto"/>
                <w:sz w:val="24"/>
                <w:szCs w:val="21"/>
              </w:rPr>
              <w:t>废</w:t>
            </w:r>
            <w:r>
              <w:rPr>
                <w:rFonts w:hint="eastAsia"/>
                <w:color w:val="auto"/>
                <w:sz w:val="24"/>
                <w:szCs w:val="21"/>
                <w:lang w:eastAsia="zh-CN"/>
              </w:rPr>
              <w:t>导热</w:t>
            </w:r>
            <w:r>
              <w:rPr>
                <w:rFonts w:hint="eastAsia"/>
                <w:color w:val="auto"/>
                <w:sz w:val="24"/>
                <w:szCs w:val="21"/>
              </w:rPr>
              <w:t>油</w:t>
            </w:r>
            <w:r>
              <w:rPr>
                <w:rFonts w:hint="eastAsia"/>
                <w:color w:val="auto"/>
                <w:sz w:val="24"/>
                <w:szCs w:val="21"/>
                <w:lang w:eastAsia="zh-CN"/>
              </w:rPr>
              <w:t>、废液压油</w:t>
            </w:r>
            <w:r>
              <w:rPr>
                <w:color w:val="auto"/>
                <w:sz w:val="24"/>
                <w:szCs w:val="21"/>
              </w:rPr>
              <w:t>采用密闭桶装，定期检查密封性，谨防泄漏，加强风险源监控。危废暂存区应设置明显的警示标志，并建立严格的值班保卫制度，安装监控对危废存储和转移进行随时监管；对操作人员定期进行防火安全教育或应急演习，提高职工的安全意识，提高识别异常状态的能力。</w:t>
            </w:r>
          </w:p>
          <w:p>
            <w:pPr>
              <w:adjustRightInd w:val="0"/>
              <w:snapToGrid w:val="0"/>
              <w:spacing w:line="360" w:lineRule="auto"/>
              <w:ind w:firstLine="480" w:firstLineChars="200"/>
              <w:rPr>
                <w:bCs/>
                <w:color w:val="auto"/>
                <w:sz w:val="24"/>
              </w:rPr>
            </w:pPr>
            <w:r>
              <w:rPr>
                <w:rFonts w:hint="eastAsia"/>
                <w:bCs/>
                <w:color w:val="auto"/>
                <w:sz w:val="24"/>
              </w:rPr>
              <w:t>⑧企业应</w:t>
            </w:r>
            <w:r>
              <w:rPr>
                <w:bCs/>
                <w:color w:val="auto"/>
                <w:sz w:val="24"/>
              </w:rPr>
              <w:t>定期开展环境应急培训和演练，并做好相关台账</w:t>
            </w:r>
            <w:r>
              <w:rPr>
                <w:rFonts w:hint="eastAsia"/>
                <w:bCs/>
                <w:color w:val="auto"/>
                <w:sz w:val="24"/>
              </w:rPr>
              <w:t>。</w:t>
            </w:r>
          </w:p>
          <w:p>
            <w:pPr>
              <w:adjustRightInd w:val="0"/>
              <w:snapToGrid w:val="0"/>
              <w:spacing w:line="360" w:lineRule="auto"/>
              <w:ind w:firstLine="480" w:firstLineChars="200"/>
              <w:rPr>
                <w:bCs/>
                <w:color w:val="auto"/>
                <w:sz w:val="24"/>
              </w:rPr>
            </w:pPr>
            <w:r>
              <w:rPr>
                <w:rFonts w:hint="eastAsia"/>
                <w:bCs/>
                <w:color w:val="auto"/>
                <w:sz w:val="24"/>
              </w:rPr>
              <w:t>⑨企业</w:t>
            </w:r>
            <w:r>
              <w:rPr>
                <w:bCs/>
                <w:color w:val="auto"/>
                <w:sz w:val="24"/>
              </w:rPr>
              <w:t>应建立突发环境事件隐患排查治理制度，明确</w:t>
            </w:r>
            <w:r>
              <w:rPr>
                <w:rFonts w:hint="eastAsia"/>
                <w:bCs/>
                <w:color w:val="auto"/>
                <w:sz w:val="24"/>
              </w:rPr>
              <w:t>隐患排查内容</w:t>
            </w:r>
            <w:r>
              <w:rPr>
                <w:bCs/>
                <w:color w:val="auto"/>
                <w:sz w:val="24"/>
              </w:rPr>
              <w:t>、方式和频次。</w:t>
            </w:r>
          </w:p>
          <w:p>
            <w:pPr>
              <w:adjustRightInd w:val="0"/>
              <w:snapToGrid w:val="0"/>
              <w:spacing w:line="360" w:lineRule="auto"/>
              <w:ind w:firstLine="480" w:firstLineChars="200"/>
              <w:rPr>
                <w:bCs/>
                <w:color w:val="auto"/>
                <w:sz w:val="24"/>
              </w:rPr>
            </w:pPr>
            <w:r>
              <w:rPr>
                <w:rFonts w:hint="eastAsia"/>
                <w:bCs/>
                <w:color w:val="auto"/>
                <w:sz w:val="24"/>
                <w:lang w:eastAsia="zh-CN"/>
              </w:rPr>
              <w:t>⑩</w:t>
            </w:r>
            <w:r>
              <w:rPr>
                <w:rFonts w:hint="eastAsia"/>
                <w:bCs/>
                <w:color w:val="auto"/>
                <w:sz w:val="24"/>
              </w:rPr>
              <w:t>本项目需对</w:t>
            </w:r>
            <w:r>
              <w:rPr>
                <w:bCs/>
                <w:color w:val="auto"/>
                <w:sz w:val="24"/>
              </w:rPr>
              <w:t>配套的污染治理设施进行安全风险辨识。</w:t>
            </w:r>
          </w:p>
          <w:p>
            <w:pPr>
              <w:adjustRightInd w:val="0"/>
              <w:snapToGrid w:val="0"/>
              <w:spacing w:line="360" w:lineRule="auto"/>
              <w:ind w:firstLine="482" w:firstLineChars="200"/>
              <w:rPr>
                <w:b/>
                <w:bCs/>
                <w:color w:val="auto"/>
                <w:sz w:val="24"/>
              </w:rPr>
            </w:pPr>
            <w:r>
              <w:rPr>
                <w:b/>
                <w:bCs/>
                <w:color w:val="auto"/>
                <w:sz w:val="24"/>
              </w:rPr>
              <w:t>（5）风险结论</w:t>
            </w:r>
          </w:p>
          <w:p>
            <w:pPr>
              <w:pStyle w:val="88"/>
              <w:ind w:firstLine="480"/>
              <w:rPr>
                <w:rFonts w:ascii="Times New Roman" w:hAnsi="Times New Roman"/>
                <w:color w:val="auto"/>
                <w:sz w:val="21"/>
                <w:szCs w:val="21"/>
              </w:rPr>
            </w:pPr>
            <w:r>
              <w:rPr>
                <w:rFonts w:ascii="Times New Roman" w:hAnsi="Times New Roman"/>
                <w:color w:val="auto"/>
              </w:rPr>
              <w:t>在各环境风险防范措施落实到位的情况下，可降低本项目的环境风险，最大程度减少对环境可能造成的危害，项目对环境的风险影响可接受</w:t>
            </w:r>
            <w:r>
              <w:rPr>
                <w:rFonts w:ascii="Times New Roman" w:hAnsi="Times New Roman"/>
                <w:color w:val="auto"/>
                <w:sz w:val="21"/>
                <w:szCs w:val="21"/>
              </w:rPr>
              <w:t>。</w:t>
            </w:r>
          </w:p>
          <w:p>
            <w:pPr>
              <w:pStyle w:val="88"/>
              <w:ind w:firstLine="480"/>
              <w:rPr>
                <w:rFonts w:ascii="Times New Roman" w:hAnsi="Times New Roman"/>
                <w:b/>
                <w:bCs/>
                <w:color w:val="auto"/>
              </w:rPr>
            </w:pPr>
            <w:r>
              <w:rPr>
                <w:rFonts w:ascii="Times New Roman" w:hAnsi="Times New Roman"/>
                <w:color w:val="auto"/>
              </w:rPr>
              <w:t>本项目环境风险简单分析内容见下表。</w:t>
            </w:r>
          </w:p>
          <w:p>
            <w:pPr>
              <w:adjustRightInd w:val="0"/>
              <w:snapToGrid w:val="0"/>
              <w:jc w:val="center"/>
              <w:rPr>
                <w:b/>
                <w:bCs/>
                <w:color w:val="auto"/>
                <w:sz w:val="24"/>
              </w:rPr>
            </w:pPr>
          </w:p>
          <w:p>
            <w:pPr>
              <w:adjustRightInd w:val="0"/>
              <w:snapToGrid w:val="0"/>
              <w:jc w:val="center"/>
              <w:rPr>
                <w:b/>
                <w:bCs/>
                <w:color w:val="auto"/>
                <w:sz w:val="24"/>
              </w:rPr>
            </w:pPr>
          </w:p>
          <w:p>
            <w:pPr>
              <w:adjustRightInd w:val="0"/>
              <w:snapToGrid w:val="0"/>
              <w:jc w:val="center"/>
              <w:rPr>
                <w:b/>
                <w:bCs/>
                <w:color w:val="auto"/>
                <w:sz w:val="24"/>
              </w:rPr>
            </w:pPr>
          </w:p>
          <w:p>
            <w:pPr>
              <w:pStyle w:val="2"/>
              <w:rPr>
                <w:color w:val="auto"/>
              </w:rPr>
            </w:pPr>
          </w:p>
          <w:p>
            <w:pPr>
              <w:adjustRightInd w:val="0"/>
              <w:snapToGrid w:val="0"/>
              <w:jc w:val="center"/>
              <w:rPr>
                <w:b/>
                <w:bCs/>
                <w:color w:val="auto"/>
                <w:sz w:val="24"/>
              </w:rPr>
            </w:pPr>
          </w:p>
          <w:p>
            <w:pPr>
              <w:adjustRightInd w:val="0"/>
              <w:snapToGrid w:val="0"/>
              <w:jc w:val="center"/>
              <w:rPr>
                <w:b/>
                <w:bCs/>
                <w:color w:val="auto"/>
                <w:sz w:val="24"/>
              </w:rPr>
            </w:pPr>
            <w:r>
              <w:rPr>
                <w:b/>
                <w:bCs/>
                <w:color w:val="auto"/>
                <w:sz w:val="24"/>
              </w:rPr>
              <w:t>表4-</w:t>
            </w:r>
            <w:r>
              <w:rPr>
                <w:rFonts w:hint="eastAsia"/>
                <w:b/>
                <w:bCs/>
                <w:color w:val="auto"/>
                <w:sz w:val="24"/>
                <w:lang w:val="en-US" w:eastAsia="zh-CN"/>
              </w:rPr>
              <w:t>24</w:t>
            </w:r>
            <w:r>
              <w:rPr>
                <w:b/>
                <w:bCs/>
                <w:color w:val="auto"/>
                <w:sz w:val="24"/>
              </w:rPr>
              <w:t xml:space="preserve">  建设项目环境风险简单分析内容表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
            <w:tblGrid>
              <w:gridCol w:w="2241"/>
              <w:gridCol w:w="611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342" w:type="pct"/>
                  <w:tcBorders>
                    <w:top w:val="single" w:color="auto" w:sz="12" w:space="0"/>
                    <w:left w:val="nil"/>
                    <w:bottom w:val="single" w:color="auto" w:sz="2" w:space="0"/>
                    <w:right w:val="single" w:color="auto" w:sz="2" w:space="0"/>
                  </w:tcBorders>
                  <w:vAlign w:val="center"/>
                </w:tcPr>
                <w:p>
                  <w:pPr>
                    <w:pStyle w:val="78"/>
                    <w:adjustRightInd/>
                    <w:snapToGrid/>
                    <w:rPr>
                      <w:b/>
                      <w:color w:val="auto"/>
                      <w:sz w:val="21"/>
                      <w:szCs w:val="21"/>
                    </w:rPr>
                  </w:pPr>
                  <w:r>
                    <w:rPr>
                      <w:b/>
                      <w:color w:val="auto"/>
                      <w:sz w:val="21"/>
                      <w:szCs w:val="21"/>
                    </w:rPr>
                    <w:t>建设项目名称</w:t>
                  </w:r>
                </w:p>
              </w:tc>
              <w:tc>
                <w:tcPr>
                  <w:tcW w:w="3657" w:type="pct"/>
                  <w:tcBorders>
                    <w:top w:val="single" w:color="auto" w:sz="12" w:space="0"/>
                    <w:left w:val="single" w:color="auto" w:sz="2" w:space="0"/>
                    <w:bottom w:val="single" w:color="auto" w:sz="2" w:space="0"/>
                    <w:right w:val="nil"/>
                  </w:tcBorders>
                  <w:vAlign w:val="center"/>
                </w:tcPr>
                <w:p>
                  <w:pPr>
                    <w:pStyle w:val="78"/>
                    <w:adjustRightInd/>
                    <w:snapToGrid/>
                    <w:rPr>
                      <w:b/>
                      <w:color w:val="auto"/>
                      <w:sz w:val="21"/>
                      <w:szCs w:val="21"/>
                    </w:rPr>
                  </w:pPr>
                  <w:r>
                    <w:rPr>
                      <w:rFonts w:hint="eastAsia"/>
                      <w:b/>
                      <w:color w:val="auto"/>
                      <w:sz w:val="21"/>
                      <w:szCs w:val="21"/>
                    </w:rPr>
                    <w:t>旭森新材料年产360万片饰面板项目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1342" w:type="pct"/>
                  <w:tcBorders>
                    <w:top w:val="single" w:color="auto" w:sz="2" w:space="0"/>
                    <w:left w:val="nil"/>
                    <w:bottom w:val="single" w:color="auto" w:sz="2" w:space="0"/>
                    <w:right w:val="single" w:color="auto" w:sz="2" w:space="0"/>
                  </w:tcBorders>
                  <w:vAlign w:val="center"/>
                </w:tcPr>
                <w:p>
                  <w:pPr>
                    <w:pStyle w:val="78"/>
                    <w:rPr>
                      <w:color w:val="auto"/>
                      <w:sz w:val="21"/>
                      <w:szCs w:val="21"/>
                    </w:rPr>
                  </w:pPr>
                  <w:r>
                    <w:rPr>
                      <w:color w:val="auto"/>
                      <w:sz w:val="21"/>
                      <w:szCs w:val="21"/>
                    </w:rPr>
                    <w:t>建设地点</w:t>
                  </w:r>
                </w:p>
              </w:tc>
              <w:tc>
                <w:tcPr>
                  <w:tcW w:w="3657" w:type="pct"/>
                  <w:tcBorders>
                    <w:top w:val="single" w:color="auto" w:sz="2" w:space="0"/>
                    <w:left w:val="single" w:color="auto" w:sz="2" w:space="0"/>
                    <w:bottom w:val="single" w:color="auto" w:sz="2" w:space="0"/>
                    <w:right w:val="nil"/>
                  </w:tcBorders>
                  <w:vAlign w:val="center"/>
                </w:tcPr>
                <w:p>
                  <w:pPr>
                    <w:pStyle w:val="78"/>
                    <w:rPr>
                      <w:color w:val="auto"/>
                      <w:sz w:val="21"/>
                      <w:szCs w:val="21"/>
                    </w:rPr>
                  </w:pPr>
                  <w:r>
                    <w:rPr>
                      <w:color w:val="auto"/>
                      <w:sz w:val="21"/>
                      <w:szCs w:val="21"/>
                    </w:rPr>
                    <w:t>无锡惠山工业转型集聚区北洲路与邓北路交叉口西北侧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1342" w:type="pct"/>
                  <w:tcBorders>
                    <w:top w:val="single" w:color="auto" w:sz="2" w:space="0"/>
                    <w:left w:val="nil"/>
                    <w:bottom w:val="single" w:color="auto" w:sz="2" w:space="0"/>
                    <w:right w:val="single" w:color="auto" w:sz="2" w:space="0"/>
                  </w:tcBorders>
                  <w:vAlign w:val="center"/>
                </w:tcPr>
                <w:p>
                  <w:pPr>
                    <w:pStyle w:val="78"/>
                    <w:rPr>
                      <w:color w:val="auto"/>
                      <w:sz w:val="21"/>
                      <w:szCs w:val="21"/>
                    </w:rPr>
                  </w:pPr>
                  <w:r>
                    <w:rPr>
                      <w:color w:val="auto"/>
                      <w:sz w:val="21"/>
                      <w:szCs w:val="21"/>
                    </w:rPr>
                    <w:t>地理坐标</w:t>
                  </w:r>
                </w:p>
              </w:tc>
              <w:tc>
                <w:tcPr>
                  <w:tcW w:w="3657" w:type="pct"/>
                  <w:tcBorders>
                    <w:top w:val="single" w:color="auto" w:sz="2" w:space="0"/>
                    <w:left w:val="single" w:color="auto" w:sz="2" w:space="0"/>
                    <w:bottom w:val="single" w:color="auto" w:sz="2" w:space="0"/>
                    <w:right w:val="nil"/>
                  </w:tcBorders>
                  <w:vAlign w:val="center"/>
                </w:tcPr>
                <w:p>
                  <w:pPr>
                    <w:pStyle w:val="78"/>
                    <w:rPr>
                      <w:color w:val="auto"/>
                      <w:sz w:val="21"/>
                      <w:szCs w:val="21"/>
                    </w:rPr>
                  </w:pPr>
                  <w:r>
                    <w:rPr>
                      <w:color w:val="auto"/>
                      <w:sz w:val="21"/>
                      <w:szCs w:val="21"/>
                    </w:rPr>
                    <w:t>E</w:t>
                  </w:r>
                  <w:r>
                    <w:rPr>
                      <w:color w:val="auto"/>
                    </w:rPr>
                    <w:t xml:space="preserve"> </w:t>
                  </w:r>
                  <w:r>
                    <w:rPr>
                      <w:color w:val="auto"/>
                      <w:sz w:val="21"/>
                      <w:szCs w:val="21"/>
                    </w:rPr>
                    <w:t>120.070196   N</w:t>
                  </w:r>
                  <w:r>
                    <w:rPr>
                      <w:color w:val="auto"/>
                    </w:rPr>
                    <w:t xml:space="preserve"> </w:t>
                  </w:r>
                  <w:r>
                    <w:rPr>
                      <w:color w:val="auto"/>
                      <w:sz w:val="21"/>
                      <w:szCs w:val="21"/>
                    </w:rPr>
                    <w:t>31.564283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1342" w:type="pct"/>
                  <w:tcBorders>
                    <w:top w:val="single" w:color="auto" w:sz="2" w:space="0"/>
                    <w:left w:val="nil"/>
                    <w:bottom w:val="single" w:color="auto" w:sz="2" w:space="0"/>
                    <w:right w:val="single" w:color="auto" w:sz="2" w:space="0"/>
                  </w:tcBorders>
                  <w:vAlign w:val="center"/>
                </w:tcPr>
                <w:p>
                  <w:pPr>
                    <w:pStyle w:val="78"/>
                    <w:rPr>
                      <w:color w:val="auto"/>
                      <w:sz w:val="21"/>
                      <w:szCs w:val="21"/>
                    </w:rPr>
                  </w:pPr>
                  <w:r>
                    <w:rPr>
                      <w:color w:val="auto"/>
                      <w:sz w:val="21"/>
                      <w:szCs w:val="21"/>
                    </w:rPr>
                    <w:t>主要危险物质及分布</w:t>
                  </w:r>
                </w:p>
              </w:tc>
              <w:tc>
                <w:tcPr>
                  <w:tcW w:w="3657" w:type="pct"/>
                  <w:tcBorders>
                    <w:top w:val="single" w:color="auto" w:sz="2" w:space="0"/>
                    <w:left w:val="single" w:color="auto" w:sz="2" w:space="0"/>
                    <w:bottom w:val="single" w:color="auto" w:sz="2" w:space="0"/>
                    <w:right w:val="nil"/>
                  </w:tcBorders>
                  <w:vAlign w:val="center"/>
                </w:tcPr>
                <w:p>
                  <w:pPr>
                    <w:pStyle w:val="78"/>
                    <w:jc w:val="left"/>
                    <w:rPr>
                      <w:color w:val="auto"/>
                      <w:sz w:val="21"/>
                      <w:szCs w:val="21"/>
                    </w:rPr>
                  </w:pPr>
                  <w:r>
                    <w:rPr>
                      <w:rFonts w:hint="eastAsia"/>
                      <w:color w:val="auto"/>
                      <w:sz w:val="21"/>
                      <w:szCs w:val="21"/>
                    </w:rPr>
                    <w:t>本项目</w:t>
                  </w:r>
                  <w:r>
                    <w:rPr>
                      <w:color w:val="auto"/>
                      <w:sz w:val="21"/>
                      <w:szCs w:val="21"/>
                    </w:rPr>
                    <w:t>使用的</w:t>
                  </w:r>
                  <w:r>
                    <w:rPr>
                      <w:rFonts w:hint="eastAsia"/>
                      <w:color w:val="auto"/>
                      <w:sz w:val="21"/>
                      <w:szCs w:val="21"/>
                    </w:rPr>
                    <w:t>液压油、导热油</w:t>
                  </w:r>
                  <w:r>
                    <w:rPr>
                      <w:color w:val="auto"/>
                      <w:sz w:val="21"/>
                      <w:szCs w:val="21"/>
                    </w:rPr>
                    <w:t>主要储存在原料仓库，</w:t>
                  </w:r>
                  <w:r>
                    <w:rPr>
                      <w:rFonts w:hint="eastAsia"/>
                      <w:color w:val="auto"/>
                      <w:sz w:val="21"/>
                      <w:szCs w:val="21"/>
                    </w:rPr>
                    <w:t>废</w:t>
                  </w:r>
                  <w:r>
                    <w:rPr>
                      <w:rFonts w:hint="eastAsia"/>
                      <w:color w:val="auto"/>
                      <w:sz w:val="21"/>
                      <w:szCs w:val="21"/>
                      <w:lang w:eastAsia="zh-CN"/>
                    </w:rPr>
                    <w:t>导热油、废液压</w:t>
                  </w:r>
                  <w:r>
                    <w:rPr>
                      <w:rFonts w:hint="eastAsia"/>
                      <w:color w:val="auto"/>
                      <w:sz w:val="21"/>
                      <w:szCs w:val="21"/>
                    </w:rPr>
                    <w:t>油</w:t>
                  </w:r>
                  <w:r>
                    <w:rPr>
                      <w:rFonts w:hint="eastAsia"/>
                      <w:color w:val="auto"/>
                      <w:sz w:val="21"/>
                      <w:szCs w:val="21"/>
                      <w:lang w:eastAsia="zh-CN"/>
                    </w:rPr>
                    <w:t>、甲醛</w:t>
                  </w:r>
                  <w:r>
                    <w:rPr>
                      <w:rFonts w:hint="eastAsia"/>
                      <w:color w:val="auto"/>
                      <w:sz w:val="21"/>
                      <w:szCs w:val="21"/>
                    </w:rPr>
                    <w:t>产生于车间</w:t>
                  </w:r>
                  <w:r>
                    <w:rPr>
                      <w:color w:val="auto"/>
                      <w:sz w:val="21"/>
                      <w:szCs w:val="21"/>
                    </w:rPr>
                    <w:t>二。</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342" w:type="pct"/>
                  <w:tcBorders>
                    <w:top w:val="single" w:color="auto" w:sz="2" w:space="0"/>
                    <w:left w:val="nil"/>
                    <w:bottom w:val="single" w:color="auto" w:sz="2" w:space="0"/>
                    <w:right w:val="single" w:color="auto" w:sz="2" w:space="0"/>
                  </w:tcBorders>
                  <w:vAlign w:val="center"/>
                </w:tcPr>
                <w:p>
                  <w:pPr>
                    <w:pStyle w:val="78"/>
                    <w:rPr>
                      <w:color w:val="auto"/>
                      <w:sz w:val="21"/>
                      <w:szCs w:val="21"/>
                    </w:rPr>
                  </w:pPr>
                  <w:r>
                    <w:rPr>
                      <w:color w:val="auto"/>
                      <w:sz w:val="21"/>
                      <w:szCs w:val="21"/>
                    </w:rPr>
                    <w:t>环境影响途径及危害后果（大气、地表水、地下水等）</w:t>
                  </w:r>
                </w:p>
              </w:tc>
              <w:tc>
                <w:tcPr>
                  <w:tcW w:w="3657" w:type="pct"/>
                  <w:tcBorders>
                    <w:top w:val="single" w:color="auto" w:sz="2" w:space="0"/>
                    <w:left w:val="single" w:color="auto" w:sz="2" w:space="0"/>
                    <w:bottom w:val="single" w:color="auto" w:sz="2" w:space="0"/>
                    <w:right w:val="nil"/>
                  </w:tcBorders>
                  <w:vAlign w:val="center"/>
                </w:tcPr>
                <w:p>
                  <w:pPr>
                    <w:widowControl/>
                    <w:jc w:val="left"/>
                    <w:rPr>
                      <w:color w:val="auto"/>
                      <w:szCs w:val="21"/>
                    </w:rPr>
                  </w:pPr>
                  <w:r>
                    <w:rPr>
                      <w:rFonts w:hint="eastAsia"/>
                      <w:color w:val="auto"/>
                      <w:szCs w:val="21"/>
                    </w:rPr>
                    <w:t>本项目</w:t>
                  </w:r>
                  <w:r>
                    <w:rPr>
                      <w:color w:val="auto"/>
                      <w:szCs w:val="21"/>
                    </w:rPr>
                    <w:t>涉及的主要风险物质为</w:t>
                  </w:r>
                  <w:r>
                    <w:rPr>
                      <w:rFonts w:hint="eastAsia"/>
                      <w:color w:val="auto"/>
                      <w:szCs w:val="21"/>
                    </w:rPr>
                    <w:t>液压油、导热油、天然气、废导热油、废液压油以及木材、浸胶纸受热挥发产生的甲醛等有机废气</w:t>
                  </w:r>
                  <w:r>
                    <w:rPr>
                      <w:color w:val="auto"/>
                      <w:szCs w:val="21"/>
                    </w:rPr>
                    <w:t>。</w:t>
                  </w:r>
                  <w:r>
                    <w:rPr>
                      <w:rFonts w:hint="eastAsia"/>
                      <w:color w:val="auto"/>
                      <w:szCs w:val="21"/>
                    </w:rPr>
                    <w:t>液压油、导热油、天然气、废导热油、废液压油等如遇明火</w:t>
                  </w:r>
                  <w:r>
                    <w:rPr>
                      <w:color w:val="auto"/>
                      <w:szCs w:val="21"/>
                    </w:rPr>
                    <w:t>，则可能发生火灾事故，同时燃烧产生烟尘</w:t>
                  </w:r>
                  <w:r>
                    <w:rPr>
                      <w:rFonts w:hint="eastAsia"/>
                      <w:color w:val="auto"/>
                    </w:rPr>
                    <w:t>、</w:t>
                  </w:r>
                  <w:r>
                    <w:rPr>
                      <w:color w:val="auto"/>
                      <w:szCs w:val="21"/>
                    </w:rPr>
                    <w:t>SO</w:t>
                  </w:r>
                  <w:r>
                    <w:rPr>
                      <w:color w:val="auto"/>
                      <w:szCs w:val="21"/>
                      <w:vertAlign w:val="subscript"/>
                    </w:rPr>
                    <w:t>2</w:t>
                  </w:r>
                  <w:r>
                    <w:rPr>
                      <w:color w:val="auto"/>
                      <w:szCs w:val="21"/>
                    </w:rPr>
                    <w:t>、NOx和大量有机废气（非甲烷总烃</w:t>
                  </w:r>
                  <w:r>
                    <w:rPr>
                      <w:rFonts w:hint="eastAsia"/>
                      <w:color w:val="auto"/>
                      <w:szCs w:val="21"/>
                    </w:rPr>
                    <w:t>、甲醛</w:t>
                  </w:r>
                  <w:r>
                    <w:rPr>
                      <w:color w:val="auto"/>
                      <w:kern w:val="0"/>
                      <w:szCs w:val="21"/>
                      <w:lang w:bidi="ar"/>
                    </w:rPr>
                    <w:t>等</w:t>
                  </w:r>
                  <w:r>
                    <w:rPr>
                      <w:color w:val="auto"/>
                      <w:szCs w:val="21"/>
                    </w:rPr>
                    <w:t>）进入大气环境中，会导致周围大气环境中相应污染物浓度增高，造成环境空气质量污染；</w:t>
                  </w:r>
                  <w:r>
                    <w:rPr>
                      <w:rFonts w:hint="eastAsia"/>
                      <w:color w:val="auto"/>
                      <w:szCs w:val="21"/>
                    </w:rPr>
                    <w:t>液压油、导热油、废导热油、废液压油</w:t>
                  </w:r>
                  <w:r>
                    <w:rPr>
                      <w:color w:val="auto"/>
                      <w:szCs w:val="21"/>
                    </w:rPr>
                    <w:t>如发生泄漏或火灾等事故，泄漏废液、消防废水等如拦截不当则可能会进入周围水环境中，会导致受纳水体环境中相应污染物浓度增高，造成水环境质量污染。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1342" w:type="pct"/>
                  <w:tcBorders>
                    <w:top w:val="single" w:color="auto" w:sz="2" w:space="0"/>
                    <w:left w:val="nil"/>
                    <w:bottom w:val="single" w:color="auto" w:sz="2" w:space="0"/>
                    <w:right w:val="single" w:color="auto" w:sz="2" w:space="0"/>
                  </w:tcBorders>
                  <w:vAlign w:val="center"/>
                </w:tcPr>
                <w:p>
                  <w:pPr>
                    <w:pStyle w:val="78"/>
                    <w:rPr>
                      <w:color w:val="auto"/>
                      <w:sz w:val="21"/>
                      <w:szCs w:val="21"/>
                    </w:rPr>
                  </w:pPr>
                  <w:r>
                    <w:rPr>
                      <w:color w:val="auto"/>
                      <w:sz w:val="21"/>
                      <w:szCs w:val="21"/>
                    </w:rPr>
                    <w:t>风险防范措施要求</w:t>
                  </w:r>
                </w:p>
              </w:tc>
              <w:tc>
                <w:tcPr>
                  <w:tcW w:w="3657" w:type="pct"/>
                  <w:tcBorders>
                    <w:top w:val="single" w:color="auto" w:sz="2" w:space="0"/>
                    <w:left w:val="single" w:color="auto" w:sz="2" w:space="0"/>
                    <w:bottom w:val="single" w:color="auto" w:sz="2" w:space="0"/>
                    <w:right w:val="nil"/>
                  </w:tcBorders>
                  <w:vAlign w:val="center"/>
                </w:tcPr>
                <w:p>
                  <w:pPr>
                    <w:pStyle w:val="78"/>
                    <w:jc w:val="left"/>
                    <w:rPr>
                      <w:color w:val="auto"/>
                    </w:rPr>
                  </w:pPr>
                  <w:r>
                    <w:rPr>
                      <w:color w:val="auto"/>
                      <w:sz w:val="21"/>
                      <w:szCs w:val="21"/>
                    </w:rPr>
                    <w:t>为了防范事故和减少危害，项目从生产管理、工艺技术设计、自动控制设计、电气及电讯、消防及火灾报警系统等方面制定相应的环境风险防范措施。</w:t>
                  </w:r>
                </w:p>
                <w:p>
                  <w:pPr>
                    <w:pStyle w:val="78"/>
                    <w:jc w:val="left"/>
                    <w:rPr>
                      <w:color w:val="auto"/>
                      <w:sz w:val="21"/>
                      <w:szCs w:val="21"/>
                    </w:rPr>
                  </w:pPr>
                  <w:r>
                    <w:rPr>
                      <w:rFonts w:hint="eastAsia"/>
                      <w:color w:val="auto"/>
                      <w:sz w:val="21"/>
                      <w:szCs w:val="28"/>
                    </w:rPr>
                    <w:t>本项目木材、浸胶纸受热挥发会产生甲醛等有机废气，应当按照国家有关规定建设环境风险预警体系，对排放口和周边环境进行定期监测，评估环境风险，排查环境安全隐患，并采取有效措施防范环境风险。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5000" w:type="pct"/>
                  <w:gridSpan w:val="2"/>
                  <w:tcBorders>
                    <w:top w:val="single" w:color="auto" w:sz="2" w:space="0"/>
                    <w:left w:val="nil"/>
                    <w:bottom w:val="single" w:color="auto" w:sz="12" w:space="0"/>
                    <w:right w:val="nil"/>
                  </w:tcBorders>
                  <w:vAlign w:val="center"/>
                </w:tcPr>
                <w:p>
                  <w:pPr>
                    <w:pStyle w:val="88"/>
                    <w:adjustRightInd w:val="0"/>
                    <w:snapToGrid w:val="0"/>
                    <w:spacing w:line="240" w:lineRule="auto"/>
                    <w:ind w:firstLine="0" w:firstLineChars="0"/>
                    <w:rPr>
                      <w:rFonts w:ascii="Times New Roman" w:hAnsi="Times New Roman"/>
                      <w:color w:val="auto"/>
                      <w:sz w:val="21"/>
                    </w:rPr>
                  </w:pPr>
                  <w:r>
                    <w:rPr>
                      <w:rStyle w:val="77"/>
                      <w:rFonts w:ascii="Times New Roman" w:hAnsi="Times New Roman"/>
                      <w:color w:val="auto"/>
                      <w:sz w:val="21"/>
                      <w:szCs w:val="21"/>
                    </w:rPr>
                    <w:t>分析结论：在各环境风险防范措施落实到位的情况下，将可大大降低建设项目的环境风险，最大程度减少对环境可能造成的危害。在企业落实本评价提出的各项风险防范措施后，项目对环境的风险影响可接受。</w:t>
                  </w:r>
                </w:p>
              </w:tc>
            </w:tr>
          </w:tbl>
          <w:p>
            <w:pPr>
              <w:adjustRightInd w:val="0"/>
              <w:snapToGrid w:val="0"/>
              <w:spacing w:before="120" w:beforeLines="50" w:line="360" w:lineRule="auto"/>
              <w:rPr>
                <w:b/>
                <w:bCs/>
                <w:color w:val="auto"/>
                <w:sz w:val="24"/>
              </w:rPr>
            </w:pPr>
            <w:r>
              <w:rPr>
                <w:rFonts w:hint="eastAsia"/>
                <w:b/>
                <w:bCs/>
                <w:color w:val="auto"/>
                <w:sz w:val="24"/>
              </w:rPr>
              <w:t>8、</w:t>
            </w:r>
            <w:r>
              <w:rPr>
                <w:b/>
                <w:bCs/>
                <w:color w:val="auto"/>
                <w:sz w:val="24"/>
              </w:rPr>
              <w:t>电磁辐射</w:t>
            </w:r>
          </w:p>
          <w:p>
            <w:pPr>
              <w:pStyle w:val="26"/>
              <w:adjustRightInd w:val="0"/>
              <w:snapToGrid w:val="0"/>
              <w:spacing w:before="120" w:beforeLines="50" w:beforeAutospacing="0" w:after="0" w:afterAutospacing="0" w:line="360" w:lineRule="auto"/>
              <w:ind w:firstLine="480" w:firstLineChars="200"/>
              <w:jc w:val="both"/>
              <w:rPr>
                <w:rFonts w:ascii="Times New Roman" w:hAnsi="Times New Roman"/>
                <w:snapToGrid w:val="0"/>
                <w:color w:val="auto"/>
                <w:sz w:val="21"/>
                <w:szCs w:val="21"/>
              </w:rPr>
            </w:pPr>
            <w:r>
              <w:rPr>
                <w:rFonts w:ascii="Times New Roman" w:hAnsi="Times New Roman"/>
                <w:color w:val="auto"/>
                <w:szCs w:val="24"/>
              </w:rPr>
              <w:t>本项目</w:t>
            </w:r>
            <w:r>
              <w:rPr>
                <w:rFonts w:ascii="Times New Roman" w:hAnsi="Times New Roman"/>
                <w:color w:val="auto"/>
                <w:szCs w:val="24"/>
                <w:lang w:val="de-DE"/>
              </w:rPr>
              <w:t>无电磁辐射影响</w:t>
            </w:r>
            <w:r>
              <w:rPr>
                <w:rFonts w:ascii="Times New Roman" w:hAnsi="Times New Roman"/>
                <w:color w:val="auto"/>
                <w:szCs w:val="24"/>
              </w:rPr>
              <w:t>。</w:t>
            </w:r>
          </w:p>
        </w:tc>
      </w:tr>
    </w:tbl>
    <w:p>
      <w:pPr>
        <w:pStyle w:val="26"/>
        <w:jc w:val="center"/>
        <w:outlineLvl w:val="0"/>
        <w:rPr>
          <w:rFonts w:ascii="Times New Roman" w:hAnsi="Times New Roman"/>
          <w:snapToGrid w:val="0"/>
          <w:color w:val="auto"/>
          <w:sz w:val="30"/>
          <w:szCs w:val="30"/>
        </w:rPr>
        <w:sectPr>
          <w:pgSz w:w="11906" w:h="16838"/>
          <w:pgMar w:top="1701" w:right="1531" w:bottom="1701" w:left="1531" w:header="851" w:footer="851" w:gutter="0"/>
          <w:cols w:space="720" w:num="1"/>
          <w:docGrid w:linePitch="312" w:charSpace="0"/>
        </w:sectPr>
      </w:pPr>
    </w:p>
    <w:p>
      <w:pPr>
        <w:pStyle w:val="26"/>
        <w:adjustRightInd w:val="0"/>
        <w:snapToGrid w:val="0"/>
        <w:spacing w:before="0" w:beforeAutospacing="0" w:after="0" w:afterAutospacing="0"/>
        <w:jc w:val="center"/>
        <w:outlineLvl w:val="0"/>
        <w:rPr>
          <w:rFonts w:ascii="Times New Roman" w:hAnsi="Times New Roman"/>
          <w:snapToGrid w:val="0"/>
          <w:color w:val="auto"/>
          <w:sz w:val="30"/>
          <w:szCs w:val="30"/>
        </w:rPr>
      </w:pPr>
      <w:bookmarkStart w:id="11" w:name="_Toc9026"/>
      <w:r>
        <w:rPr>
          <w:rFonts w:ascii="Times New Roman" w:hAnsi="Times New Roman"/>
          <w:b/>
          <w:bCs/>
          <w:snapToGrid w:val="0"/>
          <w:color w:val="auto"/>
          <w:sz w:val="30"/>
          <w:szCs w:val="30"/>
        </w:rPr>
        <w:t>五、</w:t>
      </w:r>
      <w:bookmarkStart w:id="12" w:name="_Hlk54167917"/>
      <w:r>
        <w:rPr>
          <w:rFonts w:ascii="Times New Roman" w:hAnsi="Times New Roman"/>
          <w:b/>
          <w:bCs/>
          <w:snapToGrid w:val="0"/>
          <w:color w:val="auto"/>
          <w:sz w:val="30"/>
          <w:szCs w:val="30"/>
        </w:rPr>
        <w:t>环境保护措施监督检查清单</w:t>
      </w:r>
      <w:bookmarkEnd w:id="11"/>
      <w:bookmarkEnd w:id="12"/>
    </w:p>
    <w:tbl>
      <w:tblPr>
        <w:tblStyle w:val="2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632"/>
        <w:gridCol w:w="1418"/>
        <w:gridCol w:w="1984"/>
        <w:gridCol w:w="1418"/>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1" w:type="dxa"/>
            <w:gridSpan w:val="2"/>
            <w:tcBorders>
              <w:tr2bl w:val="single" w:color="auto" w:sz="4" w:space="0"/>
            </w:tcBorders>
            <w:tcMar>
              <w:top w:w="0" w:type="dxa"/>
              <w:left w:w="6" w:type="dxa"/>
              <w:bottom w:w="0" w:type="dxa"/>
              <w:right w:w="6" w:type="dxa"/>
            </w:tcMar>
            <w:vAlign w:val="center"/>
          </w:tcPr>
          <w:p>
            <w:pPr>
              <w:outlineLvl w:val="0"/>
              <w:rPr>
                <w:b/>
                <w:bCs/>
                <w:color w:val="auto"/>
                <w:szCs w:val="21"/>
              </w:rPr>
            </w:pPr>
            <w:bookmarkStart w:id="13" w:name="_Toc21538"/>
            <w:r>
              <w:rPr>
                <w:b/>
                <w:bCs/>
                <w:color w:val="auto"/>
                <w:szCs w:val="21"/>
              </w:rPr>
              <w:t>要素</w:t>
            </w:r>
            <w:bookmarkEnd w:id="13"/>
          </w:p>
          <w:p>
            <w:pPr>
              <w:jc w:val="right"/>
              <w:outlineLvl w:val="0"/>
              <w:rPr>
                <w:b/>
                <w:bCs/>
                <w:color w:val="auto"/>
                <w:szCs w:val="21"/>
              </w:rPr>
            </w:pPr>
            <w:bookmarkStart w:id="14" w:name="_Toc17561"/>
            <w:r>
              <w:rPr>
                <w:b/>
                <w:bCs/>
                <w:color w:val="auto"/>
                <w:szCs w:val="21"/>
              </w:rPr>
              <w:t>内容</w:t>
            </w:r>
            <w:bookmarkEnd w:id="14"/>
          </w:p>
        </w:tc>
        <w:tc>
          <w:tcPr>
            <w:tcW w:w="1418" w:type="dxa"/>
            <w:tcMar>
              <w:top w:w="0" w:type="dxa"/>
              <w:left w:w="6" w:type="dxa"/>
              <w:bottom w:w="0" w:type="dxa"/>
              <w:right w:w="6" w:type="dxa"/>
            </w:tcMar>
            <w:vAlign w:val="center"/>
          </w:tcPr>
          <w:p>
            <w:pPr>
              <w:jc w:val="center"/>
              <w:outlineLvl w:val="0"/>
              <w:rPr>
                <w:b/>
                <w:bCs/>
                <w:color w:val="auto"/>
                <w:szCs w:val="21"/>
              </w:rPr>
            </w:pPr>
            <w:bookmarkStart w:id="15" w:name="_Toc9563"/>
            <w:r>
              <w:rPr>
                <w:b/>
                <w:bCs/>
                <w:color w:val="auto"/>
                <w:szCs w:val="21"/>
              </w:rPr>
              <w:t>排放口(编号、</w:t>
            </w:r>
            <w:bookmarkEnd w:id="15"/>
            <w:bookmarkStart w:id="16" w:name="_Toc31310"/>
            <w:r>
              <w:rPr>
                <w:b/>
                <w:bCs/>
                <w:color w:val="auto"/>
                <w:szCs w:val="21"/>
              </w:rPr>
              <w:t>名称)</w:t>
            </w:r>
          </w:p>
          <w:p>
            <w:pPr>
              <w:jc w:val="center"/>
              <w:outlineLvl w:val="0"/>
              <w:rPr>
                <w:b/>
                <w:bCs/>
                <w:color w:val="auto"/>
                <w:szCs w:val="21"/>
              </w:rPr>
            </w:pPr>
            <w:r>
              <w:rPr>
                <w:b/>
                <w:bCs/>
                <w:color w:val="auto"/>
                <w:szCs w:val="21"/>
              </w:rPr>
              <w:t>/污染源</w:t>
            </w:r>
            <w:bookmarkEnd w:id="16"/>
          </w:p>
        </w:tc>
        <w:tc>
          <w:tcPr>
            <w:tcW w:w="1984" w:type="dxa"/>
            <w:tcMar>
              <w:top w:w="0" w:type="dxa"/>
              <w:left w:w="6" w:type="dxa"/>
              <w:bottom w:w="0" w:type="dxa"/>
              <w:right w:w="6" w:type="dxa"/>
            </w:tcMar>
            <w:vAlign w:val="center"/>
          </w:tcPr>
          <w:p>
            <w:pPr>
              <w:jc w:val="center"/>
              <w:outlineLvl w:val="0"/>
              <w:rPr>
                <w:b/>
                <w:bCs/>
                <w:color w:val="auto"/>
                <w:szCs w:val="21"/>
              </w:rPr>
            </w:pPr>
            <w:bookmarkStart w:id="17" w:name="_Toc11451"/>
            <w:r>
              <w:rPr>
                <w:b/>
                <w:bCs/>
                <w:color w:val="auto"/>
                <w:szCs w:val="21"/>
              </w:rPr>
              <w:t>污染物项目</w:t>
            </w:r>
            <w:bookmarkEnd w:id="17"/>
          </w:p>
        </w:tc>
        <w:tc>
          <w:tcPr>
            <w:tcW w:w="1418" w:type="dxa"/>
            <w:tcMar>
              <w:top w:w="0" w:type="dxa"/>
              <w:left w:w="6" w:type="dxa"/>
              <w:bottom w:w="0" w:type="dxa"/>
              <w:right w:w="6" w:type="dxa"/>
            </w:tcMar>
            <w:vAlign w:val="center"/>
          </w:tcPr>
          <w:p>
            <w:pPr>
              <w:jc w:val="center"/>
              <w:outlineLvl w:val="0"/>
              <w:rPr>
                <w:b/>
                <w:bCs/>
                <w:color w:val="auto"/>
                <w:szCs w:val="21"/>
              </w:rPr>
            </w:pPr>
            <w:bookmarkStart w:id="18" w:name="_Toc31956"/>
            <w:r>
              <w:rPr>
                <w:b/>
                <w:bCs/>
                <w:color w:val="auto"/>
                <w:szCs w:val="21"/>
              </w:rPr>
              <w:t>环境保护措施</w:t>
            </w:r>
            <w:bookmarkEnd w:id="18"/>
          </w:p>
        </w:tc>
        <w:tc>
          <w:tcPr>
            <w:tcW w:w="2976" w:type="dxa"/>
            <w:tcMar>
              <w:top w:w="0" w:type="dxa"/>
              <w:left w:w="6" w:type="dxa"/>
              <w:bottom w:w="0" w:type="dxa"/>
              <w:right w:w="6" w:type="dxa"/>
            </w:tcMar>
            <w:vAlign w:val="center"/>
          </w:tcPr>
          <w:p>
            <w:pPr>
              <w:jc w:val="center"/>
              <w:outlineLvl w:val="0"/>
              <w:rPr>
                <w:b/>
                <w:bCs/>
                <w:color w:val="auto"/>
                <w:szCs w:val="21"/>
              </w:rPr>
            </w:pPr>
            <w:bookmarkStart w:id="19" w:name="_Toc9431"/>
            <w:r>
              <w:rPr>
                <w:b/>
                <w:bCs/>
                <w:color w:val="auto"/>
                <w:szCs w:val="21"/>
              </w:rPr>
              <w:t>执行标准</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39" w:type="dxa"/>
            <w:vMerge w:val="restart"/>
            <w:tcMar>
              <w:top w:w="0" w:type="dxa"/>
              <w:left w:w="6" w:type="dxa"/>
              <w:bottom w:w="0" w:type="dxa"/>
              <w:right w:w="6" w:type="dxa"/>
            </w:tcMar>
            <w:vAlign w:val="center"/>
          </w:tcPr>
          <w:p>
            <w:pPr>
              <w:jc w:val="center"/>
              <w:outlineLvl w:val="0"/>
              <w:rPr>
                <w:color w:val="auto"/>
                <w:szCs w:val="21"/>
              </w:rPr>
            </w:pPr>
            <w:bookmarkStart w:id="20" w:name="_Toc14487"/>
            <w:r>
              <w:rPr>
                <w:color w:val="auto"/>
                <w:szCs w:val="21"/>
              </w:rPr>
              <w:t>大气环境</w:t>
            </w:r>
            <w:bookmarkEnd w:id="20"/>
          </w:p>
        </w:tc>
        <w:tc>
          <w:tcPr>
            <w:tcW w:w="632" w:type="dxa"/>
            <w:vMerge w:val="restart"/>
            <w:tcMar>
              <w:top w:w="0" w:type="dxa"/>
              <w:left w:w="6" w:type="dxa"/>
              <w:bottom w:w="0" w:type="dxa"/>
              <w:right w:w="6" w:type="dxa"/>
            </w:tcMar>
            <w:vAlign w:val="center"/>
          </w:tcPr>
          <w:p>
            <w:pPr>
              <w:jc w:val="center"/>
              <w:outlineLvl w:val="0"/>
              <w:rPr>
                <w:color w:val="auto"/>
                <w:szCs w:val="21"/>
              </w:rPr>
            </w:pPr>
            <w:bookmarkStart w:id="21" w:name="_Toc7151"/>
            <w:r>
              <w:rPr>
                <w:color w:val="auto"/>
                <w:szCs w:val="21"/>
              </w:rPr>
              <w:t>有组织</w:t>
            </w:r>
            <w:bookmarkEnd w:id="21"/>
          </w:p>
        </w:tc>
        <w:tc>
          <w:tcPr>
            <w:tcW w:w="1418" w:type="dxa"/>
            <w:tcMar>
              <w:top w:w="0" w:type="dxa"/>
              <w:left w:w="6" w:type="dxa"/>
              <w:bottom w:w="0" w:type="dxa"/>
              <w:right w:w="6" w:type="dxa"/>
            </w:tcMar>
            <w:vAlign w:val="center"/>
          </w:tcPr>
          <w:p>
            <w:pPr>
              <w:pStyle w:val="2"/>
              <w:adjustRightInd w:val="0"/>
              <w:spacing w:before="0" w:after="0" w:line="240" w:lineRule="auto"/>
              <w:ind w:right="0"/>
              <w:jc w:val="center"/>
              <w:rPr>
                <w:color w:val="auto"/>
                <w:sz w:val="21"/>
                <w:szCs w:val="21"/>
              </w:rPr>
            </w:pPr>
            <w:r>
              <w:rPr>
                <w:color w:val="auto"/>
                <w:sz w:val="21"/>
                <w:szCs w:val="21"/>
              </w:rPr>
              <w:t>DA001/</w:t>
            </w:r>
          </w:p>
          <w:p>
            <w:pPr>
              <w:pStyle w:val="2"/>
              <w:adjustRightInd w:val="0"/>
              <w:spacing w:before="0" w:after="0" w:line="240" w:lineRule="auto"/>
              <w:ind w:right="0"/>
              <w:jc w:val="center"/>
              <w:rPr>
                <w:color w:val="auto"/>
              </w:rPr>
            </w:pPr>
            <w:r>
              <w:rPr>
                <w:rFonts w:hint="eastAsia"/>
                <w:color w:val="auto"/>
                <w:sz w:val="21"/>
                <w:szCs w:val="21"/>
              </w:rPr>
              <w:t>热压</w:t>
            </w:r>
            <w:r>
              <w:rPr>
                <w:color w:val="auto"/>
                <w:sz w:val="21"/>
                <w:szCs w:val="21"/>
              </w:rPr>
              <w:t>废气G1</w:t>
            </w:r>
          </w:p>
        </w:tc>
        <w:tc>
          <w:tcPr>
            <w:tcW w:w="1984" w:type="dxa"/>
            <w:tcMar>
              <w:top w:w="0" w:type="dxa"/>
              <w:left w:w="6" w:type="dxa"/>
              <w:bottom w:w="0" w:type="dxa"/>
              <w:right w:w="6" w:type="dxa"/>
            </w:tcMar>
            <w:vAlign w:val="center"/>
          </w:tcPr>
          <w:p>
            <w:pPr>
              <w:adjustRightInd w:val="0"/>
              <w:snapToGrid w:val="0"/>
              <w:jc w:val="center"/>
              <w:rPr>
                <w:b/>
                <w:bCs/>
                <w:color w:val="auto"/>
                <w:szCs w:val="21"/>
              </w:rPr>
            </w:pPr>
            <w:r>
              <w:rPr>
                <w:color w:val="auto"/>
                <w:kern w:val="0"/>
                <w:szCs w:val="21"/>
              </w:rPr>
              <w:t>非甲烷总烃</w:t>
            </w:r>
            <w:r>
              <w:rPr>
                <w:rFonts w:hint="eastAsia"/>
                <w:color w:val="auto"/>
                <w:kern w:val="0"/>
                <w:szCs w:val="21"/>
              </w:rPr>
              <w:t>、</w:t>
            </w:r>
            <w:r>
              <w:rPr>
                <w:color w:val="auto"/>
                <w:kern w:val="0"/>
                <w:szCs w:val="21"/>
              </w:rPr>
              <w:t>甲醛</w:t>
            </w:r>
          </w:p>
        </w:tc>
        <w:tc>
          <w:tcPr>
            <w:tcW w:w="1418" w:type="dxa"/>
            <w:tcMar>
              <w:top w:w="0" w:type="dxa"/>
              <w:left w:w="6" w:type="dxa"/>
              <w:bottom w:w="0" w:type="dxa"/>
              <w:right w:w="6" w:type="dxa"/>
            </w:tcMar>
            <w:vAlign w:val="center"/>
          </w:tcPr>
          <w:p>
            <w:pPr>
              <w:jc w:val="center"/>
              <w:outlineLvl w:val="0"/>
              <w:rPr>
                <w:b/>
                <w:bCs/>
                <w:color w:val="auto"/>
                <w:szCs w:val="21"/>
              </w:rPr>
            </w:pPr>
            <w:r>
              <w:rPr>
                <w:rFonts w:hint="eastAsia"/>
                <w:color w:val="auto"/>
                <w:szCs w:val="21"/>
              </w:rPr>
              <w:t>二级活性炭吸附装置</w:t>
            </w:r>
          </w:p>
        </w:tc>
        <w:tc>
          <w:tcPr>
            <w:tcW w:w="2976" w:type="dxa"/>
            <w:tcMar>
              <w:top w:w="0" w:type="dxa"/>
              <w:left w:w="6" w:type="dxa"/>
              <w:bottom w:w="0" w:type="dxa"/>
              <w:right w:w="6" w:type="dxa"/>
            </w:tcMar>
            <w:vAlign w:val="center"/>
          </w:tcPr>
          <w:p>
            <w:pPr>
              <w:jc w:val="center"/>
              <w:outlineLvl w:val="0"/>
              <w:rPr>
                <w:b/>
                <w:bCs/>
                <w:color w:val="auto"/>
                <w:szCs w:val="21"/>
              </w:rPr>
            </w:pPr>
            <w:bookmarkStart w:id="22" w:name="_Toc10609"/>
            <w:r>
              <w:rPr>
                <w:color w:val="auto"/>
                <w:szCs w:val="21"/>
              </w:rPr>
              <w:t>江苏省地方标准</w:t>
            </w:r>
            <w:r>
              <w:rPr>
                <w:rFonts w:hint="eastAsia"/>
                <w:color w:val="auto"/>
                <w:szCs w:val="21"/>
              </w:rPr>
              <w:t>《木材加工行业大气污染物排放标准》（DB32/4436-2022）中</w:t>
            </w:r>
            <w:r>
              <w:rPr>
                <w:color w:val="auto"/>
                <w:szCs w:val="21"/>
              </w:rPr>
              <w:t>表1标准</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9" w:type="dxa"/>
            <w:vMerge w:val="continue"/>
            <w:tcMar>
              <w:top w:w="0" w:type="dxa"/>
              <w:left w:w="6" w:type="dxa"/>
              <w:bottom w:w="0" w:type="dxa"/>
              <w:right w:w="6" w:type="dxa"/>
            </w:tcMar>
            <w:vAlign w:val="center"/>
          </w:tcPr>
          <w:p>
            <w:pPr>
              <w:jc w:val="center"/>
              <w:outlineLvl w:val="0"/>
              <w:rPr>
                <w:color w:val="auto"/>
                <w:szCs w:val="21"/>
              </w:rPr>
            </w:pPr>
          </w:p>
        </w:tc>
        <w:tc>
          <w:tcPr>
            <w:tcW w:w="632" w:type="dxa"/>
            <w:vMerge w:val="continue"/>
            <w:tcMar>
              <w:top w:w="0" w:type="dxa"/>
              <w:left w:w="6" w:type="dxa"/>
              <w:bottom w:w="0" w:type="dxa"/>
              <w:right w:w="6" w:type="dxa"/>
            </w:tcMar>
            <w:vAlign w:val="center"/>
          </w:tcPr>
          <w:p>
            <w:pPr>
              <w:jc w:val="center"/>
              <w:outlineLvl w:val="0"/>
              <w:rPr>
                <w:color w:val="auto"/>
                <w:szCs w:val="21"/>
              </w:rPr>
            </w:pPr>
          </w:p>
        </w:tc>
        <w:tc>
          <w:tcPr>
            <w:tcW w:w="1418" w:type="dxa"/>
            <w:tcMar>
              <w:top w:w="0" w:type="dxa"/>
              <w:left w:w="6" w:type="dxa"/>
              <w:bottom w:w="0" w:type="dxa"/>
              <w:right w:w="6" w:type="dxa"/>
            </w:tcMar>
            <w:vAlign w:val="center"/>
          </w:tcPr>
          <w:p>
            <w:pPr>
              <w:pStyle w:val="2"/>
              <w:adjustRightInd w:val="0"/>
              <w:spacing w:before="0" w:after="0" w:line="240" w:lineRule="auto"/>
              <w:ind w:right="0"/>
              <w:jc w:val="center"/>
              <w:rPr>
                <w:color w:val="auto"/>
                <w:sz w:val="21"/>
                <w:szCs w:val="21"/>
              </w:rPr>
            </w:pPr>
            <w:r>
              <w:rPr>
                <w:color w:val="auto"/>
                <w:sz w:val="21"/>
                <w:szCs w:val="21"/>
              </w:rPr>
              <w:t>DA002/</w:t>
            </w:r>
          </w:p>
          <w:p>
            <w:pPr>
              <w:pStyle w:val="2"/>
              <w:adjustRightInd w:val="0"/>
              <w:spacing w:before="0" w:after="0" w:line="240" w:lineRule="auto"/>
              <w:ind w:right="0"/>
              <w:jc w:val="center"/>
              <w:rPr>
                <w:color w:val="auto"/>
                <w:sz w:val="21"/>
                <w:szCs w:val="21"/>
              </w:rPr>
            </w:pPr>
            <w:r>
              <w:rPr>
                <w:color w:val="auto"/>
                <w:sz w:val="21"/>
                <w:szCs w:val="21"/>
              </w:rPr>
              <w:t>天然气燃烧废气G2</w:t>
            </w:r>
          </w:p>
        </w:tc>
        <w:tc>
          <w:tcPr>
            <w:tcW w:w="1984" w:type="dxa"/>
            <w:tcMar>
              <w:top w:w="0" w:type="dxa"/>
              <w:left w:w="6" w:type="dxa"/>
              <w:bottom w:w="0" w:type="dxa"/>
              <w:right w:w="6" w:type="dxa"/>
            </w:tcMar>
            <w:vAlign w:val="center"/>
          </w:tcPr>
          <w:p>
            <w:pPr>
              <w:adjustRightInd w:val="0"/>
              <w:snapToGrid w:val="0"/>
              <w:jc w:val="center"/>
              <w:rPr>
                <w:color w:val="auto"/>
                <w:kern w:val="0"/>
                <w:szCs w:val="21"/>
              </w:rPr>
            </w:pPr>
            <w:r>
              <w:rPr>
                <w:color w:val="auto"/>
                <w:kern w:val="0"/>
                <w:szCs w:val="21"/>
              </w:rPr>
              <w:t>烟尘、二氧化硫、氮氧化物</w:t>
            </w:r>
          </w:p>
        </w:tc>
        <w:tc>
          <w:tcPr>
            <w:tcW w:w="1418" w:type="dxa"/>
            <w:tcMar>
              <w:top w:w="0" w:type="dxa"/>
              <w:left w:w="6" w:type="dxa"/>
              <w:bottom w:w="0" w:type="dxa"/>
              <w:right w:w="6" w:type="dxa"/>
            </w:tcMar>
            <w:vAlign w:val="center"/>
          </w:tcPr>
          <w:p>
            <w:pPr>
              <w:jc w:val="center"/>
              <w:outlineLvl w:val="0"/>
              <w:rPr>
                <w:color w:val="auto"/>
                <w:szCs w:val="21"/>
              </w:rPr>
            </w:pPr>
            <w:r>
              <w:rPr>
                <w:rFonts w:hint="eastAsia"/>
                <w:color w:val="auto"/>
                <w:szCs w:val="21"/>
              </w:rPr>
              <w:t>低氮</w:t>
            </w:r>
            <w:r>
              <w:rPr>
                <w:color w:val="auto"/>
                <w:szCs w:val="21"/>
              </w:rPr>
              <w:t>燃烧</w:t>
            </w:r>
          </w:p>
        </w:tc>
        <w:tc>
          <w:tcPr>
            <w:tcW w:w="2976" w:type="dxa"/>
            <w:tcMar>
              <w:top w:w="0" w:type="dxa"/>
              <w:left w:w="6" w:type="dxa"/>
              <w:bottom w:w="0" w:type="dxa"/>
              <w:right w:w="6" w:type="dxa"/>
            </w:tcMar>
            <w:vAlign w:val="center"/>
          </w:tcPr>
          <w:p>
            <w:pPr>
              <w:jc w:val="center"/>
              <w:outlineLvl w:val="0"/>
              <w:rPr>
                <w:color w:val="auto"/>
                <w:szCs w:val="21"/>
              </w:rPr>
            </w:pPr>
            <w:r>
              <w:rPr>
                <w:rFonts w:hint="eastAsia"/>
                <w:color w:val="auto"/>
                <w:szCs w:val="21"/>
              </w:rPr>
              <w:t>江苏省地方标准《锅炉大气污染物排放标准》（DB32/4385-2022）表1中燃气锅炉标准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39" w:type="dxa"/>
            <w:vMerge w:val="continue"/>
            <w:tcMar>
              <w:top w:w="0" w:type="dxa"/>
              <w:left w:w="6" w:type="dxa"/>
              <w:bottom w:w="0" w:type="dxa"/>
              <w:right w:w="6" w:type="dxa"/>
            </w:tcMar>
            <w:vAlign w:val="center"/>
          </w:tcPr>
          <w:p>
            <w:pPr>
              <w:jc w:val="center"/>
              <w:outlineLvl w:val="0"/>
              <w:rPr>
                <w:color w:val="auto"/>
                <w:szCs w:val="21"/>
              </w:rPr>
            </w:pPr>
          </w:p>
        </w:tc>
        <w:tc>
          <w:tcPr>
            <w:tcW w:w="632" w:type="dxa"/>
            <w:vMerge w:val="restart"/>
            <w:tcMar>
              <w:top w:w="0" w:type="dxa"/>
              <w:left w:w="6" w:type="dxa"/>
              <w:bottom w:w="0" w:type="dxa"/>
              <w:right w:w="6" w:type="dxa"/>
            </w:tcMar>
            <w:vAlign w:val="center"/>
          </w:tcPr>
          <w:p>
            <w:pPr>
              <w:jc w:val="center"/>
              <w:outlineLvl w:val="0"/>
              <w:rPr>
                <w:color w:val="auto"/>
                <w:szCs w:val="21"/>
              </w:rPr>
            </w:pPr>
            <w:bookmarkStart w:id="23" w:name="_Toc18167"/>
            <w:r>
              <w:rPr>
                <w:color w:val="auto"/>
                <w:szCs w:val="21"/>
              </w:rPr>
              <w:t>无组织</w:t>
            </w:r>
            <w:bookmarkEnd w:id="23"/>
          </w:p>
        </w:tc>
        <w:tc>
          <w:tcPr>
            <w:tcW w:w="1418" w:type="dxa"/>
            <w:tcMar>
              <w:top w:w="0" w:type="dxa"/>
              <w:left w:w="6" w:type="dxa"/>
              <w:bottom w:w="0" w:type="dxa"/>
              <w:right w:w="6" w:type="dxa"/>
            </w:tcMar>
            <w:vAlign w:val="center"/>
          </w:tcPr>
          <w:p>
            <w:pPr>
              <w:adjustRightInd w:val="0"/>
              <w:snapToGrid w:val="0"/>
              <w:jc w:val="center"/>
              <w:rPr>
                <w:color w:val="auto"/>
                <w:kern w:val="0"/>
                <w:szCs w:val="21"/>
              </w:rPr>
            </w:pPr>
            <w:r>
              <w:rPr>
                <w:rFonts w:hint="eastAsia"/>
                <w:color w:val="auto"/>
                <w:szCs w:val="21"/>
              </w:rPr>
              <w:t>热压</w:t>
            </w:r>
            <w:r>
              <w:rPr>
                <w:color w:val="auto"/>
                <w:szCs w:val="21"/>
              </w:rPr>
              <w:t>未捕集废气</w:t>
            </w:r>
          </w:p>
        </w:tc>
        <w:tc>
          <w:tcPr>
            <w:tcW w:w="1984" w:type="dxa"/>
            <w:tcMar>
              <w:top w:w="0" w:type="dxa"/>
              <w:left w:w="6" w:type="dxa"/>
              <w:bottom w:w="0" w:type="dxa"/>
              <w:right w:w="6" w:type="dxa"/>
            </w:tcMar>
            <w:vAlign w:val="center"/>
          </w:tcPr>
          <w:p>
            <w:pPr>
              <w:adjustRightInd w:val="0"/>
              <w:snapToGrid w:val="0"/>
              <w:jc w:val="center"/>
              <w:rPr>
                <w:color w:val="auto"/>
                <w:kern w:val="0"/>
                <w:szCs w:val="21"/>
              </w:rPr>
            </w:pPr>
            <w:r>
              <w:rPr>
                <w:color w:val="auto"/>
                <w:kern w:val="0"/>
                <w:szCs w:val="21"/>
              </w:rPr>
              <w:t>非甲烷总烃</w:t>
            </w:r>
            <w:r>
              <w:rPr>
                <w:rFonts w:hint="eastAsia"/>
                <w:color w:val="auto"/>
                <w:kern w:val="0"/>
                <w:szCs w:val="21"/>
              </w:rPr>
              <w:t>、</w:t>
            </w:r>
            <w:r>
              <w:rPr>
                <w:color w:val="auto"/>
                <w:kern w:val="0"/>
                <w:szCs w:val="21"/>
              </w:rPr>
              <w:t>甲醛</w:t>
            </w:r>
          </w:p>
        </w:tc>
        <w:tc>
          <w:tcPr>
            <w:tcW w:w="1418" w:type="dxa"/>
            <w:tcMar>
              <w:top w:w="0" w:type="dxa"/>
              <w:left w:w="6" w:type="dxa"/>
              <w:bottom w:w="0" w:type="dxa"/>
              <w:right w:w="6" w:type="dxa"/>
            </w:tcMar>
            <w:vAlign w:val="center"/>
          </w:tcPr>
          <w:p>
            <w:pPr>
              <w:jc w:val="center"/>
              <w:outlineLvl w:val="0"/>
              <w:rPr>
                <w:color w:val="auto"/>
                <w:szCs w:val="21"/>
              </w:rPr>
            </w:pPr>
            <w:bookmarkStart w:id="24" w:name="_Toc4223"/>
            <w:r>
              <w:rPr>
                <w:color w:val="auto"/>
                <w:szCs w:val="21"/>
              </w:rPr>
              <w:t>车间通风排放</w:t>
            </w:r>
            <w:bookmarkEnd w:id="24"/>
          </w:p>
        </w:tc>
        <w:tc>
          <w:tcPr>
            <w:tcW w:w="2976" w:type="dxa"/>
            <w:tcMar>
              <w:top w:w="0" w:type="dxa"/>
              <w:left w:w="6" w:type="dxa"/>
              <w:bottom w:w="0" w:type="dxa"/>
              <w:right w:w="6" w:type="dxa"/>
            </w:tcMar>
            <w:vAlign w:val="center"/>
          </w:tcPr>
          <w:p>
            <w:pPr>
              <w:jc w:val="center"/>
              <w:outlineLvl w:val="0"/>
              <w:rPr>
                <w:color w:val="auto"/>
                <w:szCs w:val="21"/>
              </w:rPr>
            </w:pPr>
            <w:bookmarkStart w:id="25" w:name="_Toc30415"/>
            <w:r>
              <w:rPr>
                <w:color w:val="auto"/>
                <w:kern w:val="0"/>
                <w:szCs w:val="21"/>
              </w:rPr>
              <w:t>江苏省地方标准</w:t>
            </w:r>
            <w:r>
              <w:rPr>
                <w:rFonts w:hint="eastAsia"/>
                <w:color w:val="auto"/>
                <w:szCs w:val="21"/>
              </w:rPr>
              <w:t>《木材加工行业大气污染物排放标准》（DB32/4436-2022）中</w:t>
            </w:r>
            <w:bookmarkEnd w:id="25"/>
            <w:r>
              <w:rPr>
                <w:rFonts w:hint="eastAsia"/>
                <w:color w:val="auto"/>
                <w:szCs w:val="21"/>
              </w:rPr>
              <w:t>表4标准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39" w:type="dxa"/>
            <w:vMerge w:val="continue"/>
            <w:tcMar>
              <w:top w:w="0" w:type="dxa"/>
              <w:left w:w="6" w:type="dxa"/>
              <w:bottom w:w="0" w:type="dxa"/>
              <w:right w:w="6" w:type="dxa"/>
            </w:tcMar>
            <w:vAlign w:val="center"/>
          </w:tcPr>
          <w:p>
            <w:pPr>
              <w:jc w:val="center"/>
              <w:outlineLvl w:val="0"/>
              <w:rPr>
                <w:color w:val="auto"/>
                <w:szCs w:val="21"/>
              </w:rPr>
            </w:pPr>
          </w:p>
        </w:tc>
        <w:tc>
          <w:tcPr>
            <w:tcW w:w="632" w:type="dxa"/>
            <w:vMerge w:val="continue"/>
            <w:tcMar>
              <w:top w:w="0" w:type="dxa"/>
              <w:left w:w="6" w:type="dxa"/>
              <w:bottom w:w="0" w:type="dxa"/>
              <w:right w:w="6" w:type="dxa"/>
            </w:tcMar>
            <w:vAlign w:val="center"/>
          </w:tcPr>
          <w:p>
            <w:pPr>
              <w:jc w:val="center"/>
              <w:outlineLvl w:val="0"/>
              <w:rPr>
                <w:color w:val="auto"/>
                <w:szCs w:val="21"/>
              </w:rPr>
            </w:pPr>
          </w:p>
        </w:tc>
        <w:tc>
          <w:tcPr>
            <w:tcW w:w="1418" w:type="dxa"/>
            <w:tcMar>
              <w:top w:w="0" w:type="dxa"/>
              <w:left w:w="6" w:type="dxa"/>
              <w:bottom w:w="0" w:type="dxa"/>
              <w:right w:w="6" w:type="dxa"/>
            </w:tcMar>
            <w:vAlign w:val="center"/>
          </w:tcPr>
          <w:p>
            <w:pPr>
              <w:adjustRightInd w:val="0"/>
              <w:snapToGrid w:val="0"/>
              <w:jc w:val="center"/>
              <w:rPr>
                <w:color w:val="auto"/>
                <w:szCs w:val="21"/>
              </w:rPr>
            </w:pPr>
            <w:r>
              <w:rPr>
                <w:color w:val="auto"/>
                <w:szCs w:val="21"/>
              </w:rPr>
              <w:t>厂区无组织</w:t>
            </w:r>
          </w:p>
        </w:tc>
        <w:tc>
          <w:tcPr>
            <w:tcW w:w="1984" w:type="dxa"/>
            <w:tcMar>
              <w:top w:w="0" w:type="dxa"/>
              <w:left w:w="6" w:type="dxa"/>
              <w:bottom w:w="0" w:type="dxa"/>
              <w:right w:w="6" w:type="dxa"/>
            </w:tcMar>
            <w:vAlign w:val="center"/>
          </w:tcPr>
          <w:p>
            <w:pPr>
              <w:adjustRightInd w:val="0"/>
              <w:snapToGrid w:val="0"/>
              <w:jc w:val="center"/>
              <w:rPr>
                <w:color w:val="auto"/>
                <w:kern w:val="0"/>
                <w:szCs w:val="21"/>
              </w:rPr>
            </w:pPr>
            <w:r>
              <w:rPr>
                <w:color w:val="auto"/>
                <w:szCs w:val="21"/>
              </w:rPr>
              <w:t>NMHC</w:t>
            </w:r>
            <w:r>
              <w:rPr>
                <w:rFonts w:hint="eastAsia"/>
                <w:color w:val="auto"/>
                <w:szCs w:val="21"/>
              </w:rPr>
              <w:t>、</w:t>
            </w:r>
            <w:r>
              <w:rPr>
                <w:color w:val="auto"/>
                <w:szCs w:val="21"/>
              </w:rPr>
              <w:t>甲醛</w:t>
            </w:r>
          </w:p>
        </w:tc>
        <w:tc>
          <w:tcPr>
            <w:tcW w:w="1418" w:type="dxa"/>
            <w:tcMar>
              <w:top w:w="0" w:type="dxa"/>
              <w:left w:w="6" w:type="dxa"/>
              <w:bottom w:w="0" w:type="dxa"/>
              <w:right w:w="6" w:type="dxa"/>
            </w:tcMar>
            <w:vAlign w:val="center"/>
          </w:tcPr>
          <w:p>
            <w:pPr>
              <w:jc w:val="center"/>
              <w:outlineLvl w:val="0"/>
              <w:rPr>
                <w:color w:val="auto"/>
                <w:szCs w:val="21"/>
              </w:rPr>
            </w:pPr>
            <w:r>
              <w:rPr>
                <w:color w:val="auto"/>
                <w:szCs w:val="21"/>
              </w:rPr>
              <w:t>/</w:t>
            </w:r>
          </w:p>
        </w:tc>
        <w:tc>
          <w:tcPr>
            <w:tcW w:w="2976" w:type="dxa"/>
            <w:tcMar>
              <w:top w:w="0" w:type="dxa"/>
              <w:left w:w="6" w:type="dxa"/>
              <w:bottom w:w="0" w:type="dxa"/>
              <w:right w:w="6" w:type="dxa"/>
            </w:tcMar>
            <w:vAlign w:val="center"/>
          </w:tcPr>
          <w:p>
            <w:pPr>
              <w:jc w:val="center"/>
              <w:outlineLvl w:val="0"/>
              <w:rPr>
                <w:color w:val="auto"/>
                <w:kern w:val="0"/>
                <w:szCs w:val="21"/>
              </w:rPr>
            </w:pPr>
            <w:r>
              <w:rPr>
                <w:color w:val="auto"/>
                <w:szCs w:val="21"/>
              </w:rPr>
              <w:t>江苏省地方标准</w:t>
            </w:r>
            <w:r>
              <w:rPr>
                <w:rFonts w:hint="eastAsia"/>
                <w:color w:val="auto"/>
                <w:szCs w:val="21"/>
              </w:rPr>
              <w:t>《木材加工行业大气污染物排放标准》（DB32/4436-2022）中表</w:t>
            </w:r>
            <w:r>
              <w:rPr>
                <w:color w:val="auto"/>
                <w:szCs w:val="21"/>
              </w:rPr>
              <w:t>3</w:t>
            </w:r>
            <w:r>
              <w:rPr>
                <w:rFonts w:hint="eastAsia"/>
                <w:color w:val="auto"/>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271" w:type="dxa"/>
            <w:gridSpan w:val="2"/>
            <w:vMerge w:val="restart"/>
            <w:tcMar>
              <w:top w:w="0" w:type="dxa"/>
              <w:left w:w="6" w:type="dxa"/>
              <w:bottom w:w="0" w:type="dxa"/>
              <w:right w:w="6" w:type="dxa"/>
            </w:tcMar>
            <w:vAlign w:val="center"/>
          </w:tcPr>
          <w:p>
            <w:pPr>
              <w:jc w:val="center"/>
              <w:outlineLvl w:val="0"/>
              <w:rPr>
                <w:color w:val="auto"/>
                <w:szCs w:val="21"/>
              </w:rPr>
            </w:pPr>
            <w:bookmarkStart w:id="26" w:name="_Toc16283"/>
            <w:r>
              <w:rPr>
                <w:color w:val="auto"/>
                <w:szCs w:val="21"/>
              </w:rPr>
              <w:t>地表水环境</w:t>
            </w:r>
            <w:bookmarkEnd w:id="26"/>
          </w:p>
        </w:tc>
        <w:tc>
          <w:tcPr>
            <w:tcW w:w="1418" w:type="dxa"/>
            <w:tcMar>
              <w:top w:w="0" w:type="dxa"/>
              <w:left w:w="6" w:type="dxa"/>
              <w:bottom w:w="0" w:type="dxa"/>
              <w:right w:w="6" w:type="dxa"/>
            </w:tcMar>
            <w:vAlign w:val="center"/>
          </w:tcPr>
          <w:p>
            <w:pPr>
              <w:adjustRightInd w:val="0"/>
              <w:snapToGrid w:val="0"/>
              <w:jc w:val="center"/>
              <w:rPr>
                <w:color w:val="auto"/>
                <w:szCs w:val="21"/>
              </w:rPr>
            </w:pPr>
            <w:r>
              <w:rPr>
                <w:color w:val="auto"/>
                <w:szCs w:val="21"/>
              </w:rPr>
              <w:t>DW001/</w:t>
            </w:r>
            <w:r>
              <w:rPr>
                <w:rFonts w:hint="eastAsia"/>
                <w:color w:val="auto"/>
                <w:szCs w:val="21"/>
              </w:rPr>
              <w:t>生活污水</w:t>
            </w:r>
          </w:p>
        </w:tc>
        <w:tc>
          <w:tcPr>
            <w:tcW w:w="1984" w:type="dxa"/>
            <w:tcMar>
              <w:top w:w="0" w:type="dxa"/>
              <w:left w:w="6" w:type="dxa"/>
              <w:bottom w:w="0" w:type="dxa"/>
              <w:right w:w="6" w:type="dxa"/>
            </w:tcMar>
            <w:vAlign w:val="center"/>
          </w:tcPr>
          <w:p>
            <w:pPr>
              <w:adjustRightInd w:val="0"/>
              <w:snapToGrid w:val="0"/>
              <w:jc w:val="center"/>
              <w:rPr>
                <w:b/>
                <w:bCs/>
                <w:color w:val="auto"/>
                <w:szCs w:val="21"/>
              </w:rPr>
            </w:pPr>
            <w:r>
              <w:rPr>
                <w:color w:val="auto"/>
                <w:kern w:val="0"/>
                <w:szCs w:val="21"/>
              </w:rPr>
              <w:t>pH、COD、SS、NH</w:t>
            </w:r>
            <w:r>
              <w:rPr>
                <w:color w:val="auto"/>
                <w:kern w:val="0"/>
                <w:szCs w:val="21"/>
                <w:vertAlign w:val="subscript"/>
              </w:rPr>
              <w:t>3</w:t>
            </w:r>
            <w:r>
              <w:rPr>
                <w:color w:val="auto"/>
                <w:kern w:val="0"/>
                <w:szCs w:val="21"/>
              </w:rPr>
              <w:t>-N、</w:t>
            </w:r>
            <w:r>
              <w:rPr>
                <w:color w:val="auto"/>
                <w:szCs w:val="21"/>
              </w:rPr>
              <w:t>TN、</w:t>
            </w:r>
            <w:r>
              <w:rPr>
                <w:color w:val="auto"/>
                <w:kern w:val="0"/>
                <w:szCs w:val="21"/>
              </w:rPr>
              <w:t>TP</w:t>
            </w:r>
          </w:p>
        </w:tc>
        <w:tc>
          <w:tcPr>
            <w:tcW w:w="1418" w:type="dxa"/>
            <w:vMerge w:val="restart"/>
            <w:tcMar>
              <w:top w:w="0" w:type="dxa"/>
              <w:left w:w="6" w:type="dxa"/>
              <w:bottom w:w="0" w:type="dxa"/>
              <w:right w:w="6" w:type="dxa"/>
            </w:tcMar>
            <w:vAlign w:val="center"/>
          </w:tcPr>
          <w:p>
            <w:pPr>
              <w:jc w:val="center"/>
              <w:outlineLvl w:val="0"/>
              <w:rPr>
                <w:b/>
                <w:bCs/>
                <w:color w:val="auto"/>
                <w:szCs w:val="21"/>
              </w:rPr>
            </w:pPr>
            <w:r>
              <w:rPr>
                <w:rFonts w:hint="eastAsia"/>
                <w:color w:val="auto"/>
                <w:szCs w:val="21"/>
              </w:rPr>
              <w:t>冷却排水与经化粪池预处理后的生活污水一同接管进无锡玉祁永新污水处理有限公司集中处理</w:t>
            </w:r>
          </w:p>
        </w:tc>
        <w:tc>
          <w:tcPr>
            <w:tcW w:w="2976" w:type="dxa"/>
            <w:vMerge w:val="restart"/>
            <w:tcMar>
              <w:top w:w="0" w:type="dxa"/>
              <w:left w:w="6" w:type="dxa"/>
              <w:bottom w:w="0" w:type="dxa"/>
              <w:right w:w="6" w:type="dxa"/>
            </w:tcMar>
            <w:vAlign w:val="center"/>
          </w:tcPr>
          <w:p>
            <w:pPr>
              <w:jc w:val="center"/>
              <w:outlineLvl w:val="0"/>
              <w:rPr>
                <w:b/>
                <w:bCs/>
                <w:color w:val="auto"/>
                <w:szCs w:val="21"/>
              </w:rPr>
            </w:pPr>
            <w:bookmarkStart w:id="27" w:name="_Toc24313"/>
            <w:r>
              <w:rPr>
                <w:color w:val="auto"/>
                <w:szCs w:val="21"/>
              </w:rPr>
              <w:t>《污水综合排放标准》（GB8978-1996）表4中三级标准、《污水排入城镇下水道水质标准》（GB/T 31962-2015）表1中标准</w:t>
            </w:r>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271" w:type="dxa"/>
            <w:gridSpan w:val="2"/>
            <w:vMerge w:val="continue"/>
            <w:tcMar>
              <w:top w:w="0" w:type="dxa"/>
              <w:left w:w="6" w:type="dxa"/>
              <w:bottom w:w="0" w:type="dxa"/>
              <w:right w:w="6" w:type="dxa"/>
            </w:tcMar>
            <w:vAlign w:val="center"/>
          </w:tcPr>
          <w:p>
            <w:pPr>
              <w:jc w:val="center"/>
              <w:outlineLvl w:val="0"/>
              <w:rPr>
                <w:color w:val="auto"/>
                <w:szCs w:val="21"/>
              </w:rPr>
            </w:pPr>
            <w:bookmarkStart w:id="28" w:name="_Toc15292"/>
          </w:p>
        </w:tc>
        <w:tc>
          <w:tcPr>
            <w:tcW w:w="1418" w:type="dxa"/>
            <w:tcMar>
              <w:top w:w="0" w:type="dxa"/>
              <w:left w:w="6" w:type="dxa"/>
              <w:bottom w:w="0" w:type="dxa"/>
              <w:right w:w="6" w:type="dxa"/>
            </w:tcMar>
            <w:vAlign w:val="center"/>
          </w:tcPr>
          <w:p>
            <w:pPr>
              <w:adjustRightInd w:val="0"/>
              <w:snapToGrid w:val="0"/>
              <w:jc w:val="center"/>
              <w:rPr>
                <w:color w:val="auto"/>
                <w:szCs w:val="21"/>
              </w:rPr>
            </w:pPr>
            <w:r>
              <w:rPr>
                <w:color w:val="auto"/>
                <w:szCs w:val="21"/>
              </w:rPr>
              <w:t>DW001/</w:t>
            </w:r>
            <w:r>
              <w:rPr>
                <w:rFonts w:hint="eastAsia"/>
                <w:color w:val="auto"/>
                <w:szCs w:val="21"/>
              </w:rPr>
              <w:t>冷却排水</w:t>
            </w:r>
          </w:p>
        </w:tc>
        <w:tc>
          <w:tcPr>
            <w:tcW w:w="1984" w:type="dxa"/>
            <w:tcMar>
              <w:top w:w="0" w:type="dxa"/>
              <w:left w:w="6" w:type="dxa"/>
              <w:bottom w:w="0" w:type="dxa"/>
              <w:right w:w="6" w:type="dxa"/>
            </w:tcMar>
            <w:vAlign w:val="center"/>
          </w:tcPr>
          <w:p>
            <w:pPr>
              <w:adjustRightInd w:val="0"/>
              <w:snapToGrid w:val="0"/>
              <w:jc w:val="center"/>
              <w:rPr>
                <w:color w:val="auto"/>
                <w:kern w:val="0"/>
                <w:szCs w:val="21"/>
              </w:rPr>
            </w:pPr>
            <w:r>
              <w:rPr>
                <w:color w:val="auto"/>
                <w:kern w:val="0"/>
                <w:szCs w:val="21"/>
              </w:rPr>
              <w:t>pH、COD、SS</w:t>
            </w:r>
          </w:p>
        </w:tc>
        <w:tc>
          <w:tcPr>
            <w:tcW w:w="1418" w:type="dxa"/>
            <w:vMerge w:val="continue"/>
            <w:tcMar>
              <w:top w:w="0" w:type="dxa"/>
              <w:left w:w="6" w:type="dxa"/>
              <w:bottom w:w="0" w:type="dxa"/>
              <w:right w:w="6" w:type="dxa"/>
            </w:tcMar>
            <w:vAlign w:val="center"/>
          </w:tcPr>
          <w:p>
            <w:pPr>
              <w:jc w:val="center"/>
              <w:outlineLvl w:val="0"/>
              <w:rPr>
                <w:rFonts w:hint="eastAsia"/>
                <w:color w:val="auto"/>
                <w:szCs w:val="21"/>
              </w:rPr>
            </w:pPr>
          </w:p>
        </w:tc>
        <w:tc>
          <w:tcPr>
            <w:tcW w:w="2976" w:type="dxa"/>
            <w:vMerge w:val="continue"/>
            <w:tcMar>
              <w:top w:w="0" w:type="dxa"/>
              <w:left w:w="6" w:type="dxa"/>
              <w:bottom w:w="0" w:type="dxa"/>
              <w:right w:w="6" w:type="dxa"/>
            </w:tcMar>
            <w:vAlign w:val="center"/>
          </w:tcPr>
          <w:p>
            <w:pPr>
              <w:jc w:val="center"/>
              <w:outlineLvl w:val="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71" w:type="dxa"/>
            <w:gridSpan w:val="2"/>
            <w:tcMar>
              <w:top w:w="0" w:type="dxa"/>
              <w:left w:w="6" w:type="dxa"/>
              <w:bottom w:w="0" w:type="dxa"/>
              <w:right w:w="6" w:type="dxa"/>
            </w:tcMar>
            <w:vAlign w:val="center"/>
          </w:tcPr>
          <w:p>
            <w:pPr>
              <w:jc w:val="center"/>
              <w:outlineLvl w:val="0"/>
              <w:rPr>
                <w:color w:val="auto"/>
                <w:szCs w:val="21"/>
              </w:rPr>
            </w:pPr>
            <w:r>
              <w:rPr>
                <w:color w:val="auto"/>
                <w:szCs w:val="21"/>
              </w:rPr>
              <w:t>声环境</w:t>
            </w:r>
            <w:bookmarkEnd w:id="28"/>
          </w:p>
        </w:tc>
        <w:tc>
          <w:tcPr>
            <w:tcW w:w="1418" w:type="dxa"/>
            <w:tcMar>
              <w:top w:w="0" w:type="dxa"/>
              <w:left w:w="6" w:type="dxa"/>
              <w:bottom w:w="0" w:type="dxa"/>
              <w:right w:w="6" w:type="dxa"/>
            </w:tcMar>
            <w:vAlign w:val="center"/>
          </w:tcPr>
          <w:p>
            <w:pPr>
              <w:jc w:val="center"/>
              <w:rPr>
                <w:color w:val="auto"/>
                <w:szCs w:val="21"/>
              </w:rPr>
            </w:pPr>
            <w:r>
              <w:rPr>
                <w:rFonts w:hint="eastAsia"/>
                <w:color w:val="auto"/>
                <w:szCs w:val="21"/>
              </w:rPr>
              <w:t>双面压机</w:t>
            </w:r>
            <w:r>
              <w:rPr>
                <w:color w:val="auto"/>
                <w:szCs w:val="21"/>
              </w:rPr>
              <w:t>、</w:t>
            </w:r>
            <w:r>
              <w:rPr>
                <w:rFonts w:hint="eastAsia"/>
                <w:color w:val="auto"/>
                <w:szCs w:val="21"/>
              </w:rPr>
              <w:t>废气设施风机、冷却塔、空压机</w:t>
            </w:r>
            <w:r>
              <w:rPr>
                <w:color w:val="auto"/>
                <w:szCs w:val="21"/>
              </w:rPr>
              <w:t>等</w:t>
            </w:r>
          </w:p>
        </w:tc>
        <w:tc>
          <w:tcPr>
            <w:tcW w:w="1984" w:type="dxa"/>
            <w:tcMar>
              <w:top w:w="0" w:type="dxa"/>
              <w:left w:w="6" w:type="dxa"/>
              <w:bottom w:w="0" w:type="dxa"/>
              <w:right w:w="6" w:type="dxa"/>
            </w:tcMar>
            <w:vAlign w:val="center"/>
          </w:tcPr>
          <w:p>
            <w:pPr>
              <w:adjustRightInd w:val="0"/>
              <w:snapToGrid w:val="0"/>
              <w:jc w:val="center"/>
              <w:rPr>
                <w:b/>
                <w:bCs/>
                <w:color w:val="auto"/>
                <w:szCs w:val="21"/>
              </w:rPr>
            </w:pPr>
            <w:r>
              <w:rPr>
                <w:color w:val="auto"/>
                <w:szCs w:val="21"/>
              </w:rPr>
              <w:t>噪声</w:t>
            </w:r>
          </w:p>
        </w:tc>
        <w:tc>
          <w:tcPr>
            <w:tcW w:w="1418" w:type="dxa"/>
            <w:tcMar>
              <w:top w:w="0" w:type="dxa"/>
              <w:left w:w="6" w:type="dxa"/>
              <w:bottom w:w="0" w:type="dxa"/>
              <w:right w:w="6" w:type="dxa"/>
            </w:tcMar>
            <w:vAlign w:val="center"/>
          </w:tcPr>
          <w:p>
            <w:pPr>
              <w:jc w:val="center"/>
              <w:rPr>
                <w:b/>
                <w:bCs/>
                <w:color w:val="auto"/>
                <w:szCs w:val="21"/>
              </w:rPr>
            </w:pPr>
            <w:r>
              <w:rPr>
                <w:color w:val="auto"/>
                <w:szCs w:val="21"/>
              </w:rPr>
              <w:t>合理布局、厂房隔声</w:t>
            </w:r>
          </w:p>
        </w:tc>
        <w:tc>
          <w:tcPr>
            <w:tcW w:w="2976" w:type="dxa"/>
            <w:tcMar>
              <w:top w:w="0" w:type="dxa"/>
              <w:left w:w="6" w:type="dxa"/>
              <w:bottom w:w="0" w:type="dxa"/>
              <w:right w:w="6" w:type="dxa"/>
            </w:tcMar>
            <w:vAlign w:val="center"/>
          </w:tcPr>
          <w:p>
            <w:pPr>
              <w:adjustRightInd w:val="0"/>
              <w:snapToGrid w:val="0"/>
              <w:jc w:val="center"/>
              <w:rPr>
                <w:b/>
                <w:bCs/>
                <w:color w:val="auto"/>
                <w:szCs w:val="21"/>
              </w:rPr>
            </w:pPr>
            <w:r>
              <w:rPr>
                <w:color w:val="auto"/>
                <w:szCs w:val="21"/>
              </w:rPr>
              <w:t>《工业企业厂界环境噪声排放标准》</w:t>
            </w:r>
            <w:r>
              <w:rPr>
                <w:rFonts w:hint="eastAsia"/>
                <w:color w:val="auto"/>
                <w:szCs w:val="21"/>
              </w:rPr>
              <w:t>（</w:t>
            </w:r>
            <w:r>
              <w:rPr>
                <w:color w:val="auto"/>
                <w:szCs w:val="21"/>
              </w:rPr>
              <w:t>GB12348-2008</w:t>
            </w:r>
            <w:r>
              <w:rPr>
                <w:rFonts w:hint="eastAsia"/>
                <w:color w:val="auto"/>
                <w:szCs w:val="21"/>
              </w:rPr>
              <w:t>）</w:t>
            </w:r>
            <w:r>
              <w:rPr>
                <w:color w:val="auto"/>
                <w:szCs w:val="21"/>
              </w:rPr>
              <w:t>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tcMar>
              <w:top w:w="0" w:type="dxa"/>
              <w:left w:w="6" w:type="dxa"/>
              <w:bottom w:w="0" w:type="dxa"/>
              <w:right w:w="6" w:type="dxa"/>
            </w:tcMar>
            <w:vAlign w:val="center"/>
          </w:tcPr>
          <w:p>
            <w:pPr>
              <w:jc w:val="center"/>
              <w:outlineLvl w:val="0"/>
              <w:rPr>
                <w:color w:val="auto"/>
                <w:szCs w:val="21"/>
              </w:rPr>
            </w:pPr>
            <w:bookmarkStart w:id="29" w:name="_Toc27132"/>
            <w:r>
              <w:rPr>
                <w:color w:val="auto"/>
                <w:szCs w:val="21"/>
              </w:rPr>
              <w:t>电磁辐射</w:t>
            </w:r>
            <w:bookmarkEnd w:id="29"/>
          </w:p>
        </w:tc>
        <w:tc>
          <w:tcPr>
            <w:tcW w:w="1418" w:type="dxa"/>
            <w:tcMar>
              <w:top w:w="0" w:type="dxa"/>
              <w:left w:w="6" w:type="dxa"/>
              <w:bottom w:w="0" w:type="dxa"/>
              <w:right w:w="6" w:type="dxa"/>
            </w:tcMar>
            <w:vAlign w:val="center"/>
          </w:tcPr>
          <w:p>
            <w:pPr>
              <w:jc w:val="center"/>
              <w:outlineLvl w:val="0"/>
              <w:rPr>
                <w:bCs/>
                <w:color w:val="auto"/>
                <w:szCs w:val="21"/>
              </w:rPr>
            </w:pPr>
            <w:bookmarkStart w:id="30" w:name="_Toc23384"/>
            <w:r>
              <w:rPr>
                <w:bCs/>
                <w:color w:val="auto"/>
                <w:szCs w:val="21"/>
              </w:rPr>
              <w:t>/</w:t>
            </w:r>
            <w:bookmarkEnd w:id="30"/>
          </w:p>
        </w:tc>
        <w:tc>
          <w:tcPr>
            <w:tcW w:w="1984" w:type="dxa"/>
            <w:tcMar>
              <w:top w:w="0" w:type="dxa"/>
              <w:left w:w="6" w:type="dxa"/>
              <w:bottom w:w="0" w:type="dxa"/>
              <w:right w:w="6" w:type="dxa"/>
            </w:tcMar>
            <w:vAlign w:val="center"/>
          </w:tcPr>
          <w:p>
            <w:pPr>
              <w:jc w:val="center"/>
              <w:outlineLvl w:val="0"/>
              <w:rPr>
                <w:bCs/>
                <w:color w:val="auto"/>
                <w:szCs w:val="21"/>
              </w:rPr>
            </w:pPr>
            <w:bookmarkStart w:id="31" w:name="_Toc30176"/>
            <w:r>
              <w:rPr>
                <w:bCs/>
                <w:color w:val="auto"/>
                <w:szCs w:val="21"/>
              </w:rPr>
              <w:t>/</w:t>
            </w:r>
            <w:bookmarkEnd w:id="31"/>
          </w:p>
        </w:tc>
        <w:tc>
          <w:tcPr>
            <w:tcW w:w="1418" w:type="dxa"/>
            <w:tcMar>
              <w:top w:w="0" w:type="dxa"/>
              <w:left w:w="6" w:type="dxa"/>
              <w:bottom w:w="0" w:type="dxa"/>
              <w:right w:w="6" w:type="dxa"/>
            </w:tcMar>
            <w:vAlign w:val="center"/>
          </w:tcPr>
          <w:p>
            <w:pPr>
              <w:jc w:val="center"/>
              <w:outlineLvl w:val="0"/>
              <w:rPr>
                <w:bCs/>
                <w:color w:val="auto"/>
                <w:szCs w:val="21"/>
              </w:rPr>
            </w:pPr>
            <w:bookmarkStart w:id="32" w:name="_Toc29091"/>
            <w:r>
              <w:rPr>
                <w:bCs/>
                <w:color w:val="auto"/>
                <w:szCs w:val="21"/>
              </w:rPr>
              <w:t>/</w:t>
            </w:r>
            <w:bookmarkEnd w:id="32"/>
          </w:p>
        </w:tc>
        <w:tc>
          <w:tcPr>
            <w:tcW w:w="2976" w:type="dxa"/>
            <w:tcMar>
              <w:top w:w="0" w:type="dxa"/>
              <w:left w:w="6" w:type="dxa"/>
              <w:bottom w:w="0" w:type="dxa"/>
              <w:right w:w="6" w:type="dxa"/>
            </w:tcMar>
            <w:vAlign w:val="center"/>
          </w:tcPr>
          <w:p>
            <w:pPr>
              <w:jc w:val="center"/>
              <w:outlineLvl w:val="0"/>
              <w:rPr>
                <w:bCs/>
                <w:color w:val="auto"/>
                <w:szCs w:val="21"/>
              </w:rPr>
            </w:pPr>
            <w:bookmarkStart w:id="33" w:name="_Toc5813"/>
            <w:r>
              <w:rPr>
                <w:bCs/>
                <w:color w:val="auto"/>
                <w:szCs w:val="21"/>
              </w:rPr>
              <w:t>/</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vMerge w:val="restart"/>
            <w:tcMar>
              <w:top w:w="0" w:type="dxa"/>
              <w:left w:w="6" w:type="dxa"/>
              <w:bottom w:w="0" w:type="dxa"/>
              <w:right w:w="6" w:type="dxa"/>
            </w:tcMar>
            <w:vAlign w:val="center"/>
          </w:tcPr>
          <w:p>
            <w:pPr>
              <w:jc w:val="center"/>
              <w:outlineLvl w:val="0"/>
              <w:rPr>
                <w:color w:val="auto"/>
                <w:szCs w:val="21"/>
              </w:rPr>
            </w:pPr>
            <w:bookmarkStart w:id="34" w:name="_Toc12060"/>
            <w:r>
              <w:rPr>
                <w:color w:val="auto"/>
                <w:szCs w:val="21"/>
              </w:rPr>
              <w:t>固体废物</w:t>
            </w:r>
            <w:bookmarkEnd w:id="34"/>
          </w:p>
        </w:tc>
        <w:tc>
          <w:tcPr>
            <w:tcW w:w="1418" w:type="dxa"/>
            <w:tcMar>
              <w:top w:w="0" w:type="dxa"/>
              <w:left w:w="6" w:type="dxa"/>
              <w:bottom w:w="0" w:type="dxa"/>
              <w:right w:w="6" w:type="dxa"/>
            </w:tcMar>
            <w:vAlign w:val="center"/>
          </w:tcPr>
          <w:p>
            <w:pPr>
              <w:jc w:val="center"/>
              <w:rPr>
                <w:color w:val="auto"/>
                <w:kern w:val="0"/>
                <w:szCs w:val="21"/>
              </w:rPr>
            </w:pPr>
            <w:r>
              <w:rPr>
                <w:color w:val="auto"/>
                <w:szCs w:val="21"/>
              </w:rPr>
              <w:t>边角料</w:t>
            </w:r>
          </w:p>
        </w:tc>
        <w:tc>
          <w:tcPr>
            <w:tcW w:w="1984" w:type="dxa"/>
            <w:tcMar>
              <w:top w:w="0" w:type="dxa"/>
              <w:left w:w="6" w:type="dxa"/>
              <w:bottom w:w="0" w:type="dxa"/>
              <w:right w:w="6" w:type="dxa"/>
            </w:tcMar>
            <w:vAlign w:val="center"/>
          </w:tcPr>
          <w:p>
            <w:pPr>
              <w:jc w:val="center"/>
              <w:rPr>
                <w:color w:val="auto"/>
                <w:szCs w:val="21"/>
              </w:rPr>
            </w:pPr>
            <w:r>
              <w:rPr>
                <w:rFonts w:hint="eastAsia"/>
                <w:color w:val="auto"/>
              </w:rPr>
              <w:t>裁纸</w:t>
            </w:r>
          </w:p>
        </w:tc>
        <w:tc>
          <w:tcPr>
            <w:tcW w:w="1418" w:type="dxa"/>
            <w:vMerge w:val="restart"/>
            <w:tcMar>
              <w:top w:w="0" w:type="dxa"/>
              <w:left w:w="6" w:type="dxa"/>
              <w:bottom w:w="0" w:type="dxa"/>
              <w:right w:w="6" w:type="dxa"/>
            </w:tcMar>
            <w:vAlign w:val="center"/>
          </w:tcPr>
          <w:p>
            <w:pPr>
              <w:jc w:val="center"/>
              <w:outlineLvl w:val="0"/>
              <w:rPr>
                <w:b/>
                <w:bCs/>
                <w:color w:val="auto"/>
                <w:szCs w:val="21"/>
              </w:rPr>
            </w:pPr>
            <w:r>
              <w:rPr>
                <w:color w:val="auto"/>
              </w:rPr>
              <w:t>外售</w:t>
            </w:r>
            <w:r>
              <w:rPr>
                <w:rFonts w:hint="eastAsia"/>
                <w:color w:val="auto"/>
              </w:rPr>
              <w:t>综合利用</w:t>
            </w:r>
          </w:p>
        </w:tc>
        <w:tc>
          <w:tcPr>
            <w:tcW w:w="2976" w:type="dxa"/>
            <w:vMerge w:val="restart"/>
            <w:tcMar>
              <w:top w:w="0" w:type="dxa"/>
              <w:left w:w="6" w:type="dxa"/>
              <w:bottom w:w="0" w:type="dxa"/>
              <w:right w:w="6" w:type="dxa"/>
            </w:tcMar>
            <w:vAlign w:val="center"/>
          </w:tcPr>
          <w:p>
            <w:pPr>
              <w:jc w:val="center"/>
              <w:outlineLvl w:val="0"/>
              <w:rPr>
                <w:b/>
                <w:bCs/>
                <w:color w:val="auto"/>
                <w:szCs w:val="21"/>
              </w:rPr>
            </w:pPr>
            <w:r>
              <w:rPr>
                <w:color w:val="auto"/>
                <w:szCs w:val="21"/>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vMerge w:val="continue"/>
            <w:tcMar>
              <w:top w:w="0" w:type="dxa"/>
              <w:left w:w="6" w:type="dxa"/>
              <w:bottom w:w="0" w:type="dxa"/>
              <w:right w:w="6" w:type="dxa"/>
            </w:tcMar>
            <w:vAlign w:val="center"/>
          </w:tcPr>
          <w:p>
            <w:pPr>
              <w:jc w:val="center"/>
              <w:outlineLvl w:val="0"/>
              <w:rPr>
                <w:color w:val="auto"/>
                <w:szCs w:val="21"/>
              </w:rPr>
            </w:pPr>
          </w:p>
        </w:tc>
        <w:tc>
          <w:tcPr>
            <w:tcW w:w="1418" w:type="dxa"/>
            <w:tcMar>
              <w:top w:w="0" w:type="dxa"/>
              <w:left w:w="6" w:type="dxa"/>
              <w:bottom w:w="0" w:type="dxa"/>
              <w:right w:w="6" w:type="dxa"/>
            </w:tcMar>
            <w:vAlign w:val="center"/>
          </w:tcPr>
          <w:p>
            <w:pPr>
              <w:jc w:val="center"/>
              <w:rPr>
                <w:color w:val="auto"/>
                <w:szCs w:val="21"/>
              </w:rPr>
            </w:pPr>
            <w:r>
              <w:rPr>
                <w:rFonts w:hint="eastAsia"/>
                <w:color w:val="auto"/>
                <w:szCs w:val="21"/>
              </w:rPr>
              <w:t>不合格品</w:t>
            </w:r>
          </w:p>
        </w:tc>
        <w:tc>
          <w:tcPr>
            <w:tcW w:w="1984" w:type="dxa"/>
            <w:tcMar>
              <w:top w:w="0" w:type="dxa"/>
              <w:left w:w="6" w:type="dxa"/>
              <w:bottom w:w="0" w:type="dxa"/>
              <w:right w:w="6" w:type="dxa"/>
            </w:tcMar>
            <w:vAlign w:val="center"/>
          </w:tcPr>
          <w:p>
            <w:pPr>
              <w:jc w:val="center"/>
              <w:rPr>
                <w:color w:val="auto"/>
              </w:rPr>
            </w:pPr>
            <w:r>
              <w:rPr>
                <w:rFonts w:hint="eastAsia"/>
                <w:color w:val="auto"/>
              </w:rPr>
              <w:t>检验包装</w:t>
            </w:r>
          </w:p>
        </w:tc>
        <w:tc>
          <w:tcPr>
            <w:tcW w:w="1418" w:type="dxa"/>
            <w:vMerge w:val="continue"/>
            <w:tcMar>
              <w:top w:w="0" w:type="dxa"/>
              <w:left w:w="6" w:type="dxa"/>
              <w:bottom w:w="0" w:type="dxa"/>
              <w:right w:w="6" w:type="dxa"/>
            </w:tcMar>
            <w:vAlign w:val="center"/>
          </w:tcPr>
          <w:p>
            <w:pPr>
              <w:jc w:val="center"/>
              <w:outlineLvl w:val="0"/>
              <w:rPr>
                <w:color w:val="auto"/>
              </w:rPr>
            </w:pPr>
          </w:p>
        </w:tc>
        <w:tc>
          <w:tcPr>
            <w:tcW w:w="2976" w:type="dxa"/>
            <w:vMerge w:val="continue"/>
            <w:tcMar>
              <w:top w:w="0" w:type="dxa"/>
              <w:left w:w="6" w:type="dxa"/>
              <w:bottom w:w="0" w:type="dxa"/>
              <w:right w:w="6" w:type="dxa"/>
            </w:tcMar>
            <w:vAlign w:val="center"/>
          </w:tcPr>
          <w:p>
            <w:pPr>
              <w:jc w:val="center"/>
              <w:outlineLvl w:val="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vMerge w:val="continue"/>
            <w:tcMar>
              <w:top w:w="0" w:type="dxa"/>
              <w:left w:w="6" w:type="dxa"/>
              <w:bottom w:w="0" w:type="dxa"/>
              <w:right w:w="6" w:type="dxa"/>
            </w:tcMar>
            <w:vAlign w:val="center"/>
          </w:tcPr>
          <w:p>
            <w:pPr>
              <w:jc w:val="center"/>
              <w:outlineLvl w:val="0"/>
              <w:rPr>
                <w:color w:val="auto"/>
                <w:szCs w:val="21"/>
              </w:rPr>
            </w:pPr>
          </w:p>
        </w:tc>
        <w:tc>
          <w:tcPr>
            <w:tcW w:w="1418" w:type="dxa"/>
            <w:tcMar>
              <w:top w:w="0" w:type="dxa"/>
              <w:left w:w="6" w:type="dxa"/>
              <w:bottom w:w="0" w:type="dxa"/>
              <w:right w:w="6" w:type="dxa"/>
            </w:tcMar>
            <w:vAlign w:val="center"/>
          </w:tcPr>
          <w:p>
            <w:pPr>
              <w:jc w:val="center"/>
              <w:rPr>
                <w:color w:val="auto"/>
                <w:szCs w:val="21"/>
              </w:rPr>
            </w:pPr>
            <w:r>
              <w:rPr>
                <w:rFonts w:hint="eastAsia"/>
                <w:color w:val="auto"/>
                <w:szCs w:val="21"/>
              </w:rPr>
              <w:t>废包装袋</w:t>
            </w:r>
          </w:p>
        </w:tc>
        <w:tc>
          <w:tcPr>
            <w:tcW w:w="1984" w:type="dxa"/>
            <w:tcMar>
              <w:top w:w="0" w:type="dxa"/>
              <w:left w:w="6" w:type="dxa"/>
              <w:bottom w:w="0" w:type="dxa"/>
              <w:right w:w="6" w:type="dxa"/>
            </w:tcMar>
            <w:vAlign w:val="center"/>
          </w:tcPr>
          <w:p>
            <w:pPr>
              <w:jc w:val="center"/>
              <w:rPr>
                <w:color w:val="auto"/>
              </w:rPr>
            </w:pPr>
            <w:r>
              <w:rPr>
                <w:rFonts w:hint="eastAsia"/>
                <w:color w:val="auto"/>
              </w:rPr>
              <w:t>浸胶纸使用</w:t>
            </w:r>
          </w:p>
        </w:tc>
        <w:tc>
          <w:tcPr>
            <w:tcW w:w="1418" w:type="dxa"/>
            <w:vMerge w:val="continue"/>
            <w:tcMar>
              <w:top w:w="0" w:type="dxa"/>
              <w:left w:w="6" w:type="dxa"/>
              <w:bottom w:w="0" w:type="dxa"/>
              <w:right w:w="6" w:type="dxa"/>
            </w:tcMar>
            <w:vAlign w:val="center"/>
          </w:tcPr>
          <w:p>
            <w:pPr>
              <w:jc w:val="center"/>
              <w:outlineLvl w:val="0"/>
              <w:rPr>
                <w:color w:val="auto"/>
              </w:rPr>
            </w:pPr>
          </w:p>
        </w:tc>
        <w:tc>
          <w:tcPr>
            <w:tcW w:w="2976" w:type="dxa"/>
            <w:vMerge w:val="continue"/>
            <w:tcMar>
              <w:top w:w="0" w:type="dxa"/>
              <w:left w:w="6" w:type="dxa"/>
              <w:bottom w:w="0" w:type="dxa"/>
              <w:right w:w="6" w:type="dxa"/>
            </w:tcMar>
            <w:vAlign w:val="center"/>
          </w:tcPr>
          <w:p>
            <w:pPr>
              <w:jc w:val="center"/>
              <w:outlineLvl w:val="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vMerge w:val="continue"/>
            <w:tcMar>
              <w:top w:w="0" w:type="dxa"/>
              <w:left w:w="6" w:type="dxa"/>
              <w:bottom w:w="0" w:type="dxa"/>
              <w:right w:w="6" w:type="dxa"/>
            </w:tcMar>
            <w:vAlign w:val="center"/>
          </w:tcPr>
          <w:p>
            <w:pPr>
              <w:outlineLvl w:val="0"/>
              <w:rPr>
                <w:b/>
                <w:bCs/>
                <w:color w:val="auto"/>
                <w:szCs w:val="21"/>
              </w:rPr>
            </w:pPr>
          </w:p>
        </w:tc>
        <w:tc>
          <w:tcPr>
            <w:tcW w:w="1418" w:type="dxa"/>
            <w:tcMar>
              <w:top w:w="0" w:type="dxa"/>
              <w:left w:w="6" w:type="dxa"/>
              <w:bottom w:w="0" w:type="dxa"/>
              <w:right w:w="6" w:type="dxa"/>
            </w:tcMar>
            <w:vAlign w:val="center"/>
          </w:tcPr>
          <w:p>
            <w:pPr>
              <w:jc w:val="center"/>
              <w:rPr>
                <w:b/>
                <w:bCs/>
                <w:color w:val="auto"/>
                <w:szCs w:val="21"/>
              </w:rPr>
            </w:pPr>
            <w:r>
              <w:rPr>
                <w:color w:val="auto"/>
                <w:kern w:val="0"/>
                <w:szCs w:val="21"/>
              </w:rPr>
              <w:t>生活垃圾</w:t>
            </w:r>
          </w:p>
        </w:tc>
        <w:tc>
          <w:tcPr>
            <w:tcW w:w="1984" w:type="dxa"/>
            <w:tcMar>
              <w:top w:w="0" w:type="dxa"/>
              <w:left w:w="6" w:type="dxa"/>
              <w:bottom w:w="0" w:type="dxa"/>
              <w:right w:w="6" w:type="dxa"/>
            </w:tcMar>
            <w:vAlign w:val="center"/>
          </w:tcPr>
          <w:p>
            <w:pPr>
              <w:jc w:val="center"/>
              <w:rPr>
                <w:color w:val="auto"/>
                <w:szCs w:val="21"/>
              </w:rPr>
            </w:pPr>
            <w:r>
              <w:rPr>
                <w:color w:val="auto"/>
                <w:kern w:val="0"/>
                <w:szCs w:val="21"/>
              </w:rPr>
              <w:t>员工生活</w:t>
            </w:r>
          </w:p>
        </w:tc>
        <w:tc>
          <w:tcPr>
            <w:tcW w:w="1418" w:type="dxa"/>
            <w:tcMar>
              <w:top w:w="0" w:type="dxa"/>
              <w:left w:w="6" w:type="dxa"/>
              <w:bottom w:w="0" w:type="dxa"/>
              <w:right w:w="6" w:type="dxa"/>
            </w:tcMar>
            <w:vAlign w:val="center"/>
          </w:tcPr>
          <w:p>
            <w:pPr>
              <w:jc w:val="center"/>
              <w:outlineLvl w:val="0"/>
              <w:rPr>
                <w:b/>
                <w:bCs/>
                <w:color w:val="auto"/>
                <w:szCs w:val="21"/>
              </w:rPr>
            </w:pPr>
            <w:r>
              <w:rPr>
                <w:color w:val="auto"/>
              </w:rPr>
              <w:t>环卫部门清运</w:t>
            </w:r>
          </w:p>
        </w:tc>
        <w:tc>
          <w:tcPr>
            <w:tcW w:w="2976" w:type="dxa"/>
            <w:vMerge w:val="continue"/>
            <w:tcMar>
              <w:top w:w="0" w:type="dxa"/>
              <w:left w:w="6" w:type="dxa"/>
              <w:bottom w:w="0" w:type="dxa"/>
              <w:right w:w="6" w:type="dxa"/>
            </w:tcMar>
            <w:vAlign w:val="center"/>
          </w:tcPr>
          <w:p>
            <w:pPr>
              <w:jc w:val="center"/>
              <w:outlineLvl w:val="0"/>
              <w:rPr>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vMerge w:val="continue"/>
            <w:tcMar>
              <w:top w:w="0" w:type="dxa"/>
              <w:left w:w="6" w:type="dxa"/>
              <w:bottom w:w="0" w:type="dxa"/>
              <w:right w:w="6" w:type="dxa"/>
            </w:tcMar>
            <w:vAlign w:val="center"/>
          </w:tcPr>
          <w:p>
            <w:pPr>
              <w:outlineLvl w:val="0"/>
              <w:rPr>
                <w:b/>
                <w:bCs/>
                <w:color w:val="auto"/>
                <w:szCs w:val="21"/>
              </w:rPr>
            </w:pPr>
          </w:p>
        </w:tc>
        <w:tc>
          <w:tcPr>
            <w:tcW w:w="1418" w:type="dxa"/>
            <w:tcMar>
              <w:top w:w="0" w:type="dxa"/>
              <w:left w:w="6" w:type="dxa"/>
              <w:bottom w:w="0" w:type="dxa"/>
              <w:right w:w="6" w:type="dxa"/>
            </w:tcMar>
            <w:vAlign w:val="center"/>
          </w:tcPr>
          <w:p>
            <w:pPr>
              <w:widowControl/>
              <w:adjustRightInd w:val="0"/>
              <w:snapToGrid w:val="0"/>
              <w:jc w:val="center"/>
              <w:rPr>
                <w:bCs/>
                <w:color w:val="auto"/>
                <w:szCs w:val="21"/>
              </w:rPr>
            </w:pPr>
            <w:r>
              <w:rPr>
                <w:bCs/>
                <w:color w:val="auto"/>
                <w:szCs w:val="21"/>
              </w:rPr>
              <w:t>废活性炭</w:t>
            </w:r>
          </w:p>
        </w:tc>
        <w:tc>
          <w:tcPr>
            <w:tcW w:w="1984" w:type="dxa"/>
            <w:tcMar>
              <w:top w:w="0" w:type="dxa"/>
              <w:left w:w="6" w:type="dxa"/>
              <w:bottom w:w="0" w:type="dxa"/>
              <w:right w:w="6" w:type="dxa"/>
            </w:tcMar>
            <w:vAlign w:val="center"/>
          </w:tcPr>
          <w:p>
            <w:pPr>
              <w:widowControl/>
              <w:adjustRightInd w:val="0"/>
              <w:snapToGrid w:val="0"/>
              <w:jc w:val="center"/>
              <w:rPr>
                <w:color w:val="auto"/>
              </w:rPr>
            </w:pPr>
            <w:r>
              <w:rPr>
                <w:bCs/>
                <w:color w:val="auto"/>
                <w:szCs w:val="21"/>
              </w:rPr>
              <w:t>废气处理</w:t>
            </w:r>
          </w:p>
        </w:tc>
        <w:tc>
          <w:tcPr>
            <w:tcW w:w="1418" w:type="dxa"/>
            <w:vMerge w:val="restart"/>
            <w:tcMar>
              <w:top w:w="0" w:type="dxa"/>
              <w:left w:w="6" w:type="dxa"/>
              <w:bottom w:w="0" w:type="dxa"/>
              <w:right w:w="6" w:type="dxa"/>
            </w:tcMar>
            <w:vAlign w:val="center"/>
          </w:tcPr>
          <w:p>
            <w:pPr>
              <w:jc w:val="center"/>
              <w:outlineLvl w:val="0"/>
              <w:rPr>
                <w:color w:val="auto"/>
                <w:szCs w:val="21"/>
              </w:rPr>
            </w:pPr>
            <w:r>
              <w:rPr>
                <w:color w:val="auto"/>
                <w:szCs w:val="21"/>
              </w:rPr>
              <w:t>委托有资质单位处置</w:t>
            </w:r>
          </w:p>
        </w:tc>
        <w:tc>
          <w:tcPr>
            <w:tcW w:w="2976" w:type="dxa"/>
            <w:vMerge w:val="restart"/>
            <w:tcMar>
              <w:top w:w="0" w:type="dxa"/>
              <w:left w:w="6" w:type="dxa"/>
              <w:bottom w:w="0" w:type="dxa"/>
              <w:right w:w="6" w:type="dxa"/>
            </w:tcMar>
            <w:vAlign w:val="center"/>
          </w:tcPr>
          <w:p>
            <w:pPr>
              <w:jc w:val="center"/>
              <w:outlineLvl w:val="0"/>
              <w:rPr>
                <w:b/>
                <w:bCs/>
                <w:color w:val="auto"/>
                <w:szCs w:val="21"/>
              </w:rPr>
            </w:pPr>
            <w:r>
              <w:rPr>
                <w:color w:val="auto"/>
                <w:szCs w:val="21"/>
              </w:rPr>
              <w:t>《危险废物贮存污染控制标准》（</w:t>
            </w:r>
            <w:r>
              <w:rPr>
                <w:rFonts w:hint="eastAsia"/>
                <w:color w:val="auto"/>
                <w:szCs w:val="21"/>
              </w:rPr>
              <w:t>GB18597-2023</w:t>
            </w:r>
            <w:r>
              <w:rPr>
                <w:color w:val="auto"/>
                <w:szCs w:val="21"/>
              </w:rPr>
              <w:t>）</w:t>
            </w:r>
            <w:r>
              <w:rPr>
                <w:rFonts w:hint="eastAsia"/>
                <w:color w:val="auto"/>
                <w:szCs w:val="21"/>
                <w:lang w:eastAsia="zh-CN"/>
              </w:rPr>
              <w:t>、</w:t>
            </w:r>
            <w:r>
              <w:rPr>
                <w:rFonts w:hint="eastAsia"/>
                <w:color w:val="auto"/>
                <w:szCs w:val="21"/>
              </w:rPr>
              <w:t>《省生态环境厅关于进一步加强危险废物污染防治工作的实施意见》（苏环办[2019]327号）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vMerge w:val="continue"/>
            <w:tcMar>
              <w:top w:w="0" w:type="dxa"/>
              <w:left w:w="6" w:type="dxa"/>
              <w:bottom w:w="0" w:type="dxa"/>
              <w:right w:w="6" w:type="dxa"/>
            </w:tcMar>
            <w:vAlign w:val="center"/>
          </w:tcPr>
          <w:p>
            <w:pPr>
              <w:outlineLvl w:val="0"/>
              <w:rPr>
                <w:b/>
                <w:bCs/>
                <w:color w:val="auto"/>
                <w:szCs w:val="21"/>
              </w:rPr>
            </w:pPr>
          </w:p>
        </w:tc>
        <w:tc>
          <w:tcPr>
            <w:tcW w:w="1418" w:type="dxa"/>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rPr>
              <w:t>废</w:t>
            </w:r>
            <w:r>
              <w:rPr>
                <w:rFonts w:hint="eastAsia"/>
                <w:bCs/>
                <w:color w:val="auto"/>
                <w:szCs w:val="21"/>
                <w:lang w:eastAsia="zh-CN"/>
              </w:rPr>
              <w:t>导热</w:t>
            </w:r>
            <w:r>
              <w:rPr>
                <w:rFonts w:hint="eastAsia"/>
                <w:bCs/>
                <w:color w:val="auto"/>
                <w:szCs w:val="21"/>
              </w:rPr>
              <w:t>油</w:t>
            </w:r>
          </w:p>
        </w:tc>
        <w:tc>
          <w:tcPr>
            <w:tcW w:w="1984" w:type="dxa"/>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lang w:eastAsia="zh-CN"/>
              </w:rPr>
              <w:t>设备维保</w:t>
            </w:r>
          </w:p>
        </w:tc>
        <w:tc>
          <w:tcPr>
            <w:tcW w:w="1418" w:type="dxa"/>
            <w:vMerge w:val="continue"/>
            <w:tcMar>
              <w:top w:w="0" w:type="dxa"/>
              <w:left w:w="6" w:type="dxa"/>
              <w:bottom w:w="0" w:type="dxa"/>
              <w:right w:w="6" w:type="dxa"/>
            </w:tcMar>
            <w:vAlign w:val="center"/>
          </w:tcPr>
          <w:p>
            <w:pPr>
              <w:jc w:val="center"/>
              <w:outlineLvl w:val="0"/>
              <w:rPr>
                <w:color w:val="auto"/>
                <w:szCs w:val="21"/>
              </w:rPr>
            </w:pPr>
          </w:p>
        </w:tc>
        <w:tc>
          <w:tcPr>
            <w:tcW w:w="2976" w:type="dxa"/>
            <w:vMerge w:val="continue"/>
            <w:tcMar>
              <w:top w:w="0" w:type="dxa"/>
              <w:left w:w="6" w:type="dxa"/>
              <w:bottom w:w="0" w:type="dxa"/>
              <w:right w:w="6" w:type="dxa"/>
            </w:tcMar>
            <w:vAlign w:val="center"/>
          </w:tcPr>
          <w:p>
            <w:pPr>
              <w:jc w:val="center"/>
              <w:outlineLvl w:val="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vMerge w:val="continue"/>
            <w:tcMar>
              <w:top w:w="0" w:type="dxa"/>
              <w:left w:w="6" w:type="dxa"/>
              <w:bottom w:w="0" w:type="dxa"/>
              <w:right w:w="6" w:type="dxa"/>
            </w:tcMar>
            <w:vAlign w:val="center"/>
          </w:tcPr>
          <w:p>
            <w:pPr>
              <w:outlineLvl w:val="0"/>
              <w:rPr>
                <w:b/>
                <w:bCs/>
                <w:color w:val="auto"/>
                <w:szCs w:val="21"/>
              </w:rPr>
            </w:pPr>
          </w:p>
        </w:tc>
        <w:tc>
          <w:tcPr>
            <w:tcW w:w="1418" w:type="dxa"/>
            <w:tcMar>
              <w:top w:w="0" w:type="dxa"/>
              <w:left w:w="6" w:type="dxa"/>
              <w:bottom w:w="0" w:type="dxa"/>
              <w:right w:w="6" w:type="dxa"/>
            </w:tcMar>
            <w:vAlign w:val="center"/>
          </w:tcPr>
          <w:p>
            <w:pPr>
              <w:widowControl/>
              <w:adjustRightInd w:val="0"/>
              <w:snapToGrid w:val="0"/>
              <w:jc w:val="center"/>
              <w:rPr>
                <w:rFonts w:hint="eastAsia" w:eastAsia="宋体"/>
                <w:bCs/>
                <w:color w:val="auto"/>
                <w:szCs w:val="21"/>
                <w:lang w:eastAsia="zh-CN"/>
              </w:rPr>
            </w:pPr>
            <w:r>
              <w:rPr>
                <w:rFonts w:hint="eastAsia"/>
                <w:bCs/>
                <w:color w:val="auto"/>
                <w:szCs w:val="21"/>
                <w:lang w:eastAsia="zh-CN"/>
              </w:rPr>
              <w:t>废液压油</w:t>
            </w:r>
          </w:p>
        </w:tc>
        <w:tc>
          <w:tcPr>
            <w:tcW w:w="1984" w:type="dxa"/>
            <w:tcMar>
              <w:top w:w="0" w:type="dxa"/>
              <w:left w:w="6" w:type="dxa"/>
              <w:bottom w:w="0" w:type="dxa"/>
              <w:right w:w="6" w:type="dxa"/>
            </w:tcMar>
            <w:vAlign w:val="center"/>
          </w:tcPr>
          <w:p>
            <w:pPr>
              <w:widowControl/>
              <w:adjustRightInd w:val="0"/>
              <w:snapToGrid w:val="0"/>
              <w:jc w:val="center"/>
              <w:rPr>
                <w:rFonts w:hint="eastAsia"/>
                <w:bCs/>
                <w:color w:val="auto"/>
                <w:szCs w:val="21"/>
                <w:lang w:eastAsia="zh-CN"/>
              </w:rPr>
            </w:pPr>
            <w:r>
              <w:rPr>
                <w:rFonts w:hint="eastAsia"/>
                <w:bCs/>
                <w:color w:val="auto"/>
                <w:szCs w:val="21"/>
                <w:lang w:eastAsia="zh-CN"/>
              </w:rPr>
              <w:t>设备维保</w:t>
            </w:r>
          </w:p>
        </w:tc>
        <w:tc>
          <w:tcPr>
            <w:tcW w:w="1418" w:type="dxa"/>
            <w:vMerge w:val="continue"/>
            <w:tcMar>
              <w:top w:w="0" w:type="dxa"/>
              <w:left w:w="6" w:type="dxa"/>
              <w:bottom w:w="0" w:type="dxa"/>
              <w:right w:w="6" w:type="dxa"/>
            </w:tcMar>
            <w:vAlign w:val="center"/>
          </w:tcPr>
          <w:p>
            <w:pPr>
              <w:jc w:val="center"/>
              <w:outlineLvl w:val="0"/>
              <w:rPr>
                <w:color w:val="auto"/>
                <w:szCs w:val="21"/>
              </w:rPr>
            </w:pPr>
          </w:p>
        </w:tc>
        <w:tc>
          <w:tcPr>
            <w:tcW w:w="2976" w:type="dxa"/>
            <w:vMerge w:val="continue"/>
            <w:tcMar>
              <w:top w:w="0" w:type="dxa"/>
              <w:left w:w="6" w:type="dxa"/>
              <w:bottom w:w="0" w:type="dxa"/>
              <w:right w:w="6" w:type="dxa"/>
            </w:tcMar>
            <w:vAlign w:val="center"/>
          </w:tcPr>
          <w:p>
            <w:pPr>
              <w:jc w:val="center"/>
              <w:outlineLvl w:val="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vMerge w:val="continue"/>
            <w:tcMar>
              <w:top w:w="0" w:type="dxa"/>
              <w:left w:w="6" w:type="dxa"/>
              <w:bottom w:w="0" w:type="dxa"/>
              <w:right w:w="6" w:type="dxa"/>
            </w:tcMar>
            <w:vAlign w:val="center"/>
          </w:tcPr>
          <w:p>
            <w:pPr>
              <w:outlineLvl w:val="0"/>
              <w:rPr>
                <w:b/>
                <w:bCs/>
                <w:color w:val="auto"/>
                <w:szCs w:val="21"/>
              </w:rPr>
            </w:pPr>
          </w:p>
        </w:tc>
        <w:tc>
          <w:tcPr>
            <w:tcW w:w="1418" w:type="dxa"/>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rPr>
              <w:t>废包装桶</w:t>
            </w:r>
          </w:p>
        </w:tc>
        <w:tc>
          <w:tcPr>
            <w:tcW w:w="1984" w:type="dxa"/>
            <w:tcMar>
              <w:top w:w="0" w:type="dxa"/>
              <w:left w:w="6" w:type="dxa"/>
              <w:bottom w:w="0" w:type="dxa"/>
              <w:right w:w="6" w:type="dxa"/>
            </w:tcMar>
            <w:vAlign w:val="center"/>
          </w:tcPr>
          <w:p>
            <w:pPr>
              <w:widowControl/>
              <w:adjustRightInd w:val="0"/>
              <w:snapToGrid w:val="0"/>
              <w:jc w:val="center"/>
              <w:rPr>
                <w:bCs/>
                <w:color w:val="auto"/>
                <w:szCs w:val="21"/>
              </w:rPr>
            </w:pPr>
            <w:r>
              <w:rPr>
                <w:rFonts w:hint="eastAsia"/>
                <w:bCs/>
                <w:color w:val="auto"/>
                <w:szCs w:val="21"/>
                <w:lang w:eastAsia="zh-CN"/>
              </w:rPr>
              <w:t>矿物油</w:t>
            </w:r>
            <w:r>
              <w:rPr>
                <w:bCs/>
                <w:color w:val="auto"/>
                <w:szCs w:val="21"/>
              </w:rPr>
              <w:t>使用</w:t>
            </w:r>
          </w:p>
        </w:tc>
        <w:tc>
          <w:tcPr>
            <w:tcW w:w="1418" w:type="dxa"/>
            <w:vMerge w:val="continue"/>
            <w:tcMar>
              <w:top w:w="0" w:type="dxa"/>
              <w:left w:w="6" w:type="dxa"/>
              <w:bottom w:w="0" w:type="dxa"/>
              <w:right w:w="6" w:type="dxa"/>
            </w:tcMar>
            <w:vAlign w:val="center"/>
          </w:tcPr>
          <w:p>
            <w:pPr>
              <w:jc w:val="center"/>
              <w:outlineLvl w:val="0"/>
              <w:rPr>
                <w:color w:val="auto"/>
                <w:szCs w:val="21"/>
              </w:rPr>
            </w:pPr>
          </w:p>
        </w:tc>
        <w:tc>
          <w:tcPr>
            <w:tcW w:w="2976" w:type="dxa"/>
            <w:vMerge w:val="continue"/>
            <w:tcMar>
              <w:top w:w="0" w:type="dxa"/>
              <w:left w:w="6" w:type="dxa"/>
              <w:bottom w:w="0" w:type="dxa"/>
              <w:right w:w="6" w:type="dxa"/>
            </w:tcMar>
            <w:vAlign w:val="center"/>
          </w:tcPr>
          <w:p>
            <w:pPr>
              <w:jc w:val="center"/>
              <w:outlineLvl w:val="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dxa"/>
            <w:gridSpan w:val="2"/>
            <w:vMerge w:val="continue"/>
            <w:tcMar>
              <w:top w:w="0" w:type="dxa"/>
              <w:left w:w="6" w:type="dxa"/>
              <w:bottom w:w="0" w:type="dxa"/>
              <w:right w:w="6" w:type="dxa"/>
            </w:tcMar>
            <w:vAlign w:val="center"/>
          </w:tcPr>
          <w:p>
            <w:pPr>
              <w:outlineLvl w:val="0"/>
              <w:rPr>
                <w:b/>
                <w:bCs/>
                <w:color w:val="auto"/>
                <w:szCs w:val="21"/>
              </w:rPr>
            </w:pPr>
          </w:p>
        </w:tc>
        <w:tc>
          <w:tcPr>
            <w:tcW w:w="1418" w:type="dxa"/>
            <w:tcMar>
              <w:top w:w="0" w:type="dxa"/>
              <w:left w:w="6" w:type="dxa"/>
              <w:bottom w:w="0" w:type="dxa"/>
              <w:right w:w="6" w:type="dxa"/>
            </w:tcMar>
            <w:vAlign w:val="center"/>
          </w:tcPr>
          <w:p>
            <w:pPr>
              <w:widowControl/>
              <w:adjustRightInd w:val="0"/>
              <w:snapToGrid w:val="0"/>
              <w:jc w:val="center"/>
              <w:rPr>
                <w:bCs/>
                <w:color w:val="auto"/>
                <w:szCs w:val="21"/>
              </w:rPr>
            </w:pPr>
            <w:r>
              <w:rPr>
                <w:color w:val="auto"/>
                <w:szCs w:val="21"/>
              </w:rPr>
              <w:t>废抹布</w:t>
            </w:r>
            <w:r>
              <w:rPr>
                <w:rFonts w:hint="eastAsia"/>
                <w:color w:val="auto"/>
                <w:szCs w:val="21"/>
              </w:rPr>
              <w:t>手套</w:t>
            </w:r>
          </w:p>
        </w:tc>
        <w:tc>
          <w:tcPr>
            <w:tcW w:w="1984" w:type="dxa"/>
            <w:tcMar>
              <w:top w:w="0" w:type="dxa"/>
              <w:left w:w="6" w:type="dxa"/>
              <w:bottom w:w="0" w:type="dxa"/>
              <w:right w:w="6" w:type="dxa"/>
            </w:tcMar>
            <w:vAlign w:val="center"/>
          </w:tcPr>
          <w:p>
            <w:pPr>
              <w:jc w:val="center"/>
              <w:rPr>
                <w:color w:val="auto"/>
                <w:szCs w:val="21"/>
              </w:rPr>
            </w:pPr>
            <w:r>
              <w:rPr>
                <w:color w:val="auto"/>
                <w:kern w:val="0"/>
                <w:szCs w:val="21"/>
              </w:rPr>
              <w:t>设备维保</w:t>
            </w:r>
          </w:p>
        </w:tc>
        <w:tc>
          <w:tcPr>
            <w:tcW w:w="1418" w:type="dxa"/>
            <w:vMerge w:val="continue"/>
            <w:tcMar>
              <w:top w:w="0" w:type="dxa"/>
              <w:left w:w="6" w:type="dxa"/>
              <w:bottom w:w="0" w:type="dxa"/>
              <w:right w:w="6" w:type="dxa"/>
            </w:tcMar>
            <w:vAlign w:val="center"/>
          </w:tcPr>
          <w:p>
            <w:pPr>
              <w:jc w:val="center"/>
              <w:outlineLvl w:val="0"/>
              <w:rPr>
                <w:color w:val="auto"/>
                <w:szCs w:val="21"/>
              </w:rPr>
            </w:pPr>
          </w:p>
        </w:tc>
        <w:tc>
          <w:tcPr>
            <w:tcW w:w="2976" w:type="dxa"/>
            <w:vMerge w:val="continue"/>
            <w:tcMar>
              <w:top w:w="0" w:type="dxa"/>
              <w:left w:w="6" w:type="dxa"/>
              <w:bottom w:w="0" w:type="dxa"/>
              <w:right w:w="6" w:type="dxa"/>
            </w:tcMar>
            <w:vAlign w:val="center"/>
          </w:tcPr>
          <w:p>
            <w:pPr>
              <w:jc w:val="center"/>
              <w:outlineLvl w:val="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jc w:val="center"/>
        </w:trPr>
        <w:tc>
          <w:tcPr>
            <w:tcW w:w="1271" w:type="dxa"/>
            <w:gridSpan w:val="2"/>
            <w:tcMar>
              <w:top w:w="0" w:type="dxa"/>
              <w:left w:w="6" w:type="dxa"/>
              <w:bottom w:w="0" w:type="dxa"/>
              <w:right w:w="6" w:type="dxa"/>
            </w:tcMar>
            <w:vAlign w:val="center"/>
          </w:tcPr>
          <w:p>
            <w:pPr>
              <w:jc w:val="center"/>
              <w:rPr>
                <w:color w:val="auto"/>
                <w:szCs w:val="21"/>
              </w:rPr>
            </w:pPr>
            <w:r>
              <w:rPr>
                <w:color w:val="auto"/>
                <w:szCs w:val="21"/>
              </w:rPr>
              <w:t>土壤及地下水污染防治措施</w:t>
            </w:r>
          </w:p>
        </w:tc>
        <w:tc>
          <w:tcPr>
            <w:tcW w:w="7796" w:type="dxa"/>
            <w:gridSpan w:val="4"/>
            <w:tcMar>
              <w:top w:w="0" w:type="dxa"/>
              <w:left w:w="6" w:type="dxa"/>
              <w:bottom w:w="0" w:type="dxa"/>
              <w:right w:w="6" w:type="dxa"/>
            </w:tcMar>
            <w:vAlign w:val="center"/>
          </w:tcPr>
          <w:p>
            <w:pPr>
              <w:jc w:val="left"/>
              <w:outlineLvl w:val="0"/>
              <w:rPr>
                <w:b/>
                <w:bCs/>
                <w:color w:val="auto"/>
                <w:szCs w:val="21"/>
              </w:rPr>
            </w:pPr>
            <w:bookmarkStart w:id="35" w:name="_Toc1045"/>
            <w:r>
              <w:rPr>
                <w:color w:val="auto"/>
                <w:szCs w:val="21"/>
              </w:rPr>
              <w:t>项目采取“源头控制”、“分区防控”的防渗措施，废气经合理处置后达标排放，固废均堆放于室内，满足“防风、防雨、防晒”的要求，</w:t>
            </w:r>
            <w:r>
              <w:rPr>
                <w:rFonts w:hint="eastAsia"/>
                <w:color w:val="auto"/>
                <w:szCs w:val="21"/>
              </w:rPr>
              <w:t>建设</w:t>
            </w:r>
            <w:r>
              <w:rPr>
                <w:color w:val="auto"/>
                <w:szCs w:val="21"/>
              </w:rPr>
              <w:t>一般固废</w:t>
            </w:r>
            <w:r>
              <w:rPr>
                <w:rFonts w:hint="eastAsia"/>
                <w:color w:val="auto"/>
                <w:szCs w:val="21"/>
              </w:rPr>
              <w:t>仓库</w:t>
            </w:r>
            <w:r>
              <w:rPr>
                <w:color w:val="auto"/>
                <w:szCs w:val="21"/>
              </w:rPr>
              <w:t>、危废仓库，合理分类收集堆放，</w:t>
            </w:r>
            <w:r>
              <w:rPr>
                <w:rFonts w:hint="eastAsia"/>
                <w:color w:val="auto"/>
                <w:szCs w:val="21"/>
              </w:rPr>
              <w:t>车间一、</w:t>
            </w:r>
            <w:r>
              <w:rPr>
                <w:color w:val="auto"/>
                <w:szCs w:val="21"/>
              </w:rPr>
              <w:t>车间二</w:t>
            </w:r>
            <w:r>
              <w:rPr>
                <w:rFonts w:hint="eastAsia"/>
                <w:color w:val="auto"/>
                <w:szCs w:val="21"/>
              </w:rPr>
              <w:t>、</w:t>
            </w:r>
            <w:r>
              <w:rPr>
                <w:color w:val="auto"/>
                <w:szCs w:val="21"/>
              </w:rPr>
              <w:t>危废仓库采取“黏土铺底+水泥硬化+环氧地坪”的防渗措施、一般固废仓库采取“黏土铺底+水泥硬化”的防渗措施，杜绝固废接触土壤及室外堆放，防止降水淋溶、地表径流，危废定期委托处置。</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271" w:type="dxa"/>
            <w:gridSpan w:val="2"/>
            <w:tcMar>
              <w:top w:w="0" w:type="dxa"/>
              <w:left w:w="6" w:type="dxa"/>
              <w:bottom w:w="0" w:type="dxa"/>
              <w:right w:w="6" w:type="dxa"/>
            </w:tcMar>
            <w:vAlign w:val="center"/>
          </w:tcPr>
          <w:p>
            <w:pPr>
              <w:jc w:val="center"/>
              <w:outlineLvl w:val="0"/>
              <w:rPr>
                <w:color w:val="auto"/>
                <w:szCs w:val="21"/>
              </w:rPr>
            </w:pPr>
            <w:bookmarkStart w:id="36" w:name="_Toc31208"/>
            <w:r>
              <w:rPr>
                <w:color w:val="auto"/>
                <w:szCs w:val="21"/>
              </w:rPr>
              <w:t>生态保护措施</w:t>
            </w:r>
            <w:bookmarkEnd w:id="36"/>
          </w:p>
        </w:tc>
        <w:tc>
          <w:tcPr>
            <w:tcW w:w="7796" w:type="dxa"/>
            <w:gridSpan w:val="4"/>
            <w:tcMar>
              <w:top w:w="0" w:type="dxa"/>
              <w:left w:w="6" w:type="dxa"/>
              <w:bottom w:w="0" w:type="dxa"/>
              <w:right w:w="6" w:type="dxa"/>
            </w:tcMar>
            <w:vAlign w:val="center"/>
          </w:tcPr>
          <w:p>
            <w:pPr>
              <w:jc w:val="left"/>
              <w:outlineLvl w:val="0"/>
              <w:rPr>
                <w:b/>
                <w:bCs/>
                <w:color w:val="auto"/>
                <w:szCs w:val="21"/>
              </w:rPr>
            </w:pPr>
            <w:bookmarkStart w:id="37" w:name="_Toc7973"/>
            <w:r>
              <w:rPr>
                <w:color w:val="auto"/>
                <w:szCs w:val="21"/>
              </w:rPr>
              <w:t>项目产生的废气、废水、噪声和固体废物经过合理处置后达标排放，对生态影响较小。</w:t>
            </w:r>
            <w:bookmark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6" w:hRule="atLeast"/>
          <w:jc w:val="center"/>
        </w:trPr>
        <w:tc>
          <w:tcPr>
            <w:tcW w:w="1271" w:type="dxa"/>
            <w:gridSpan w:val="2"/>
            <w:tcMar>
              <w:top w:w="0" w:type="dxa"/>
              <w:left w:w="6" w:type="dxa"/>
              <w:bottom w:w="0" w:type="dxa"/>
              <w:right w:w="6" w:type="dxa"/>
            </w:tcMar>
            <w:vAlign w:val="center"/>
          </w:tcPr>
          <w:p>
            <w:pPr>
              <w:jc w:val="center"/>
              <w:rPr>
                <w:color w:val="auto"/>
                <w:szCs w:val="21"/>
              </w:rPr>
            </w:pPr>
            <w:r>
              <w:rPr>
                <w:color w:val="auto"/>
                <w:szCs w:val="21"/>
              </w:rPr>
              <w:t>环境风险</w:t>
            </w:r>
          </w:p>
          <w:p>
            <w:pPr>
              <w:jc w:val="center"/>
              <w:outlineLvl w:val="0"/>
              <w:rPr>
                <w:color w:val="auto"/>
                <w:szCs w:val="21"/>
              </w:rPr>
            </w:pPr>
            <w:bookmarkStart w:id="38" w:name="_Toc17470"/>
            <w:r>
              <w:rPr>
                <w:color w:val="auto"/>
                <w:szCs w:val="21"/>
              </w:rPr>
              <w:t>防范措施</w:t>
            </w:r>
            <w:bookmarkEnd w:id="38"/>
          </w:p>
        </w:tc>
        <w:tc>
          <w:tcPr>
            <w:tcW w:w="7796" w:type="dxa"/>
            <w:gridSpan w:val="4"/>
            <w:tcMar>
              <w:top w:w="0" w:type="dxa"/>
              <w:left w:w="6" w:type="dxa"/>
              <w:bottom w:w="0" w:type="dxa"/>
              <w:right w:w="6" w:type="dxa"/>
            </w:tcMar>
            <w:vAlign w:val="center"/>
          </w:tcPr>
          <w:p>
            <w:pPr>
              <w:jc w:val="left"/>
              <w:outlineLvl w:val="0"/>
              <w:rPr>
                <w:color w:val="auto"/>
                <w:szCs w:val="21"/>
              </w:rPr>
            </w:pPr>
            <w:r>
              <w:rPr>
                <w:color w:val="auto"/>
                <w:szCs w:val="21"/>
              </w:rPr>
              <w:t>1、建立健全各种有关消防与安全生产的规章制度，建立岗位责任制。生产车间、仓库严禁明火。生产车间、仓库等场所配置足量的灭火器，并保持完好状态。</w:t>
            </w:r>
          </w:p>
          <w:p>
            <w:pPr>
              <w:jc w:val="left"/>
              <w:outlineLvl w:val="0"/>
              <w:rPr>
                <w:color w:val="auto"/>
                <w:szCs w:val="21"/>
              </w:rPr>
            </w:pPr>
            <w:r>
              <w:rPr>
                <w:color w:val="auto"/>
                <w:szCs w:val="21"/>
              </w:rPr>
              <w:t>2.厂区留有足够的消防通道。生产车间、仓库设置消防给水管道和消防栓。厂部要组织义务消防员，并进行定期的培训和训练。对有火灾危险的场所设置自动报警系统，一旦发生火灾，立即做出应急反应。</w:t>
            </w:r>
          </w:p>
          <w:p>
            <w:pPr>
              <w:jc w:val="left"/>
              <w:outlineLvl w:val="0"/>
              <w:rPr>
                <w:color w:val="auto"/>
                <w:szCs w:val="21"/>
              </w:rPr>
            </w:pPr>
            <w:r>
              <w:rPr>
                <w:color w:val="auto"/>
                <w:szCs w:val="21"/>
              </w:rPr>
              <w:t>3、对于危废仓库，建设单位拟设置监控系统，主要在仓库出入口、仓库内、厂门口等关键位置安装视频监控设施，进行实时监控，并与中控室联网。</w:t>
            </w:r>
          </w:p>
          <w:p>
            <w:pPr>
              <w:jc w:val="left"/>
              <w:outlineLvl w:val="0"/>
              <w:rPr>
                <w:b/>
                <w:bCs/>
                <w:color w:val="auto"/>
                <w:szCs w:val="21"/>
              </w:rPr>
            </w:pPr>
            <w:bookmarkStart w:id="39" w:name="_Toc23477"/>
            <w:r>
              <w:rPr>
                <w:color w:val="auto"/>
                <w:szCs w:val="21"/>
              </w:rPr>
              <w:t>4、做好事故废水的收集措施，如雨水排放口应安装雨水切断阀，并设立足够容积的应急池或其他等效措施对事故废水进行收集处理，避免事故废水进入外环境。</w:t>
            </w:r>
            <w:bookmark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2" w:hRule="atLeast"/>
          <w:jc w:val="center"/>
        </w:trPr>
        <w:tc>
          <w:tcPr>
            <w:tcW w:w="1271" w:type="dxa"/>
            <w:gridSpan w:val="2"/>
            <w:tcMar>
              <w:top w:w="0" w:type="dxa"/>
              <w:left w:w="6" w:type="dxa"/>
              <w:bottom w:w="0" w:type="dxa"/>
              <w:right w:w="6" w:type="dxa"/>
            </w:tcMar>
            <w:vAlign w:val="center"/>
          </w:tcPr>
          <w:p>
            <w:pPr>
              <w:jc w:val="center"/>
              <w:rPr>
                <w:color w:val="auto"/>
                <w:szCs w:val="21"/>
              </w:rPr>
            </w:pPr>
            <w:r>
              <w:rPr>
                <w:color w:val="auto"/>
                <w:szCs w:val="21"/>
              </w:rPr>
              <w:t>其他环境</w:t>
            </w:r>
          </w:p>
          <w:p>
            <w:pPr>
              <w:jc w:val="center"/>
              <w:outlineLvl w:val="0"/>
              <w:rPr>
                <w:color w:val="auto"/>
                <w:szCs w:val="21"/>
              </w:rPr>
            </w:pPr>
            <w:r>
              <w:rPr>
                <w:color w:val="auto"/>
                <w:szCs w:val="21"/>
              </w:rPr>
              <w:t>管理要求</w:t>
            </w:r>
          </w:p>
        </w:tc>
        <w:tc>
          <w:tcPr>
            <w:tcW w:w="7796" w:type="dxa"/>
            <w:gridSpan w:val="4"/>
            <w:tcMar>
              <w:top w:w="0" w:type="dxa"/>
              <w:left w:w="6" w:type="dxa"/>
              <w:bottom w:w="0" w:type="dxa"/>
              <w:right w:w="6" w:type="dxa"/>
            </w:tcMar>
            <w:vAlign w:val="center"/>
          </w:tcPr>
          <w:p>
            <w:pPr>
              <w:jc w:val="left"/>
              <w:outlineLvl w:val="0"/>
              <w:rPr>
                <w:color w:val="auto"/>
                <w:szCs w:val="21"/>
              </w:rPr>
            </w:pPr>
            <w:r>
              <w:rPr>
                <w:color w:val="auto"/>
                <w:szCs w:val="21"/>
              </w:rPr>
              <w:t>1、建设单位严格执行《排污许可管理条例（国令第736号》。</w:t>
            </w:r>
          </w:p>
          <w:p>
            <w:pPr>
              <w:jc w:val="left"/>
              <w:outlineLvl w:val="0"/>
              <w:rPr>
                <w:color w:val="auto"/>
                <w:szCs w:val="21"/>
              </w:rPr>
            </w:pPr>
            <w:r>
              <w:rPr>
                <w:color w:val="auto"/>
                <w:szCs w:val="21"/>
              </w:rPr>
              <w:t>2、根据《江苏省排污口设置及规范化整治管理办法》规定，对排污口进行规范化整治。</w:t>
            </w:r>
          </w:p>
          <w:p>
            <w:pPr>
              <w:jc w:val="left"/>
              <w:outlineLvl w:val="0"/>
              <w:rPr>
                <w:color w:val="auto"/>
                <w:szCs w:val="21"/>
              </w:rPr>
            </w:pPr>
            <w:r>
              <w:rPr>
                <w:color w:val="auto"/>
                <w:szCs w:val="21"/>
              </w:rPr>
              <w:t>3、建设单位要严格执行“三同时”，切实做到环保治理设施与主体工程同时设计、同时施工、同时投产使用。</w:t>
            </w:r>
          </w:p>
          <w:p>
            <w:pPr>
              <w:jc w:val="left"/>
              <w:outlineLvl w:val="0"/>
              <w:rPr>
                <w:color w:val="auto"/>
                <w:szCs w:val="21"/>
              </w:rPr>
            </w:pPr>
            <w:r>
              <w:rPr>
                <w:color w:val="auto"/>
                <w:szCs w:val="21"/>
              </w:rPr>
              <w:t>4、各类原辅材料、生产固废应分类贮存，及时清运，防止堆积、泄漏，以免对周围环境产生影响。</w:t>
            </w:r>
          </w:p>
          <w:p>
            <w:pPr>
              <w:jc w:val="left"/>
              <w:outlineLvl w:val="0"/>
              <w:rPr>
                <w:color w:val="auto"/>
                <w:szCs w:val="21"/>
              </w:rPr>
            </w:pPr>
            <w:r>
              <w:rPr>
                <w:color w:val="auto"/>
                <w:szCs w:val="21"/>
              </w:rPr>
              <w:t>5、加强废气污染治理设施的运行管理和维护保养的管理，加强车间通风换气。</w:t>
            </w:r>
          </w:p>
          <w:p>
            <w:pPr>
              <w:jc w:val="left"/>
              <w:outlineLvl w:val="0"/>
              <w:rPr>
                <w:color w:val="auto"/>
                <w:szCs w:val="21"/>
              </w:rPr>
            </w:pPr>
            <w:r>
              <w:rPr>
                <w:color w:val="auto"/>
                <w:szCs w:val="21"/>
              </w:rPr>
              <w:t>6、建议加强危废仓库等环境风险单元的风险防治措施，加强污染设施安全风险自查，排除环保设施安全及环境风险隐患。</w:t>
            </w:r>
          </w:p>
          <w:p>
            <w:pPr>
              <w:jc w:val="left"/>
              <w:outlineLvl w:val="0"/>
              <w:rPr>
                <w:color w:val="auto"/>
                <w:szCs w:val="21"/>
              </w:rPr>
            </w:pPr>
            <w:r>
              <w:rPr>
                <w:color w:val="auto"/>
                <w:szCs w:val="21"/>
              </w:rPr>
              <w:t>7、本项目涉及的安全、消防、卫生等问题不属于本次评价范围，请公司按照国家相关法律法规和有关标准执行。</w:t>
            </w:r>
          </w:p>
          <w:p>
            <w:pPr>
              <w:jc w:val="left"/>
              <w:outlineLvl w:val="0"/>
              <w:rPr>
                <w:color w:val="auto"/>
                <w:spacing w:val="-8"/>
                <w:szCs w:val="21"/>
              </w:rPr>
            </w:pPr>
            <w:r>
              <w:rPr>
                <w:color w:val="auto"/>
                <w:szCs w:val="21"/>
              </w:rPr>
              <w:t>8、本项目</w:t>
            </w:r>
            <w:r>
              <w:rPr>
                <w:rFonts w:hint="eastAsia"/>
                <w:color w:val="auto"/>
                <w:szCs w:val="21"/>
              </w:rPr>
              <w:t>建成后</w:t>
            </w:r>
            <w:r>
              <w:rPr>
                <w:color w:val="auto"/>
                <w:szCs w:val="21"/>
              </w:rPr>
              <w:t>卫生防护距离</w:t>
            </w:r>
            <w:r>
              <w:rPr>
                <w:rFonts w:hint="eastAsia"/>
                <w:color w:val="auto"/>
                <w:szCs w:val="21"/>
              </w:rPr>
              <w:t>为</w:t>
            </w:r>
            <w:r>
              <w:rPr>
                <w:color w:val="auto"/>
                <w:szCs w:val="21"/>
              </w:rPr>
              <w:t>车间</w:t>
            </w:r>
            <w:r>
              <w:rPr>
                <w:rFonts w:hint="eastAsia"/>
                <w:color w:val="auto"/>
                <w:szCs w:val="21"/>
              </w:rPr>
              <w:t>二</w:t>
            </w:r>
            <w:r>
              <w:rPr>
                <w:color w:val="auto"/>
                <w:szCs w:val="21"/>
              </w:rPr>
              <w:t>外</w:t>
            </w:r>
            <w:r>
              <w:rPr>
                <w:rFonts w:hint="eastAsia"/>
                <w:color w:val="auto"/>
                <w:szCs w:val="21"/>
              </w:rPr>
              <w:t>扩</w:t>
            </w:r>
            <w:r>
              <w:rPr>
                <w:color w:val="auto"/>
                <w:szCs w:val="21"/>
              </w:rPr>
              <w:t>100m范围形成的包络区，卫生防护距离范围内无环境</w:t>
            </w:r>
            <w:r>
              <w:rPr>
                <w:rFonts w:hint="eastAsia"/>
                <w:color w:val="auto"/>
                <w:szCs w:val="21"/>
              </w:rPr>
              <w:t>保护</w:t>
            </w:r>
            <w:r>
              <w:rPr>
                <w:color w:val="auto"/>
                <w:szCs w:val="21"/>
              </w:rPr>
              <w:t>目标，符合要求，今后该卫生防护距离内不得新建学校、居民区等</w:t>
            </w:r>
            <w:r>
              <w:rPr>
                <w:rFonts w:hint="eastAsia"/>
                <w:color w:val="auto"/>
                <w:szCs w:val="21"/>
                <w:lang w:eastAsia="zh-CN"/>
              </w:rPr>
              <w:t>环境保护</w:t>
            </w:r>
            <w:r>
              <w:rPr>
                <w:color w:val="auto"/>
                <w:szCs w:val="21"/>
              </w:rPr>
              <w:t>目标。</w:t>
            </w:r>
          </w:p>
        </w:tc>
      </w:tr>
    </w:tbl>
    <w:p>
      <w:pPr>
        <w:pStyle w:val="26"/>
        <w:adjustRightInd w:val="0"/>
        <w:snapToGrid w:val="0"/>
        <w:spacing w:before="0" w:beforeAutospacing="0" w:after="0" w:afterAutospacing="0"/>
        <w:jc w:val="center"/>
        <w:outlineLvl w:val="0"/>
        <w:rPr>
          <w:rFonts w:ascii="Times New Roman" w:hAnsi="Times New Roman"/>
          <w:color w:val="auto"/>
        </w:rPr>
      </w:pPr>
      <w:r>
        <w:rPr>
          <w:rFonts w:ascii="Times New Roman" w:hAnsi="Times New Roman"/>
          <w:snapToGrid w:val="0"/>
          <w:color w:val="auto"/>
        </w:rPr>
        <w:br w:type="page"/>
      </w:r>
      <w:bookmarkStart w:id="40" w:name="_Toc9520"/>
      <w:r>
        <w:rPr>
          <w:rFonts w:ascii="Times New Roman" w:hAnsi="Times New Roman"/>
          <w:b/>
          <w:bCs/>
          <w:snapToGrid w:val="0"/>
          <w:color w:val="auto"/>
          <w:sz w:val="30"/>
          <w:szCs w:val="30"/>
        </w:rPr>
        <w:t>六、结论</w:t>
      </w:r>
      <w:bookmarkEnd w:id="40"/>
    </w:p>
    <w:tbl>
      <w:tblPr>
        <w:tblStyle w:val="28"/>
        <w:tblW w:w="8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8" w:hRule="atLeast"/>
          <w:jc w:val="center"/>
        </w:trPr>
        <w:tc>
          <w:tcPr>
            <w:tcW w:w="8972" w:type="dxa"/>
          </w:tcPr>
          <w:p>
            <w:pPr>
              <w:spacing w:line="360" w:lineRule="auto"/>
              <w:ind w:firstLine="480" w:firstLineChars="200"/>
              <w:rPr>
                <w:color w:val="auto"/>
                <w:sz w:val="24"/>
              </w:rPr>
            </w:pPr>
            <w:r>
              <w:rPr>
                <w:color w:val="auto"/>
                <w:sz w:val="24"/>
              </w:rPr>
              <w:t>本项目运营期产生的各类污染物在采取合理有效的污染防治措施后，排放总量如下：</w:t>
            </w:r>
          </w:p>
          <w:p>
            <w:pPr>
              <w:adjustRightInd w:val="0"/>
              <w:snapToGrid w:val="0"/>
              <w:spacing w:line="360" w:lineRule="auto"/>
              <w:ind w:firstLine="480" w:firstLineChars="200"/>
              <w:rPr>
                <w:rFonts w:hint="eastAsia"/>
                <w:snapToGrid w:val="0"/>
                <w:color w:val="auto"/>
                <w:kern w:val="0"/>
                <w:sz w:val="24"/>
                <w:lang w:eastAsia="zh-CN"/>
              </w:rPr>
            </w:pPr>
            <w:r>
              <w:rPr>
                <w:rFonts w:hint="eastAsia"/>
                <w:snapToGrid w:val="0"/>
                <w:color w:val="auto"/>
                <w:kern w:val="0"/>
                <w:sz w:val="24"/>
                <w:lang w:val="en-US" w:eastAsia="zh-CN"/>
              </w:rPr>
              <w:t>1、</w:t>
            </w:r>
            <w:r>
              <w:rPr>
                <w:snapToGrid w:val="0"/>
                <w:color w:val="auto"/>
                <w:kern w:val="0"/>
                <w:sz w:val="24"/>
              </w:rPr>
              <w:t>水污染物</w:t>
            </w:r>
            <w:r>
              <w:rPr>
                <w:rFonts w:hint="eastAsia"/>
                <w:snapToGrid w:val="0"/>
                <w:color w:val="auto"/>
                <w:kern w:val="0"/>
                <w:sz w:val="24"/>
                <w:lang w:eastAsia="zh-CN"/>
              </w:rPr>
              <w:t>：</w:t>
            </w:r>
          </w:p>
          <w:p>
            <w:pPr>
              <w:adjustRightInd w:val="0"/>
              <w:snapToGrid w:val="0"/>
              <w:spacing w:line="360" w:lineRule="auto"/>
              <w:ind w:firstLine="480" w:firstLineChars="200"/>
              <w:rPr>
                <w:snapToGrid w:val="0"/>
                <w:color w:val="auto"/>
                <w:kern w:val="0"/>
                <w:sz w:val="24"/>
              </w:rPr>
            </w:pPr>
            <w:r>
              <w:rPr>
                <w:snapToGrid w:val="0"/>
                <w:color w:val="auto"/>
                <w:kern w:val="0"/>
                <w:sz w:val="24"/>
              </w:rPr>
              <w:t>接管考核量：</w:t>
            </w:r>
            <w:r>
              <w:rPr>
                <w:rFonts w:hint="eastAsia"/>
                <w:snapToGrid w:val="0"/>
                <w:color w:val="auto"/>
                <w:kern w:val="0"/>
                <w:sz w:val="24"/>
                <w:lang w:eastAsia="zh-CN"/>
              </w:rPr>
              <w:t>生活污水</w:t>
            </w:r>
            <w:r>
              <w:rPr>
                <w:snapToGrid w:val="0"/>
                <w:color w:val="auto"/>
                <w:kern w:val="0"/>
                <w:sz w:val="24"/>
              </w:rPr>
              <w:t>水量≤9</w:t>
            </w:r>
            <w:r>
              <w:rPr>
                <w:rFonts w:hint="eastAsia"/>
                <w:snapToGrid w:val="0"/>
                <w:color w:val="auto"/>
                <w:kern w:val="0"/>
                <w:sz w:val="24"/>
                <w:lang w:val="en-US" w:eastAsia="zh-CN"/>
              </w:rPr>
              <w:t>0</w:t>
            </w:r>
            <w:r>
              <w:rPr>
                <w:snapToGrid w:val="0"/>
                <w:color w:val="auto"/>
                <w:kern w:val="0"/>
                <w:sz w:val="24"/>
              </w:rPr>
              <w:t>0吨/年，COD≤0.3</w:t>
            </w:r>
            <w:r>
              <w:rPr>
                <w:rFonts w:hint="eastAsia"/>
                <w:snapToGrid w:val="0"/>
                <w:color w:val="auto"/>
                <w:kern w:val="0"/>
                <w:sz w:val="24"/>
                <w:lang w:val="en-US" w:eastAsia="zh-CN"/>
              </w:rPr>
              <w:t>6</w:t>
            </w:r>
            <w:r>
              <w:rPr>
                <w:snapToGrid w:val="0"/>
                <w:color w:val="auto"/>
                <w:kern w:val="0"/>
                <w:sz w:val="24"/>
              </w:rPr>
              <w:t>00吨/年，SS≤0.27</w:t>
            </w:r>
            <w:r>
              <w:rPr>
                <w:rFonts w:hint="eastAsia"/>
                <w:snapToGrid w:val="0"/>
                <w:color w:val="auto"/>
                <w:kern w:val="0"/>
                <w:sz w:val="24"/>
                <w:lang w:val="en-US" w:eastAsia="zh-CN"/>
              </w:rPr>
              <w:t>0</w:t>
            </w:r>
            <w:r>
              <w:rPr>
                <w:snapToGrid w:val="0"/>
                <w:color w:val="auto"/>
                <w:kern w:val="0"/>
                <w:sz w:val="24"/>
              </w:rPr>
              <w:t>0吨/年，氨氮≤0.0270吨/年，总氮≤0.0360吨/年，总磷≤0.0045吨/年。</w:t>
            </w:r>
          </w:p>
          <w:p>
            <w:pPr>
              <w:adjustRightInd w:val="0"/>
              <w:snapToGrid w:val="0"/>
              <w:spacing w:line="360" w:lineRule="auto"/>
              <w:ind w:firstLine="480" w:firstLineChars="200"/>
              <w:rPr>
                <w:rFonts w:hint="eastAsia"/>
                <w:snapToGrid w:val="0"/>
                <w:color w:val="auto"/>
                <w:kern w:val="0"/>
                <w:sz w:val="24"/>
                <w:lang w:eastAsia="zh-CN"/>
              </w:rPr>
            </w:pPr>
            <w:r>
              <w:rPr>
                <w:rFonts w:hint="eastAsia"/>
                <w:snapToGrid w:val="0"/>
                <w:color w:val="auto"/>
                <w:kern w:val="0"/>
                <w:sz w:val="24"/>
                <w:lang w:eastAsia="zh-CN"/>
              </w:rPr>
              <w:t>冷却排水</w:t>
            </w:r>
            <w:r>
              <w:rPr>
                <w:snapToGrid w:val="0"/>
                <w:color w:val="auto"/>
                <w:kern w:val="0"/>
                <w:sz w:val="24"/>
              </w:rPr>
              <w:t>水量≤</w:t>
            </w:r>
            <w:r>
              <w:rPr>
                <w:rFonts w:hint="eastAsia"/>
                <w:snapToGrid w:val="0"/>
                <w:color w:val="auto"/>
                <w:kern w:val="0"/>
                <w:sz w:val="24"/>
                <w:lang w:val="en-US" w:eastAsia="zh-CN"/>
              </w:rPr>
              <w:t>77</w:t>
            </w:r>
            <w:r>
              <w:rPr>
                <w:snapToGrid w:val="0"/>
                <w:color w:val="auto"/>
                <w:kern w:val="0"/>
                <w:sz w:val="24"/>
              </w:rPr>
              <w:t>吨/年，COD≤0.</w:t>
            </w:r>
            <w:r>
              <w:rPr>
                <w:rFonts w:hint="eastAsia"/>
                <w:snapToGrid w:val="0"/>
                <w:color w:val="auto"/>
                <w:kern w:val="0"/>
                <w:sz w:val="24"/>
                <w:lang w:val="en-US" w:eastAsia="zh-CN"/>
              </w:rPr>
              <w:t>0154</w:t>
            </w:r>
            <w:r>
              <w:rPr>
                <w:snapToGrid w:val="0"/>
                <w:color w:val="auto"/>
                <w:kern w:val="0"/>
                <w:sz w:val="24"/>
              </w:rPr>
              <w:t>吨/年，SS≤0.</w:t>
            </w:r>
            <w:r>
              <w:rPr>
                <w:rFonts w:hint="eastAsia"/>
                <w:snapToGrid w:val="0"/>
                <w:color w:val="auto"/>
                <w:kern w:val="0"/>
                <w:sz w:val="24"/>
                <w:lang w:val="en-US" w:eastAsia="zh-CN"/>
              </w:rPr>
              <w:t>0077</w:t>
            </w:r>
            <w:r>
              <w:rPr>
                <w:snapToGrid w:val="0"/>
                <w:color w:val="auto"/>
                <w:kern w:val="0"/>
                <w:sz w:val="24"/>
              </w:rPr>
              <w:t>吨/年。</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lang w:eastAsia="zh-CN"/>
              </w:rPr>
              <w:t>最终</w:t>
            </w:r>
            <w:r>
              <w:rPr>
                <w:snapToGrid w:val="0"/>
                <w:color w:val="auto"/>
                <w:kern w:val="0"/>
                <w:sz w:val="24"/>
              </w:rPr>
              <w:t>排放量：</w:t>
            </w:r>
            <w:r>
              <w:rPr>
                <w:rFonts w:hint="eastAsia"/>
                <w:snapToGrid w:val="0"/>
                <w:color w:val="auto"/>
                <w:kern w:val="0"/>
                <w:sz w:val="24"/>
                <w:lang w:eastAsia="zh-CN"/>
              </w:rPr>
              <w:t>生活污水</w:t>
            </w:r>
            <w:r>
              <w:rPr>
                <w:snapToGrid w:val="0"/>
                <w:color w:val="auto"/>
                <w:kern w:val="0"/>
                <w:sz w:val="24"/>
              </w:rPr>
              <w:t>水量≤9</w:t>
            </w:r>
            <w:r>
              <w:rPr>
                <w:rFonts w:hint="eastAsia"/>
                <w:snapToGrid w:val="0"/>
                <w:color w:val="auto"/>
                <w:kern w:val="0"/>
                <w:sz w:val="24"/>
                <w:lang w:val="en-US" w:eastAsia="zh-CN"/>
              </w:rPr>
              <w:t>0</w:t>
            </w:r>
            <w:r>
              <w:rPr>
                <w:snapToGrid w:val="0"/>
                <w:color w:val="auto"/>
                <w:kern w:val="0"/>
                <w:sz w:val="24"/>
              </w:rPr>
              <w:t>0吨/年，COD≤0.</w:t>
            </w:r>
            <w:r>
              <w:rPr>
                <w:rFonts w:hint="eastAsia"/>
                <w:snapToGrid w:val="0"/>
                <w:color w:val="auto"/>
                <w:kern w:val="0"/>
                <w:sz w:val="24"/>
                <w:lang w:val="en-US" w:eastAsia="zh-CN"/>
              </w:rPr>
              <w:t>0270</w:t>
            </w:r>
            <w:r>
              <w:rPr>
                <w:snapToGrid w:val="0"/>
                <w:color w:val="auto"/>
                <w:kern w:val="0"/>
                <w:sz w:val="24"/>
              </w:rPr>
              <w:t>吨/年，SS≤0.</w:t>
            </w:r>
            <w:r>
              <w:rPr>
                <w:rFonts w:hint="eastAsia"/>
                <w:snapToGrid w:val="0"/>
                <w:color w:val="auto"/>
                <w:kern w:val="0"/>
                <w:sz w:val="24"/>
                <w:lang w:val="en-US" w:eastAsia="zh-CN"/>
              </w:rPr>
              <w:t>009</w:t>
            </w:r>
            <w:r>
              <w:rPr>
                <w:snapToGrid w:val="0"/>
                <w:color w:val="auto"/>
                <w:kern w:val="0"/>
                <w:sz w:val="24"/>
              </w:rPr>
              <w:t>0吨/年，氨氮≤0.0</w:t>
            </w:r>
            <w:r>
              <w:rPr>
                <w:rFonts w:hint="eastAsia"/>
                <w:snapToGrid w:val="0"/>
                <w:color w:val="auto"/>
                <w:kern w:val="0"/>
                <w:sz w:val="24"/>
                <w:lang w:val="en-US" w:eastAsia="zh-CN"/>
              </w:rPr>
              <w:t>014</w:t>
            </w:r>
            <w:r>
              <w:rPr>
                <w:snapToGrid w:val="0"/>
                <w:color w:val="auto"/>
                <w:kern w:val="0"/>
                <w:sz w:val="24"/>
              </w:rPr>
              <w:t>吨/年，总氮≤0.0</w:t>
            </w:r>
            <w:r>
              <w:rPr>
                <w:rFonts w:hint="eastAsia"/>
                <w:snapToGrid w:val="0"/>
                <w:color w:val="auto"/>
                <w:kern w:val="0"/>
                <w:sz w:val="24"/>
                <w:lang w:val="en-US" w:eastAsia="zh-CN"/>
              </w:rPr>
              <w:t>09</w:t>
            </w:r>
            <w:r>
              <w:rPr>
                <w:snapToGrid w:val="0"/>
                <w:color w:val="auto"/>
                <w:kern w:val="0"/>
                <w:sz w:val="24"/>
              </w:rPr>
              <w:t>0吨/年，总磷≤0.00</w:t>
            </w:r>
            <w:r>
              <w:rPr>
                <w:rFonts w:hint="eastAsia"/>
                <w:snapToGrid w:val="0"/>
                <w:color w:val="auto"/>
                <w:kern w:val="0"/>
                <w:sz w:val="24"/>
                <w:lang w:val="en-US" w:eastAsia="zh-CN"/>
              </w:rPr>
              <w:t>03</w:t>
            </w:r>
            <w:r>
              <w:rPr>
                <w:snapToGrid w:val="0"/>
                <w:color w:val="auto"/>
                <w:kern w:val="0"/>
                <w:sz w:val="24"/>
              </w:rPr>
              <w:t>吨/年。</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lang w:eastAsia="zh-CN"/>
              </w:rPr>
              <w:t>冷却排水</w:t>
            </w:r>
            <w:r>
              <w:rPr>
                <w:snapToGrid w:val="0"/>
                <w:color w:val="auto"/>
                <w:kern w:val="0"/>
                <w:sz w:val="24"/>
              </w:rPr>
              <w:t>水量≤</w:t>
            </w:r>
            <w:r>
              <w:rPr>
                <w:rFonts w:hint="eastAsia"/>
                <w:snapToGrid w:val="0"/>
                <w:color w:val="auto"/>
                <w:kern w:val="0"/>
                <w:sz w:val="24"/>
                <w:lang w:val="en-US" w:eastAsia="zh-CN"/>
              </w:rPr>
              <w:t>77</w:t>
            </w:r>
            <w:r>
              <w:rPr>
                <w:snapToGrid w:val="0"/>
                <w:color w:val="auto"/>
                <w:kern w:val="0"/>
                <w:sz w:val="24"/>
              </w:rPr>
              <w:t>吨/年，COD≤0.</w:t>
            </w:r>
            <w:r>
              <w:rPr>
                <w:rFonts w:hint="eastAsia"/>
                <w:snapToGrid w:val="0"/>
                <w:color w:val="auto"/>
                <w:kern w:val="0"/>
                <w:sz w:val="24"/>
                <w:lang w:val="en-US" w:eastAsia="zh-CN"/>
              </w:rPr>
              <w:t>0023</w:t>
            </w:r>
            <w:r>
              <w:rPr>
                <w:snapToGrid w:val="0"/>
                <w:color w:val="auto"/>
                <w:kern w:val="0"/>
                <w:sz w:val="24"/>
              </w:rPr>
              <w:t>吨/年，SS≤0.</w:t>
            </w:r>
            <w:r>
              <w:rPr>
                <w:rFonts w:hint="eastAsia"/>
                <w:snapToGrid w:val="0"/>
                <w:color w:val="auto"/>
                <w:kern w:val="0"/>
                <w:sz w:val="24"/>
                <w:lang w:val="en-US" w:eastAsia="zh-CN"/>
              </w:rPr>
              <w:t>0008</w:t>
            </w:r>
            <w:r>
              <w:rPr>
                <w:snapToGrid w:val="0"/>
                <w:color w:val="auto"/>
                <w:kern w:val="0"/>
                <w:sz w:val="24"/>
              </w:rPr>
              <w:t>吨/年。</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lang w:val="en-US" w:eastAsia="zh-CN"/>
              </w:rPr>
              <w:t>2、</w:t>
            </w:r>
            <w:r>
              <w:rPr>
                <w:snapToGrid w:val="0"/>
                <w:color w:val="auto"/>
                <w:kern w:val="0"/>
                <w:sz w:val="24"/>
              </w:rPr>
              <w:t>废气污染物：</w:t>
            </w:r>
          </w:p>
          <w:p>
            <w:pPr>
              <w:adjustRightInd w:val="0"/>
              <w:snapToGrid w:val="0"/>
              <w:spacing w:line="360" w:lineRule="auto"/>
              <w:ind w:firstLine="480" w:firstLineChars="200"/>
              <w:rPr>
                <w:rFonts w:hint="eastAsia" w:eastAsia="宋体"/>
                <w:snapToGrid w:val="0"/>
                <w:color w:val="auto"/>
                <w:kern w:val="0"/>
                <w:sz w:val="24"/>
                <w:lang w:eastAsia="zh-CN"/>
              </w:rPr>
            </w:pPr>
            <w:r>
              <w:rPr>
                <w:snapToGrid w:val="0"/>
                <w:color w:val="auto"/>
                <w:kern w:val="0"/>
                <w:sz w:val="24"/>
              </w:rPr>
              <w:t>有组织</w:t>
            </w:r>
            <w:r>
              <w:rPr>
                <w:rFonts w:hint="eastAsia"/>
                <w:snapToGrid w:val="0"/>
                <w:color w:val="auto"/>
                <w:kern w:val="0"/>
                <w:sz w:val="24"/>
                <w:lang w:eastAsia="zh-CN"/>
              </w:rPr>
              <w:t>：</w:t>
            </w:r>
            <w:r>
              <w:rPr>
                <w:snapToGrid w:val="0"/>
                <w:color w:val="auto"/>
                <w:kern w:val="0"/>
                <w:sz w:val="24"/>
              </w:rPr>
              <w:t>非甲烷总烃≤</w:t>
            </w:r>
            <w:r>
              <w:rPr>
                <w:rFonts w:hint="eastAsia"/>
                <w:snapToGrid w:val="0"/>
                <w:color w:val="auto"/>
                <w:kern w:val="0"/>
                <w:sz w:val="24"/>
                <w:lang w:val="en-US" w:eastAsia="zh-CN"/>
              </w:rPr>
              <w:t>0.1093</w:t>
            </w:r>
            <w:r>
              <w:rPr>
                <w:snapToGrid w:val="0"/>
                <w:color w:val="auto"/>
                <w:kern w:val="0"/>
                <w:sz w:val="24"/>
              </w:rPr>
              <w:t>吨/年，</w:t>
            </w:r>
            <w:r>
              <w:rPr>
                <w:rFonts w:hint="eastAsia"/>
                <w:snapToGrid w:val="0"/>
                <w:color w:val="auto"/>
                <w:kern w:val="0"/>
                <w:sz w:val="24"/>
              </w:rPr>
              <w:t>甲醛</w:t>
            </w:r>
            <w:r>
              <w:rPr>
                <w:snapToGrid w:val="0"/>
                <w:color w:val="auto"/>
                <w:kern w:val="0"/>
                <w:sz w:val="24"/>
              </w:rPr>
              <w:t>≤</w:t>
            </w:r>
            <w:r>
              <w:rPr>
                <w:rFonts w:hint="eastAsia"/>
                <w:snapToGrid w:val="0"/>
                <w:color w:val="auto"/>
                <w:kern w:val="0"/>
                <w:sz w:val="24"/>
                <w:lang w:val="en-US" w:eastAsia="zh-CN"/>
              </w:rPr>
              <w:t>0.0083</w:t>
            </w:r>
            <w:r>
              <w:rPr>
                <w:snapToGrid w:val="0"/>
                <w:color w:val="auto"/>
                <w:kern w:val="0"/>
                <w:sz w:val="24"/>
              </w:rPr>
              <w:t>吨/年，颗粒物≤0.0686吨/年，二氧化硫≤0.0096吨/年，氮氧化物≤0.3809吨/年</w:t>
            </w:r>
            <w:r>
              <w:rPr>
                <w:rFonts w:hint="eastAsia"/>
                <w:snapToGrid w:val="0"/>
                <w:color w:val="auto"/>
                <w:kern w:val="0"/>
                <w:sz w:val="24"/>
                <w:lang w:eastAsia="zh-CN"/>
              </w:rPr>
              <w:t>。</w:t>
            </w:r>
          </w:p>
          <w:p>
            <w:pPr>
              <w:adjustRightInd w:val="0"/>
              <w:snapToGrid w:val="0"/>
              <w:spacing w:line="360" w:lineRule="auto"/>
              <w:ind w:firstLine="480" w:firstLineChars="200"/>
              <w:rPr>
                <w:snapToGrid w:val="0"/>
                <w:color w:val="auto"/>
                <w:kern w:val="0"/>
                <w:sz w:val="24"/>
              </w:rPr>
            </w:pPr>
            <w:r>
              <w:rPr>
                <w:snapToGrid w:val="0"/>
                <w:color w:val="auto"/>
                <w:kern w:val="0"/>
                <w:sz w:val="24"/>
              </w:rPr>
              <w:t>固废：全部综合利用或安全处置。</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本项目</w:t>
            </w:r>
            <w:r>
              <w:rPr>
                <w:snapToGrid w:val="0"/>
                <w:color w:val="auto"/>
                <w:kern w:val="0"/>
                <w:sz w:val="24"/>
              </w:rPr>
              <w:t>接管废水进入</w:t>
            </w:r>
            <w:r>
              <w:rPr>
                <w:color w:val="auto"/>
                <w:sz w:val="24"/>
              </w:rPr>
              <w:t>无锡玉祁永新污水处理有限公司</w:t>
            </w:r>
            <w:r>
              <w:rPr>
                <w:snapToGrid w:val="0"/>
                <w:color w:val="auto"/>
                <w:kern w:val="0"/>
                <w:sz w:val="24"/>
              </w:rPr>
              <w:t>处理，处理后尾水排入</w:t>
            </w:r>
            <w:r>
              <w:rPr>
                <w:color w:val="auto"/>
                <w:sz w:val="24"/>
                <w:szCs w:val="22"/>
              </w:rPr>
              <w:t>横港</w:t>
            </w:r>
            <w:r>
              <w:rPr>
                <w:snapToGrid w:val="0"/>
                <w:color w:val="auto"/>
                <w:kern w:val="0"/>
                <w:sz w:val="24"/>
              </w:rPr>
              <w:t>。最终排放总量可以在</w:t>
            </w:r>
            <w:r>
              <w:rPr>
                <w:color w:val="auto"/>
                <w:sz w:val="24"/>
              </w:rPr>
              <w:t>无锡玉祁永新污水处理有限公司</w:t>
            </w:r>
            <w:r>
              <w:rPr>
                <w:snapToGrid w:val="0"/>
                <w:color w:val="auto"/>
                <w:kern w:val="0"/>
                <w:sz w:val="24"/>
              </w:rPr>
              <w:t>的污染物排放总量控制指标内进行平衡。</w:t>
            </w:r>
          </w:p>
          <w:p>
            <w:pPr>
              <w:adjustRightInd w:val="0"/>
              <w:snapToGrid w:val="0"/>
              <w:spacing w:line="360" w:lineRule="auto"/>
              <w:ind w:firstLine="480" w:firstLineChars="200"/>
              <w:rPr>
                <w:snapToGrid w:val="0"/>
                <w:color w:val="auto"/>
                <w:kern w:val="0"/>
                <w:sz w:val="24"/>
              </w:rPr>
            </w:pPr>
            <w:r>
              <w:rPr>
                <w:snapToGrid w:val="0"/>
                <w:color w:val="auto"/>
                <w:kern w:val="0"/>
                <w:sz w:val="24"/>
              </w:rPr>
              <w:t>废气：项目新增的非甲烷总烃废气在惠山区范围内予以平衡。</w:t>
            </w:r>
          </w:p>
          <w:p>
            <w:pPr>
              <w:adjustRightInd w:val="0"/>
              <w:snapToGrid w:val="0"/>
              <w:spacing w:line="360" w:lineRule="auto"/>
              <w:ind w:firstLine="480" w:firstLineChars="200"/>
              <w:rPr>
                <w:snapToGrid w:val="0"/>
                <w:color w:val="auto"/>
                <w:kern w:val="0"/>
                <w:sz w:val="24"/>
              </w:rPr>
            </w:pPr>
            <w:r>
              <w:rPr>
                <w:snapToGrid w:val="0"/>
                <w:color w:val="auto"/>
                <w:kern w:val="0"/>
                <w:sz w:val="24"/>
              </w:rPr>
              <w:t>固废：“零”排放。</w:t>
            </w:r>
          </w:p>
          <w:p>
            <w:pPr>
              <w:spacing w:line="360" w:lineRule="auto"/>
              <w:ind w:firstLine="480" w:firstLineChars="200"/>
              <w:rPr>
                <w:color w:val="auto"/>
                <w:sz w:val="24"/>
              </w:rPr>
            </w:pPr>
            <w:r>
              <w:rPr>
                <w:color w:val="auto"/>
                <w:sz w:val="24"/>
              </w:rPr>
              <w:t>本项目为</w:t>
            </w:r>
            <w:r>
              <w:rPr>
                <w:rFonts w:hint="eastAsia"/>
                <w:color w:val="auto"/>
                <w:sz w:val="24"/>
              </w:rPr>
              <w:t>旭森新材料年产360万片饰面板项目</w:t>
            </w:r>
            <w:r>
              <w:rPr>
                <w:color w:val="auto"/>
                <w:sz w:val="24"/>
              </w:rPr>
              <w:t>，</w:t>
            </w:r>
            <w:r>
              <w:rPr>
                <w:rFonts w:hint="eastAsia"/>
                <w:color w:val="auto"/>
                <w:sz w:val="24"/>
              </w:rPr>
              <w:t>项目</w:t>
            </w:r>
            <w:r>
              <w:rPr>
                <w:color w:val="auto"/>
                <w:sz w:val="24"/>
              </w:rPr>
              <w:t>选址于</w:t>
            </w:r>
            <w:r>
              <w:rPr>
                <w:rFonts w:hint="eastAsia"/>
                <w:color w:val="auto"/>
                <w:sz w:val="24"/>
              </w:rPr>
              <w:t>无锡市惠山工业转型集聚区北洲路与邓北路交叉口西北侧</w:t>
            </w:r>
            <w:r>
              <w:rPr>
                <w:color w:val="auto"/>
                <w:sz w:val="24"/>
              </w:rPr>
              <w:t>，符合国家及地方产业政策，选址符合用地规划要求，符合“三线一单”要求，项目生产过程中产生的污染在采取有效的治理措施之后，对周围环境影响较小。因此，从环保的角度出发，该项目在坚持“三同时”原则并按照本报告中提出的各项环保措施治理后是可行的。</w:t>
            </w:r>
          </w:p>
          <w:p>
            <w:pPr>
              <w:pStyle w:val="18"/>
              <w:rPr>
                <w:color w:val="auto"/>
              </w:rPr>
            </w:pPr>
          </w:p>
          <w:p>
            <w:pPr>
              <w:pStyle w:val="19"/>
              <w:ind w:firstLine="210"/>
              <w:rPr>
                <w:color w:val="auto"/>
              </w:rPr>
            </w:pPr>
          </w:p>
        </w:tc>
      </w:tr>
    </w:tbl>
    <w:p>
      <w:pPr>
        <w:pStyle w:val="18"/>
        <w:ind w:left="0" w:leftChars="0" w:firstLine="0" w:firstLineChars="0"/>
        <w:rPr>
          <w:color w:val="auto"/>
        </w:rPr>
        <w:sectPr>
          <w:pgSz w:w="11906" w:h="16838"/>
          <w:pgMar w:top="1701" w:right="1531" w:bottom="1701" w:left="1531" w:header="851" w:footer="851" w:gutter="0"/>
          <w:cols w:space="720" w:num="1"/>
          <w:docGrid w:linePitch="312" w:charSpace="0"/>
        </w:sectPr>
      </w:pPr>
    </w:p>
    <w:p>
      <w:pPr>
        <w:pStyle w:val="26"/>
        <w:adjustRightInd w:val="0"/>
        <w:snapToGrid w:val="0"/>
        <w:spacing w:before="0" w:beforeAutospacing="0" w:after="0" w:afterAutospacing="0"/>
        <w:outlineLvl w:val="0"/>
        <w:rPr>
          <w:rFonts w:ascii="Times New Roman" w:hAnsi="Times New Roman"/>
          <w:b/>
          <w:bCs/>
          <w:snapToGrid w:val="0"/>
          <w:color w:val="auto"/>
          <w:sz w:val="30"/>
          <w:szCs w:val="30"/>
        </w:rPr>
      </w:pPr>
      <w:bookmarkStart w:id="41" w:name="_Toc2191"/>
      <w:r>
        <w:rPr>
          <w:rFonts w:ascii="Times New Roman" w:hAnsi="Times New Roman"/>
          <w:b/>
          <w:bCs/>
          <w:snapToGrid w:val="0"/>
          <w:color w:val="auto"/>
          <w:sz w:val="30"/>
          <w:szCs w:val="30"/>
        </w:rPr>
        <w:t>附表</w:t>
      </w:r>
      <w:bookmarkEnd w:id="41"/>
    </w:p>
    <w:p>
      <w:pPr>
        <w:pStyle w:val="26"/>
        <w:adjustRightInd w:val="0"/>
        <w:snapToGrid w:val="0"/>
        <w:spacing w:before="0" w:beforeAutospacing="0" w:after="0" w:afterAutospacing="0"/>
        <w:jc w:val="center"/>
        <w:outlineLvl w:val="0"/>
        <w:rPr>
          <w:rFonts w:ascii="Times New Roman" w:hAnsi="Times New Roman"/>
          <w:snapToGrid w:val="0"/>
          <w:color w:val="auto"/>
          <w:sz w:val="38"/>
          <w:szCs w:val="38"/>
        </w:rPr>
      </w:pPr>
      <w:bookmarkStart w:id="42" w:name="_Toc22041"/>
      <w:r>
        <w:rPr>
          <w:rFonts w:ascii="Times New Roman" w:hAnsi="Times New Roman"/>
          <w:b/>
          <w:bCs/>
          <w:snapToGrid w:val="0"/>
          <w:color w:val="auto"/>
          <w:sz w:val="30"/>
          <w:szCs w:val="30"/>
        </w:rPr>
        <w:t>建设项目污染物排放量汇总表</w:t>
      </w:r>
      <w:bookmarkEnd w:id="42"/>
    </w:p>
    <w:tbl>
      <w:tblPr>
        <w:tblStyle w:val="28"/>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850"/>
        <w:gridCol w:w="1276"/>
        <w:gridCol w:w="1701"/>
        <w:gridCol w:w="1276"/>
        <w:gridCol w:w="1559"/>
        <w:gridCol w:w="1843"/>
        <w:gridCol w:w="1559"/>
        <w:gridCol w:w="1559"/>
        <w:gridCol w:w="11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tcBorders>
              <w:tl2br w:val="single" w:color="auto" w:sz="4" w:space="0"/>
            </w:tcBorders>
            <w:tcMar>
              <w:left w:w="28" w:type="dxa"/>
              <w:right w:w="28" w:type="dxa"/>
            </w:tcMar>
            <w:vAlign w:val="center"/>
          </w:tcPr>
          <w:p>
            <w:pPr>
              <w:pStyle w:val="37"/>
              <w:spacing w:beforeLines="0" w:afterLines="0" w:line="240" w:lineRule="auto"/>
              <w:jc w:val="right"/>
              <w:rPr>
                <w:rFonts w:ascii="Times New Roman"/>
                <w:snapToGrid w:val="0"/>
                <w:color w:val="auto"/>
                <w:spacing w:val="-6"/>
                <w:kern w:val="21"/>
                <w:szCs w:val="21"/>
              </w:rPr>
            </w:pPr>
            <w:r>
              <w:rPr>
                <w:rFonts w:ascii="Times New Roman"/>
                <w:snapToGrid w:val="0"/>
                <w:color w:val="auto"/>
                <w:spacing w:val="-6"/>
                <w:kern w:val="21"/>
                <w:szCs w:val="21"/>
              </w:rPr>
              <w:t>项目</w:t>
            </w:r>
          </w:p>
          <w:p>
            <w:pPr>
              <w:pStyle w:val="37"/>
              <w:spacing w:beforeLines="0" w:afterLines="0" w:line="240" w:lineRule="auto"/>
              <w:jc w:val="left"/>
              <w:rPr>
                <w:rFonts w:ascii="Times New Roman"/>
                <w:snapToGrid w:val="0"/>
                <w:color w:val="auto"/>
                <w:spacing w:val="-6"/>
                <w:kern w:val="21"/>
                <w:szCs w:val="21"/>
              </w:rPr>
            </w:pPr>
            <w:r>
              <w:rPr>
                <w:rFonts w:ascii="Times New Roman"/>
                <w:snapToGrid w:val="0"/>
                <w:color w:val="auto"/>
                <w:spacing w:val="-6"/>
                <w:kern w:val="21"/>
                <w:szCs w:val="21"/>
              </w:rPr>
              <w:t>分类</w:t>
            </w:r>
          </w:p>
        </w:tc>
        <w:tc>
          <w:tcPr>
            <w:tcW w:w="2126" w:type="dxa"/>
            <w:gridSpan w:val="2"/>
            <w:tcMar>
              <w:left w:w="28" w:type="dxa"/>
              <w:right w:w="28" w:type="dxa"/>
            </w:tcMar>
            <w:vAlign w:val="center"/>
          </w:tcPr>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701" w:type="dxa"/>
            <w:tcMar>
              <w:left w:w="28" w:type="dxa"/>
              <w:right w:w="28" w:type="dxa"/>
            </w:tcMar>
            <w:vAlign w:val="center"/>
          </w:tcPr>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kern w:val="2"/>
                <w:szCs w:val="21"/>
              </w:rPr>
              <w:t>①</w:t>
            </w:r>
            <w:r>
              <w:rPr>
                <w:rFonts w:ascii="Times New Roman"/>
                <w:snapToGrid w:val="0"/>
                <w:color w:val="auto"/>
                <w:spacing w:val="-6"/>
                <w:kern w:val="21"/>
                <w:szCs w:val="21"/>
              </w:rPr>
              <w:fldChar w:fldCharType="end"/>
            </w:r>
          </w:p>
        </w:tc>
        <w:tc>
          <w:tcPr>
            <w:tcW w:w="1276" w:type="dxa"/>
            <w:tcMar>
              <w:left w:w="28" w:type="dxa"/>
              <w:right w:w="28" w:type="dxa"/>
            </w:tcMar>
            <w:vAlign w:val="center"/>
          </w:tcPr>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许可排放量</w:t>
            </w:r>
          </w:p>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ascii="Times New Roman"/>
                <w:snapToGrid w:val="0"/>
                <w:color w:val="auto"/>
                <w:spacing w:val="-6"/>
                <w:kern w:val="21"/>
                <w:szCs w:val="21"/>
              </w:rPr>
              <w:t>②</w:t>
            </w:r>
            <w:r>
              <w:rPr>
                <w:rFonts w:ascii="Times New Roman"/>
                <w:snapToGrid w:val="0"/>
                <w:color w:val="auto"/>
                <w:spacing w:val="-6"/>
                <w:kern w:val="21"/>
                <w:szCs w:val="21"/>
              </w:rPr>
              <w:fldChar w:fldCharType="end"/>
            </w:r>
          </w:p>
        </w:tc>
        <w:tc>
          <w:tcPr>
            <w:tcW w:w="1559" w:type="dxa"/>
            <w:tcMar>
              <w:left w:w="28" w:type="dxa"/>
              <w:right w:w="28" w:type="dxa"/>
            </w:tcMar>
            <w:vAlign w:val="center"/>
          </w:tcPr>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在建工程</w:t>
            </w:r>
          </w:p>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kern w:val="2"/>
                <w:szCs w:val="21"/>
              </w:rPr>
              <w:t>③</w:t>
            </w:r>
            <w:r>
              <w:rPr>
                <w:rFonts w:ascii="Times New Roman"/>
                <w:snapToGrid w:val="0"/>
                <w:color w:val="auto"/>
                <w:spacing w:val="-6"/>
                <w:kern w:val="21"/>
                <w:szCs w:val="21"/>
              </w:rPr>
              <w:fldChar w:fldCharType="end"/>
            </w:r>
          </w:p>
        </w:tc>
        <w:tc>
          <w:tcPr>
            <w:tcW w:w="1843" w:type="dxa"/>
            <w:tcMar>
              <w:left w:w="28" w:type="dxa"/>
              <w:right w:w="28" w:type="dxa"/>
            </w:tcMar>
            <w:vAlign w:val="center"/>
          </w:tcPr>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本项目</w:t>
            </w:r>
          </w:p>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kern w:val="2"/>
                <w:szCs w:val="21"/>
              </w:rPr>
              <w:t>④</w:t>
            </w:r>
            <w:r>
              <w:rPr>
                <w:rFonts w:ascii="Times New Roman"/>
                <w:snapToGrid w:val="0"/>
                <w:color w:val="auto"/>
                <w:spacing w:val="-6"/>
                <w:kern w:val="21"/>
                <w:szCs w:val="21"/>
              </w:rPr>
              <w:fldChar w:fldCharType="end"/>
            </w:r>
          </w:p>
        </w:tc>
        <w:tc>
          <w:tcPr>
            <w:tcW w:w="1559" w:type="dxa"/>
            <w:tcMar>
              <w:left w:w="28" w:type="dxa"/>
              <w:right w:w="28" w:type="dxa"/>
            </w:tcMar>
            <w:vAlign w:val="center"/>
          </w:tcPr>
          <w:p>
            <w:pPr>
              <w:pStyle w:val="37"/>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pPr>
              <w:pStyle w:val="37"/>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kern w:val="2"/>
                <w:szCs w:val="21"/>
              </w:rPr>
              <w:t>⑤</w:t>
            </w:r>
            <w:r>
              <w:rPr>
                <w:rFonts w:ascii="Times New Roman"/>
                <w:snapToGrid w:val="0"/>
                <w:color w:val="auto"/>
                <w:spacing w:val="-16"/>
                <w:kern w:val="21"/>
                <w:szCs w:val="21"/>
              </w:rPr>
              <w:fldChar w:fldCharType="end"/>
            </w:r>
          </w:p>
        </w:tc>
        <w:tc>
          <w:tcPr>
            <w:tcW w:w="1559" w:type="dxa"/>
            <w:tcMar>
              <w:left w:w="28" w:type="dxa"/>
              <w:right w:w="28" w:type="dxa"/>
            </w:tcMar>
            <w:vAlign w:val="center"/>
          </w:tcPr>
          <w:p>
            <w:pPr>
              <w:pStyle w:val="37"/>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本项目建成后</w:t>
            </w:r>
          </w:p>
          <w:p>
            <w:pPr>
              <w:pStyle w:val="37"/>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kern w:val="2"/>
                <w:szCs w:val="21"/>
              </w:rPr>
              <w:t>⑥</w:t>
            </w:r>
            <w:r>
              <w:rPr>
                <w:rFonts w:ascii="Times New Roman"/>
                <w:snapToGrid w:val="0"/>
                <w:color w:val="auto"/>
                <w:spacing w:val="-16"/>
                <w:kern w:val="21"/>
                <w:szCs w:val="21"/>
              </w:rPr>
              <w:fldChar w:fldCharType="end"/>
            </w:r>
          </w:p>
        </w:tc>
        <w:tc>
          <w:tcPr>
            <w:tcW w:w="1102" w:type="dxa"/>
            <w:tcMar>
              <w:left w:w="28" w:type="dxa"/>
              <w:right w:w="28" w:type="dxa"/>
            </w:tcMar>
            <w:vAlign w:val="center"/>
          </w:tcPr>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pPr>
              <w:pStyle w:val="37"/>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kern w:val="2"/>
                <w:szCs w:val="21"/>
              </w:rPr>
              <w:t>⑦</w:t>
            </w:r>
            <w:r>
              <w:rPr>
                <w:rFonts w:ascii="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restart"/>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850" w:type="dxa"/>
            <w:vMerge w:val="restart"/>
            <w:vAlign w:val="center"/>
          </w:tcPr>
          <w:p>
            <w:pPr>
              <w:widowControl/>
              <w:jc w:val="center"/>
              <w:textAlignment w:val="center"/>
              <w:rPr>
                <w:color w:val="auto"/>
                <w:szCs w:val="21"/>
              </w:rPr>
            </w:pPr>
            <w:r>
              <w:rPr>
                <w:color w:val="auto"/>
                <w:szCs w:val="21"/>
              </w:rPr>
              <w:t>有组织</w:t>
            </w:r>
          </w:p>
        </w:tc>
        <w:tc>
          <w:tcPr>
            <w:tcW w:w="1276" w:type="dxa"/>
            <w:vAlign w:val="center"/>
          </w:tcPr>
          <w:p>
            <w:pPr>
              <w:widowControl/>
              <w:adjustRightInd w:val="0"/>
              <w:snapToGrid w:val="0"/>
              <w:jc w:val="center"/>
              <w:textAlignment w:val="center"/>
              <w:rPr>
                <w:color w:val="auto"/>
                <w:szCs w:val="21"/>
              </w:rPr>
            </w:pPr>
            <w:r>
              <w:rPr>
                <w:color w:val="auto"/>
                <w:szCs w:val="21"/>
              </w:rPr>
              <w:t>非甲烷总烃</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color w:val="auto"/>
                <w:szCs w:val="21"/>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jc w:val="center"/>
              <w:rPr>
                <w:color w:val="auto"/>
                <w:szCs w:val="21"/>
              </w:rPr>
            </w:pPr>
            <w:r>
              <w:rPr>
                <w:rFonts w:hint="eastAsia"/>
                <w:color w:val="auto"/>
                <w:szCs w:val="21"/>
                <w:lang w:val="en-US" w:eastAsia="zh-CN"/>
              </w:rPr>
              <w:t>0.1093</w:t>
            </w:r>
            <w:r>
              <w:rPr>
                <w:color w:val="auto"/>
                <w:szCs w:val="21"/>
              </w:rPr>
              <w:t xml:space="preserve"> </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jc w:val="center"/>
              <w:rPr>
                <w:color w:val="auto"/>
                <w:szCs w:val="21"/>
              </w:rPr>
            </w:pPr>
            <w:r>
              <w:rPr>
                <w:rFonts w:hint="eastAsia"/>
                <w:color w:val="auto"/>
                <w:szCs w:val="21"/>
                <w:lang w:val="en-US" w:eastAsia="zh-CN"/>
              </w:rPr>
              <w:t>0.1093</w:t>
            </w:r>
            <w:r>
              <w:rPr>
                <w:color w:val="auto"/>
                <w:szCs w:val="21"/>
              </w:rPr>
              <w:t xml:space="preserve"> </w:t>
            </w:r>
          </w:p>
        </w:tc>
        <w:tc>
          <w:tcPr>
            <w:tcW w:w="1102" w:type="dxa"/>
            <w:vAlign w:val="center"/>
          </w:tcPr>
          <w:p>
            <w:pPr>
              <w:jc w:val="center"/>
              <w:rPr>
                <w:color w:val="auto"/>
                <w:szCs w:val="21"/>
              </w:rPr>
            </w:pPr>
            <w:r>
              <w:rPr>
                <w:color w:val="auto"/>
                <w:szCs w:val="21"/>
              </w:rPr>
              <w:t>+</w:t>
            </w:r>
            <w:r>
              <w:rPr>
                <w:rFonts w:hint="eastAsia"/>
                <w:color w:val="auto"/>
                <w:szCs w:val="21"/>
                <w:lang w:val="en-US" w:eastAsia="zh-CN"/>
              </w:rPr>
              <w:t>0.1093</w:t>
            </w:r>
            <w:r>
              <w:rPr>
                <w:color w:val="auto"/>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850" w:type="dxa"/>
            <w:vMerge w:val="continue"/>
            <w:vAlign w:val="center"/>
          </w:tcPr>
          <w:p>
            <w:pPr>
              <w:widowControl/>
              <w:jc w:val="center"/>
              <w:textAlignment w:val="center"/>
              <w:rPr>
                <w:color w:val="auto"/>
                <w:szCs w:val="21"/>
              </w:rPr>
            </w:pPr>
          </w:p>
        </w:tc>
        <w:tc>
          <w:tcPr>
            <w:tcW w:w="1276" w:type="dxa"/>
            <w:vAlign w:val="center"/>
          </w:tcPr>
          <w:p>
            <w:pPr>
              <w:widowControl/>
              <w:adjustRightInd w:val="0"/>
              <w:snapToGrid w:val="0"/>
              <w:jc w:val="center"/>
              <w:textAlignment w:val="center"/>
              <w:rPr>
                <w:color w:val="auto"/>
                <w:szCs w:val="21"/>
              </w:rPr>
            </w:pPr>
            <w:r>
              <w:rPr>
                <w:rFonts w:hint="eastAsia"/>
                <w:color w:val="auto"/>
                <w:szCs w:val="21"/>
              </w:rPr>
              <w:t>甲醛</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color w:val="auto"/>
                <w:szCs w:val="21"/>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jc w:val="center"/>
              <w:rPr>
                <w:color w:val="auto"/>
                <w:szCs w:val="21"/>
              </w:rPr>
            </w:pPr>
            <w:r>
              <w:rPr>
                <w:rFonts w:hint="eastAsia"/>
                <w:color w:val="auto"/>
                <w:szCs w:val="21"/>
                <w:lang w:val="en-US" w:eastAsia="zh-CN"/>
              </w:rPr>
              <w:t>0.0083</w:t>
            </w:r>
            <w:r>
              <w:rPr>
                <w:color w:val="auto"/>
                <w:szCs w:val="21"/>
              </w:rPr>
              <w:t xml:space="preserve"> </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jc w:val="center"/>
              <w:rPr>
                <w:color w:val="auto"/>
                <w:szCs w:val="21"/>
              </w:rPr>
            </w:pPr>
            <w:r>
              <w:rPr>
                <w:rFonts w:hint="eastAsia"/>
                <w:color w:val="auto"/>
                <w:szCs w:val="21"/>
                <w:lang w:val="en-US" w:eastAsia="zh-CN"/>
              </w:rPr>
              <w:t>0.0083</w:t>
            </w:r>
            <w:r>
              <w:rPr>
                <w:color w:val="auto"/>
                <w:szCs w:val="21"/>
              </w:rPr>
              <w:t xml:space="preserve"> </w:t>
            </w:r>
          </w:p>
        </w:tc>
        <w:tc>
          <w:tcPr>
            <w:tcW w:w="1102" w:type="dxa"/>
            <w:vAlign w:val="center"/>
          </w:tcPr>
          <w:p>
            <w:pPr>
              <w:jc w:val="center"/>
              <w:rPr>
                <w:color w:val="auto"/>
                <w:szCs w:val="21"/>
              </w:rPr>
            </w:pPr>
            <w:r>
              <w:rPr>
                <w:color w:val="auto"/>
                <w:szCs w:val="21"/>
              </w:rPr>
              <w:t>+</w:t>
            </w:r>
            <w:r>
              <w:rPr>
                <w:rFonts w:hint="eastAsia"/>
                <w:color w:val="auto"/>
                <w:szCs w:val="21"/>
                <w:lang w:val="en-US" w:eastAsia="zh-CN"/>
              </w:rPr>
              <w:t>0.0083</w:t>
            </w:r>
            <w:r>
              <w:rPr>
                <w:color w:val="auto"/>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850" w:type="dxa"/>
            <w:vMerge w:val="continue"/>
            <w:vAlign w:val="center"/>
          </w:tcPr>
          <w:p>
            <w:pPr>
              <w:widowControl/>
              <w:jc w:val="center"/>
              <w:textAlignment w:val="center"/>
              <w:rPr>
                <w:color w:val="auto"/>
                <w:kern w:val="0"/>
                <w:szCs w:val="21"/>
              </w:rPr>
            </w:pPr>
          </w:p>
        </w:tc>
        <w:tc>
          <w:tcPr>
            <w:tcW w:w="1276" w:type="dxa"/>
            <w:vAlign w:val="center"/>
          </w:tcPr>
          <w:p>
            <w:pPr>
              <w:widowControl/>
              <w:jc w:val="center"/>
              <w:textAlignment w:val="center"/>
              <w:rPr>
                <w:color w:val="auto"/>
                <w:kern w:val="0"/>
                <w:szCs w:val="21"/>
              </w:rPr>
            </w:pPr>
            <w:r>
              <w:rPr>
                <w:color w:val="auto"/>
                <w:szCs w:val="21"/>
              </w:rPr>
              <w:t>颗粒物</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color w:val="auto"/>
                <w:szCs w:val="21"/>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adjustRightInd w:val="0"/>
              <w:snapToGrid w:val="0"/>
              <w:jc w:val="center"/>
              <w:rPr>
                <w:color w:val="auto"/>
                <w:szCs w:val="21"/>
              </w:rPr>
            </w:pPr>
            <w:r>
              <w:rPr>
                <w:color w:val="auto"/>
              </w:rPr>
              <w:t>0.0686</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adjustRightInd w:val="0"/>
              <w:snapToGrid w:val="0"/>
              <w:jc w:val="center"/>
              <w:rPr>
                <w:color w:val="auto"/>
                <w:szCs w:val="21"/>
              </w:rPr>
            </w:pPr>
            <w:r>
              <w:rPr>
                <w:color w:val="auto"/>
              </w:rPr>
              <w:t>0.0686</w:t>
            </w:r>
          </w:p>
        </w:tc>
        <w:tc>
          <w:tcPr>
            <w:tcW w:w="1102" w:type="dxa"/>
            <w:vAlign w:val="center"/>
          </w:tcPr>
          <w:p>
            <w:pPr>
              <w:adjustRightInd w:val="0"/>
              <w:snapToGrid w:val="0"/>
              <w:jc w:val="center"/>
              <w:rPr>
                <w:color w:val="auto"/>
                <w:szCs w:val="21"/>
              </w:rPr>
            </w:pPr>
            <w:r>
              <w:rPr>
                <w:color w:val="auto"/>
              </w:rPr>
              <w:t>+0.0686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850" w:type="dxa"/>
            <w:vMerge w:val="continue"/>
            <w:vAlign w:val="center"/>
          </w:tcPr>
          <w:p>
            <w:pPr>
              <w:widowControl/>
              <w:jc w:val="center"/>
              <w:textAlignment w:val="center"/>
              <w:rPr>
                <w:color w:val="auto"/>
                <w:kern w:val="0"/>
                <w:szCs w:val="21"/>
              </w:rPr>
            </w:pPr>
          </w:p>
        </w:tc>
        <w:tc>
          <w:tcPr>
            <w:tcW w:w="1276" w:type="dxa"/>
            <w:vAlign w:val="center"/>
          </w:tcPr>
          <w:p>
            <w:pPr>
              <w:widowControl/>
              <w:jc w:val="center"/>
              <w:textAlignment w:val="center"/>
              <w:rPr>
                <w:color w:val="auto"/>
                <w:kern w:val="0"/>
                <w:szCs w:val="21"/>
              </w:rPr>
            </w:pPr>
            <w:r>
              <w:rPr>
                <w:color w:val="auto"/>
                <w:szCs w:val="21"/>
              </w:rPr>
              <w:t>二氧化硫</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color w:val="auto"/>
                <w:szCs w:val="21"/>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adjustRightInd w:val="0"/>
              <w:snapToGrid w:val="0"/>
              <w:jc w:val="center"/>
              <w:rPr>
                <w:color w:val="auto"/>
                <w:szCs w:val="21"/>
              </w:rPr>
            </w:pPr>
            <w:r>
              <w:rPr>
                <w:color w:val="auto"/>
              </w:rPr>
              <w:t>0.0096</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adjustRightInd w:val="0"/>
              <w:snapToGrid w:val="0"/>
              <w:jc w:val="center"/>
              <w:rPr>
                <w:color w:val="auto"/>
                <w:szCs w:val="21"/>
              </w:rPr>
            </w:pPr>
            <w:r>
              <w:rPr>
                <w:color w:val="auto"/>
              </w:rPr>
              <w:t>0.0096</w:t>
            </w:r>
          </w:p>
        </w:tc>
        <w:tc>
          <w:tcPr>
            <w:tcW w:w="1102" w:type="dxa"/>
            <w:vAlign w:val="center"/>
          </w:tcPr>
          <w:p>
            <w:pPr>
              <w:adjustRightInd w:val="0"/>
              <w:snapToGrid w:val="0"/>
              <w:jc w:val="center"/>
              <w:rPr>
                <w:color w:val="auto"/>
                <w:szCs w:val="21"/>
              </w:rPr>
            </w:pPr>
            <w:r>
              <w:rPr>
                <w:color w:val="auto"/>
              </w:rPr>
              <w:t>+0.0096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850" w:type="dxa"/>
            <w:vMerge w:val="continue"/>
            <w:vAlign w:val="center"/>
          </w:tcPr>
          <w:p>
            <w:pPr>
              <w:widowControl/>
              <w:jc w:val="center"/>
              <w:textAlignment w:val="center"/>
              <w:rPr>
                <w:color w:val="auto"/>
                <w:kern w:val="0"/>
                <w:szCs w:val="21"/>
              </w:rPr>
            </w:pPr>
          </w:p>
        </w:tc>
        <w:tc>
          <w:tcPr>
            <w:tcW w:w="1276" w:type="dxa"/>
            <w:vAlign w:val="center"/>
          </w:tcPr>
          <w:p>
            <w:pPr>
              <w:widowControl/>
              <w:jc w:val="center"/>
              <w:textAlignment w:val="center"/>
              <w:rPr>
                <w:color w:val="auto"/>
                <w:kern w:val="0"/>
                <w:szCs w:val="21"/>
              </w:rPr>
            </w:pPr>
            <w:r>
              <w:rPr>
                <w:color w:val="auto"/>
                <w:szCs w:val="21"/>
              </w:rPr>
              <w:t>氮氧化物</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color w:val="auto"/>
                <w:szCs w:val="21"/>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adjustRightInd w:val="0"/>
              <w:snapToGrid w:val="0"/>
              <w:jc w:val="center"/>
              <w:rPr>
                <w:color w:val="auto"/>
                <w:szCs w:val="21"/>
              </w:rPr>
            </w:pPr>
            <w:r>
              <w:rPr>
                <w:color w:val="auto"/>
              </w:rPr>
              <w:t>0.3809</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adjustRightInd w:val="0"/>
              <w:snapToGrid w:val="0"/>
              <w:jc w:val="center"/>
              <w:rPr>
                <w:color w:val="auto"/>
                <w:szCs w:val="21"/>
              </w:rPr>
            </w:pPr>
            <w:r>
              <w:rPr>
                <w:color w:val="auto"/>
              </w:rPr>
              <w:t>0.3809</w:t>
            </w:r>
          </w:p>
        </w:tc>
        <w:tc>
          <w:tcPr>
            <w:tcW w:w="1102" w:type="dxa"/>
            <w:vAlign w:val="center"/>
          </w:tcPr>
          <w:p>
            <w:pPr>
              <w:adjustRightInd w:val="0"/>
              <w:snapToGrid w:val="0"/>
              <w:jc w:val="center"/>
              <w:rPr>
                <w:color w:val="auto"/>
                <w:szCs w:val="21"/>
              </w:rPr>
            </w:pPr>
            <w:r>
              <w:rPr>
                <w:color w:val="auto"/>
              </w:rPr>
              <w:t>+0.3809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850" w:type="dxa"/>
            <w:vMerge w:val="restart"/>
            <w:vAlign w:val="center"/>
          </w:tcPr>
          <w:p>
            <w:pPr>
              <w:widowControl/>
              <w:jc w:val="center"/>
              <w:textAlignment w:val="center"/>
              <w:rPr>
                <w:color w:val="auto"/>
                <w:szCs w:val="21"/>
              </w:rPr>
            </w:pPr>
            <w:r>
              <w:rPr>
                <w:color w:val="auto"/>
                <w:szCs w:val="21"/>
              </w:rPr>
              <w:t>无组织</w:t>
            </w:r>
          </w:p>
        </w:tc>
        <w:tc>
          <w:tcPr>
            <w:tcW w:w="1276" w:type="dxa"/>
            <w:vAlign w:val="center"/>
          </w:tcPr>
          <w:p>
            <w:pPr>
              <w:widowControl/>
              <w:jc w:val="center"/>
              <w:textAlignment w:val="center"/>
              <w:rPr>
                <w:color w:val="auto"/>
                <w:kern w:val="0"/>
                <w:szCs w:val="21"/>
              </w:rPr>
            </w:pPr>
            <w:r>
              <w:rPr>
                <w:color w:val="auto"/>
                <w:szCs w:val="21"/>
              </w:rPr>
              <w:t>非甲烷总烃</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color w:val="auto"/>
                <w:szCs w:val="21"/>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0.0575 </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0.0575 </w:t>
            </w:r>
          </w:p>
        </w:tc>
        <w:tc>
          <w:tcPr>
            <w:tcW w:w="1102" w:type="dxa"/>
            <w:vAlign w:val="center"/>
          </w:tcPr>
          <w:p>
            <w:pPr>
              <w:keepNext w:val="0"/>
              <w:keepLines w:val="0"/>
              <w:widowControl/>
              <w:suppressLineNumbers w:val="0"/>
              <w:jc w:val="center"/>
              <w:textAlignment w:val="center"/>
              <w:rPr>
                <w:color w:val="auto"/>
                <w:szCs w:val="21"/>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0.0575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850" w:type="dxa"/>
            <w:vMerge w:val="continue"/>
            <w:vAlign w:val="center"/>
          </w:tcPr>
          <w:p>
            <w:pPr>
              <w:widowControl/>
              <w:jc w:val="center"/>
              <w:textAlignment w:val="center"/>
              <w:rPr>
                <w:color w:val="auto"/>
                <w:szCs w:val="21"/>
              </w:rPr>
            </w:pPr>
          </w:p>
        </w:tc>
        <w:tc>
          <w:tcPr>
            <w:tcW w:w="1276" w:type="dxa"/>
            <w:vAlign w:val="center"/>
          </w:tcPr>
          <w:p>
            <w:pPr>
              <w:widowControl/>
              <w:jc w:val="center"/>
              <w:textAlignment w:val="center"/>
              <w:rPr>
                <w:color w:val="auto"/>
                <w:szCs w:val="21"/>
              </w:rPr>
            </w:pPr>
            <w:r>
              <w:rPr>
                <w:rFonts w:hint="eastAsia"/>
                <w:color w:val="auto"/>
                <w:szCs w:val="21"/>
              </w:rPr>
              <w:t>甲醛</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color w:val="auto"/>
                <w:szCs w:val="21"/>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c>
          <w:tcPr>
            <w:tcW w:w="1102" w:type="dxa"/>
            <w:vAlign w:val="center"/>
          </w:tcPr>
          <w:p>
            <w:pPr>
              <w:keepNext w:val="0"/>
              <w:keepLines w:val="0"/>
              <w:widowControl/>
              <w:suppressLineNumbers w:val="0"/>
              <w:jc w:val="center"/>
              <w:textAlignment w:val="center"/>
              <w:rPr>
                <w:color w:val="auto"/>
                <w:szCs w:val="21"/>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0.0044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restart"/>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2126" w:type="dxa"/>
            <w:gridSpan w:val="2"/>
            <w:vAlign w:val="center"/>
          </w:tcPr>
          <w:p>
            <w:pPr>
              <w:adjustRightInd w:val="0"/>
              <w:snapToGrid w:val="0"/>
              <w:jc w:val="center"/>
              <w:rPr>
                <w:snapToGrid w:val="0"/>
                <w:color w:val="auto"/>
                <w:kern w:val="21"/>
                <w:szCs w:val="21"/>
              </w:rPr>
            </w:pPr>
            <w:r>
              <w:rPr>
                <w:rFonts w:hint="eastAsia"/>
                <w:snapToGrid w:val="0"/>
                <w:color w:val="auto"/>
                <w:kern w:val="21"/>
                <w:szCs w:val="21"/>
              </w:rPr>
              <w:t>废水量</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jc w:val="center"/>
              <w:rPr>
                <w:rFonts w:hint="default" w:eastAsia="宋体"/>
                <w:color w:val="auto"/>
                <w:szCs w:val="21"/>
                <w:lang w:val="en-US" w:eastAsia="zh-CN"/>
              </w:rPr>
            </w:pPr>
            <w:r>
              <w:rPr>
                <w:rFonts w:hint="eastAsia"/>
                <w:color w:val="auto"/>
                <w:szCs w:val="21"/>
                <w:lang w:val="en-US" w:eastAsia="zh-CN"/>
              </w:rPr>
              <w:t>977</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jc w:val="center"/>
              <w:rPr>
                <w:rFonts w:hint="default" w:eastAsia="宋体"/>
                <w:color w:val="auto"/>
                <w:szCs w:val="21"/>
                <w:lang w:val="en-US" w:eastAsia="zh-CN"/>
              </w:rPr>
            </w:pPr>
            <w:r>
              <w:rPr>
                <w:rFonts w:hint="eastAsia"/>
                <w:color w:val="auto"/>
                <w:szCs w:val="21"/>
                <w:lang w:val="en-US" w:eastAsia="zh-CN"/>
              </w:rPr>
              <w:t>977</w:t>
            </w:r>
          </w:p>
        </w:tc>
        <w:tc>
          <w:tcPr>
            <w:tcW w:w="1102" w:type="dxa"/>
            <w:vAlign w:val="center"/>
          </w:tcPr>
          <w:p>
            <w:pPr>
              <w:jc w:val="center"/>
              <w:rPr>
                <w:rFonts w:hint="default" w:eastAsia="宋体"/>
                <w:color w:val="auto"/>
                <w:szCs w:val="21"/>
                <w:lang w:val="en-US" w:eastAsia="zh-CN"/>
              </w:rPr>
            </w:pPr>
            <w:r>
              <w:rPr>
                <w:color w:val="auto"/>
                <w:szCs w:val="21"/>
              </w:rPr>
              <w:t>+</w:t>
            </w:r>
            <w:r>
              <w:rPr>
                <w:rFonts w:hint="eastAsia"/>
                <w:color w:val="auto"/>
                <w:szCs w:val="21"/>
                <w:lang w:val="en-US" w:eastAsia="zh-CN"/>
              </w:rPr>
              <w:t>977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adjustRightInd w:val="0"/>
              <w:snapToGrid w:val="0"/>
              <w:jc w:val="center"/>
              <w:rPr>
                <w:color w:val="auto"/>
                <w:szCs w:val="21"/>
              </w:rPr>
            </w:pPr>
            <w:r>
              <w:rPr>
                <w:color w:val="auto"/>
                <w:szCs w:val="21"/>
              </w:rPr>
              <w:t>COD</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0.3754 </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0.3754 </w:t>
            </w:r>
          </w:p>
        </w:tc>
        <w:tc>
          <w:tcPr>
            <w:tcW w:w="1102" w:type="dxa"/>
            <w:vAlign w:val="center"/>
          </w:tcPr>
          <w:p>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0.3754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adjustRightInd w:val="0"/>
              <w:snapToGrid w:val="0"/>
              <w:jc w:val="center"/>
              <w:rPr>
                <w:snapToGrid w:val="0"/>
                <w:color w:val="auto"/>
                <w:kern w:val="21"/>
                <w:szCs w:val="21"/>
              </w:rPr>
            </w:pPr>
            <w:r>
              <w:rPr>
                <w:color w:val="auto"/>
                <w:szCs w:val="21"/>
              </w:rPr>
              <w:t>SS</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0.2777 </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0.2777 </w:t>
            </w:r>
          </w:p>
        </w:tc>
        <w:tc>
          <w:tcPr>
            <w:tcW w:w="1102" w:type="dxa"/>
            <w:vAlign w:val="center"/>
          </w:tcPr>
          <w:p>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0.2777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adjustRightInd w:val="0"/>
              <w:snapToGrid w:val="0"/>
              <w:jc w:val="center"/>
              <w:rPr>
                <w:snapToGrid w:val="0"/>
                <w:color w:val="auto"/>
                <w:kern w:val="21"/>
                <w:szCs w:val="21"/>
              </w:rPr>
            </w:pPr>
            <w:r>
              <w:rPr>
                <w:color w:val="auto"/>
                <w:szCs w:val="21"/>
              </w:rPr>
              <w:t>氨氮</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0.0270 </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0.0270 </w:t>
            </w:r>
          </w:p>
        </w:tc>
        <w:tc>
          <w:tcPr>
            <w:tcW w:w="1102" w:type="dxa"/>
            <w:vAlign w:val="center"/>
          </w:tcPr>
          <w:p>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0.0270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adjustRightInd w:val="0"/>
              <w:snapToGrid w:val="0"/>
              <w:jc w:val="center"/>
              <w:rPr>
                <w:snapToGrid w:val="0"/>
                <w:color w:val="auto"/>
                <w:kern w:val="21"/>
                <w:szCs w:val="21"/>
              </w:rPr>
            </w:pPr>
            <w:r>
              <w:rPr>
                <w:color w:val="auto"/>
                <w:szCs w:val="21"/>
              </w:rPr>
              <w:t>总氮</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0.0360 </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0.0360 </w:t>
            </w:r>
          </w:p>
        </w:tc>
        <w:tc>
          <w:tcPr>
            <w:tcW w:w="1102" w:type="dxa"/>
            <w:vAlign w:val="center"/>
          </w:tcPr>
          <w:p>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0.0360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adjustRightInd w:val="0"/>
              <w:snapToGrid w:val="0"/>
              <w:jc w:val="center"/>
              <w:rPr>
                <w:snapToGrid w:val="0"/>
                <w:color w:val="auto"/>
                <w:kern w:val="21"/>
                <w:szCs w:val="21"/>
              </w:rPr>
            </w:pPr>
            <w:r>
              <w:rPr>
                <w:color w:val="auto"/>
                <w:szCs w:val="21"/>
              </w:rPr>
              <w:t>总磷</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0.0045 </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0.0045 </w:t>
            </w:r>
          </w:p>
        </w:tc>
        <w:tc>
          <w:tcPr>
            <w:tcW w:w="1102" w:type="dxa"/>
            <w:vAlign w:val="center"/>
          </w:tcPr>
          <w:p>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0.0045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restart"/>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2126" w:type="dxa"/>
            <w:gridSpan w:val="2"/>
            <w:vAlign w:val="center"/>
          </w:tcPr>
          <w:p>
            <w:pPr>
              <w:jc w:val="center"/>
              <w:rPr>
                <w:color w:val="auto"/>
                <w:kern w:val="0"/>
                <w:szCs w:val="21"/>
              </w:rPr>
            </w:pPr>
            <w:r>
              <w:rPr>
                <w:color w:val="auto"/>
                <w:szCs w:val="21"/>
              </w:rPr>
              <w:t>边角料</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adjustRightInd w:val="0"/>
              <w:snapToGrid w:val="0"/>
              <w:jc w:val="center"/>
              <w:rPr>
                <w:bCs/>
                <w:color w:val="auto"/>
                <w:szCs w:val="21"/>
              </w:rPr>
            </w:pPr>
            <w:r>
              <w:rPr>
                <w:rFonts w:hint="eastAsia"/>
                <w:bCs/>
                <w:color w:val="auto"/>
                <w:szCs w:val="21"/>
              </w:rPr>
              <w:t>10</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adjustRightInd w:val="0"/>
              <w:snapToGrid w:val="0"/>
              <w:jc w:val="center"/>
              <w:rPr>
                <w:bCs/>
                <w:color w:val="auto"/>
                <w:szCs w:val="21"/>
              </w:rPr>
            </w:pPr>
            <w:r>
              <w:rPr>
                <w:rFonts w:hint="eastAsia"/>
                <w:bCs/>
                <w:color w:val="auto"/>
                <w:szCs w:val="21"/>
              </w:rPr>
              <w:t>10</w:t>
            </w:r>
          </w:p>
        </w:tc>
        <w:tc>
          <w:tcPr>
            <w:tcW w:w="1102" w:type="dxa"/>
            <w:vAlign w:val="center"/>
          </w:tcPr>
          <w:p>
            <w:pPr>
              <w:adjustRightInd w:val="0"/>
              <w:snapToGrid w:val="0"/>
              <w:jc w:val="center"/>
              <w:rPr>
                <w:bCs/>
                <w:color w:val="auto"/>
                <w:szCs w:val="21"/>
              </w:rPr>
            </w:pPr>
            <w:r>
              <w:rPr>
                <w:bCs/>
                <w:color w:val="auto"/>
                <w:szCs w:val="21"/>
              </w:rPr>
              <w:t>+</w:t>
            </w:r>
            <w:r>
              <w:rPr>
                <w:rFonts w:hint="eastAsia"/>
                <w:bCs/>
                <w:color w:val="auto"/>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jc w:val="center"/>
              <w:rPr>
                <w:color w:val="auto"/>
                <w:szCs w:val="21"/>
              </w:rPr>
            </w:pPr>
            <w:r>
              <w:rPr>
                <w:rFonts w:hint="eastAsia"/>
                <w:color w:val="auto"/>
                <w:szCs w:val="21"/>
              </w:rPr>
              <w:t>不合格品</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adjustRightInd w:val="0"/>
              <w:snapToGrid w:val="0"/>
              <w:jc w:val="center"/>
              <w:rPr>
                <w:bCs/>
                <w:color w:val="auto"/>
                <w:szCs w:val="21"/>
              </w:rPr>
            </w:pPr>
            <w:r>
              <w:rPr>
                <w:bCs/>
                <w:color w:val="auto"/>
                <w:szCs w:val="21"/>
              </w:rPr>
              <w:t>5</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adjustRightInd w:val="0"/>
              <w:snapToGrid w:val="0"/>
              <w:jc w:val="center"/>
              <w:rPr>
                <w:bCs/>
                <w:color w:val="auto"/>
                <w:szCs w:val="21"/>
              </w:rPr>
            </w:pPr>
            <w:r>
              <w:rPr>
                <w:bCs/>
                <w:color w:val="auto"/>
                <w:szCs w:val="21"/>
              </w:rPr>
              <w:t>5</w:t>
            </w:r>
          </w:p>
        </w:tc>
        <w:tc>
          <w:tcPr>
            <w:tcW w:w="1102" w:type="dxa"/>
            <w:vAlign w:val="center"/>
          </w:tcPr>
          <w:p>
            <w:pPr>
              <w:adjustRightInd w:val="0"/>
              <w:snapToGrid w:val="0"/>
              <w:jc w:val="center"/>
              <w:rPr>
                <w:bCs/>
                <w:color w:val="auto"/>
                <w:szCs w:val="21"/>
              </w:rPr>
            </w:pPr>
            <w:r>
              <w:rPr>
                <w:bCs/>
                <w:color w:val="auto"/>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jc w:val="center"/>
              <w:rPr>
                <w:color w:val="auto"/>
                <w:szCs w:val="21"/>
              </w:rPr>
            </w:pPr>
            <w:r>
              <w:rPr>
                <w:rFonts w:hint="eastAsia"/>
                <w:color w:val="auto"/>
                <w:szCs w:val="21"/>
              </w:rPr>
              <w:t>废包装袋</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adjustRightInd w:val="0"/>
              <w:snapToGrid w:val="0"/>
              <w:jc w:val="center"/>
              <w:rPr>
                <w:bCs/>
                <w:color w:val="auto"/>
                <w:szCs w:val="21"/>
              </w:rPr>
            </w:pPr>
            <w:r>
              <w:rPr>
                <w:rFonts w:hint="eastAsia"/>
                <w:bCs/>
                <w:color w:val="auto"/>
                <w:szCs w:val="21"/>
              </w:rPr>
              <w:t>0.5</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adjustRightInd w:val="0"/>
              <w:snapToGrid w:val="0"/>
              <w:jc w:val="center"/>
              <w:rPr>
                <w:bCs/>
                <w:color w:val="auto"/>
                <w:szCs w:val="21"/>
              </w:rPr>
            </w:pPr>
            <w:r>
              <w:rPr>
                <w:rFonts w:hint="eastAsia"/>
                <w:bCs/>
                <w:color w:val="auto"/>
                <w:szCs w:val="21"/>
              </w:rPr>
              <w:t>0.5</w:t>
            </w:r>
          </w:p>
        </w:tc>
        <w:tc>
          <w:tcPr>
            <w:tcW w:w="1102" w:type="dxa"/>
            <w:vAlign w:val="center"/>
          </w:tcPr>
          <w:p>
            <w:pPr>
              <w:adjustRightInd w:val="0"/>
              <w:snapToGrid w:val="0"/>
              <w:jc w:val="center"/>
              <w:rPr>
                <w:bCs/>
                <w:color w:val="auto"/>
                <w:szCs w:val="21"/>
              </w:rPr>
            </w:pPr>
            <w:r>
              <w:rPr>
                <w:bCs/>
                <w:color w:val="auto"/>
                <w:szCs w:val="21"/>
              </w:rPr>
              <w:t>+</w:t>
            </w:r>
            <w:r>
              <w:rPr>
                <w:rFonts w:hint="eastAsia"/>
                <w:bCs/>
                <w:color w:val="auto"/>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jc w:val="center"/>
              <w:rPr>
                <w:color w:val="auto"/>
                <w:szCs w:val="21"/>
              </w:rPr>
            </w:pPr>
            <w:r>
              <w:rPr>
                <w:color w:val="auto"/>
                <w:szCs w:val="21"/>
              </w:rPr>
              <w:t>生活垃圾</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adjustRightInd w:val="0"/>
              <w:snapToGrid w:val="0"/>
              <w:jc w:val="center"/>
              <w:rPr>
                <w:rFonts w:hint="default" w:eastAsia="宋体"/>
                <w:bCs/>
                <w:color w:val="auto"/>
                <w:szCs w:val="21"/>
                <w:lang w:val="en-US" w:eastAsia="zh-CN"/>
              </w:rPr>
            </w:pPr>
            <w:r>
              <w:rPr>
                <w:rFonts w:hint="eastAsia"/>
                <w:bCs/>
                <w:color w:val="auto"/>
                <w:szCs w:val="21"/>
              </w:rPr>
              <w:t>8</w:t>
            </w:r>
            <w:r>
              <w:rPr>
                <w:rFonts w:hint="eastAsia"/>
                <w:bCs/>
                <w:color w:val="auto"/>
                <w:szCs w:val="21"/>
                <w:lang w:val="en-US" w:eastAsia="zh-CN"/>
              </w:rPr>
              <w:t>.16</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adjustRightInd w:val="0"/>
              <w:snapToGrid w:val="0"/>
              <w:jc w:val="center"/>
              <w:rPr>
                <w:rFonts w:hint="default" w:eastAsia="宋体"/>
                <w:bCs/>
                <w:color w:val="auto"/>
                <w:szCs w:val="21"/>
                <w:lang w:val="en-US" w:eastAsia="zh-CN"/>
              </w:rPr>
            </w:pPr>
            <w:r>
              <w:rPr>
                <w:rFonts w:hint="eastAsia"/>
                <w:bCs/>
                <w:color w:val="auto"/>
                <w:szCs w:val="21"/>
              </w:rPr>
              <w:t>8</w:t>
            </w:r>
            <w:r>
              <w:rPr>
                <w:rFonts w:hint="eastAsia"/>
                <w:bCs/>
                <w:color w:val="auto"/>
                <w:szCs w:val="21"/>
                <w:lang w:val="en-US" w:eastAsia="zh-CN"/>
              </w:rPr>
              <w:t>.16</w:t>
            </w:r>
          </w:p>
        </w:tc>
        <w:tc>
          <w:tcPr>
            <w:tcW w:w="1102" w:type="dxa"/>
            <w:vAlign w:val="center"/>
          </w:tcPr>
          <w:p>
            <w:pPr>
              <w:adjustRightInd w:val="0"/>
              <w:snapToGrid w:val="0"/>
              <w:jc w:val="center"/>
              <w:rPr>
                <w:rFonts w:hint="default" w:eastAsia="宋体"/>
                <w:bCs/>
                <w:color w:val="auto"/>
                <w:szCs w:val="21"/>
                <w:lang w:val="en-US" w:eastAsia="zh-CN"/>
              </w:rPr>
            </w:pPr>
            <w:r>
              <w:rPr>
                <w:bCs/>
                <w:color w:val="auto"/>
                <w:szCs w:val="21"/>
              </w:rPr>
              <w:t>+</w:t>
            </w:r>
            <w:r>
              <w:rPr>
                <w:rFonts w:hint="eastAsia"/>
                <w:bCs/>
                <w:color w:val="auto"/>
                <w:szCs w:val="21"/>
              </w:rPr>
              <w:t>8</w:t>
            </w:r>
            <w:r>
              <w:rPr>
                <w:rFonts w:hint="eastAsia"/>
                <w:bCs/>
                <w:color w:val="auto"/>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restart"/>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2126" w:type="dxa"/>
            <w:gridSpan w:val="2"/>
            <w:vAlign w:val="center"/>
          </w:tcPr>
          <w:p>
            <w:pPr>
              <w:widowControl/>
              <w:adjustRightInd w:val="0"/>
              <w:snapToGrid w:val="0"/>
              <w:jc w:val="center"/>
              <w:rPr>
                <w:bCs/>
                <w:color w:val="auto"/>
                <w:szCs w:val="21"/>
              </w:rPr>
            </w:pPr>
            <w:r>
              <w:rPr>
                <w:bCs/>
                <w:color w:val="auto"/>
                <w:szCs w:val="21"/>
              </w:rPr>
              <w:t>废活性炭</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11.2</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11.2</w:t>
            </w:r>
          </w:p>
        </w:tc>
        <w:tc>
          <w:tcPr>
            <w:tcW w:w="1102" w:type="dxa"/>
            <w:vAlign w:val="center"/>
          </w:tcPr>
          <w:p>
            <w:pPr>
              <w:adjustRightInd w:val="0"/>
              <w:snapToGrid w:val="0"/>
              <w:jc w:val="center"/>
              <w:rPr>
                <w:rFonts w:hint="default" w:eastAsia="宋体"/>
                <w:color w:val="auto"/>
                <w:kern w:val="0"/>
                <w:szCs w:val="21"/>
                <w:lang w:val="en-US" w:eastAsia="zh-CN"/>
              </w:rPr>
            </w:pPr>
            <w:r>
              <w:rPr>
                <w:color w:val="auto"/>
                <w:kern w:val="0"/>
                <w:szCs w:val="21"/>
              </w:rPr>
              <w:t>+</w:t>
            </w:r>
            <w:r>
              <w:rPr>
                <w:rFonts w:hint="eastAsia"/>
                <w:color w:val="auto"/>
                <w:kern w:val="0"/>
                <w:szCs w:val="21"/>
                <w:lang w:val="en-US" w:eastAsia="zh-CN"/>
              </w:rPr>
              <w:t>11.2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widowControl/>
              <w:adjustRightInd w:val="0"/>
              <w:snapToGrid w:val="0"/>
              <w:jc w:val="center"/>
              <w:rPr>
                <w:bCs/>
                <w:color w:val="auto"/>
                <w:szCs w:val="21"/>
              </w:rPr>
            </w:pPr>
            <w:r>
              <w:rPr>
                <w:rFonts w:hint="eastAsia"/>
                <w:bCs/>
                <w:color w:val="auto"/>
                <w:szCs w:val="21"/>
              </w:rPr>
              <w:t>废</w:t>
            </w:r>
            <w:r>
              <w:rPr>
                <w:rFonts w:hint="eastAsia"/>
                <w:bCs/>
                <w:color w:val="auto"/>
                <w:szCs w:val="21"/>
                <w:lang w:eastAsia="zh-CN"/>
              </w:rPr>
              <w:t>导热</w:t>
            </w:r>
            <w:r>
              <w:rPr>
                <w:rFonts w:hint="eastAsia"/>
                <w:bCs/>
                <w:color w:val="auto"/>
                <w:szCs w:val="21"/>
              </w:rPr>
              <w:t>油</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2.5t/5a</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adjustRightInd w:val="0"/>
              <w:snapToGrid w:val="0"/>
              <w:jc w:val="center"/>
              <w:rPr>
                <w:color w:val="auto"/>
                <w:kern w:val="0"/>
                <w:szCs w:val="21"/>
              </w:rPr>
            </w:pPr>
            <w:r>
              <w:rPr>
                <w:rFonts w:hint="eastAsia"/>
                <w:color w:val="auto"/>
                <w:kern w:val="0"/>
                <w:szCs w:val="21"/>
                <w:lang w:val="en-US" w:eastAsia="zh-CN"/>
              </w:rPr>
              <w:t>2.5t/5a</w:t>
            </w:r>
          </w:p>
        </w:tc>
        <w:tc>
          <w:tcPr>
            <w:tcW w:w="1102" w:type="dxa"/>
            <w:vAlign w:val="center"/>
          </w:tcPr>
          <w:p>
            <w:pPr>
              <w:adjustRightInd w:val="0"/>
              <w:snapToGrid w:val="0"/>
              <w:jc w:val="center"/>
              <w:rPr>
                <w:color w:val="auto"/>
                <w:kern w:val="0"/>
                <w:szCs w:val="21"/>
              </w:rPr>
            </w:pPr>
            <w:r>
              <w:rPr>
                <w:rFonts w:hint="eastAsia"/>
                <w:color w:val="auto"/>
                <w:kern w:val="0"/>
                <w:szCs w:val="21"/>
                <w:lang w:val="en-US" w:eastAsia="zh-CN"/>
              </w:rPr>
              <w:t>+2.5t/5a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widowControl/>
              <w:adjustRightInd w:val="0"/>
              <w:snapToGrid w:val="0"/>
              <w:jc w:val="center"/>
              <w:rPr>
                <w:rFonts w:hint="eastAsia" w:eastAsia="宋体"/>
                <w:bCs/>
                <w:color w:val="auto"/>
                <w:szCs w:val="21"/>
                <w:lang w:eastAsia="zh-CN"/>
              </w:rPr>
            </w:pPr>
            <w:r>
              <w:rPr>
                <w:rFonts w:hint="eastAsia"/>
                <w:bCs/>
                <w:color w:val="auto"/>
                <w:szCs w:val="21"/>
                <w:lang w:eastAsia="zh-CN"/>
              </w:rPr>
              <w:t>废液压油</w:t>
            </w:r>
          </w:p>
        </w:tc>
        <w:tc>
          <w:tcPr>
            <w:tcW w:w="1701" w:type="dxa"/>
            <w:vAlign w:val="center"/>
          </w:tcPr>
          <w:p>
            <w:pPr>
              <w:pStyle w:val="37"/>
              <w:spacing w:beforeLines="0" w:afterLines="0" w:line="240" w:lineRule="auto"/>
              <w:rPr>
                <w:rFonts w:hint="eastAsia"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hint="eastAsia"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9</w:t>
            </w:r>
          </w:p>
        </w:tc>
        <w:tc>
          <w:tcPr>
            <w:tcW w:w="1559" w:type="dxa"/>
            <w:vAlign w:val="center"/>
          </w:tcPr>
          <w:p>
            <w:pPr>
              <w:pStyle w:val="37"/>
              <w:spacing w:beforeLines="0" w:afterLines="0" w:line="240" w:lineRule="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adjustRightInd w:val="0"/>
              <w:snapToGrid w:val="0"/>
              <w:jc w:val="center"/>
              <w:rPr>
                <w:rFonts w:hint="eastAsia"/>
                <w:color w:val="auto"/>
                <w:kern w:val="0"/>
                <w:szCs w:val="21"/>
              </w:rPr>
            </w:pPr>
            <w:r>
              <w:rPr>
                <w:rFonts w:hint="eastAsia"/>
                <w:color w:val="auto"/>
                <w:kern w:val="0"/>
                <w:szCs w:val="21"/>
                <w:lang w:val="en-US" w:eastAsia="zh-CN"/>
              </w:rPr>
              <w:t>9</w:t>
            </w:r>
          </w:p>
        </w:tc>
        <w:tc>
          <w:tcPr>
            <w:tcW w:w="1102" w:type="dxa"/>
            <w:vAlign w:val="center"/>
          </w:tcPr>
          <w:p>
            <w:pPr>
              <w:adjustRightInd w:val="0"/>
              <w:snapToGrid w:val="0"/>
              <w:jc w:val="center"/>
              <w:rPr>
                <w:color w:val="auto"/>
                <w:kern w:val="0"/>
                <w:szCs w:val="21"/>
              </w:rPr>
            </w:pPr>
            <w:r>
              <w:rPr>
                <w:rFonts w:hint="eastAsia"/>
                <w:color w:val="auto"/>
                <w:kern w:val="0"/>
                <w:szCs w:val="21"/>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widowControl/>
              <w:adjustRightInd w:val="0"/>
              <w:snapToGrid w:val="0"/>
              <w:jc w:val="center"/>
              <w:rPr>
                <w:bCs/>
                <w:color w:val="auto"/>
                <w:szCs w:val="21"/>
              </w:rPr>
            </w:pPr>
            <w:r>
              <w:rPr>
                <w:rFonts w:hint="eastAsia"/>
                <w:bCs/>
                <w:color w:val="auto"/>
                <w:szCs w:val="21"/>
              </w:rPr>
              <w:t>废包装桶</w:t>
            </w:r>
          </w:p>
        </w:tc>
        <w:tc>
          <w:tcPr>
            <w:tcW w:w="1701"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843" w:type="dxa"/>
            <w:vAlign w:val="center"/>
          </w:tcPr>
          <w:p>
            <w:pPr>
              <w:adjustRightInd w:val="0"/>
              <w:snapToGrid w:val="0"/>
              <w:jc w:val="center"/>
              <w:rPr>
                <w:color w:val="auto"/>
                <w:kern w:val="0"/>
                <w:szCs w:val="21"/>
              </w:rPr>
            </w:pPr>
            <w:r>
              <w:rPr>
                <w:color w:val="auto"/>
                <w:kern w:val="0"/>
                <w:szCs w:val="21"/>
              </w:rPr>
              <w:t>1.16</w:t>
            </w:r>
          </w:p>
        </w:tc>
        <w:tc>
          <w:tcPr>
            <w:tcW w:w="1559" w:type="dxa"/>
            <w:vAlign w:val="center"/>
          </w:tcPr>
          <w:p>
            <w:pPr>
              <w:pStyle w:val="37"/>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pPr>
              <w:adjustRightInd w:val="0"/>
              <w:snapToGrid w:val="0"/>
              <w:jc w:val="center"/>
              <w:rPr>
                <w:color w:val="auto"/>
                <w:kern w:val="0"/>
                <w:szCs w:val="21"/>
              </w:rPr>
            </w:pPr>
            <w:r>
              <w:rPr>
                <w:color w:val="auto"/>
                <w:kern w:val="0"/>
                <w:szCs w:val="21"/>
              </w:rPr>
              <w:t>1.16</w:t>
            </w:r>
          </w:p>
        </w:tc>
        <w:tc>
          <w:tcPr>
            <w:tcW w:w="1102" w:type="dxa"/>
            <w:vAlign w:val="center"/>
          </w:tcPr>
          <w:p>
            <w:pPr>
              <w:adjustRightInd w:val="0"/>
              <w:snapToGrid w:val="0"/>
              <w:jc w:val="center"/>
              <w:rPr>
                <w:color w:val="auto"/>
                <w:kern w:val="0"/>
                <w:szCs w:val="21"/>
              </w:rPr>
            </w:pPr>
            <w:r>
              <w:rPr>
                <w:color w:val="auto"/>
                <w:kern w:val="0"/>
                <w:szCs w:val="21"/>
              </w:rPr>
              <w:t>+1.16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3" w:type="dxa"/>
            <w:vMerge w:val="continue"/>
            <w:vAlign w:val="center"/>
          </w:tcPr>
          <w:p>
            <w:pPr>
              <w:pStyle w:val="37"/>
              <w:spacing w:beforeLines="0" w:afterLines="0" w:line="240" w:lineRule="auto"/>
              <w:rPr>
                <w:rFonts w:ascii="Times New Roman"/>
                <w:snapToGrid w:val="0"/>
                <w:color w:val="auto"/>
                <w:kern w:val="21"/>
                <w:szCs w:val="21"/>
              </w:rPr>
            </w:pPr>
          </w:p>
        </w:tc>
        <w:tc>
          <w:tcPr>
            <w:tcW w:w="2126" w:type="dxa"/>
            <w:gridSpan w:val="2"/>
            <w:vAlign w:val="center"/>
          </w:tcPr>
          <w:p>
            <w:pPr>
              <w:widowControl/>
              <w:adjustRightInd w:val="0"/>
              <w:snapToGrid w:val="0"/>
              <w:jc w:val="center"/>
              <w:rPr>
                <w:bCs/>
                <w:color w:val="auto"/>
                <w:szCs w:val="21"/>
              </w:rPr>
            </w:pPr>
            <w:r>
              <w:rPr>
                <w:color w:val="auto"/>
                <w:szCs w:val="21"/>
              </w:rPr>
              <w:t>废抹布</w:t>
            </w:r>
            <w:r>
              <w:rPr>
                <w:rFonts w:hint="eastAsia"/>
                <w:color w:val="auto"/>
                <w:szCs w:val="21"/>
              </w:rPr>
              <w:t>手套</w:t>
            </w:r>
          </w:p>
        </w:tc>
        <w:tc>
          <w:tcPr>
            <w:tcW w:w="1701"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37"/>
              <w:spacing w:beforeLines="0" w:afterLines="0" w:line="240" w:lineRule="auto"/>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843" w:type="dxa"/>
            <w:vAlign w:val="center"/>
          </w:tcPr>
          <w:p>
            <w:pPr>
              <w:adjustRightInd w:val="0"/>
              <w:snapToGrid w:val="0"/>
              <w:jc w:val="center"/>
              <w:rPr>
                <w:color w:val="auto"/>
                <w:szCs w:val="21"/>
              </w:rPr>
            </w:pPr>
            <w:r>
              <w:rPr>
                <w:rFonts w:hint="eastAsia"/>
                <w:color w:val="auto"/>
                <w:szCs w:val="21"/>
              </w:rPr>
              <w:t>0.05</w:t>
            </w:r>
          </w:p>
        </w:tc>
        <w:tc>
          <w:tcPr>
            <w:tcW w:w="1559" w:type="dxa"/>
            <w:vAlign w:val="center"/>
          </w:tcPr>
          <w:p>
            <w:pPr>
              <w:pStyle w:val="37"/>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adjustRightInd w:val="0"/>
              <w:snapToGrid w:val="0"/>
              <w:jc w:val="center"/>
              <w:rPr>
                <w:color w:val="auto"/>
                <w:szCs w:val="21"/>
              </w:rPr>
            </w:pPr>
            <w:r>
              <w:rPr>
                <w:rFonts w:hint="eastAsia"/>
                <w:color w:val="auto"/>
                <w:szCs w:val="21"/>
              </w:rPr>
              <w:t>0.05</w:t>
            </w:r>
          </w:p>
        </w:tc>
        <w:tc>
          <w:tcPr>
            <w:tcW w:w="1102" w:type="dxa"/>
            <w:vAlign w:val="center"/>
          </w:tcPr>
          <w:p>
            <w:pPr>
              <w:adjustRightInd w:val="0"/>
              <w:snapToGrid w:val="0"/>
              <w:jc w:val="center"/>
              <w:rPr>
                <w:color w:val="auto"/>
                <w:szCs w:val="21"/>
              </w:rPr>
            </w:pPr>
            <w:r>
              <w:rPr>
                <w:color w:val="auto"/>
                <w:szCs w:val="21"/>
              </w:rPr>
              <w:t>+</w:t>
            </w:r>
            <w:r>
              <w:rPr>
                <w:rFonts w:hint="eastAsia"/>
                <w:color w:val="auto"/>
                <w:szCs w:val="21"/>
              </w:rPr>
              <w:t>0.05</w:t>
            </w:r>
          </w:p>
        </w:tc>
      </w:tr>
    </w:tbl>
    <w:p>
      <w:pPr>
        <w:pStyle w:val="37"/>
        <w:spacing w:beforeLines="0" w:afterLines="0" w:line="240" w:lineRule="auto"/>
        <w:jc w:val="left"/>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等线">
    <w:panose1 w:val="02010600030101010101"/>
    <w:charset w:val="86"/>
    <w:family w:val="roman"/>
    <w:pitch w:val="default"/>
    <w:sig w:usb0="A00002BF" w:usb1="38CF7CFA" w:usb2="00000016" w:usb3="00000000" w:csb0="0004000F" w:csb1="00000000"/>
    <w:embedRegular r:id="rId1" w:fontKey="{73BC7A05-7501-4E9A-A51F-21B9618FBE17}"/>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方正小标宋_GBK">
    <w:altName w:val="Arial Unicode MS"/>
    <w:panose1 w:val="00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embedRegular r:id="rId2" w:fontKey="{1169EF97-3CCB-4DD5-A3FB-15258FC2F762}"/>
  </w:font>
  <w:font w:name="楷体_GB2312">
    <w:altName w:val="楷体"/>
    <w:panose1 w:val="00000000000000000000"/>
    <w:charset w:val="86"/>
    <w:family w:val="modern"/>
    <w:pitch w:val="default"/>
    <w:sig w:usb0="00000000" w:usb1="00000000" w:usb2="00000010" w:usb3="00000000" w:csb0="00040000" w:csb1="00000000"/>
    <w:embedRegular r:id="rId3" w:fontKey="{0A0DB0BC-CA88-4A19-85F3-9207BB002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2"/>
      </w:rPr>
    </w:pPr>
    <w:r>
      <w:fldChar w:fldCharType="begin"/>
    </w:r>
    <w:r>
      <w:rPr>
        <w:rStyle w:val="32"/>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54</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80</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pPr>
      <w:pStyle w:val="2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350DA"/>
    <w:multiLevelType w:val="singleLevel"/>
    <w:tmpl w:val="876350DA"/>
    <w:lvl w:ilvl="0" w:tentative="0">
      <w:start w:val="1"/>
      <w:numFmt w:val="chineseCounting"/>
      <w:suff w:val="nothing"/>
      <w:lvlText w:val="（%1）"/>
      <w:lvlJc w:val="left"/>
      <w:rPr>
        <w:rFonts w:hint="eastAsia"/>
      </w:rPr>
    </w:lvl>
  </w:abstractNum>
  <w:abstractNum w:abstractNumId="1">
    <w:nsid w:val="9BF514D7"/>
    <w:multiLevelType w:val="singleLevel"/>
    <w:tmpl w:val="9BF514D7"/>
    <w:lvl w:ilvl="0" w:tentative="0">
      <w:start w:val="16"/>
      <w:numFmt w:val="chineseCounting"/>
      <w:suff w:val="nothing"/>
      <w:lvlText w:val="（%1）"/>
      <w:lvlJc w:val="left"/>
      <w:rPr>
        <w:rFonts w:hint="eastAsia"/>
      </w:rPr>
    </w:lvl>
  </w:abstractNum>
  <w:abstractNum w:abstractNumId="2">
    <w:nsid w:val="9C1BF163"/>
    <w:multiLevelType w:val="singleLevel"/>
    <w:tmpl w:val="9C1BF163"/>
    <w:lvl w:ilvl="0" w:tentative="0">
      <w:start w:val="2"/>
      <w:numFmt w:val="chineseCounting"/>
      <w:suff w:val="nothing"/>
      <w:lvlText w:val="（%1）"/>
      <w:lvlJc w:val="left"/>
      <w:rPr>
        <w:rFonts w:hint="eastAsia"/>
      </w:rPr>
    </w:lvl>
  </w:abstractNum>
  <w:abstractNum w:abstractNumId="3">
    <w:nsid w:val="C33B9594"/>
    <w:multiLevelType w:val="singleLevel"/>
    <w:tmpl w:val="C33B9594"/>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4">
    <w:nsid w:val="049B674B"/>
    <w:multiLevelType w:val="multilevel"/>
    <w:tmpl w:val="049B674B"/>
    <w:lvl w:ilvl="0" w:tentative="0">
      <w:start w:val="2"/>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zY2E1ODhmNTE2MDA4ODM0MGE5YmFiNzkxYTMzNTYifQ=="/>
    <w:docVar w:name="KSO_WPS_MARK_KEY" w:val="71c2ffa5-1773-47eb-a012-910969cca791"/>
  </w:docVars>
  <w:rsids>
    <w:rsidRoot w:val="00172A27"/>
    <w:rsid w:val="0000037E"/>
    <w:rsid w:val="000018E1"/>
    <w:rsid w:val="00002233"/>
    <w:rsid w:val="000044F3"/>
    <w:rsid w:val="0000480E"/>
    <w:rsid w:val="00004F3B"/>
    <w:rsid w:val="000060B3"/>
    <w:rsid w:val="0000678D"/>
    <w:rsid w:val="00010A68"/>
    <w:rsid w:val="00012F79"/>
    <w:rsid w:val="0001355B"/>
    <w:rsid w:val="00014931"/>
    <w:rsid w:val="00014E13"/>
    <w:rsid w:val="0001502F"/>
    <w:rsid w:val="00016A69"/>
    <w:rsid w:val="0002075B"/>
    <w:rsid w:val="00020988"/>
    <w:rsid w:val="000218CD"/>
    <w:rsid w:val="0002353B"/>
    <w:rsid w:val="00023571"/>
    <w:rsid w:val="0002364B"/>
    <w:rsid w:val="000236BF"/>
    <w:rsid w:val="000251D6"/>
    <w:rsid w:val="0002523B"/>
    <w:rsid w:val="00025E3F"/>
    <w:rsid w:val="00026D27"/>
    <w:rsid w:val="0002777D"/>
    <w:rsid w:val="00030933"/>
    <w:rsid w:val="000310CA"/>
    <w:rsid w:val="00031DBF"/>
    <w:rsid w:val="000321C5"/>
    <w:rsid w:val="0003336A"/>
    <w:rsid w:val="00034C03"/>
    <w:rsid w:val="000351C9"/>
    <w:rsid w:val="000369C6"/>
    <w:rsid w:val="00037B93"/>
    <w:rsid w:val="00041438"/>
    <w:rsid w:val="000414E5"/>
    <w:rsid w:val="0004364B"/>
    <w:rsid w:val="00045077"/>
    <w:rsid w:val="000477A1"/>
    <w:rsid w:val="000500D2"/>
    <w:rsid w:val="000501FD"/>
    <w:rsid w:val="00050F54"/>
    <w:rsid w:val="000527E2"/>
    <w:rsid w:val="00052D9E"/>
    <w:rsid w:val="00055A70"/>
    <w:rsid w:val="00056771"/>
    <w:rsid w:val="00061B1F"/>
    <w:rsid w:val="00062D55"/>
    <w:rsid w:val="00063466"/>
    <w:rsid w:val="00063A02"/>
    <w:rsid w:val="000660ED"/>
    <w:rsid w:val="000720BC"/>
    <w:rsid w:val="000726E3"/>
    <w:rsid w:val="000733C4"/>
    <w:rsid w:val="00074280"/>
    <w:rsid w:val="00074783"/>
    <w:rsid w:val="00074B24"/>
    <w:rsid w:val="00074D3F"/>
    <w:rsid w:val="00076516"/>
    <w:rsid w:val="000779EA"/>
    <w:rsid w:val="00077EB1"/>
    <w:rsid w:val="0008070B"/>
    <w:rsid w:val="00080748"/>
    <w:rsid w:val="000810AC"/>
    <w:rsid w:val="00081A02"/>
    <w:rsid w:val="00081A8E"/>
    <w:rsid w:val="00082231"/>
    <w:rsid w:val="0008233B"/>
    <w:rsid w:val="000826E2"/>
    <w:rsid w:val="00084FF4"/>
    <w:rsid w:val="00090A03"/>
    <w:rsid w:val="00092236"/>
    <w:rsid w:val="00092D38"/>
    <w:rsid w:val="00092EA4"/>
    <w:rsid w:val="00093741"/>
    <w:rsid w:val="0009377B"/>
    <w:rsid w:val="000946B7"/>
    <w:rsid w:val="0009565C"/>
    <w:rsid w:val="0009574D"/>
    <w:rsid w:val="00095F17"/>
    <w:rsid w:val="00096884"/>
    <w:rsid w:val="00096B4B"/>
    <w:rsid w:val="00097ACB"/>
    <w:rsid w:val="000A20C9"/>
    <w:rsid w:val="000A5764"/>
    <w:rsid w:val="000A599E"/>
    <w:rsid w:val="000A62BA"/>
    <w:rsid w:val="000A7356"/>
    <w:rsid w:val="000A76F4"/>
    <w:rsid w:val="000B02E8"/>
    <w:rsid w:val="000B058F"/>
    <w:rsid w:val="000B2D53"/>
    <w:rsid w:val="000B3331"/>
    <w:rsid w:val="000B3348"/>
    <w:rsid w:val="000B364C"/>
    <w:rsid w:val="000B4467"/>
    <w:rsid w:val="000B44DF"/>
    <w:rsid w:val="000B4B49"/>
    <w:rsid w:val="000B4DB9"/>
    <w:rsid w:val="000B552F"/>
    <w:rsid w:val="000B61FE"/>
    <w:rsid w:val="000B75D1"/>
    <w:rsid w:val="000C09AC"/>
    <w:rsid w:val="000C1BBB"/>
    <w:rsid w:val="000C2AB2"/>
    <w:rsid w:val="000C5E6A"/>
    <w:rsid w:val="000C767F"/>
    <w:rsid w:val="000C784D"/>
    <w:rsid w:val="000C7EFB"/>
    <w:rsid w:val="000D0298"/>
    <w:rsid w:val="000D04BE"/>
    <w:rsid w:val="000D119D"/>
    <w:rsid w:val="000D23F7"/>
    <w:rsid w:val="000D29A0"/>
    <w:rsid w:val="000D348E"/>
    <w:rsid w:val="000D4188"/>
    <w:rsid w:val="000D5A44"/>
    <w:rsid w:val="000D6082"/>
    <w:rsid w:val="000E01F8"/>
    <w:rsid w:val="000E076A"/>
    <w:rsid w:val="000E1012"/>
    <w:rsid w:val="000E3177"/>
    <w:rsid w:val="000E3ED2"/>
    <w:rsid w:val="000F015F"/>
    <w:rsid w:val="000F16C8"/>
    <w:rsid w:val="000F2DDD"/>
    <w:rsid w:val="000F4A5E"/>
    <w:rsid w:val="000F565F"/>
    <w:rsid w:val="000F58C8"/>
    <w:rsid w:val="000F5BF9"/>
    <w:rsid w:val="000F77DD"/>
    <w:rsid w:val="0010036E"/>
    <w:rsid w:val="001008EA"/>
    <w:rsid w:val="00100A81"/>
    <w:rsid w:val="00101C86"/>
    <w:rsid w:val="00101FB7"/>
    <w:rsid w:val="00103D5A"/>
    <w:rsid w:val="00107B79"/>
    <w:rsid w:val="00110060"/>
    <w:rsid w:val="00110493"/>
    <w:rsid w:val="00110F56"/>
    <w:rsid w:val="00112561"/>
    <w:rsid w:val="00112EBB"/>
    <w:rsid w:val="001141AD"/>
    <w:rsid w:val="00115208"/>
    <w:rsid w:val="0011535E"/>
    <w:rsid w:val="00115E5C"/>
    <w:rsid w:val="00116B76"/>
    <w:rsid w:val="00116E3B"/>
    <w:rsid w:val="00117A74"/>
    <w:rsid w:val="001214D6"/>
    <w:rsid w:val="001248AB"/>
    <w:rsid w:val="00125AD5"/>
    <w:rsid w:val="00130587"/>
    <w:rsid w:val="00131F42"/>
    <w:rsid w:val="001330F6"/>
    <w:rsid w:val="00134867"/>
    <w:rsid w:val="001357F1"/>
    <w:rsid w:val="001362B0"/>
    <w:rsid w:val="00136C94"/>
    <w:rsid w:val="00137DD6"/>
    <w:rsid w:val="00140FA8"/>
    <w:rsid w:val="00141AC1"/>
    <w:rsid w:val="00141AF8"/>
    <w:rsid w:val="00142095"/>
    <w:rsid w:val="001425F0"/>
    <w:rsid w:val="00142DD6"/>
    <w:rsid w:val="00142FEB"/>
    <w:rsid w:val="00143A2D"/>
    <w:rsid w:val="00143B76"/>
    <w:rsid w:val="001459C9"/>
    <w:rsid w:val="00145A41"/>
    <w:rsid w:val="00151675"/>
    <w:rsid w:val="00152678"/>
    <w:rsid w:val="00152C0C"/>
    <w:rsid w:val="00154609"/>
    <w:rsid w:val="0015493C"/>
    <w:rsid w:val="00157435"/>
    <w:rsid w:val="00157446"/>
    <w:rsid w:val="001574DE"/>
    <w:rsid w:val="001614A6"/>
    <w:rsid w:val="00161937"/>
    <w:rsid w:val="001619C0"/>
    <w:rsid w:val="001621C3"/>
    <w:rsid w:val="0016365C"/>
    <w:rsid w:val="00164419"/>
    <w:rsid w:val="001652E2"/>
    <w:rsid w:val="00167136"/>
    <w:rsid w:val="001672A0"/>
    <w:rsid w:val="001709AB"/>
    <w:rsid w:val="00172A27"/>
    <w:rsid w:val="00173627"/>
    <w:rsid w:val="0017504D"/>
    <w:rsid w:val="00175BEA"/>
    <w:rsid w:val="0017671A"/>
    <w:rsid w:val="00177422"/>
    <w:rsid w:val="00177A7E"/>
    <w:rsid w:val="00177C43"/>
    <w:rsid w:val="0018124C"/>
    <w:rsid w:val="00182AA4"/>
    <w:rsid w:val="001832D8"/>
    <w:rsid w:val="00184590"/>
    <w:rsid w:val="00184DE4"/>
    <w:rsid w:val="00186B63"/>
    <w:rsid w:val="00186F7B"/>
    <w:rsid w:val="001870D1"/>
    <w:rsid w:val="0018781E"/>
    <w:rsid w:val="0019037A"/>
    <w:rsid w:val="0019262D"/>
    <w:rsid w:val="001927E6"/>
    <w:rsid w:val="00194881"/>
    <w:rsid w:val="00195555"/>
    <w:rsid w:val="00195DB2"/>
    <w:rsid w:val="001978FB"/>
    <w:rsid w:val="001A1B35"/>
    <w:rsid w:val="001A3E4C"/>
    <w:rsid w:val="001A4411"/>
    <w:rsid w:val="001A48A2"/>
    <w:rsid w:val="001A4BDC"/>
    <w:rsid w:val="001A4E0B"/>
    <w:rsid w:val="001A651E"/>
    <w:rsid w:val="001A6F61"/>
    <w:rsid w:val="001A7502"/>
    <w:rsid w:val="001A7FD9"/>
    <w:rsid w:val="001B0A05"/>
    <w:rsid w:val="001B131C"/>
    <w:rsid w:val="001B178A"/>
    <w:rsid w:val="001B3EDF"/>
    <w:rsid w:val="001B61D7"/>
    <w:rsid w:val="001B64F5"/>
    <w:rsid w:val="001B72B8"/>
    <w:rsid w:val="001B7457"/>
    <w:rsid w:val="001C0268"/>
    <w:rsid w:val="001C082F"/>
    <w:rsid w:val="001C2239"/>
    <w:rsid w:val="001C25E8"/>
    <w:rsid w:val="001C3390"/>
    <w:rsid w:val="001C4EAA"/>
    <w:rsid w:val="001C67E8"/>
    <w:rsid w:val="001C69B3"/>
    <w:rsid w:val="001C709F"/>
    <w:rsid w:val="001D0B21"/>
    <w:rsid w:val="001D12BF"/>
    <w:rsid w:val="001D3117"/>
    <w:rsid w:val="001D3C4B"/>
    <w:rsid w:val="001D5595"/>
    <w:rsid w:val="001D5A61"/>
    <w:rsid w:val="001D7468"/>
    <w:rsid w:val="001D7874"/>
    <w:rsid w:val="001D790D"/>
    <w:rsid w:val="001D7F22"/>
    <w:rsid w:val="001E0678"/>
    <w:rsid w:val="001E3484"/>
    <w:rsid w:val="001E3600"/>
    <w:rsid w:val="001E41EB"/>
    <w:rsid w:val="001E4265"/>
    <w:rsid w:val="001E4C33"/>
    <w:rsid w:val="001E60A0"/>
    <w:rsid w:val="001E6908"/>
    <w:rsid w:val="001E7C12"/>
    <w:rsid w:val="001F0F17"/>
    <w:rsid w:val="001F0F57"/>
    <w:rsid w:val="001F3347"/>
    <w:rsid w:val="001F4CF1"/>
    <w:rsid w:val="001F4E5A"/>
    <w:rsid w:val="001F4EF6"/>
    <w:rsid w:val="001F69E4"/>
    <w:rsid w:val="001F76DC"/>
    <w:rsid w:val="0020179E"/>
    <w:rsid w:val="0020239E"/>
    <w:rsid w:val="00202488"/>
    <w:rsid w:val="00203995"/>
    <w:rsid w:val="00204825"/>
    <w:rsid w:val="00207132"/>
    <w:rsid w:val="00207637"/>
    <w:rsid w:val="00207C86"/>
    <w:rsid w:val="002105FD"/>
    <w:rsid w:val="00211553"/>
    <w:rsid w:val="00211627"/>
    <w:rsid w:val="002125B4"/>
    <w:rsid w:val="00212E62"/>
    <w:rsid w:val="002155B8"/>
    <w:rsid w:val="002163B5"/>
    <w:rsid w:val="00216D9E"/>
    <w:rsid w:val="002171D2"/>
    <w:rsid w:val="00220960"/>
    <w:rsid w:val="00221EAD"/>
    <w:rsid w:val="002221C1"/>
    <w:rsid w:val="00222A39"/>
    <w:rsid w:val="002233FC"/>
    <w:rsid w:val="00223571"/>
    <w:rsid w:val="00223D78"/>
    <w:rsid w:val="0022479A"/>
    <w:rsid w:val="00224839"/>
    <w:rsid w:val="002249B2"/>
    <w:rsid w:val="00226574"/>
    <w:rsid w:val="00226894"/>
    <w:rsid w:val="0022722A"/>
    <w:rsid w:val="002274D8"/>
    <w:rsid w:val="002278EC"/>
    <w:rsid w:val="0023280E"/>
    <w:rsid w:val="002329E6"/>
    <w:rsid w:val="00232A2E"/>
    <w:rsid w:val="00233F26"/>
    <w:rsid w:val="00234951"/>
    <w:rsid w:val="00236C1A"/>
    <w:rsid w:val="00236FD6"/>
    <w:rsid w:val="00237673"/>
    <w:rsid w:val="002377D1"/>
    <w:rsid w:val="00237B19"/>
    <w:rsid w:val="00240BE5"/>
    <w:rsid w:val="00243164"/>
    <w:rsid w:val="00243818"/>
    <w:rsid w:val="00243F00"/>
    <w:rsid w:val="00244518"/>
    <w:rsid w:val="002453EA"/>
    <w:rsid w:val="0024571A"/>
    <w:rsid w:val="00246E8F"/>
    <w:rsid w:val="002476BA"/>
    <w:rsid w:val="00247D9E"/>
    <w:rsid w:val="0025033A"/>
    <w:rsid w:val="002506BC"/>
    <w:rsid w:val="0025172A"/>
    <w:rsid w:val="0025196B"/>
    <w:rsid w:val="0025244A"/>
    <w:rsid w:val="002526DE"/>
    <w:rsid w:val="00252940"/>
    <w:rsid w:val="00252B89"/>
    <w:rsid w:val="00254345"/>
    <w:rsid w:val="00254536"/>
    <w:rsid w:val="00255330"/>
    <w:rsid w:val="00256DD1"/>
    <w:rsid w:val="00257987"/>
    <w:rsid w:val="002617F8"/>
    <w:rsid w:val="00262137"/>
    <w:rsid w:val="00264557"/>
    <w:rsid w:val="002654A9"/>
    <w:rsid w:val="00270CFD"/>
    <w:rsid w:val="00271DE4"/>
    <w:rsid w:val="00273327"/>
    <w:rsid w:val="00273F17"/>
    <w:rsid w:val="002747C9"/>
    <w:rsid w:val="002756A7"/>
    <w:rsid w:val="0027787C"/>
    <w:rsid w:val="002779E1"/>
    <w:rsid w:val="00277DB5"/>
    <w:rsid w:val="002805AB"/>
    <w:rsid w:val="00280D4A"/>
    <w:rsid w:val="00283571"/>
    <w:rsid w:val="002837D6"/>
    <w:rsid w:val="00284204"/>
    <w:rsid w:val="00284998"/>
    <w:rsid w:val="00287F15"/>
    <w:rsid w:val="00291773"/>
    <w:rsid w:val="00293C12"/>
    <w:rsid w:val="0029422F"/>
    <w:rsid w:val="00295536"/>
    <w:rsid w:val="00295698"/>
    <w:rsid w:val="002957E2"/>
    <w:rsid w:val="00295915"/>
    <w:rsid w:val="00295B37"/>
    <w:rsid w:val="002A0CA3"/>
    <w:rsid w:val="002A0D9C"/>
    <w:rsid w:val="002A168C"/>
    <w:rsid w:val="002A1B41"/>
    <w:rsid w:val="002A24CF"/>
    <w:rsid w:val="002A2CA1"/>
    <w:rsid w:val="002A3DC7"/>
    <w:rsid w:val="002B12D3"/>
    <w:rsid w:val="002B1935"/>
    <w:rsid w:val="002B1D9C"/>
    <w:rsid w:val="002B21C7"/>
    <w:rsid w:val="002B2CF4"/>
    <w:rsid w:val="002B47CB"/>
    <w:rsid w:val="002B49E2"/>
    <w:rsid w:val="002B5150"/>
    <w:rsid w:val="002B72C0"/>
    <w:rsid w:val="002B78FD"/>
    <w:rsid w:val="002B7B00"/>
    <w:rsid w:val="002B7C44"/>
    <w:rsid w:val="002C1249"/>
    <w:rsid w:val="002C13D3"/>
    <w:rsid w:val="002C1427"/>
    <w:rsid w:val="002C152B"/>
    <w:rsid w:val="002C1AE2"/>
    <w:rsid w:val="002C2B17"/>
    <w:rsid w:val="002C2E12"/>
    <w:rsid w:val="002C36C8"/>
    <w:rsid w:val="002C5B9A"/>
    <w:rsid w:val="002D16A9"/>
    <w:rsid w:val="002D3DD0"/>
    <w:rsid w:val="002D451D"/>
    <w:rsid w:val="002D4786"/>
    <w:rsid w:val="002D5959"/>
    <w:rsid w:val="002D7C31"/>
    <w:rsid w:val="002E0BB3"/>
    <w:rsid w:val="002E10B9"/>
    <w:rsid w:val="002E1F3A"/>
    <w:rsid w:val="002E298A"/>
    <w:rsid w:val="002E29F0"/>
    <w:rsid w:val="002E4110"/>
    <w:rsid w:val="002E4854"/>
    <w:rsid w:val="002E52C5"/>
    <w:rsid w:val="002E5754"/>
    <w:rsid w:val="002E716E"/>
    <w:rsid w:val="002E7398"/>
    <w:rsid w:val="002F028D"/>
    <w:rsid w:val="002F14A5"/>
    <w:rsid w:val="002F4057"/>
    <w:rsid w:val="002F7614"/>
    <w:rsid w:val="002F7C1A"/>
    <w:rsid w:val="00301698"/>
    <w:rsid w:val="00301978"/>
    <w:rsid w:val="00302768"/>
    <w:rsid w:val="003028F1"/>
    <w:rsid w:val="00302BA0"/>
    <w:rsid w:val="00302BD5"/>
    <w:rsid w:val="0030332C"/>
    <w:rsid w:val="00303E2A"/>
    <w:rsid w:val="00304272"/>
    <w:rsid w:val="003045A1"/>
    <w:rsid w:val="00304B66"/>
    <w:rsid w:val="003051C2"/>
    <w:rsid w:val="0030664C"/>
    <w:rsid w:val="00306819"/>
    <w:rsid w:val="00306B4B"/>
    <w:rsid w:val="003075BD"/>
    <w:rsid w:val="00307F17"/>
    <w:rsid w:val="00310580"/>
    <w:rsid w:val="00311105"/>
    <w:rsid w:val="00312296"/>
    <w:rsid w:val="00312AFA"/>
    <w:rsid w:val="003135A6"/>
    <w:rsid w:val="003138CB"/>
    <w:rsid w:val="00314346"/>
    <w:rsid w:val="00314F0E"/>
    <w:rsid w:val="00316515"/>
    <w:rsid w:val="003215DC"/>
    <w:rsid w:val="003219A3"/>
    <w:rsid w:val="00321D8E"/>
    <w:rsid w:val="0032226E"/>
    <w:rsid w:val="00322573"/>
    <w:rsid w:val="00325928"/>
    <w:rsid w:val="00327DA7"/>
    <w:rsid w:val="003311C9"/>
    <w:rsid w:val="0033222C"/>
    <w:rsid w:val="00332863"/>
    <w:rsid w:val="00332E1A"/>
    <w:rsid w:val="00334B28"/>
    <w:rsid w:val="00334F3F"/>
    <w:rsid w:val="00334FB3"/>
    <w:rsid w:val="0033547A"/>
    <w:rsid w:val="00335918"/>
    <w:rsid w:val="003360A3"/>
    <w:rsid w:val="0033684D"/>
    <w:rsid w:val="00336CAB"/>
    <w:rsid w:val="00337B42"/>
    <w:rsid w:val="003402FF"/>
    <w:rsid w:val="003407B8"/>
    <w:rsid w:val="00340975"/>
    <w:rsid w:val="00341B42"/>
    <w:rsid w:val="003423FC"/>
    <w:rsid w:val="0034348F"/>
    <w:rsid w:val="00343FF9"/>
    <w:rsid w:val="003449B6"/>
    <w:rsid w:val="00345DD6"/>
    <w:rsid w:val="003476FD"/>
    <w:rsid w:val="00350D02"/>
    <w:rsid w:val="00351944"/>
    <w:rsid w:val="00354302"/>
    <w:rsid w:val="00354623"/>
    <w:rsid w:val="00355A6B"/>
    <w:rsid w:val="00356653"/>
    <w:rsid w:val="00356A71"/>
    <w:rsid w:val="00357269"/>
    <w:rsid w:val="0035743F"/>
    <w:rsid w:val="00357B5A"/>
    <w:rsid w:val="00357BE2"/>
    <w:rsid w:val="003616B7"/>
    <w:rsid w:val="0036170C"/>
    <w:rsid w:val="00361B17"/>
    <w:rsid w:val="00361F82"/>
    <w:rsid w:val="00361F9A"/>
    <w:rsid w:val="0036460F"/>
    <w:rsid w:val="0036571A"/>
    <w:rsid w:val="003658E3"/>
    <w:rsid w:val="0036612B"/>
    <w:rsid w:val="0036690D"/>
    <w:rsid w:val="00366A9C"/>
    <w:rsid w:val="00366E0F"/>
    <w:rsid w:val="00367684"/>
    <w:rsid w:val="00367FB5"/>
    <w:rsid w:val="00370B51"/>
    <w:rsid w:val="00372BB8"/>
    <w:rsid w:val="00372FB2"/>
    <w:rsid w:val="00373950"/>
    <w:rsid w:val="00373AF7"/>
    <w:rsid w:val="00373F1B"/>
    <w:rsid w:val="003757B5"/>
    <w:rsid w:val="00375C02"/>
    <w:rsid w:val="003774DF"/>
    <w:rsid w:val="0037799A"/>
    <w:rsid w:val="003818C0"/>
    <w:rsid w:val="00381A72"/>
    <w:rsid w:val="00384369"/>
    <w:rsid w:val="00384676"/>
    <w:rsid w:val="00385842"/>
    <w:rsid w:val="00386EFE"/>
    <w:rsid w:val="003906D4"/>
    <w:rsid w:val="00390857"/>
    <w:rsid w:val="003910E9"/>
    <w:rsid w:val="00393DFA"/>
    <w:rsid w:val="003957BA"/>
    <w:rsid w:val="0039746A"/>
    <w:rsid w:val="003A064C"/>
    <w:rsid w:val="003A1905"/>
    <w:rsid w:val="003A4BF3"/>
    <w:rsid w:val="003A5F09"/>
    <w:rsid w:val="003A6318"/>
    <w:rsid w:val="003A647D"/>
    <w:rsid w:val="003A795E"/>
    <w:rsid w:val="003A7F68"/>
    <w:rsid w:val="003B1081"/>
    <w:rsid w:val="003B2C91"/>
    <w:rsid w:val="003B420D"/>
    <w:rsid w:val="003B5E5A"/>
    <w:rsid w:val="003B643A"/>
    <w:rsid w:val="003B6E22"/>
    <w:rsid w:val="003B7D36"/>
    <w:rsid w:val="003C02DF"/>
    <w:rsid w:val="003C1EC9"/>
    <w:rsid w:val="003C2DAC"/>
    <w:rsid w:val="003C3001"/>
    <w:rsid w:val="003C4374"/>
    <w:rsid w:val="003C4539"/>
    <w:rsid w:val="003C50C0"/>
    <w:rsid w:val="003C5197"/>
    <w:rsid w:val="003C6C16"/>
    <w:rsid w:val="003D267E"/>
    <w:rsid w:val="003D41B3"/>
    <w:rsid w:val="003D4942"/>
    <w:rsid w:val="003D4C9C"/>
    <w:rsid w:val="003D598A"/>
    <w:rsid w:val="003D6710"/>
    <w:rsid w:val="003D7881"/>
    <w:rsid w:val="003D794D"/>
    <w:rsid w:val="003E0C2E"/>
    <w:rsid w:val="003E19B3"/>
    <w:rsid w:val="003E216C"/>
    <w:rsid w:val="003E3058"/>
    <w:rsid w:val="003E422B"/>
    <w:rsid w:val="003E70D0"/>
    <w:rsid w:val="003E714E"/>
    <w:rsid w:val="003E76A9"/>
    <w:rsid w:val="003F020D"/>
    <w:rsid w:val="003F0809"/>
    <w:rsid w:val="003F1F8A"/>
    <w:rsid w:val="003F41A2"/>
    <w:rsid w:val="003F4C9B"/>
    <w:rsid w:val="003F5ABC"/>
    <w:rsid w:val="003F5F2A"/>
    <w:rsid w:val="003F6A8C"/>
    <w:rsid w:val="003F713A"/>
    <w:rsid w:val="003F755C"/>
    <w:rsid w:val="003F76B7"/>
    <w:rsid w:val="004017D6"/>
    <w:rsid w:val="00401DDE"/>
    <w:rsid w:val="00402D4E"/>
    <w:rsid w:val="00402EEA"/>
    <w:rsid w:val="00404D07"/>
    <w:rsid w:val="00406228"/>
    <w:rsid w:val="004068BE"/>
    <w:rsid w:val="00406F01"/>
    <w:rsid w:val="00407C6D"/>
    <w:rsid w:val="00411692"/>
    <w:rsid w:val="00411EA3"/>
    <w:rsid w:val="00413E09"/>
    <w:rsid w:val="004140B1"/>
    <w:rsid w:val="0041447C"/>
    <w:rsid w:val="004144DF"/>
    <w:rsid w:val="00416D50"/>
    <w:rsid w:val="00416FD5"/>
    <w:rsid w:val="00417772"/>
    <w:rsid w:val="00420E6A"/>
    <w:rsid w:val="0042208C"/>
    <w:rsid w:val="00422EAF"/>
    <w:rsid w:val="00423B1E"/>
    <w:rsid w:val="00423FB4"/>
    <w:rsid w:val="004240AF"/>
    <w:rsid w:val="004255A2"/>
    <w:rsid w:val="00425A1B"/>
    <w:rsid w:val="00425A9E"/>
    <w:rsid w:val="0042660D"/>
    <w:rsid w:val="00426D6B"/>
    <w:rsid w:val="00426FE2"/>
    <w:rsid w:val="00430DF4"/>
    <w:rsid w:val="00431E6C"/>
    <w:rsid w:val="00433CE7"/>
    <w:rsid w:val="0043444C"/>
    <w:rsid w:val="00434E40"/>
    <w:rsid w:val="00435077"/>
    <w:rsid w:val="004350F9"/>
    <w:rsid w:val="00436FA8"/>
    <w:rsid w:val="0044057D"/>
    <w:rsid w:val="00440CA6"/>
    <w:rsid w:val="00441856"/>
    <w:rsid w:val="00442240"/>
    <w:rsid w:val="00442ABA"/>
    <w:rsid w:val="004442BB"/>
    <w:rsid w:val="00444FBC"/>
    <w:rsid w:val="00445736"/>
    <w:rsid w:val="00446BFD"/>
    <w:rsid w:val="004470E0"/>
    <w:rsid w:val="00447F83"/>
    <w:rsid w:val="004519EA"/>
    <w:rsid w:val="00452738"/>
    <w:rsid w:val="00453F14"/>
    <w:rsid w:val="00454094"/>
    <w:rsid w:val="004541AB"/>
    <w:rsid w:val="00456091"/>
    <w:rsid w:val="0045697D"/>
    <w:rsid w:val="00457663"/>
    <w:rsid w:val="004609C3"/>
    <w:rsid w:val="00462FD6"/>
    <w:rsid w:val="0046498C"/>
    <w:rsid w:val="004650A2"/>
    <w:rsid w:val="00466321"/>
    <w:rsid w:val="0047051E"/>
    <w:rsid w:val="00470758"/>
    <w:rsid w:val="00471A4F"/>
    <w:rsid w:val="00473426"/>
    <w:rsid w:val="00474BE4"/>
    <w:rsid w:val="00474D86"/>
    <w:rsid w:val="00475EF6"/>
    <w:rsid w:val="00476737"/>
    <w:rsid w:val="004800A4"/>
    <w:rsid w:val="00480874"/>
    <w:rsid w:val="004822C3"/>
    <w:rsid w:val="004827EE"/>
    <w:rsid w:val="00482A63"/>
    <w:rsid w:val="004839A2"/>
    <w:rsid w:val="00483A77"/>
    <w:rsid w:val="00484039"/>
    <w:rsid w:val="00484B9B"/>
    <w:rsid w:val="004855F6"/>
    <w:rsid w:val="0048560C"/>
    <w:rsid w:val="0048661E"/>
    <w:rsid w:val="00487F67"/>
    <w:rsid w:val="0049257C"/>
    <w:rsid w:val="00492B33"/>
    <w:rsid w:val="00494670"/>
    <w:rsid w:val="0049494A"/>
    <w:rsid w:val="00494C9E"/>
    <w:rsid w:val="004954D7"/>
    <w:rsid w:val="0049585D"/>
    <w:rsid w:val="00497605"/>
    <w:rsid w:val="004A291D"/>
    <w:rsid w:val="004A3823"/>
    <w:rsid w:val="004A4FDC"/>
    <w:rsid w:val="004A58EC"/>
    <w:rsid w:val="004B2EDE"/>
    <w:rsid w:val="004B3720"/>
    <w:rsid w:val="004B3E12"/>
    <w:rsid w:val="004B72C5"/>
    <w:rsid w:val="004C2770"/>
    <w:rsid w:val="004C7180"/>
    <w:rsid w:val="004C7A6D"/>
    <w:rsid w:val="004D0DB3"/>
    <w:rsid w:val="004D2F0B"/>
    <w:rsid w:val="004D3CBB"/>
    <w:rsid w:val="004D4E93"/>
    <w:rsid w:val="004D7A0D"/>
    <w:rsid w:val="004E1557"/>
    <w:rsid w:val="004E2623"/>
    <w:rsid w:val="004E355D"/>
    <w:rsid w:val="004E36D8"/>
    <w:rsid w:val="004E4AF6"/>
    <w:rsid w:val="004E531D"/>
    <w:rsid w:val="004E6946"/>
    <w:rsid w:val="004E7A7D"/>
    <w:rsid w:val="004E7F75"/>
    <w:rsid w:val="004F0C0D"/>
    <w:rsid w:val="004F1AD8"/>
    <w:rsid w:val="004F1E0B"/>
    <w:rsid w:val="004F2A31"/>
    <w:rsid w:val="004F31F5"/>
    <w:rsid w:val="004F51F1"/>
    <w:rsid w:val="004F5712"/>
    <w:rsid w:val="004F5EE6"/>
    <w:rsid w:val="004F73B0"/>
    <w:rsid w:val="00500483"/>
    <w:rsid w:val="00500878"/>
    <w:rsid w:val="005017CB"/>
    <w:rsid w:val="005039CB"/>
    <w:rsid w:val="005041EF"/>
    <w:rsid w:val="0050558F"/>
    <w:rsid w:val="00506286"/>
    <w:rsid w:val="0050646D"/>
    <w:rsid w:val="005106E4"/>
    <w:rsid w:val="00510813"/>
    <w:rsid w:val="00511990"/>
    <w:rsid w:val="00511AA9"/>
    <w:rsid w:val="00511DE0"/>
    <w:rsid w:val="005130C9"/>
    <w:rsid w:val="00513419"/>
    <w:rsid w:val="00514407"/>
    <w:rsid w:val="005144C3"/>
    <w:rsid w:val="00514870"/>
    <w:rsid w:val="00514B9B"/>
    <w:rsid w:val="00514E66"/>
    <w:rsid w:val="00516C7D"/>
    <w:rsid w:val="00517053"/>
    <w:rsid w:val="005172CD"/>
    <w:rsid w:val="00517F02"/>
    <w:rsid w:val="005216E5"/>
    <w:rsid w:val="00521B36"/>
    <w:rsid w:val="00522EC6"/>
    <w:rsid w:val="00523417"/>
    <w:rsid w:val="00523A44"/>
    <w:rsid w:val="00524052"/>
    <w:rsid w:val="00524303"/>
    <w:rsid w:val="005258A2"/>
    <w:rsid w:val="00526D46"/>
    <w:rsid w:val="005324F8"/>
    <w:rsid w:val="00532569"/>
    <w:rsid w:val="00535966"/>
    <w:rsid w:val="00535EAA"/>
    <w:rsid w:val="00537A60"/>
    <w:rsid w:val="00537E8E"/>
    <w:rsid w:val="005401AE"/>
    <w:rsid w:val="00540549"/>
    <w:rsid w:val="005413C4"/>
    <w:rsid w:val="005413F0"/>
    <w:rsid w:val="0054240F"/>
    <w:rsid w:val="0054296E"/>
    <w:rsid w:val="00542E07"/>
    <w:rsid w:val="00543D7B"/>
    <w:rsid w:val="00545424"/>
    <w:rsid w:val="00545B4D"/>
    <w:rsid w:val="005476B6"/>
    <w:rsid w:val="00550BA2"/>
    <w:rsid w:val="00551730"/>
    <w:rsid w:val="005527B0"/>
    <w:rsid w:val="00554A7B"/>
    <w:rsid w:val="005555A6"/>
    <w:rsid w:val="0055572C"/>
    <w:rsid w:val="00555804"/>
    <w:rsid w:val="00556348"/>
    <w:rsid w:val="00556906"/>
    <w:rsid w:val="005608CB"/>
    <w:rsid w:val="0056106A"/>
    <w:rsid w:val="00561C5A"/>
    <w:rsid w:val="005623BE"/>
    <w:rsid w:val="00562DBD"/>
    <w:rsid w:val="00563FF0"/>
    <w:rsid w:val="00565737"/>
    <w:rsid w:val="00565D57"/>
    <w:rsid w:val="005717EF"/>
    <w:rsid w:val="005720AE"/>
    <w:rsid w:val="00572FC1"/>
    <w:rsid w:val="005747BE"/>
    <w:rsid w:val="00574FB9"/>
    <w:rsid w:val="0057572C"/>
    <w:rsid w:val="00575AB0"/>
    <w:rsid w:val="005765DD"/>
    <w:rsid w:val="00576786"/>
    <w:rsid w:val="005778DE"/>
    <w:rsid w:val="00580885"/>
    <w:rsid w:val="005815B0"/>
    <w:rsid w:val="00582099"/>
    <w:rsid w:val="005826D6"/>
    <w:rsid w:val="00582997"/>
    <w:rsid w:val="00583100"/>
    <w:rsid w:val="00583C14"/>
    <w:rsid w:val="00587974"/>
    <w:rsid w:val="005906CC"/>
    <w:rsid w:val="00590AFA"/>
    <w:rsid w:val="005949DA"/>
    <w:rsid w:val="00594D77"/>
    <w:rsid w:val="00595F3F"/>
    <w:rsid w:val="005969E4"/>
    <w:rsid w:val="005A06B7"/>
    <w:rsid w:val="005A11D0"/>
    <w:rsid w:val="005A1759"/>
    <w:rsid w:val="005A1F09"/>
    <w:rsid w:val="005A563F"/>
    <w:rsid w:val="005A5846"/>
    <w:rsid w:val="005A65E6"/>
    <w:rsid w:val="005A6699"/>
    <w:rsid w:val="005A68A3"/>
    <w:rsid w:val="005A68A7"/>
    <w:rsid w:val="005A7A22"/>
    <w:rsid w:val="005A7B77"/>
    <w:rsid w:val="005B108B"/>
    <w:rsid w:val="005B1702"/>
    <w:rsid w:val="005B1E13"/>
    <w:rsid w:val="005B24DF"/>
    <w:rsid w:val="005B2CA5"/>
    <w:rsid w:val="005B36AF"/>
    <w:rsid w:val="005B43A4"/>
    <w:rsid w:val="005B6E22"/>
    <w:rsid w:val="005B774D"/>
    <w:rsid w:val="005C33F4"/>
    <w:rsid w:val="005C43A1"/>
    <w:rsid w:val="005C4453"/>
    <w:rsid w:val="005C4F02"/>
    <w:rsid w:val="005D2B53"/>
    <w:rsid w:val="005D3039"/>
    <w:rsid w:val="005D36AB"/>
    <w:rsid w:val="005D4AFA"/>
    <w:rsid w:val="005D654B"/>
    <w:rsid w:val="005E0264"/>
    <w:rsid w:val="005E0F43"/>
    <w:rsid w:val="005E271D"/>
    <w:rsid w:val="005E3139"/>
    <w:rsid w:val="005E4198"/>
    <w:rsid w:val="005E4568"/>
    <w:rsid w:val="005E5D07"/>
    <w:rsid w:val="005E6619"/>
    <w:rsid w:val="005E7A7A"/>
    <w:rsid w:val="005F318D"/>
    <w:rsid w:val="005F36ED"/>
    <w:rsid w:val="005F4214"/>
    <w:rsid w:val="005F54CC"/>
    <w:rsid w:val="005F5ED9"/>
    <w:rsid w:val="005F638F"/>
    <w:rsid w:val="005F651C"/>
    <w:rsid w:val="005F68D5"/>
    <w:rsid w:val="005F6CF5"/>
    <w:rsid w:val="006024B6"/>
    <w:rsid w:val="00602E6A"/>
    <w:rsid w:val="00603786"/>
    <w:rsid w:val="006046B2"/>
    <w:rsid w:val="0060784D"/>
    <w:rsid w:val="00610500"/>
    <w:rsid w:val="006107B6"/>
    <w:rsid w:val="006129D1"/>
    <w:rsid w:val="00612E95"/>
    <w:rsid w:val="00613AE3"/>
    <w:rsid w:val="006141F4"/>
    <w:rsid w:val="00614CC3"/>
    <w:rsid w:val="00617CC3"/>
    <w:rsid w:val="0062102A"/>
    <w:rsid w:val="006215B3"/>
    <w:rsid w:val="00621707"/>
    <w:rsid w:val="0062257F"/>
    <w:rsid w:val="00623C67"/>
    <w:rsid w:val="00625AAB"/>
    <w:rsid w:val="0062630E"/>
    <w:rsid w:val="0062645A"/>
    <w:rsid w:val="00626969"/>
    <w:rsid w:val="00626CA0"/>
    <w:rsid w:val="00626F53"/>
    <w:rsid w:val="006278BC"/>
    <w:rsid w:val="00630E5B"/>
    <w:rsid w:val="00633E31"/>
    <w:rsid w:val="006342B7"/>
    <w:rsid w:val="006351C1"/>
    <w:rsid w:val="00635903"/>
    <w:rsid w:val="006359E2"/>
    <w:rsid w:val="00635B53"/>
    <w:rsid w:val="006377A6"/>
    <w:rsid w:val="00637A3D"/>
    <w:rsid w:val="00640BAB"/>
    <w:rsid w:val="006411EF"/>
    <w:rsid w:val="006415C7"/>
    <w:rsid w:val="00641CAE"/>
    <w:rsid w:val="00643458"/>
    <w:rsid w:val="00643E0D"/>
    <w:rsid w:val="0064459A"/>
    <w:rsid w:val="00644979"/>
    <w:rsid w:val="006453C4"/>
    <w:rsid w:val="00645F4E"/>
    <w:rsid w:val="00646674"/>
    <w:rsid w:val="00646D75"/>
    <w:rsid w:val="006509EA"/>
    <w:rsid w:val="00650A47"/>
    <w:rsid w:val="00651C9C"/>
    <w:rsid w:val="00651F08"/>
    <w:rsid w:val="00652A22"/>
    <w:rsid w:val="00652CA7"/>
    <w:rsid w:val="006534D4"/>
    <w:rsid w:val="00653DD3"/>
    <w:rsid w:val="006557E8"/>
    <w:rsid w:val="00655F84"/>
    <w:rsid w:val="006573F8"/>
    <w:rsid w:val="006579C8"/>
    <w:rsid w:val="00662573"/>
    <w:rsid w:val="00662E29"/>
    <w:rsid w:val="0066600F"/>
    <w:rsid w:val="00667071"/>
    <w:rsid w:val="00667184"/>
    <w:rsid w:val="00667208"/>
    <w:rsid w:val="0067021A"/>
    <w:rsid w:val="00670D46"/>
    <w:rsid w:val="00670D97"/>
    <w:rsid w:val="00670FD7"/>
    <w:rsid w:val="00671758"/>
    <w:rsid w:val="006748B8"/>
    <w:rsid w:val="00674B2A"/>
    <w:rsid w:val="006755E5"/>
    <w:rsid w:val="006775C3"/>
    <w:rsid w:val="006776D4"/>
    <w:rsid w:val="00677A49"/>
    <w:rsid w:val="0068051F"/>
    <w:rsid w:val="00681286"/>
    <w:rsid w:val="00681613"/>
    <w:rsid w:val="00681D50"/>
    <w:rsid w:val="006842B8"/>
    <w:rsid w:val="006844FA"/>
    <w:rsid w:val="00685F8D"/>
    <w:rsid w:val="00686D12"/>
    <w:rsid w:val="006871DB"/>
    <w:rsid w:val="00687DA5"/>
    <w:rsid w:val="006904FB"/>
    <w:rsid w:val="0069290A"/>
    <w:rsid w:val="00693049"/>
    <w:rsid w:val="00693678"/>
    <w:rsid w:val="00694575"/>
    <w:rsid w:val="006964AE"/>
    <w:rsid w:val="006969DD"/>
    <w:rsid w:val="0069775A"/>
    <w:rsid w:val="00697813"/>
    <w:rsid w:val="006A0FF3"/>
    <w:rsid w:val="006A3A52"/>
    <w:rsid w:val="006A3EE8"/>
    <w:rsid w:val="006A4489"/>
    <w:rsid w:val="006A4D55"/>
    <w:rsid w:val="006A72BF"/>
    <w:rsid w:val="006A756E"/>
    <w:rsid w:val="006B03F2"/>
    <w:rsid w:val="006B064B"/>
    <w:rsid w:val="006B11E2"/>
    <w:rsid w:val="006B135A"/>
    <w:rsid w:val="006B1710"/>
    <w:rsid w:val="006B1D4B"/>
    <w:rsid w:val="006B29E7"/>
    <w:rsid w:val="006B37DC"/>
    <w:rsid w:val="006B4F68"/>
    <w:rsid w:val="006B5948"/>
    <w:rsid w:val="006B6E02"/>
    <w:rsid w:val="006B6F5F"/>
    <w:rsid w:val="006C0037"/>
    <w:rsid w:val="006C0592"/>
    <w:rsid w:val="006C074C"/>
    <w:rsid w:val="006C272E"/>
    <w:rsid w:val="006C2BB6"/>
    <w:rsid w:val="006C5479"/>
    <w:rsid w:val="006C65FC"/>
    <w:rsid w:val="006D0BE0"/>
    <w:rsid w:val="006D13B5"/>
    <w:rsid w:val="006D357C"/>
    <w:rsid w:val="006D476F"/>
    <w:rsid w:val="006D4C8F"/>
    <w:rsid w:val="006D4F0D"/>
    <w:rsid w:val="006D5157"/>
    <w:rsid w:val="006D5914"/>
    <w:rsid w:val="006D64FB"/>
    <w:rsid w:val="006E070A"/>
    <w:rsid w:val="006E12FF"/>
    <w:rsid w:val="006E1338"/>
    <w:rsid w:val="006E137A"/>
    <w:rsid w:val="006E1F65"/>
    <w:rsid w:val="006E21E7"/>
    <w:rsid w:val="006E5452"/>
    <w:rsid w:val="006E607E"/>
    <w:rsid w:val="006E6C64"/>
    <w:rsid w:val="006E705D"/>
    <w:rsid w:val="006E7FB0"/>
    <w:rsid w:val="006F11D3"/>
    <w:rsid w:val="006F156A"/>
    <w:rsid w:val="006F1D12"/>
    <w:rsid w:val="006F27A5"/>
    <w:rsid w:val="006F2B97"/>
    <w:rsid w:val="006F3355"/>
    <w:rsid w:val="006F3CE6"/>
    <w:rsid w:val="006F6160"/>
    <w:rsid w:val="006F62F8"/>
    <w:rsid w:val="006F7B71"/>
    <w:rsid w:val="00700571"/>
    <w:rsid w:val="00701A0F"/>
    <w:rsid w:val="0070250A"/>
    <w:rsid w:val="00702F34"/>
    <w:rsid w:val="00705F26"/>
    <w:rsid w:val="00706C5D"/>
    <w:rsid w:val="00707CDA"/>
    <w:rsid w:val="00711646"/>
    <w:rsid w:val="0071252A"/>
    <w:rsid w:val="00713537"/>
    <w:rsid w:val="00715121"/>
    <w:rsid w:val="00715F49"/>
    <w:rsid w:val="00716569"/>
    <w:rsid w:val="00717146"/>
    <w:rsid w:val="00720E48"/>
    <w:rsid w:val="00720F5C"/>
    <w:rsid w:val="007211C5"/>
    <w:rsid w:val="007215FB"/>
    <w:rsid w:val="007242DD"/>
    <w:rsid w:val="0072479B"/>
    <w:rsid w:val="007249D9"/>
    <w:rsid w:val="0072513B"/>
    <w:rsid w:val="00730CE1"/>
    <w:rsid w:val="00731ADD"/>
    <w:rsid w:val="00731F3A"/>
    <w:rsid w:val="00732922"/>
    <w:rsid w:val="00733AA8"/>
    <w:rsid w:val="0073515E"/>
    <w:rsid w:val="00735B62"/>
    <w:rsid w:val="00737C0C"/>
    <w:rsid w:val="00740A24"/>
    <w:rsid w:val="00740C19"/>
    <w:rsid w:val="007414B8"/>
    <w:rsid w:val="007420BB"/>
    <w:rsid w:val="00745889"/>
    <w:rsid w:val="00745C13"/>
    <w:rsid w:val="00746566"/>
    <w:rsid w:val="00747B52"/>
    <w:rsid w:val="00750E58"/>
    <w:rsid w:val="0075162E"/>
    <w:rsid w:val="00751C37"/>
    <w:rsid w:val="00752471"/>
    <w:rsid w:val="00752622"/>
    <w:rsid w:val="00754034"/>
    <w:rsid w:val="007541FF"/>
    <w:rsid w:val="0075490A"/>
    <w:rsid w:val="00756556"/>
    <w:rsid w:val="0076068B"/>
    <w:rsid w:val="00760C9B"/>
    <w:rsid w:val="007618C4"/>
    <w:rsid w:val="00762257"/>
    <w:rsid w:val="007626D8"/>
    <w:rsid w:val="0076435D"/>
    <w:rsid w:val="00764525"/>
    <w:rsid w:val="0076502E"/>
    <w:rsid w:val="0076539A"/>
    <w:rsid w:val="00767980"/>
    <w:rsid w:val="007679AF"/>
    <w:rsid w:val="00767D25"/>
    <w:rsid w:val="00770B19"/>
    <w:rsid w:val="007720EF"/>
    <w:rsid w:val="0077212D"/>
    <w:rsid w:val="007721F5"/>
    <w:rsid w:val="00773392"/>
    <w:rsid w:val="007737BC"/>
    <w:rsid w:val="00773D82"/>
    <w:rsid w:val="0077463F"/>
    <w:rsid w:val="00776035"/>
    <w:rsid w:val="00776CFC"/>
    <w:rsid w:val="007800E2"/>
    <w:rsid w:val="00781C09"/>
    <w:rsid w:val="007820CA"/>
    <w:rsid w:val="0078263F"/>
    <w:rsid w:val="007831EF"/>
    <w:rsid w:val="007836EA"/>
    <w:rsid w:val="00784B66"/>
    <w:rsid w:val="00784CDA"/>
    <w:rsid w:val="007852E6"/>
    <w:rsid w:val="00785945"/>
    <w:rsid w:val="007906C4"/>
    <w:rsid w:val="00790F09"/>
    <w:rsid w:val="0079379E"/>
    <w:rsid w:val="00793ACA"/>
    <w:rsid w:val="007940EA"/>
    <w:rsid w:val="0079440E"/>
    <w:rsid w:val="0079665C"/>
    <w:rsid w:val="007967E8"/>
    <w:rsid w:val="0079687A"/>
    <w:rsid w:val="007A0B39"/>
    <w:rsid w:val="007A1AE0"/>
    <w:rsid w:val="007A1DD7"/>
    <w:rsid w:val="007A2170"/>
    <w:rsid w:val="007A22BF"/>
    <w:rsid w:val="007A3323"/>
    <w:rsid w:val="007A3C5E"/>
    <w:rsid w:val="007A537B"/>
    <w:rsid w:val="007B30E9"/>
    <w:rsid w:val="007B3611"/>
    <w:rsid w:val="007B42DF"/>
    <w:rsid w:val="007B6B21"/>
    <w:rsid w:val="007B6DEB"/>
    <w:rsid w:val="007B72B8"/>
    <w:rsid w:val="007B7A58"/>
    <w:rsid w:val="007C0773"/>
    <w:rsid w:val="007C0857"/>
    <w:rsid w:val="007C0A1A"/>
    <w:rsid w:val="007C14BD"/>
    <w:rsid w:val="007C21B5"/>
    <w:rsid w:val="007C41D1"/>
    <w:rsid w:val="007C5F69"/>
    <w:rsid w:val="007D1977"/>
    <w:rsid w:val="007D2F46"/>
    <w:rsid w:val="007D40A0"/>
    <w:rsid w:val="007D44AD"/>
    <w:rsid w:val="007D4D8A"/>
    <w:rsid w:val="007D6AFF"/>
    <w:rsid w:val="007D7A86"/>
    <w:rsid w:val="007E036C"/>
    <w:rsid w:val="007E19CB"/>
    <w:rsid w:val="007E1BF1"/>
    <w:rsid w:val="007E1F26"/>
    <w:rsid w:val="007E32A5"/>
    <w:rsid w:val="007E4BD2"/>
    <w:rsid w:val="007E4D23"/>
    <w:rsid w:val="007E6AC2"/>
    <w:rsid w:val="007F0590"/>
    <w:rsid w:val="007F18AE"/>
    <w:rsid w:val="007F1C8F"/>
    <w:rsid w:val="007F2687"/>
    <w:rsid w:val="007F2EC3"/>
    <w:rsid w:val="007F4E76"/>
    <w:rsid w:val="007F509B"/>
    <w:rsid w:val="007F557F"/>
    <w:rsid w:val="00800BD0"/>
    <w:rsid w:val="00801393"/>
    <w:rsid w:val="00802C6E"/>
    <w:rsid w:val="00802F49"/>
    <w:rsid w:val="00802F88"/>
    <w:rsid w:val="00803A37"/>
    <w:rsid w:val="00804775"/>
    <w:rsid w:val="00806303"/>
    <w:rsid w:val="00806BF9"/>
    <w:rsid w:val="00811942"/>
    <w:rsid w:val="0081293E"/>
    <w:rsid w:val="00814496"/>
    <w:rsid w:val="00814F26"/>
    <w:rsid w:val="008152EA"/>
    <w:rsid w:val="00815465"/>
    <w:rsid w:val="00817187"/>
    <w:rsid w:val="00817527"/>
    <w:rsid w:val="008175E5"/>
    <w:rsid w:val="00817E9A"/>
    <w:rsid w:val="00821B0D"/>
    <w:rsid w:val="008228EC"/>
    <w:rsid w:val="008238A3"/>
    <w:rsid w:val="00823FA1"/>
    <w:rsid w:val="00824426"/>
    <w:rsid w:val="008250C2"/>
    <w:rsid w:val="00825C76"/>
    <w:rsid w:val="008306BD"/>
    <w:rsid w:val="00830FD4"/>
    <w:rsid w:val="00831A80"/>
    <w:rsid w:val="0083224F"/>
    <w:rsid w:val="0083231A"/>
    <w:rsid w:val="008324EE"/>
    <w:rsid w:val="00832E7C"/>
    <w:rsid w:val="008330C3"/>
    <w:rsid w:val="00833743"/>
    <w:rsid w:val="008340A4"/>
    <w:rsid w:val="008340A8"/>
    <w:rsid w:val="008341F6"/>
    <w:rsid w:val="0083532F"/>
    <w:rsid w:val="008357E8"/>
    <w:rsid w:val="0084037A"/>
    <w:rsid w:val="00840F4C"/>
    <w:rsid w:val="00841B31"/>
    <w:rsid w:val="00843059"/>
    <w:rsid w:val="0084473C"/>
    <w:rsid w:val="00844B6B"/>
    <w:rsid w:val="00844F37"/>
    <w:rsid w:val="00846684"/>
    <w:rsid w:val="0084696D"/>
    <w:rsid w:val="008515A5"/>
    <w:rsid w:val="00852554"/>
    <w:rsid w:val="00852A55"/>
    <w:rsid w:val="00852BA0"/>
    <w:rsid w:val="0085308D"/>
    <w:rsid w:val="00854EB6"/>
    <w:rsid w:val="0085583E"/>
    <w:rsid w:val="0085597A"/>
    <w:rsid w:val="00855DCA"/>
    <w:rsid w:val="00856948"/>
    <w:rsid w:val="00856E9A"/>
    <w:rsid w:val="00860964"/>
    <w:rsid w:val="00861149"/>
    <w:rsid w:val="0086402B"/>
    <w:rsid w:val="008653C5"/>
    <w:rsid w:val="00866B52"/>
    <w:rsid w:val="00867D92"/>
    <w:rsid w:val="0087135F"/>
    <w:rsid w:val="0087187A"/>
    <w:rsid w:val="00871F66"/>
    <w:rsid w:val="00872A08"/>
    <w:rsid w:val="00872B6C"/>
    <w:rsid w:val="00872D94"/>
    <w:rsid w:val="00872FD0"/>
    <w:rsid w:val="00875299"/>
    <w:rsid w:val="00875EF8"/>
    <w:rsid w:val="00880364"/>
    <w:rsid w:val="00880428"/>
    <w:rsid w:val="008816F0"/>
    <w:rsid w:val="00881A2C"/>
    <w:rsid w:val="008824F7"/>
    <w:rsid w:val="008835B4"/>
    <w:rsid w:val="0088512D"/>
    <w:rsid w:val="00885F4D"/>
    <w:rsid w:val="00886950"/>
    <w:rsid w:val="00886CFE"/>
    <w:rsid w:val="00887E91"/>
    <w:rsid w:val="008912AD"/>
    <w:rsid w:val="00891592"/>
    <w:rsid w:val="00891E9E"/>
    <w:rsid w:val="008925C9"/>
    <w:rsid w:val="00894B81"/>
    <w:rsid w:val="00895E74"/>
    <w:rsid w:val="00897242"/>
    <w:rsid w:val="0089742B"/>
    <w:rsid w:val="008A00D8"/>
    <w:rsid w:val="008A0701"/>
    <w:rsid w:val="008A2F68"/>
    <w:rsid w:val="008A331C"/>
    <w:rsid w:val="008A3DD8"/>
    <w:rsid w:val="008A45E9"/>
    <w:rsid w:val="008A5270"/>
    <w:rsid w:val="008A71BF"/>
    <w:rsid w:val="008A792D"/>
    <w:rsid w:val="008B04C8"/>
    <w:rsid w:val="008B1B66"/>
    <w:rsid w:val="008B2F5B"/>
    <w:rsid w:val="008B30EF"/>
    <w:rsid w:val="008B4546"/>
    <w:rsid w:val="008B4E77"/>
    <w:rsid w:val="008B4FA6"/>
    <w:rsid w:val="008B5282"/>
    <w:rsid w:val="008B6114"/>
    <w:rsid w:val="008B7C17"/>
    <w:rsid w:val="008C0DAE"/>
    <w:rsid w:val="008C1A70"/>
    <w:rsid w:val="008C1D9A"/>
    <w:rsid w:val="008C2B95"/>
    <w:rsid w:val="008C2D01"/>
    <w:rsid w:val="008C40E6"/>
    <w:rsid w:val="008C489D"/>
    <w:rsid w:val="008C6362"/>
    <w:rsid w:val="008C63EC"/>
    <w:rsid w:val="008C6DCD"/>
    <w:rsid w:val="008C769A"/>
    <w:rsid w:val="008C77EB"/>
    <w:rsid w:val="008D0F7A"/>
    <w:rsid w:val="008D16C1"/>
    <w:rsid w:val="008D172E"/>
    <w:rsid w:val="008D28BA"/>
    <w:rsid w:val="008D2B37"/>
    <w:rsid w:val="008D4426"/>
    <w:rsid w:val="008D56E2"/>
    <w:rsid w:val="008D5BBA"/>
    <w:rsid w:val="008D68E4"/>
    <w:rsid w:val="008D75CB"/>
    <w:rsid w:val="008D77A3"/>
    <w:rsid w:val="008E0281"/>
    <w:rsid w:val="008E0325"/>
    <w:rsid w:val="008E0506"/>
    <w:rsid w:val="008E0994"/>
    <w:rsid w:val="008E0CFF"/>
    <w:rsid w:val="008E0D4E"/>
    <w:rsid w:val="008E1F81"/>
    <w:rsid w:val="008E2228"/>
    <w:rsid w:val="008E2925"/>
    <w:rsid w:val="008E4916"/>
    <w:rsid w:val="008E4C18"/>
    <w:rsid w:val="008E5D6B"/>
    <w:rsid w:val="008E76F0"/>
    <w:rsid w:val="008F15FE"/>
    <w:rsid w:val="008F1AAB"/>
    <w:rsid w:val="008F26B2"/>
    <w:rsid w:val="008F2D29"/>
    <w:rsid w:val="008F3B69"/>
    <w:rsid w:val="008F3F6D"/>
    <w:rsid w:val="008F5187"/>
    <w:rsid w:val="008F5929"/>
    <w:rsid w:val="008F5AE8"/>
    <w:rsid w:val="008F60D8"/>
    <w:rsid w:val="008F6125"/>
    <w:rsid w:val="009013B0"/>
    <w:rsid w:val="00901A25"/>
    <w:rsid w:val="00901F7C"/>
    <w:rsid w:val="00902523"/>
    <w:rsid w:val="00902727"/>
    <w:rsid w:val="00902A8B"/>
    <w:rsid w:val="0090312B"/>
    <w:rsid w:val="00906096"/>
    <w:rsid w:val="009077F4"/>
    <w:rsid w:val="00910855"/>
    <w:rsid w:val="00911C67"/>
    <w:rsid w:val="0091368A"/>
    <w:rsid w:val="00914624"/>
    <w:rsid w:val="0091736D"/>
    <w:rsid w:val="00920BF6"/>
    <w:rsid w:val="00920C66"/>
    <w:rsid w:val="00921DFE"/>
    <w:rsid w:val="009224D7"/>
    <w:rsid w:val="0092476D"/>
    <w:rsid w:val="00924B9C"/>
    <w:rsid w:val="009251B7"/>
    <w:rsid w:val="00925EE5"/>
    <w:rsid w:val="009268BF"/>
    <w:rsid w:val="00927986"/>
    <w:rsid w:val="0093037A"/>
    <w:rsid w:val="00931DF1"/>
    <w:rsid w:val="00931EAE"/>
    <w:rsid w:val="0093369B"/>
    <w:rsid w:val="00933FB0"/>
    <w:rsid w:val="009341F8"/>
    <w:rsid w:val="009342B0"/>
    <w:rsid w:val="0093626F"/>
    <w:rsid w:val="00936CE4"/>
    <w:rsid w:val="00937DC2"/>
    <w:rsid w:val="009403F7"/>
    <w:rsid w:val="0094065C"/>
    <w:rsid w:val="0094154D"/>
    <w:rsid w:val="00942815"/>
    <w:rsid w:val="00944169"/>
    <w:rsid w:val="00944475"/>
    <w:rsid w:val="009452CB"/>
    <w:rsid w:val="00947313"/>
    <w:rsid w:val="00947F87"/>
    <w:rsid w:val="0095155F"/>
    <w:rsid w:val="009516B7"/>
    <w:rsid w:val="0095275B"/>
    <w:rsid w:val="00954429"/>
    <w:rsid w:val="009563CE"/>
    <w:rsid w:val="00956436"/>
    <w:rsid w:val="00960236"/>
    <w:rsid w:val="00960547"/>
    <w:rsid w:val="00961012"/>
    <w:rsid w:val="00962576"/>
    <w:rsid w:val="00962BA8"/>
    <w:rsid w:val="0096358E"/>
    <w:rsid w:val="009637CD"/>
    <w:rsid w:val="009645AF"/>
    <w:rsid w:val="00965494"/>
    <w:rsid w:val="00966F89"/>
    <w:rsid w:val="00967715"/>
    <w:rsid w:val="009677F4"/>
    <w:rsid w:val="009712A2"/>
    <w:rsid w:val="00973276"/>
    <w:rsid w:val="00973996"/>
    <w:rsid w:val="00975736"/>
    <w:rsid w:val="00975C59"/>
    <w:rsid w:val="00976328"/>
    <w:rsid w:val="00976529"/>
    <w:rsid w:val="0097680D"/>
    <w:rsid w:val="0097795C"/>
    <w:rsid w:val="00977BCF"/>
    <w:rsid w:val="00977CDD"/>
    <w:rsid w:val="00980541"/>
    <w:rsid w:val="0098099A"/>
    <w:rsid w:val="009809B8"/>
    <w:rsid w:val="0098126A"/>
    <w:rsid w:val="00981363"/>
    <w:rsid w:val="00981872"/>
    <w:rsid w:val="00981BC8"/>
    <w:rsid w:val="00982438"/>
    <w:rsid w:val="0098337C"/>
    <w:rsid w:val="0098404C"/>
    <w:rsid w:val="009844CB"/>
    <w:rsid w:val="00984C52"/>
    <w:rsid w:val="00984D7B"/>
    <w:rsid w:val="0098503B"/>
    <w:rsid w:val="00985283"/>
    <w:rsid w:val="00986824"/>
    <w:rsid w:val="00986FD0"/>
    <w:rsid w:val="009908F3"/>
    <w:rsid w:val="009908FD"/>
    <w:rsid w:val="009912E7"/>
    <w:rsid w:val="00994893"/>
    <w:rsid w:val="00995992"/>
    <w:rsid w:val="0099646B"/>
    <w:rsid w:val="009968D3"/>
    <w:rsid w:val="00997955"/>
    <w:rsid w:val="00997B3C"/>
    <w:rsid w:val="00997F8A"/>
    <w:rsid w:val="009A03E5"/>
    <w:rsid w:val="009A0F3B"/>
    <w:rsid w:val="009A13B3"/>
    <w:rsid w:val="009A1BB4"/>
    <w:rsid w:val="009A210B"/>
    <w:rsid w:val="009A22DC"/>
    <w:rsid w:val="009A2628"/>
    <w:rsid w:val="009A266D"/>
    <w:rsid w:val="009A3200"/>
    <w:rsid w:val="009A43E9"/>
    <w:rsid w:val="009A4C18"/>
    <w:rsid w:val="009A5184"/>
    <w:rsid w:val="009A5F9C"/>
    <w:rsid w:val="009A6292"/>
    <w:rsid w:val="009B01B4"/>
    <w:rsid w:val="009B03DC"/>
    <w:rsid w:val="009B0897"/>
    <w:rsid w:val="009B1EF0"/>
    <w:rsid w:val="009B3E05"/>
    <w:rsid w:val="009B5077"/>
    <w:rsid w:val="009B5BD1"/>
    <w:rsid w:val="009B5EE4"/>
    <w:rsid w:val="009B5F65"/>
    <w:rsid w:val="009B62E1"/>
    <w:rsid w:val="009B6870"/>
    <w:rsid w:val="009B6899"/>
    <w:rsid w:val="009B7A9A"/>
    <w:rsid w:val="009B7BD9"/>
    <w:rsid w:val="009C025E"/>
    <w:rsid w:val="009C0328"/>
    <w:rsid w:val="009C2B38"/>
    <w:rsid w:val="009C6E5D"/>
    <w:rsid w:val="009C70F7"/>
    <w:rsid w:val="009C7686"/>
    <w:rsid w:val="009C7DD5"/>
    <w:rsid w:val="009D01B7"/>
    <w:rsid w:val="009D291E"/>
    <w:rsid w:val="009D2A10"/>
    <w:rsid w:val="009D52E8"/>
    <w:rsid w:val="009D5887"/>
    <w:rsid w:val="009D6D2F"/>
    <w:rsid w:val="009D7F64"/>
    <w:rsid w:val="009E0E21"/>
    <w:rsid w:val="009E1589"/>
    <w:rsid w:val="009E1F6D"/>
    <w:rsid w:val="009E227D"/>
    <w:rsid w:val="009E24CA"/>
    <w:rsid w:val="009E2EDB"/>
    <w:rsid w:val="009E49C6"/>
    <w:rsid w:val="009E5002"/>
    <w:rsid w:val="009E5019"/>
    <w:rsid w:val="009E7735"/>
    <w:rsid w:val="009F2969"/>
    <w:rsid w:val="009F33F0"/>
    <w:rsid w:val="009F465E"/>
    <w:rsid w:val="009F4BF6"/>
    <w:rsid w:val="00A0107C"/>
    <w:rsid w:val="00A017DD"/>
    <w:rsid w:val="00A02A6E"/>
    <w:rsid w:val="00A04F1B"/>
    <w:rsid w:val="00A0501B"/>
    <w:rsid w:val="00A06894"/>
    <w:rsid w:val="00A10B07"/>
    <w:rsid w:val="00A11344"/>
    <w:rsid w:val="00A1277E"/>
    <w:rsid w:val="00A130EC"/>
    <w:rsid w:val="00A13795"/>
    <w:rsid w:val="00A14947"/>
    <w:rsid w:val="00A1499D"/>
    <w:rsid w:val="00A15A74"/>
    <w:rsid w:val="00A16772"/>
    <w:rsid w:val="00A16C0A"/>
    <w:rsid w:val="00A1703B"/>
    <w:rsid w:val="00A22F5F"/>
    <w:rsid w:val="00A23072"/>
    <w:rsid w:val="00A23BBD"/>
    <w:rsid w:val="00A23EF3"/>
    <w:rsid w:val="00A24627"/>
    <w:rsid w:val="00A24C67"/>
    <w:rsid w:val="00A26192"/>
    <w:rsid w:val="00A27FB8"/>
    <w:rsid w:val="00A32A83"/>
    <w:rsid w:val="00A34885"/>
    <w:rsid w:val="00A35032"/>
    <w:rsid w:val="00A35BA6"/>
    <w:rsid w:val="00A36010"/>
    <w:rsid w:val="00A368DB"/>
    <w:rsid w:val="00A374CB"/>
    <w:rsid w:val="00A37901"/>
    <w:rsid w:val="00A4003E"/>
    <w:rsid w:val="00A4011F"/>
    <w:rsid w:val="00A40CE4"/>
    <w:rsid w:val="00A41FF5"/>
    <w:rsid w:val="00A423AA"/>
    <w:rsid w:val="00A4250E"/>
    <w:rsid w:val="00A42BD7"/>
    <w:rsid w:val="00A433B6"/>
    <w:rsid w:val="00A43571"/>
    <w:rsid w:val="00A43BC4"/>
    <w:rsid w:val="00A44E5E"/>
    <w:rsid w:val="00A44EE8"/>
    <w:rsid w:val="00A451F7"/>
    <w:rsid w:val="00A460FF"/>
    <w:rsid w:val="00A467D9"/>
    <w:rsid w:val="00A4743E"/>
    <w:rsid w:val="00A5031D"/>
    <w:rsid w:val="00A52A0A"/>
    <w:rsid w:val="00A5336D"/>
    <w:rsid w:val="00A533F7"/>
    <w:rsid w:val="00A53EC6"/>
    <w:rsid w:val="00A54F02"/>
    <w:rsid w:val="00A5555D"/>
    <w:rsid w:val="00A5564A"/>
    <w:rsid w:val="00A55C0F"/>
    <w:rsid w:val="00A5611A"/>
    <w:rsid w:val="00A5618D"/>
    <w:rsid w:val="00A569F6"/>
    <w:rsid w:val="00A6046E"/>
    <w:rsid w:val="00A6147B"/>
    <w:rsid w:val="00A61744"/>
    <w:rsid w:val="00A62B6D"/>
    <w:rsid w:val="00A62D9D"/>
    <w:rsid w:val="00A62DB8"/>
    <w:rsid w:val="00A63B4E"/>
    <w:rsid w:val="00A6697B"/>
    <w:rsid w:val="00A6776E"/>
    <w:rsid w:val="00A717F7"/>
    <w:rsid w:val="00A71BCA"/>
    <w:rsid w:val="00A720B9"/>
    <w:rsid w:val="00A7434E"/>
    <w:rsid w:val="00A74D16"/>
    <w:rsid w:val="00A75813"/>
    <w:rsid w:val="00A763C6"/>
    <w:rsid w:val="00A766C4"/>
    <w:rsid w:val="00A76A1A"/>
    <w:rsid w:val="00A77F13"/>
    <w:rsid w:val="00A831EF"/>
    <w:rsid w:val="00A83854"/>
    <w:rsid w:val="00A84A59"/>
    <w:rsid w:val="00A864B3"/>
    <w:rsid w:val="00A86FD4"/>
    <w:rsid w:val="00A8713F"/>
    <w:rsid w:val="00A87265"/>
    <w:rsid w:val="00A905C5"/>
    <w:rsid w:val="00A90BA1"/>
    <w:rsid w:val="00A90BCF"/>
    <w:rsid w:val="00A90E6C"/>
    <w:rsid w:val="00A93D07"/>
    <w:rsid w:val="00A94520"/>
    <w:rsid w:val="00A94530"/>
    <w:rsid w:val="00A946FB"/>
    <w:rsid w:val="00A96087"/>
    <w:rsid w:val="00A970E0"/>
    <w:rsid w:val="00A972A8"/>
    <w:rsid w:val="00A97A9A"/>
    <w:rsid w:val="00AA032C"/>
    <w:rsid w:val="00AA0671"/>
    <w:rsid w:val="00AA190F"/>
    <w:rsid w:val="00AA21A4"/>
    <w:rsid w:val="00AA2531"/>
    <w:rsid w:val="00AA52DC"/>
    <w:rsid w:val="00AA5496"/>
    <w:rsid w:val="00AA61FE"/>
    <w:rsid w:val="00AA6C57"/>
    <w:rsid w:val="00AA6F42"/>
    <w:rsid w:val="00AA7B96"/>
    <w:rsid w:val="00AB0E90"/>
    <w:rsid w:val="00AB10B7"/>
    <w:rsid w:val="00AB1E09"/>
    <w:rsid w:val="00AB275C"/>
    <w:rsid w:val="00AB31C3"/>
    <w:rsid w:val="00AB4C70"/>
    <w:rsid w:val="00AB5330"/>
    <w:rsid w:val="00AB5EFA"/>
    <w:rsid w:val="00AB7643"/>
    <w:rsid w:val="00AB7747"/>
    <w:rsid w:val="00AB78A9"/>
    <w:rsid w:val="00AC14CE"/>
    <w:rsid w:val="00AC1DFD"/>
    <w:rsid w:val="00AC25F9"/>
    <w:rsid w:val="00AC2A56"/>
    <w:rsid w:val="00AC69F7"/>
    <w:rsid w:val="00AC7229"/>
    <w:rsid w:val="00AC779A"/>
    <w:rsid w:val="00AD055E"/>
    <w:rsid w:val="00AD0B43"/>
    <w:rsid w:val="00AD1F04"/>
    <w:rsid w:val="00AD377C"/>
    <w:rsid w:val="00AD3A0F"/>
    <w:rsid w:val="00AD47A7"/>
    <w:rsid w:val="00AD4847"/>
    <w:rsid w:val="00AD496B"/>
    <w:rsid w:val="00AD666C"/>
    <w:rsid w:val="00AD6FFC"/>
    <w:rsid w:val="00AD79F4"/>
    <w:rsid w:val="00AD7A2C"/>
    <w:rsid w:val="00AD7B0F"/>
    <w:rsid w:val="00AD7EB0"/>
    <w:rsid w:val="00AD7FCA"/>
    <w:rsid w:val="00AE15C6"/>
    <w:rsid w:val="00AE1C4F"/>
    <w:rsid w:val="00AE2028"/>
    <w:rsid w:val="00AE221B"/>
    <w:rsid w:val="00AE2638"/>
    <w:rsid w:val="00AE3F58"/>
    <w:rsid w:val="00AE4708"/>
    <w:rsid w:val="00AE4FCF"/>
    <w:rsid w:val="00AE50C1"/>
    <w:rsid w:val="00AE64E6"/>
    <w:rsid w:val="00AE6B2F"/>
    <w:rsid w:val="00AE74B9"/>
    <w:rsid w:val="00AF07F8"/>
    <w:rsid w:val="00AF0CBF"/>
    <w:rsid w:val="00AF1F05"/>
    <w:rsid w:val="00AF257F"/>
    <w:rsid w:val="00AF33CF"/>
    <w:rsid w:val="00AF3A11"/>
    <w:rsid w:val="00AF4D50"/>
    <w:rsid w:val="00AF6179"/>
    <w:rsid w:val="00B00653"/>
    <w:rsid w:val="00B00945"/>
    <w:rsid w:val="00B028A0"/>
    <w:rsid w:val="00B02EC3"/>
    <w:rsid w:val="00B053FD"/>
    <w:rsid w:val="00B05DD7"/>
    <w:rsid w:val="00B0629E"/>
    <w:rsid w:val="00B06A1B"/>
    <w:rsid w:val="00B1096B"/>
    <w:rsid w:val="00B10A6C"/>
    <w:rsid w:val="00B10D2D"/>
    <w:rsid w:val="00B10EF0"/>
    <w:rsid w:val="00B117B1"/>
    <w:rsid w:val="00B12472"/>
    <w:rsid w:val="00B1295A"/>
    <w:rsid w:val="00B12D22"/>
    <w:rsid w:val="00B14A46"/>
    <w:rsid w:val="00B16B5B"/>
    <w:rsid w:val="00B16E42"/>
    <w:rsid w:val="00B177D1"/>
    <w:rsid w:val="00B17EC4"/>
    <w:rsid w:val="00B203C8"/>
    <w:rsid w:val="00B20524"/>
    <w:rsid w:val="00B20A45"/>
    <w:rsid w:val="00B21122"/>
    <w:rsid w:val="00B221FC"/>
    <w:rsid w:val="00B223D3"/>
    <w:rsid w:val="00B22C5C"/>
    <w:rsid w:val="00B22DB5"/>
    <w:rsid w:val="00B23061"/>
    <w:rsid w:val="00B2465D"/>
    <w:rsid w:val="00B24AFA"/>
    <w:rsid w:val="00B24F30"/>
    <w:rsid w:val="00B26969"/>
    <w:rsid w:val="00B27511"/>
    <w:rsid w:val="00B27628"/>
    <w:rsid w:val="00B276D5"/>
    <w:rsid w:val="00B30677"/>
    <w:rsid w:val="00B3140C"/>
    <w:rsid w:val="00B31ABF"/>
    <w:rsid w:val="00B31CAD"/>
    <w:rsid w:val="00B32BDB"/>
    <w:rsid w:val="00B33222"/>
    <w:rsid w:val="00B33BE3"/>
    <w:rsid w:val="00B33F94"/>
    <w:rsid w:val="00B3476D"/>
    <w:rsid w:val="00B35BAC"/>
    <w:rsid w:val="00B368C8"/>
    <w:rsid w:val="00B3761A"/>
    <w:rsid w:val="00B37D35"/>
    <w:rsid w:val="00B458BF"/>
    <w:rsid w:val="00B459AC"/>
    <w:rsid w:val="00B47526"/>
    <w:rsid w:val="00B47867"/>
    <w:rsid w:val="00B5026A"/>
    <w:rsid w:val="00B50E20"/>
    <w:rsid w:val="00B51F20"/>
    <w:rsid w:val="00B52C7C"/>
    <w:rsid w:val="00B53B5D"/>
    <w:rsid w:val="00B543BC"/>
    <w:rsid w:val="00B57DA2"/>
    <w:rsid w:val="00B6055E"/>
    <w:rsid w:val="00B608AB"/>
    <w:rsid w:val="00B6236C"/>
    <w:rsid w:val="00B62840"/>
    <w:rsid w:val="00B62FDD"/>
    <w:rsid w:val="00B6317D"/>
    <w:rsid w:val="00B63F88"/>
    <w:rsid w:val="00B65140"/>
    <w:rsid w:val="00B66952"/>
    <w:rsid w:val="00B67CD1"/>
    <w:rsid w:val="00B67DB1"/>
    <w:rsid w:val="00B72399"/>
    <w:rsid w:val="00B75BD4"/>
    <w:rsid w:val="00B76CAD"/>
    <w:rsid w:val="00B770EE"/>
    <w:rsid w:val="00B771C9"/>
    <w:rsid w:val="00B7723F"/>
    <w:rsid w:val="00B80534"/>
    <w:rsid w:val="00B81795"/>
    <w:rsid w:val="00B83365"/>
    <w:rsid w:val="00B8433C"/>
    <w:rsid w:val="00B872F0"/>
    <w:rsid w:val="00B87491"/>
    <w:rsid w:val="00B90284"/>
    <w:rsid w:val="00B9031A"/>
    <w:rsid w:val="00B90FBB"/>
    <w:rsid w:val="00B91151"/>
    <w:rsid w:val="00B92ABA"/>
    <w:rsid w:val="00B92FA0"/>
    <w:rsid w:val="00B93D7F"/>
    <w:rsid w:val="00B94A93"/>
    <w:rsid w:val="00B94FEF"/>
    <w:rsid w:val="00B96737"/>
    <w:rsid w:val="00B97048"/>
    <w:rsid w:val="00B97BD6"/>
    <w:rsid w:val="00BA182D"/>
    <w:rsid w:val="00BA29E9"/>
    <w:rsid w:val="00BA32FD"/>
    <w:rsid w:val="00BA42AB"/>
    <w:rsid w:val="00BA6A33"/>
    <w:rsid w:val="00BA6A4D"/>
    <w:rsid w:val="00BA7142"/>
    <w:rsid w:val="00BA7332"/>
    <w:rsid w:val="00BB02AE"/>
    <w:rsid w:val="00BB237C"/>
    <w:rsid w:val="00BB2CD1"/>
    <w:rsid w:val="00BB30A3"/>
    <w:rsid w:val="00BB41A3"/>
    <w:rsid w:val="00BB7575"/>
    <w:rsid w:val="00BC0E95"/>
    <w:rsid w:val="00BC136E"/>
    <w:rsid w:val="00BC18AB"/>
    <w:rsid w:val="00BC2862"/>
    <w:rsid w:val="00BC32DC"/>
    <w:rsid w:val="00BC35B6"/>
    <w:rsid w:val="00BC6FD6"/>
    <w:rsid w:val="00BC790D"/>
    <w:rsid w:val="00BC7C22"/>
    <w:rsid w:val="00BD0581"/>
    <w:rsid w:val="00BD097F"/>
    <w:rsid w:val="00BD1AE0"/>
    <w:rsid w:val="00BD1B51"/>
    <w:rsid w:val="00BD2399"/>
    <w:rsid w:val="00BD3465"/>
    <w:rsid w:val="00BD35F6"/>
    <w:rsid w:val="00BD412F"/>
    <w:rsid w:val="00BD4596"/>
    <w:rsid w:val="00BD7A26"/>
    <w:rsid w:val="00BE1405"/>
    <w:rsid w:val="00BE1B0B"/>
    <w:rsid w:val="00BE2351"/>
    <w:rsid w:val="00BE25D4"/>
    <w:rsid w:val="00BE312D"/>
    <w:rsid w:val="00BE3B88"/>
    <w:rsid w:val="00BE3D71"/>
    <w:rsid w:val="00BE40A9"/>
    <w:rsid w:val="00BE5784"/>
    <w:rsid w:val="00BF0E02"/>
    <w:rsid w:val="00BF1BA7"/>
    <w:rsid w:val="00BF1C20"/>
    <w:rsid w:val="00BF3BE6"/>
    <w:rsid w:val="00BF419F"/>
    <w:rsid w:val="00BF45E8"/>
    <w:rsid w:val="00BF6D9C"/>
    <w:rsid w:val="00C00E71"/>
    <w:rsid w:val="00C0259F"/>
    <w:rsid w:val="00C02886"/>
    <w:rsid w:val="00C02F68"/>
    <w:rsid w:val="00C03BA0"/>
    <w:rsid w:val="00C05913"/>
    <w:rsid w:val="00C10578"/>
    <w:rsid w:val="00C11C28"/>
    <w:rsid w:val="00C12098"/>
    <w:rsid w:val="00C12924"/>
    <w:rsid w:val="00C12E48"/>
    <w:rsid w:val="00C135BC"/>
    <w:rsid w:val="00C15888"/>
    <w:rsid w:val="00C158F9"/>
    <w:rsid w:val="00C15C95"/>
    <w:rsid w:val="00C202A9"/>
    <w:rsid w:val="00C205E3"/>
    <w:rsid w:val="00C2069B"/>
    <w:rsid w:val="00C20A01"/>
    <w:rsid w:val="00C2138B"/>
    <w:rsid w:val="00C22034"/>
    <w:rsid w:val="00C23C0F"/>
    <w:rsid w:val="00C240E3"/>
    <w:rsid w:val="00C244DA"/>
    <w:rsid w:val="00C24632"/>
    <w:rsid w:val="00C247AF"/>
    <w:rsid w:val="00C2596A"/>
    <w:rsid w:val="00C264BC"/>
    <w:rsid w:val="00C27537"/>
    <w:rsid w:val="00C279D0"/>
    <w:rsid w:val="00C313A9"/>
    <w:rsid w:val="00C316A2"/>
    <w:rsid w:val="00C324D1"/>
    <w:rsid w:val="00C328FE"/>
    <w:rsid w:val="00C33507"/>
    <w:rsid w:val="00C344E1"/>
    <w:rsid w:val="00C3512A"/>
    <w:rsid w:val="00C35774"/>
    <w:rsid w:val="00C35B68"/>
    <w:rsid w:val="00C36293"/>
    <w:rsid w:val="00C37310"/>
    <w:rsid w:val="00C40B69"/>
    <w:rsid w:val="00C431EE"/>
    <w:rsid w:val="00C43A70"/>
    <w:rsid w:val="00C4409D"/>
    <w:rsid w:val="00C4421F"/>
    <w:rsid w:val="00C445CA"/>
    <w:rsid w:val="00C44E72"/>
    <w:rsid w:val="00C45A06"/>
    <w:rsid w:val="00C46426"/>
    <w:rsid w:val="00C471AD"/>
    <w:rsid w:val="00C47E5B"/>
    <w:rsid w:val="00C50DA4"/>
    <w:rsid w:val="00C510A0"/>
    <w:rsid w:val="00C52A8B"/>
    <w:rsid w:val="00C53F87"/>
    <w:rsid w:val="00C5415D"/>
    <w:rsid w:val="00C54E1A"/>
    <w:rsid w:val="00C55A2F"/>
    <w:rsid w:val="00C5661C"/>
    <w:rsid w:val="00C608C0"/>
    <w:rsid w:val="00C60A40"/>
    <w:rsid w:val="00C610BC"/>
    <w:rsid w:val="00C6189F"/>
    <w:rsid w:val="00C61E4B"/>
    <w:rsid w:val="00C63115"/>
    <w:rsid w:val="00C63243"/>
    <w:rsid w:val="00C643B8"/>
    <w:rsid w:val="00C64BFF"/>
    <w:rsid w:val="00C665D3"/>
    <w:rsid w:val="00C677CF"/>
    <w:rsid w:val="00C701F4"/>
    <w:rsid w:val="00C703AA"/>
    <w:rsid w:val="00C704E9"/>
    <w:rsid w:val="00C70CDA"/>
    <w:rsid w:val="00C71B7B"/>
    <w:rsid w:val="00C73015"/>
    <w:rsid w:val="00C74EB7"/>
    <w:rsid w:val="00C763C9"/>
    <w:rsid w:val="00C770DF"/>
    <w:rsid w:val="00C779F8"/>
    <w:rsid w:val="00C80057"/>
    <w:rsid w:val="00C8043F"/>
    <w:rsid w:val="00C82175"/>
    <w:rsid w:val="00C82232"/>
    <w:rsid w:val="00C82913"/>
    <w:rsid w:val="00C829C9"/>
    <w:rsid w:val="00C82C49"/>
    <w:rsid w:val="00C875F3"/>
    <w:rsid w:val="00C95336"/>
    <w:rsid w:val="00C96055"/>
    <w:rsid w:val="00C961FF"/>
    <w:rsid w:val="00C972B1"/>
    <w:rsid w:val="00C97990"/>
    <w:rsid w:val="00C97FB2"/>
    <w:rsid w:val="00CA1052"/>
    <w:rsid w:val="00CA255F"/>
    <w:rsid w:val="00CA2CCE"/>
    <w:rsid w:val="00CA302F"/>
    <w:rsid w:val="00CA42BA"/>
    <w:rsid w:val="00CA43FD"/>
    <w:rsid w:val="00CA4B87"/>
    <w:rsid w:val="00CA567C"/>
    <w:rsid w:val="00CA6D30"/>
    <w:rsid w:val="00CA7EF8"/>
    <w:rsid w:val="00CB191B"/>
    <w:rsid w:val="00CB3765"/>
    <w:rsid w:val="00CB4120"/>
    <w:rsid w:val="00CB4352"/>
    <w:rsid w:val="00CC0519"/>
    <w:rsid w:val="00CC1A55"/>
    <w:rsid w:val="00CC2C44"/>
    <w:rsid w:val="00CC4603"/>
    <w:rsid w:val="00CC489B"/>
    <w:rsid w:val="00CC5C06"/>
    <w:rsid w:val="00CC77C4"/>
    <w:rsid w:val="00CC79C3"/>
    <w:rsid w:val="00CD037D"/>
    <w:rsid w:val="00CD218C"/>
    <w:rsid w:val="00CD2BCD"/>
    <w:rsid w:val="00CD34B5"/>
    <w:rsid w:val="00CD3A4C"/>
    <w:rsid w:val="00CD4D7F"/>
    <w:rsid w:val="00CD4F57"/>
    <w:rsid w:val="00CD576F"/>
    <w:rsid w:val="00CD7264"/>
    <w:rsid w:val="00CE10E9"/>
    <w:rsid w:val="00CE1723"/>
    <w:rsid w:val="00CE2910"/>
    <w:rsid w:val="00CE2971"/>
    <w:rsid w:val="00CE5393"/>
    <w:rsid w:val="00CE5552"/>
    <w:rsid w:val="00CE5DE9"/>
    <w:rsid w:val="00CE76B0"/>
    <w:rsid w:val="00CE7706"/>
    <w:rsid w:val="00CE7A40"/>
    <w:rsid w:val="00CE7D05"/>
    <w:rsid w:val="00CF28E3"/>
    <w:rsid w:val="00CF30A1"/>
    <w:rsid w:val="00CF36BE"/>
    <w:rsid w:val="00CF4144"/>
    <w:rsid w:val="00CF4B69"/>
    <w:rsid w:val="00CF58ED"/>
    <w:rsid w:val="00CF6000"/>
    <w:rsid w:val="00CF69A8"/>
    <w:rsid w:val="00CF7ABD"/>
    <w:rsid w:val="00D002CA"/>
    <w:rsid w:val="00D003F3"/>
    <w:rsid w:val="00D00F63"/>
    <w:rsid w:val="00D012FD"/>
    <w:rsid w:val="00D01EAF"/>
    <w:rsid w:val="00D02481"/>
    <w:rsid w:val="00D0364F"/>
    <w:rsid w:val="00D06834"/>
    <w:rsid w:val="00D1015B"/>
    <w:rsid w:val="00D10673"/>
    <w:rsid w:val="00D1164C"/>
    <w:rsid w:val="00D13AE2"/>
    <w:rsid w:val="00D14C74"/>
    <w:rsid w:val="00D157F4"/>
    <w:rsid w:val="00D17244"/>
    <w:rsid w:val="00D2154A"/>
    <w:rsid w:val="00D21709"/>
    <w:rsid w:val="00D23E6C"/>
    <w:rsid w:val="00D258AC"/>
    <w:rsid w:val="00D308ED"/>
    <w:rsid w:val="00D30AF7"/>
    <w:rsid w:val="00D32CF0"/>
    <w:rsid w:val="00D36D86"/>
    <w:rsid w:val="00D376A4"/>
    <w:rsid w:val="00D40724"/>
    <w:rsid w:val="00D40CF6"/>
    <w:rsid w:val="00D410DD"/>
    <w:rsid w:val="00D4130C"/>
    <w:rsid w:val="00D428AA"/>
    <w:rsid w:val="00D436D3"/>
    <w:rsid w:val="00D4481A"/>
    <w:rsid w:val="00D44FF0"/>
    <w:rsid w:val="00D45E4F"/>
    <w:rsid w:val="00D50A34"/>
    <w:rsid w:val="00D51A08"/>
    <w:rsid w:val="00D52C00"/>
    <w:rsid w:val="00D53EFA"/>
    <w:rsid w:val="00D56A49"/>
    <w:rsid w:val="00D57355"/>
    <w:rsid w:val="00D57F60"/>
    <w:rsid w:val="00D62BCD"/>
    <w:rsid w:val="00D6464E"/>
    <w:rsid w:val="00D6626E"/>
    <w:rsid w:val="00D67792"/>
    <w:rsid w:val="00D71085"/>
    <w:rsid w:val="00D74B44"/>
    <w:rsid w:val="00D75884"/>
    <w:rsid w:val="00D810C7"/>
    <w:rsid w:val="00D81371"/>
    <w:rsid w:val="00D82324"/>
    <w:rsid w:val="00D8476C"/>
    <w:rsid w:val="00D8504A"/>
    <w:rsid w:val="00D86A5A"/>
    <w:rsid w:val="00D874AD"/>
    <w:rsid w:val="00D87DAD"/>
    <w:rsid w:val="00D902C9"/>
    <w:rsid w:val="00D92936"/>
    <w:rsid w:val="00D93AF3"/>
    <w:rsid w:val="00D93FF4"/>
    <w:rsid w:val="00D94847"/>
    <w:rsid w:val="00D94A7C"/>
    <w:rsid w:val="00D94D04"/>
    <w:rsid w:val="00D95820"/>
    <w:rsid w:val="00D95896"/>
    <w:rsid w:val="00D9616F"/>
    <w:rsid w:val="00D968D0"/>
    <w:rsid w:val="00D97199"/>
    <w:rsid w:val="00D9729E"/>
    <w:rsid w:val="00D97E71"/>
    <w:rsid w:val="00D97F76"/>
    <w:rsid w:val="00DA0F59"/>
    <w:rsid w:val="00DA10AF"/>
    <w:rsid w:val="00DA1788"/>
    <w:rsid w:val="00DA1B1A"/>
    <w:rsid w:val="00DA1D71"/>
    <w:rsid w:val="00DA24A7"/>
    <w:rsid w:val="00DA4C84"/>
    <w:rsid w:val="00DA594D"/>
    <w:rsid w:val="00DA7F3C"/>
    <w:rsid w:val="00DB240E"/>
    <w:rsid w:val="00DB2983"/>
    <w:rsid w:val="00DB368F"/>
    <w:rsid w:val="00DB5716"/>
    <w:rsid w:val="00DB59AB"/>
    <w:rsid w:val="00DB6160"/>
    <w:rsid w:val="00DB76C6"/>
    <w:rsid w:val="00DB7B89"/>
    <w:rsid w:val="00DC0219"/>
    <w:rsid w:val="00DC1257"/>
    <w:rsid w:val="00DC142B"/>
    <w:rsid w:val="00DC2B7F"/>
    <w:rsid w:val="00DC2C92"/>
    <w:rsid w:val="00DC2EB9"/>
    <w:rsid w:val="00DC2F09"/>
    <w:rsid w:val="00DC3CEC"/>
    <w:rsid w:val="00DC3DC0"/>
    <w:rsid w:val="00DC47B7"/>
    <w:rsid w:val="00DC5B2B"/>
    <w:rsid w:val="00DC730C"/>
    <w:rsid w:val="00DC7F4E"/>
    <w:rsid w:val="00DD015C"/>
    <w:rsid w:val="00DD12CC"/>
    <w:rsid w:val="00DD177C"/>
    <w:rsid w:val="00DD191C"/>
    <w:rsid w:val="00DD318D"/>
    <w:rsid w:val="00DD5ADB"/>
    <w:rsid w:val="00DD6316"/>
    <w:rsid w:val="00DD682B"/>
    <w:rsid w:val="00DD7CF3"/>
    <w:rsid w:val="00DE0590"/>
    <w:rsid w:val="00DE0DB3"/>
    <w:rsid w:val="00DE15C4"/>
    <w:rsid w:val="00DE2D36"/>
    <w:rsid w:val="00DE3D2A"/>
    <w:rsid w:val="00DE4CF3"/>
    <w:rsid w:val="00DE5290"/>
    <w:rsid w:val="00DE5384"/>
    <w:rsid w:val="00DE5789"/>
    <w:rsid w:val="00DE7BC8"/>
    <w:rsid w:val="00DF1F7B"/>
    <w:rsid w:val="00DF2E12"/>
    <w:rsid w:val="00DF365D"/>
    <w:rsid w:val="00DF38F5"/>
    <w:rsid w:val="00DF514A"/>
    <w:rsid w:val="00DF53B9"/>
    <w:rsid w:val="00DF5A84"/>
    <w:rsid w:val="00DF6585"/>
    <w:rsid w:val="00DF6690"/>
    <w:rsid w:val="00DF6804"/>
    <w:rsid w:val="00E0125F"/>
    <w:rsid w:val="00E02372"/>
    <w:rsid w:val="00E024E9"/>
    <w:rsid w:val="00E0358D"/>
    <w:rsid w:val="00E03A62"/>
    <w:rsid w:val="00E03DE2"/>
    <w:rsid w:val="00E04323"/>
    <w:rsid w:val="00E05E44"/>
    <w:rsid w:val="00E066CC"/>
    <w:rsid w:val="00E0696E"/>
    <w:rsid w:val="00E06D56"/>
    <w:rsid w:val="00E070A2"/>
    <w:rsid w:val="00E07F8A"/>
    <w:rsid w:val="00E1199A"/>
    <w:rsid w:val="00E1297A"/>
    <w:rsid w:val="00E12DA5"/>
    <w:rsid w:val="00E1484B"/>
    <w:rsid w:val="00E15021"/>
    <w:rsid w:val="00E16399"/>
    <w:rsid w:val="00E17C80"/>
    <w:rsid w:val="00E17F13"/>
    <w:rsid w:val="00E20CCE"/>
    <w:rsid w:val="00E219BD"/>
    <w:rsid w:val="00E237D2"/>
    <w:rsid w:val="00E23E7A"/>
    <w:rsid w:val="00E25288"/>
    <w:rsid w:val="00E2656A"/>
    <w:rsid w:val="00E2685B"/>
    <w:rsid w:val="00E3061E"/>
    <w:rsid w:val="00E30A03"/>
    <w:rsid w:val="00E32636"/>
    <w:rsid w:val="00E33134"/>
    <w:rsid w:val="00E3333F"/>
    <w:rsid w:val="00E33F80"/>
    <w:rsid w:val="00E412D0"/>
    <w:rsid w:val="00E41FAA"/>
    <w:rsid w:val="00E44F02"/>
    <w:rsid w:val="00E459E4"/>
    <w:rsid w:val="00E45A64"/>
    <w:rsid w:val="00E47228"/>
    <w:rsid w:val="00E47A22"/>
    <w:rsid w:val="00E52CEA"/>
    <w:rsid w:val="00E5335B"/>
    <w:rsid w:val="00E534AD"/>
    <w:rsid w:val="00E53CDA"/>
    <w:rsid w:val="00E54299"/>
    <w:rsid w:val="00E54A89"/>
    <w:rsid w:val="00E56322"/>
    <w:rsid w:val="00E60906"/>
    <w:rsid w:val="00E60982"/>
    <w:rsid w:val="00E6284B"/>
    <w:rsid w:val="00E62C62"/>
    <w:rsid w:val="00E64BCB"/>
    <w:rsid w:val="00E64EA2"/>
    <w:rsid w:val="00E654C1"/>
    <w:rsid w:val="00E65AAE"/>
    <w:rsid w:val="00E65D97"/>
    <w:rsid w:val="00E70950"/>
    <w:rsid w:val="00E70DB7"/>
    <w:rsid w:val="00E71168"/>
    <w:rsid w:val="00E71784"/>
    <w:rsid w:val="00E71DC5"/>
    <w:rsid w:val="00E72545"/>
    <w:rsid w:val="00E72A5A"/>
    <w:rsid w:val="00E73188"/>
    <w:rsid w:val="00E73354"/>
    <w:rsid w:val="00E734B0"/>
    <w:rsid w:val="00E7440B"/>
    <w:rsid w:val="00E74763"/>
    <w:rsid w:val="00E8178C"/>
    <w:rsid w:val="00E8274A"/>
    <w:rsid w:val="00E82B7F"/>
    <w:rsid w:val="00E84250"/>
    <w:rsid w:val="00E85757"/>
    <w:rsid w:val="00E86185"/>
    <w:rsid w:val="00E90A64"/>
    <w:rsid w:val="00E90A72"/>
    <w:rsid w:val="00E9143A"/>
    <w:rsid w:val="00E91B1B"/>
    <w:rsid w:val="00E92031"/>
    <w:rsid w:val="00E9242D"/>
    <w:rsid w:val="00E93704"/>
    <w:rsid w:val="00E95673"/>
    <w:rsid w:val="00E97378"/>
    <w:rsid w:val="00E975FF"/>
    <w:rsid w:val="00EA2A81"/>
    <w:rsid w:val="00EA3279"/>
    <w:rsid w:val="00EA34B6"/>
    <w:rsid w:val="00EA45C6"/>
    <w:rsid w:val="00EA55ED"/>
    <w:rsid w:val="00EB1AFB"/>
    <w:rsid w:val="00EB237A"/>
    <w:rsid w:val="00EB2C4E"/>
    <w:rsid w:val="00EB5255"/>
    <w:rsid w:val="00EB5BFA"/>
    <w:rsid w:val="00EB5C47"/>
    <w:rsid w:val="00EC0798"/>
    <w:rsid w:val="00EC0BFD"/>
    <w:rsid w:val="00EC21CF"/>
    <w:rsid w:val="00EC2BB3"/>
    <w:rsid w:val="00EC33A5"/>
    <w:rsid w:val="00EC3746"/>
    <w:rsid w:val="00EC42FA"/>
    <w:rsid w:val="00EC4D08"/>
    <w:rsid w:val="00EC4E86"/>
    <w:rsid w:val="00ED0639"/>
    <w:rsid w:val="00ED0C0E"/>
    <w:rsid w:val="00ED637A"/>
    <w:rsid w:val="00ED71D3"/>
    <w:rsid w:val="00ED7B3C"/>
    <w:rsid w:val="00EE0101"/>
    <w:rsid w:val="00EE1F9F"/>
    <w:rsid w:val="00EE2211"/>
    <w:rsid w:val="00EF0A5D"/>
    <w:rsid w:val="00EF2A91"/>
    <w:rsid w:val="00EF40BE"/>
    <w:rsid w:val="00EF471A"/>
    <w:rsid w:val="00EF4755"/>
    <w:rsid w:val="00EF52FD"/>
    <w:rsid w:val="00EF577C"/>
    <w:rsid w:val="00EF5902"/>
    <w:rsid w:val="00EF6D19"/>
    <w:rsid w:val="00EF7135"/>
    <w:rsid w:val="00F01D70"/>
    <w:rsid w:val="00F024C8"/>
    <w:rsid w:val="00F027DB"/>
    <w:rsid w:val="00F02913"/>
    <w:rsid w:val="00F030E7"/>
    <w:rsid w:val="00F0584A"/>
    <w:rsid w:val="00F06B97"/>
    <w:rsid w:val="00F076FF"/>
    <w:rsid w:val="00F105C2"/>
    <w:rsid w:val="00F14A7A"/>
    <w:rsid w:val="00F15532"/>
    <w:rsid w:val="00F15F8B"/>
    <w:rsid w:val="00F16334"/>
    <w:rsid w:val="00F16731"/>
    <w:rsid w:val="00F168CF"/>
    <w:rsid w:val="00F174C1"/>
    <w:rsid w:val="00F17713"/>
    <w:rsid w:val="00F17994"/>
    <w:rsid w:val="00F226A5"/>
    <w:rsid w:val="00F22985"/>
    <w:rsid w:val="00F23114"/>
    <w:rsid w:val="00F247C4"/>
    <w:rsid w:val="00F24BC1"/>
    <w:rsid w:val="00F252B5"/>
    <w:rsid w:val="00F254B1"/>
    <w:rsid w:val="00F3019E"/>
    <w:rsid w:val="00F308E1"/>
    <w:rsid w:val="00F32356"/>
    <w:rsid w:val="00F330D2"/>
    <w:rsid w:val="00F33582"/>
    <w:rsid w:val="00F3383E"/>
    <w:rsid w:val="00F35B9D"/>
    <w:rsid w:val="00F36804"/>
    <w:rsid w:val="00F36D57"/>
    <w:rsid w:val="00F37150"/>
    <w:rsid w:val="00F378D1"/>
    <w:rsid w:val="00F41FFF"/>
    <w:rsid w:val="00F43C4B"/>
    <w:rsid w:val="00F44F70"/>
    <w:rsid w:val="00F45977"/>
    <w:rsid w:val="00F460D0"/>
    <w:rsid w:val="00F4643E"/>
    <w:rsid w:val="00F465A7"/>
    <w:rsid w:val="00F467A5"/>
    <w:rsid w:val="00F46A83"/>
    <w:rsid w:val="00F46BCA"/>
    <w:rsid w:val="00F50B7C"/>
    <w:rsid w:val="00F52E5F"/>
    <w:rsid w:val="00F52EB9"/>
    <w:rsid w:val="00F532CD"/>
    <w:rsid w:val="00F53332"/>
    <w:rsid w:val="00F53BC1"/>
    <w:rsid w:val="00F54536"/>
    <w:rsid w:val="00F550E6"/>
    <w:rsid w:val="00F565F9"/>
    <w:rsid w:val="00F56A67"/>
    <w:rsid w:val="00F57035"/>
    <w:rsid w:val="00F61498"/>
    <w:rsid w:val="00F63815"/>
    <w:rsid w:val="00F6430C"/>
    <w:rsid w:val="00F64587"/>
    <w:rsid w:val="00F651E5"/>
    <w:rsid w:val="00F656A7"/>
    <w:rsid w:val="00F67B75"/>
    <w:rsid w:val="00F7081C"/>
    <w:rsid w:val="00F71A27"/>
    <w:rsid w:val="00F71AE7"/>
    <w:rsid w:val="00F74345"/>
    <w:rsid w:val="00F74C44"/>
    <w:rsid w:val="00F75ED1"/>
    <w:rsid w:val="00F7789E"/>
    <w:rsid w:val="00F80A0A"/>
    <w:rsid w:val="00F8205E"/>
    <w:rsid w:val="00F82B19"/>
    <w:rsid w:val="00F82E23"/>
    <w:rsid w:val="00F840D1"/>
    <w:rsid w:val="00F849EE"/>
    <w:rsid w:val="00F873AE"/>
    <w:rsid w:val="00F8770F"/>
    <w:rsid w:val="00F9212D"/>
    <w:rsid w:val="00F92F76"/>
    <w:rsid w:val="00F94521"/>
    <w:rsid w:val="00F94D96"/>
    <w:rsid w:val="00F94F32"/>
    <w:rsid w:val="00F95639"/>
    <w:rsid w:val="00F95751"/>
    <w:rsid w:val="00F95A65"/>
    <w:rsid w:val="00F965DA"/>
    <w:rsid w:val="00FA0C1D"/>
    <w:rsid w:val="00FA0D70"/>
    <w:rsid w:val="00FA27FC"/>
    <w:rsid w:val="00FA306A"/>
    <w:rsid w:val="00FA3C14"/>
    <w:rsid w:val="00FA406A"/>
    <w:rsid w:val="00FA4B64"/>
    <w:rsid w:val="00FA6BDE"/>
    <w:rsid w:val="00FB0769"/>
    <w:rsid w:val="00FB0BB7"/>
    <w:rsid w:val="00FB124D"/>
    <w:rsid w:val="00FB4495"/>
    <w:rsid w:val="00FB503A"/>
    <w:rsid w:val="00FB516C"/>
    <w:rsid w:val="00FB55E3"/>
    <w:rsid w:val="00FB5B56"/>
    <w:rsid w:val="00FB6415"/>
    <w:rsid w:val="00FB716C"/>
    <w:rsid w:val="00FB7446"/>
    <w:rsid w:val="00FC0C77"/>
    <w:rsid w:val="00FC0DBA"/>
    <w:rsid w:val="00FC30F7"/>
    <w:rsid w:val="00FC3102"/>
    <w:rsid w:val="00FC3152"/>
    <w:rsid w:val="00FC3B0B"/>
    <w:rsid w:val="00FC3C43"/>
    <w:rsid w:val="00FC6D9F"/>
    <w:rsid w:val="00FC73C6"/>
    <w:rsid w:val="00FC797F"/>
    <w:rsid w:val="00FC7B2B"/>
    <w:rsid w:val="00FD0236"/>
    <w:rsid w:val="00FD1760"/>
    <w:rsid w:val="00FD18F4"/>
    <w:rsid w:val="00FD1F4B"/>
    <w:rsid w:val="00FD23F5"/>
    <w:rsid w:val="00FD4A4C"/>
    <w:rsid w:val="00FD54DB"/>
    <w:rsid w:val="00FD56AC"/>
    <w:rsid w:val="00FD619F"/>
    <w:rsid w:val="00FD76FF"/>
    <w:rsid w:val="00FD79ED"/>
    <w:rsid w:val="00FE06DD"/>
    <w:rsid w:val="00FE0B58"/>
    <w:rsid w:val="00FE269F"/>
    <w:rsid w:val="00FE3CE8"/>
    <w:rsid w:val="00FE476C"/>
    <w:rsid w:val="00FE51C6"/>
    <w:rsid w:val="00FE5379"/>
    <w:rsid w:val="00FE5FB6"/>
    <w:rsid w:val="00FE71F0"/>
    <w:rsid w:val="00FF137D"/>
    <w:rsid w:val="00FF22FB"/>
    <w:rsid w:val="00FF312C"/>
    <w:rsid w:val="00FF3613"/>
    <w:rsid w:val="00FF4CA5"/>
    <w:rsid w:val="00FF540E"/>
    <w:rsid w:val="00FF6245"/>
    <w:rsid w:val="00FF6D70"/>
    <w:rsid w:val="00FF6D9C"/>
    <w:rsid w:val="010D3BDF"/>
    <w:rsid w:val="010F0B8F"/>
    <w:rsid w:val="010F1DA1"/>
    <w:rsid w:val="011C3E59"/>
    <w:rsid w:val="01290F7E"/>
    <w:rsid w:val="012B05F4"/>
    <w:rsid w:val="013021AE"/>
    <w:rsid w:val="013435B5"/>
    <w:rsid w:val="014D6A8D"/>
    <w:rsid w:val="015203D6"/>
    <w:rsid w:val="015D1E09"/>
    <w:rsid w:val="01677FC1"/>
    <w:rsid w:val="01737284"/>
    <w:rsid w:val="017C1EF3"/>
    <w:rsid w:val="017C3A49"/>
    <w:rsid w:val="018349B0"/>
    <w:rsid w:val="0191611F"/>
    <w:rsid w:val="019F4CC1"/>
    <w:rsid w:val="01A0043B"/>
    <w:rsid w:val="01A06E9D"/>
    <w:rsid w:val="01A95E0E"/>
    <w:rsid w:val="01B15576"/>
    <w:rsid w:val="01B26A58"/>
    <w:rsid w:val="01BA689C"/>
    <w:rsid w:val="01C144D9"/>
    <w:rsid w:val="01C2256E"/>
    <w:rsid w:val="01DC5853"/>
    <w:rsid w:val="01E426CA"/>
    <w:rsid w:val="01F42D45"/>
    <w:rsid w:val="02005B8D"/>
    <w:rsid w:val="020225EC"/>
    <w:rsid w:val="02022CD9"/>
    <w:rsid w:val="020E02AA"/>
    <w:rsid w:val="02133DCD"/>
    <w:rsid w:val="022D4406"/>
    <w:rsid w:val="023134C3"/>
    <w:rsid w:val="023169E5"/>
    <w:rsid w:val="023A23A6"/>
    <w:rsid w:val="023A5D4F"/>
    <w:rsid w:val="02495499"/>
    <w:rsid w:val="024F6FBA"/>
    <w:rsid w:val="02514672"/>
    <w:rsid w:val="02537B95"/>
    <w:rsid w:val="025D7679"/>
    <w:rsid w:val="02657708"/>
    <w:rsid w:val="02697903"/>
    <w:rsid w:val="026A2B70"/>
    <w:rsid w:val="026F3627"/>
    <w:rsid w:val="0272578B"/>
    <w:rsid w:val="02902F79"/>
    <w:rsid w:val="029777DB"/>
    <w:rsid w:val="029D78F7"/>
    <w:rsid w:val="02D01404"/>
    <w:rsid w:val="02D41AB4"/>
    <w:rsid w:val="02F525B2"/>
    <w:rsid w:val="02F96569"/>
    <w:rsid w:val="031104E9"/>
    <w:rsid w:val="03225D66"/>
    <w:rsid w:val="032558AB"/>
    <w:rsid w:val="0327616C"/>
    <w:rsid w:val="03324729"/>
    <w:rsid w:val="03334354"/>
    <w:rsid w:val="033F152C"/>
    <w:rsid w:val="03593231"/>
    <w:rsid w:val="03597303"/>
    <w:rsid w:val="035E6792"/>
    <w:rsid w:val="03742BB5"/>
    <w:rsid w:val="03780448"/>
    <w:rsid w:val="037B371D"/>
    <w:rsid w:val="03873A18"/>
    <w:rsid w:val="039156AB"/>
    <w:rsid w:val="03AE025F"/>
    <w:rsid w:val="03CD3744"/>
    <w:rsid w:val="03D05759"/>
    <w:rsid w:val="03D66BA6"/>
    <w:rsid w:val="03E017D2"/>
    <w:rsid w:val="03EA7B21"/>
    <w:rsid w:val="040141FA"/>
    <w:rsid w:val="040A6FCC"/>
    <w:rsid w:val="04154902"/>
    <w:rsid w:val="042663D8"/>
    <w:rsid w:val="04337C3F"/>
    <w:rsid w:val="045D72C7"/>
    <w:rsid w:val="04700F46"/>
    <w:rsid w:val="047017E8"/>
    <w:rsid w:val="047D5C04"/>
    <w:rsid w:val="047E71E4"/>
    <w:rsid w:val="04886C82"/>
    <w:rsid w:val="048F501F"/>
    <w:rsid w:val="049A0E8A"/>
    <w:rsid w:val="04B27E1D"/>
    <w:rsid w:val="04CF0B01"/>
    <w:rsid w:val="04D01847"/>
    <w:rsid w:val="04DF0687"/>
    <w:rsid w:val="04F75026"/>
    <w:rsid w:val="050D2A9B"/>
    <w:rsid w:val="05173E06"/>
    <w:rsid w:val="053D6655"/>
    <w:rsid w:val="05446D37"/>
    <w:rsid w:val="054F42B5"/>
    <w:rsid w:val="054F4E62"/>
    <w:rsid w:val="055C19E5"/>
    <w:rsid w:val="0563346A"/>
    <w:rsid w:val="05697C7C"/>
    <w:rsid w:val="057C3CB0"/>
    <w:rsid w:val="059D6B5E"/>
    <w:rsid w:val="05A351AD"/>
    <w:rsid w:val="05A9016C"/>
    <w:rsid w:val="05A947AF"/>
    <w:rsid w:val="05AA5361"/>
    <w:rsid w:val="05B44CC5"/>
    <w:rsid w:val="05B843C2"/>
    <w:rsid w:val="05C5409B"/>
    <w:rsid w:val="05D66550"/>
    <w:rsid w:val="05E939EE"/>
    <w:rsid w:val="05F64FCB"/>
    <w:rsid w:val="05F83EAE"/>
    <w:rsid w:val="05FA0560"/>
    <w:rsid w:val="06112265"/>
    <w:rsid w:val="06194BE3"/>
    <w:rsid w:val="061A1D89"/>
    <w:rsid w:val="061C0C85"/>
    <w:rsid w:val="06204D2C"/>
    <w:rsid w:val="063B53E6"/>
    <w:rsid w:val="063E7D85"/>
    <w:rsid w:val="063F6C84"/>
    <w:rsid w:val="0640374C"/>
    <w:rsid w:val="064C49B7"/>
    <w:rsid w:val="065A1D10"/>
    <w:rsid w:val="065E1144"/>
    <w:rsid w:val="066A1827"/>
    <w:rsid w:val="06735F15"/>
    <w:rsid w:val="06766645"/>
    <w:rsid w:val="068A65F7"/>
    <w:rsid w:val="06906E89"/>
    <w:rsid w:val="06943948"/>
    <w:rsid w:val="069F2016"/>
    <w:rsid w:val="06A2028D"/>
    <w:rsid w:val="06AA0ABA"/>
    <w:rsid w:val="06B37A43"/>
    <w:rsid w:val="06EF6DDD"/>
    <w:rsid w:val="06F1065B"/>
    <w:rsid w:val="06F3181D"/>
    <w:rsid w:val="070828FE"/>
    <w:rsid w:val="07293586"/>
    <w:rsid w:val="07295285"/>
    <w:rsid w:val="072B545A"/>
    <w:rsid w:val="073D1A59"/>
    <w:rsid w:val="07532934"/>
    <w:rsid w:val="07550729"/>
    <w:rsid w:val="07636392"/>
    <w:rsid w:val="07737A53"/>
    <w:rsid w:val="0774409B"/>
    <w:rsid w:val="077654BE"/>
    <w:rsid w:val="07770C56"/>
    <w:rsid w:val="077F004C"/>
    <w:rsid w:val="079433A3"/>
    <w:rsid w:val="07A56925"/>
    <w:rsid w:val="07AE53B3"/>
    <w:rsid w:val="07BA2DAC"/>
    <w:rsid w:val="07BA6DCC"/>
    <w:rsid w:val="07C84A57"/>
    <w:rsid w:val="07DA1E62"/>
    <w:rsid w:val="07DA2434"/>
    <w:rsid w:val="07F9486B"/>
    <w:rsid w:val="07FB495C"/>
    <w:rsid w:val="07FE491D"/>
    <w:rsid w:val="08015679"/>
    <w:rsid w:val="08047F36"/>
    <w:rsid w:val="08163A15"/>
    <w:rsid w:val="08164AD8"/>
    <w:rsid w:val="08196860"/>
    <w:rsid w:val="081E7CEF"/>
    <w:rsid w:val="08315CEB"/>
    <w:rsid w:val="083643E8"/>
    <w:rsid w:val="08364823"/>
    <w:rsid w:val="083E12EB"/>
    <w:rsid w:val="083F066F"/>
    <w:rsid w:val="08455DFE"/>
    <w:rsid w:val="08474852"/>
    <w:rsid w:val="084C3904"/>
    <w:rsid w:val="084C40C7"/>
    <w:rsid w:val="084C7436"/>
    <w:rsid w:val="086A7FEC"/>
    <w:rsid w:val="087C2635"/>
    <w:rsid w:val="087E2A5D"/>
    <w:rsid w:val="088517A4"/>
    <w:rsid w:val="08897ADD"/>
    <w:rsid w:val="0891753F"/>
    <w:rsid w:val="089F7EAE"/>
    <w:rsid w:val="08A37135"/>
    <w:rsid w:val="08AC67A7"/>
    <w:rsid w:val="08C9127A"/>
    <w:rsid w:val="08DB350A"/>
    <w:rsid w:val="08DB48FF"/>
    <w:rsid w:val="08E93E33"/>
    <w:rsid w:val="08EE31D0"/>
    <w:rsid w:val="08F2253E"/>
    <w:rsid w:val="091377B3"/>
    <w:rsid w:val="092217DD"/>
    <w:rsid w:val="092A1293"/>
    <w:rsid w:val="092C14B6"/>
    <w:rsid w:val="09336848"/>
    <w:rsid w:val="093A7294"/>
    <w:rsid w:val="093A7BD7"/>
    <w:rsid w:val="09445272"/>
    <w:rsid w:val="09482043"/>
    <w:rsid w:val="09523172"/>
    <w:rsid w:val="09534B29"/>
    <w:rsid w:val="09566EED"/>
    <w:rsid w:val="096E62EA"/>
    <w:rsid w:val="09781E4E"/>
    <w:rsid w:val="09841B61"/>
    <w:rsid w:val="098E1FFB"/>
    <w:rsid w:val="0990484B"/>
    <w:rsid w:val="099C4A9C"/>
    <w:rsid w:val="099F7A3A"/>
    <w:rsid w:val="09AE3C54"/>
    <w:rsid w:val="09B3245C"/>
    <w:rsid w:val="09C120A6"/>
    <w:rsid w:val="09C56903"/>
    <w:rsid w:val="09CA1843"/>
    <w:rsid w:val="09CB0BBA"/>
    <w:rsid w:val="09D43CC2"/>
    <w:rsid w:val="09FD26DB"/>
    <w:rsid w:val="0A187F18"/>
    <w:rsid w:val="0A196849"/>
    <w:rsid w:val="0A263993"/>
    <w:rsid w:val="0A2D3AC2"/>
    <w:rsid w:val="0A3B3FEA"/>
    <w:rsid w:val="0A3B6BCE"/>
    <w:rsid w:val="0A3C4438"/>
    <w:rsid w:val="0A451718"/>
    <w:rsid w:val="0A511612"/>
    <w:rsid w:val="0A5834A0"/>
    <w:rsid w:val="0A62703D"/>
    <w:rsid w:val="0A637265"/>
    <w:rsid w:val="0A66407D"/>
    <w:rsid w:val="0A7A43DF"/>
    <w:rsid w:val="0A80229F"/>
    <w:rsid w:val="0AA4213C"/>
    <w:rsid w:val="0AA755DF"/>
    <w:rsid w:val="0AB94AC0"/>
    <w:rsid w:val="0ABB08A3"/>
    <w:rsid w:val="0ABD2658"/>
    <w:rsid w:val="0AC83568"/>
    <w:rsid w:val="0AC95AF9"/>
    <w:rsid w:val="0B120D44"/>
    <w:rsid w:val="0B1B467A"/>
    <w:rsid w:val="0B2D3698"/>
    <w:rsid w:val="0B533B2B"/>
    <w:rsid w:val="0B5A00BC"/>
    <w:rsid w:val="0B6574A7"/>
    <w:rsid w:val="0B717F47"/>
    <w:rsid w:val="0B7A0B57"/>
    <w:rsid w:val="0B895D26"/>
    <w:rsid w:val="0B986DC0"/>
    <w:rsid w:val="0BB04180"/>
    <w:rsid w:val="0BD27BF6"/>
    <w:rsid w:val="0BD76CAE"/>
    <w:rsid w:val="0BF23A45"/>
    <w:rsid w:val="0BF60016"/>
    <w:rsid w:val="0BFE10A8"/>
    <w:rsid w:val="0C105D6A"/>
    <w:rsid w:val="0C1110C3"/>
    <w:rsid w:val="0C150A31"/>
    <w:rsid w:val="0C26003F"/>
    <w:rsid w:val="0C30706F"/>
    <w:rsid w:val="0C3B3C7D"/>
    <w:rsid w:val="0C590D62"/>
    <w:rsid w:val="0C631FC5"/>
    <w:rsid w:val="0C636BF6"/>
    <w:rsid w:val="0C7B3360"/>
    <w:rsid w:val="0C7E73E5"/>
    <w:rsid w:val="0CA974C3"/>
    <w:rsid w:val="0CAB2EAE"/>
    <w:rsid w:val="0CAD0CCD"/>
    <w:rsid w:val="0CB50245"/>
    <w:rsid w:val="0CB62CAA"/>
    <w:rsid w:val="0CB76853"/>
    <w:rsid w:val="0CBC425C"/>
    <w:rsid w:val="0CC31C91"/>
    <w:rsid w:val="0CCA5895"/>
    <w:rsid w:val="0CCE57FE"/>
    <w:rsid w:val="0CE96DA2"/>
    <w:rsid w:val="0D0A38B5"/>
    <w:rsid w:val="0D24266E"/>
    <w:rsid w:val="0D305579"/>
    <w:rsid w:val="0D31095A"/>
    <w:rsid w:val="0D3C0A74"/>
    <w:rsid w:val="0D4235BA"/>
    <w:rsid w:val="0D492590"/>
    <w:rsid w:val="0D5064B8"/>
    <w:rsid w:val="0D582D67"/>
    <w:rsid w:val="0D621C7D"/>
    <w:rsid w:val="0D7240FB"/>
    <w:rsid w:val="0D750E46"/>
    <w:rsid w:val="0D784B54"/>
    <w:rsid w:val="0D964D7C"/>
    <w:rsid w:val="0DBF4608"/>
    <w:rsid w:val="0DCE62F3"/>
    <w:rsid w:val="0DD346B0"/>
    <w:rsid w:val="0DE56B2A"/>
    <w:rsid w:val="0DF06AB6"/>
    <w:rsid w:val="0DF7510F"/>
    <w:rsid w:val="0DFD74CE"/>
    <w:rsid w:val="0E0C720D"/>
    <w:rsid w:val="0E0F59D3"/>
    <w:rsid w:val="0E116E75"/>
    <w:rsid w:val="0E141D68"/>
    <w:rsid w:val="0E220F04"/>
    <w:rsid w:val="0E2635B7"/>
    <w:rsid w:val="0E2D6F92"/>
    <w:rsid w:val="0E35096D"/>
    <w:rsid w:val="0E377396"/>
    <w:rsid w:val="0E576B35"/>
    <w:rsid w:val="0E611762"/>
    <w:rsid w:val="0E673B69"/>
    <w:rsid w:val="0E73034D"/>
    <w:rsid w:val="0E7E0479"/>
    <w:rsid w:val="0E81213E"/>
    <w:rsid w:val="0E8A515C"/>
    <w:rsid w:val="0E8A6DC7"/>
    <w:rsid w:val="0EBD65C8"/>
    <w:rsid w:val="0EBE059E"/>
    <w:rsid w:val="0EC737A3"/>
    <w:rsid w:val="0ECC12D1"/>
    <w:rsid w:val="0ED32660"/>
    <w:rsid w:val="0ED63EFE"/>
    <w:rsid w:val="0ED85EC8"/>
    <w:rsid w:val="0EDA4B88"/>
    <w:rsid w:val="0EEF1A3B"/>
    <w:rsid w:val="0EFB5712"/>
    <w:rsid w:val="0F113188"/>
    <w:rsid w:val="0F13775A"/>
    <w:rsid w:val="0F143223"/>
    <w:rsid w:val="0F1547E2"/>
    <w:rsid w:val="0F1F3AF7"/>
    <w:rsid w:val="0F256C33"/>
    <w:rsid w:val="0F2729AB"/>
    <w:rsid w:val="0F2C7BB8"/>
    <w:rsid w:val="0F3F7A57"/>
    <w:rsid w:val="0F5A16E2"/>
    <w:rsid w:val="0F5F45FE"/>
    <w:rsid w:val="0F621355"/>
    <w:rsid w:val="0F8E3D15"/>
    <w:rsid w:val="0F9A112B"/>
    <w:rsid w:val="0FA638D0"/>
    <w:rsid w:val="0FBF7AD9"/>
    <w:rsid w:val="0FD6330F"/>
    <w:rsid w:val="0FDA7CE6"/>
    <w:rsid w:val="0FDC772F"/>
    <w:rsid w:val="0FE83A3A"/>
    <w:rsid w:val="0FEB5023"/>
    <w:rsid w:val="0FF56606"/>
    <w:rsid w:val="0FF71859"/>
    <w:rsid w:val="1007006A"/>
    <w:rsid w:val="10071C1B"/>
    <w:rsid w:val="100B10BA"/>
    <w:rsid w:val="10120F66"/>
    <w:rsid w:val="101C5CEC"/>
    <w:rsid w:val="10234F21"/>
    <w:rsid w:val="10604A79"/>
    <w:rsid w:val="10641053"/>
    <w:rsid w:val="1064474E"/>
    <w:rsid w:val="10687DDF"/>
    <w:rsid w:val="106D2F64"/>
    <w:rsid w:val="10780B18"/>
    <w:rsid w:val="10882532"/>
    <w:rsid w:val="108C289F"/>
    <w:rsid w:val="10925887"/>
    <w:rsid w:val="10A25D69"/>
    <w:rsid w:val="10B07CA0"/>
    <w:rsid w:val="10B63710"/>
    <w:rsid w:val="10B908A6"/>
    <w:rsid w:val="10D051D6"/>
    <w:rsid w:val="10E125D8"/>
    <w:rsid w:val="10E675C4"/>
    <w:rsid w:val="10F10820"/>
    <w:rsid w:val="10F25D47"/>
    <w:rsid w:val="11021660"/>
    <w:rsid w:val="11170296"/>
    <w:rsid w:val="111C2F7A"/>
    <w:rsid w:val="11487311"/>
    <w:rsid w:val="1152332F"/>
    <w:rsid w:val="11574359"/>
    <w:rsid w:val="11665CA1"/>
    <w:rsid w:val="117B62C7"/>
    <w:rsid w:val="1194590E"/>
    <w:rsid w:val="119B71F1"/>
    <w:rsid w:val="119D3DEE"/>
    <w:rsid w:val="119F0F1F"/>
    <w:rsid w:val="11A007F3"/>
    <w:rsid w:val="11AD360A"/>
    <w:rsid w:val="11C10E95"/>
    <w:rsid w:val="11D24E50"/>
    <w:rsid w:val="11D442BB"/>
    <w:rsid w:val="11D71617"/>
    <w:rsid w:val="11DA07C1"/>
    <w:rsid w:val="11DD4E7D"/>
    <w:rsid w:val="11DD6915"/>
    <w:rsid w:val="11F0454C"/>
    <w:rsid w:val="11F31A5A"/>
    <w:rsid w:val="11F81159"/>
    <w:rsid w:val="11FA426E"/>
    <w:rsid w:val="121C3F75"/>
    <w:rsid w:val="121D464A"/>
    <w:rsid w:val="12226B90"/>
    <w:rsid w:val="1236212A"/>
    <w:rsid w:val="12382168"/>
    <w:rsid w:val="12483364"/>
    <w:rsid w:val="124A4203"/>
    <w:rsid w:val="12525C05"/>
    <w:rsid w:val="12533D1A"/>
    <w:rsid w:val="125B668C"/>
    <w:rsid w:val="12745E90"/>
    <w:rsid w:val="12976C92"/>
    <w:rsid w:val="1299771C"/>
    <w:rsid w:val="12A93667"/>
    <w:rsid w:val="12BE087C"/>
    <w:rsid w:val="12CF0DEB"/>
    <w:rsid w:val="12D62C5B"/>
    <w:rsid w:val="12D87394"/>
    <w:rsid w:val="12DB07A3"/>
    <w:rsid w:val="12DD0A3A"/>
    <w:rsid w:val="12E8020B"/>
    <w:rsid w:val="12EE0615"/>
    <w:rsid w:val="12F14854"/>
    <w:rsid w:val="13086650"/>
    <w:rsid w:val="130A398F"/>
    <w:rsid w:val="130A7F70"/>
    <w:rsid w:val="131717AB"/>
    <w:rsid w:val="131B6BA4"/>
    <w:rsid w:val="1331272E"/>
    <w:rsid w:val="133973C6"/>
    <w:rsid w:val="13411619"/>
    <w:rsid w:val="13426BB8"/>
    <w:rsid w:val="134F0723"/>
    <w:rsid w:val="13503D4E"/>
    <w:rsid w:val="13672A09"/>
    <w:rsid w:val="13951726"/>
    <w:rsid w:val="13A100CC"/>
    <w:rsid w:val="13BA5B9C"/>
    <w:rsid w:val="13C0442E"/>
    <w:rsid w:val="13CE2135"/>
    <w:rsid w:val="13DA623E"/>
    <w:rsid w:val="13DD0AA9"/>
    <w:rsid w:val="13E14CED"/>
    <w:rsid w:val="13E949BD"/>
    <w:rsid w:val="1405274A"/>
    <w:rsid w:val="14081793"/>
    <w:rsid w:val="1410477D"/>
    <w:rsid w:val="14363DC9"/>
    <w:rsid w:val="143732B0"/>
    <w:rsid w:val="14396509"/>
    <w:rsid w:val="143C3F0B"/>
    <w:rsid w:val="143D057B"/>
    <w:rsid w:val="143F2237"/>
    <w:rsid w:val="14776E98"/>
    <w:rsid w:val="14795A57"/>
    <w:rsid w:val="14A92EA3"/>
    <w:rsid w:val="14B978B1"/>
    <w:rsid w:val="14C800C5"/>
    <w:rsid w:val="14C8253B"/>
    <w:rsid w:val="14CC344D"/>
    <w:rsid w:val="14CD443B"/>
    <w:rsid w:val="14D07641"/>
    <w:rsid w:val="14D3172D"/>
    <w:rsid w:val="14DC2925"/>
    <w:rsid w:val="14DD2C3C"/>
    <w:rsid w:val="14DD44D6"/>
    <w:rsid w:val="14E571D9"/>
    <w:rsid w:val="14EF498C"/>
    <w:rsid w:val="14F36D6E"/>
    <w:rsid w:val="15015A4D"/>
    <w:rsid w:val="151253BF"/>
    <w:rsid w:val="154E416B"/>
    <w:rsid w:val="154F7D73"/>
    <w:rsid w:val="15520044"/>
    <w:rsid w:val="156C2398"/>
    <w:rsid w:val="1578578E"/>
    <w:rsid w:val="15A0411D"/>
    <w:rsid w:val="15C41E41"/>
    <w:rsid w:val="15DB1237"/>
    <w:rsid w:val="15DC203A"/>
    <w:rsid w:val="15E01577"/>
    <w:rsid w:val="15E87893"/>
    <w:rsid w:val="15FA6FD8"/>
    <w:rsid w:val="16024844"/>
    <w:rsid w:val="16087E1D"/>
    <w:rsid w:val="161B0618"/>
    <w:rsid w:val="161C7CF4"/>
    <w:rsid w:val="16281A67"/>
    <w:rsid w:val="16473933"/>
    <w:rsid w:val="164A5872"/>
    <w:rsid w:val="16537726"/>
    <w:rsid w:val="16594A27"/>
    <w:rsid w:val="16824AE6"/>
    <w:rsid w:val="168E64EB"/>
    <w:rsid w:val="168F21FC"/>
    <w:rsid w:val="169520DD"/>
    <w:rsid w:val="16B3609C"/>
    <w:rsid w:val="16C00BB5"/>
    <w:rsid w:val="16C04D9D"/>
    <w:rsid w:val="16C136E5"/>
    <w:rsid w:val="16C22E0D"/>
    <w:rsid w:val="16C45663"/>
    <w:rsid w:val="16E2041D"/>
    <w:rsid w:val="16EE587E"/>
    <w:rsid w:val="16F917C6"/>
    <w:rsid w:val="16FE7FF8"/>
    <w:rsid w:val="173348D1"/>
    <w:rsid w:val="174B7366"/>
    <w:rsid w:val="17510C44"/>
    <w:rsid w:val="175E7186"/>
    <w:rsid w:val="17701D14"/>
    <w:rsid w:val="17735226"/>
    <w:rsid w:val="17743B20"/>
    <w:rsid w:val="177B642D"/>
    <w:rsid w:val="1781659A"/>
    <w:rsid w:val="179017C8"/>
    <w:rsid w:val="1794723D"/>
    <w:rsid w:val="17976D89"/>
    <w:rsid w:val="179C47E1"/>
    <w:rsid w:val="17B172B6"/>
    <w:rsid w:val="17B25224"/>
    <w:rsid w:val="17BB694D"/>
    <w:rsid w:val="17C42159"/>
    <w:rsid w:val="17D40378"/>
    <w:rsid w:val="17E23913"/>
    <w:rsid w:val="180A78FD"/>
    <w:rsid w:val="183103F7"/>
    <w:rsid w:val="18327A9A"/>
    <w:rsid w:val="1837381C"/>
    <w:rsid w:val="184A15A3"/>
    <w:rsid w:val="184F1396"/>
    <w:rsid w:val="185145F5"/>
    <w:rsid w:val="185843E4"/>
    <w:rsid w:val="186E33F9"/>
    <w:rsid w:val="187F6673"/>
    <w:rsid w:val="18815FAD"/>
    <w:rsid w:val="18896860"/>
    <w:rsid w:val="189F624C"/>
    <w:rsid w:val="18A03328"/>
    <w:rsid w:val="18A4666E"/>
    <w:rsid w:val="18AA273A"/>
    <w:rsid w:val="18AD318C"/>
    <w:rsid w:val="18B6426E"/>
    <w:rsid w:val="18BD3718"/>
    <w:rsid w:val="18CE0680"/>
    <w:rsid w:val="18D520CC"/>
    <w:rsid w:val="1901735B"/>
    <w:rsid w:val="190A1374"/>
    <w:rsid w:val="191042EE"/>
    <w:rsid w:val="19117C99"/>
    <w:rsid w:val="191A59E4"/>
    <w:rsid w:val="191F666C"/>
    <w:rsid w:val="192048F7"/>
    <w:rsid w:val="19321393"/>
    <w:rsid w:val="194F3950"/>
    <w:rsid w:val="195876F2"/>
    <w:rsid w:val="195D2904"/>
    <w:rsid w:val="1963111B"/>
    <w:rsid w:val="19727E34"/>
    <w:rsid w:val="19786583"/>
    <w:rsid w:val="198616D6"/>
    <w:rsid w:val="199629FD"/>
    <w:rsid w:val="19A67431"/>
    <w:rsid w:val="19A8293B"/>
    <w:rsid w:val="19B20CB6"/>
    <w:rsid w:val="19BE215E"/>
    <w:rsid w:val="19D94C92"/>
    <w:rsid w:val="19DB0026"/>
    <w:rsid w:val="19DB061A"/>
    <w:rsid w:val="1A042CD6"/>
    <w:rsid w:val="1A0538E9"/>
    <w:rsid w:val="1A0A5443"/>
    <w:rsid w:val="1A120FCB"/>
    <w:rsid w:val="1A1C66C0"/>
    <w:rsid w:val="1A1F459B"/>
    <w:rsid w:val="1A314AF4"/>
    <w:rsid w:val="1A42393B"/>
    <w:rsid w:val="1A442D5C"/>
    <w:rsid w:val="1A543DEA"/>
    <w:rsid w:val="1A552CF1"/>
    <w:rsid w:val="1A596B5C"/>
    <w:rsid w:val="1A72503C"/>
    <w:rsid w:val="1A743169"/>
    <w:rsid w:val="1A754F03"/>
    <w:rsid w:val="1A807414"/>
    <w:rsid w:val="1A82377C"/>
    <w:rsid w:val="1A850871"/>
    <w:rsid w:val="1A900946"/>
    <w:rsid w:val="1A941A00"/>
    <w:rsid w:val="1A9F03A4"/>
    <w:rsid w:val="1AAC40B9"/>
    <w:rsid w:val="1AAD45DE"/>
    <w:rsid w:val="1AAD509B"/>
    <w:rsid w:val="1ABF5795"/>
    <w:rsid w:val="1AC5423F"/>
    <w:rsid w:val="1AC612CA"/>
    <w:rsid w:val="1AE14356"/>
    <w:rsid w:val="1AEB2ADF"/>
    <w:rsid w:val="1AFE5349"/>
    <w:rsid w:val="1B046F80"/>
    <w:rsid w:val="1B114C96"/>
    <w:rsid w:val="1B156539"/>
    <w:rsid w:val="1B222279"/>
    <w:rsid w:val="1B231122"/>
    <w:rsid w:val="1B291020"/>
    <w:rsid w:val="1B2C5D65"/>
    <w:rsid w:val="1B3267B5"/>
    <w:rsid w:val="1B3A5814"/>
    <w:rsid w:val="1B3E045A"/>
    <w:rsid w:val="1B40161D"/>
    <w:rsid w:val="1B441859"/>
    <w:rsid w:val="1B5651EF"/>
    <w:rsid w:val="1B6606B1"/>
    <w:rsid w:val="1B664581"/>
    <w:rsid w:val="1B8462D5"/>
    <w:rsid w:val="1B9674BD"/>
    <w:rsid w:val="1B9E5139"/>
    <w:rsid w:val="1BAE476D"/>
    <w:rsid w:val="1BB96DA1"/>
    <w:rsid w:val="1BBD7410"/>
    <w:rsid w:val="1BC11D8D"/>
    <w:rsid w:val="1BC5472B"/>
    <w:rsid w:val="1BCC35A6"/>
    <w:rsid w:val="1BE776C0"/>
    <w:rsid w:val="1C046C2D"/>
    <w:rsid w:val="1C226DDC"/>
    <w:rsid w:val="1C3E13D0"/>
    <w:rsid w:val="1C5E7925"/>
    <w:rsid w:val="1C5F29A4"/>
    <w:rsid w:val="1C605F36"/>
    <w:rsid w:val="1C8B27CB"/>
    <w:rsid w:val="1C9121E5"/>
    <w:rsid w:val="1CAB2804"/>
    <w:rsid w:val="1CB3474D"/>
    <w:rsid w:val="1CB57848"/>
    <w:rsid w:val="1CBE01D1"/>
    <w:rsid w:val="1CD276D2"/>
    <w:rsid w:val="1CE1523A"/>
    <w:rsid w:val="1CE27F12"/>
    <w:rsid w:val="1CFB15FD"/>
    <w:rsid w:val="1CFD070F"/>
    <w:rsid w:val="1D061BAB"/>
    <w:rsid w:val="1D067311"/>
    <w:rsid w:val="1D0C1AED"/>
    <w:rsid w:val="1D18750D"/>
    <w:rsid w:val="1D2B351D"/>
    <w:rsid w:val="1D2F637B"/>
    <w:rsid w:val="1D3B7F15"/>
    <w:rsid w:val="1D5F6196"/>
    <w:rsid w:val="1D6132A5"/>
    <w:rsid w:val="1D61700C"/>
    <w:rsid w:val="1D6857AB"/>
    <w:rsid w:val="1D6923E1"/>
    <w:rsid w:val="1D6D0123"/>
    <w:rsid w:val="1D7019C1"/>
    <w:rsid w:val="1D7E7C3A"/>
    <w:rsid w:val="1D8130BD"/>
    <w:rsid w:val="1D8A4B1F"/>
    <w:rsid w:val="1D8C1CB5"/>
    <w:rsid w:val="1D8E56D5"/>
    <w:rsid w:val="1DA64284"/>
    <w:rsid w:val="1DBE272D"/>
    <w:rsid w:val="1DC22F2F"/>
    <w:rsid w:val="1DC45260"/>
    <w:rsid w:val="1DC57730"/>
    <w:rsid w:val="1DCB4D91"/>
    <w:rsid w:val="1DD212E1"/>
    <w:rsid w:val="1DED30F9"/>
    <w:rsid w:val="1DF578A1"/>
    <w:rsid w:val="1DFB08AE"/>
    <w:rsid w:val="1E025B9D"/>
    <w:rsid w:val="1E180B96"/>
    <w:rsid w:val="1E1A1F9B"/>
    <w:rsid w:val="1E270727"/>
    <w:rsid w:val="1E3E6B0B"/>
    <w:rsid w:val="1E3E6F56"/>
    <w:rsid w:val="1E475FB1"/>
    <w:rsid w:val="1E582BE7"/>
    <w:rsid w:val="1E5D3CF4"/>
    <w:rsid w:val="1E602BCB"/>
    <w:rsid w:val="1E6677BE"/>
    <w:rsid w:val="1E697CC7"/>
    <w:rsid w:val="1E6F0BB2"/>
    <w:rsid w:val="1E705052"/>
    <w:rsid w:val="1E79356D"/>
    <w:rsid w:val="1E7A1137"/>
    <w:rsid w:val="1E7A43DA"/>
    <w:rsid w:val="1E995B7C"/>
    <w:rsid w:val="1E9E1CDE"/>
    <w:rsid w:val="1EB04676"/>
    <w:rsid w:val="1EC024D4"/>
    <w:rsid w:val="1EC940D9"/>
    <w:rsid w:val="1EDC5F3B"/>
    <w:rsid w:val="1EE73F05"/>
    <w:rsid w:val="1EEC68D5"/>
    <w:rsid w:val="1EEE0014"/>
    <w:rsid w:val="1EF47B97"/>
    <w:rsid w:val="1EF70B4B"/>
    <w:rsid w:val="1F016D75"/>
    <w:rsid w:val="1F116F91"/>
    <w:rsid w:val="1F1E0A46"/>
    <w:rsid w:val="1F2E743E"/>
    <w:rsid w:val="1F372281"/>
    <w:rsid w:val="1F3A6C4E"/>
    <w:rsid w:val="1F420BDA"/>
    <w:rsid w:val="1F4C6B0F"/>
    <w:rsid w:val="1F5B6365"/>
    <w:rsid w:val="1F671526"/>
    <w:rsid w:val="1F69648B"/>
    <w:rsid w:val="1F6A305F"/>
    <w:rsid w:val="1F7237CF"/>
    <w:rsid w:val="1F73207E"/>
    <w:rsid w:val="1F84398C"/>
    <w:rsid w:val="1F85735B"/>
    <w:rsid w:val="1F9F71A9"/>
    <w:rsid w:val="1FAA4AF0"/>
    <w:rsid w:val="1FAC7D10"/>
    <w:rsid w:val="1FB17422"/>
    <w:rsid w:val="1FB355A7"/>
    <w:rsid w:val="1FB9063F"/>
    <w:rsid w:val="1FC317C8"/>
    <w:rsid w:val="1FD2749C"/>
    <w:rsid w:val="1FD53A73"/>
    <w:rsid w:val="1FD955FC"/>
    <w:rsid w:val="1FDB5AFA"/>
    <w:rsid w:val="1FE7539E"/>
    <w:rsid w:val="1FF04CD9"/>
    <w:rsid w:val="1FFE5062"/>
    <w:rsid w:val="20116A27"/>
    <w:rsid w:val="20155460"/>
    <w:rsid w:val="20283D19"/>
    <w:rsid w:val="20530426"/>
    <w:rsid w:val="20671BE0"/>
    <w:rsid w:val="20820462"/>
    <w:rsid w:val="208732AA"/>
    <w:rsid w:val="20963CB8"/>
    <w:rsid w:val="20A81A1B"/>
    <w:rsid w:val="20AC0F62"/>
    <w:rsid w:val="20AC439D"/>
    <w:rsid w:val="20AF7127"/>
    <w:rsid w:val="20B07FB6"/>
    <w:rsid w:val="20B646FB"/>
    <w:rsid w:val="20B6562D"/>
    <w:rsid w:val="20CC299F"/>
    <w:rsid w:val="20D51D8E"/>
    <w:rsid w:val="20D52267"/>
    <w:rsid w:val="20E24817"/>
    <w:rsid w:val="20E33BD4"/>
    <w:rsid w:val="20E70553"/>
    <w:rsid w:val="21041BFB"/>
    <w:rsid w:val="210448FA"/>
    <w:rsid w:val="2114770F"/>
    <w:rsid w:val="212D236D"/>
    <w:rsid w:val="213B74B1"/>
    <w:rsid w:val="214116AB"/>
    <w:rsid w:val="21452C4F"/>
    <w:rsid w:val="214967B1"/>
    <w:rsid w:val="214C62A1"/>
    <w:rsid w:val="215A2310"/>
    <w:rsid w:val="217300FB"/>
    <w:rsid w:val="2173382E"/>
    <w:rsid w:val="21821CEB"/>
    <w:rsid w:val="2183551F"/>
    <w:rsid w:val="21845A3B"/>
    <w:rsid w:val="21863561"/>
    <w:rsid w:val="218E5CB6"/>
    <w:rsid w:val="21950629"/>
    <w:rsid w:val="219D5CF4"/>
    <w:rsid w:val="21A26470"/>
    <w:rsid w:val="21B2717B"/>
    <w:rsid w:val="21B760FE"/>
    <w:rsid w:val="21BC55A2"/>
    <w:rsid w:val="21C24DCC"/>
    <w:rsid w:val="21CE2CB0"/>
    <w:rsid w:val="21CF0837"/>
    <w:rsid w:val="21DE2A24"/>
    <w:rsid w:val="21DE318A"/>
    <w:rsid w:val="21EF5B80"/>
    <w:rsid w:val="21F616DF"/>
    <w:rsid w:val="221869F8"/>
    <w:rsid w:val="223369EE"/>
    <w:rsid w:val="22393E58"/>
    <w:rsid w:val="22576990"/>
    <w:rsid w:val="226761DF"/>
    <w:rsid w:val="228838C1"/>
    <w:rsid w:val="228E1680"/>
    <w:rsid w:val="22927CA5"/>
    <w:rsid w:val="22A3294B"/>
    <w:rsid w:val="22A7008C"/>
    <w:rsid w:val="22D80E71"/>
    <w:rsid w:val="22D839FC"/>
    <w:rsid w:val="22D94201"/>
    <w:rsid w:val="22E13E78"/>
    <w:rsid w:val="22E41196"/>
    <w:rsid w:val="22E75183"/>
    <w:rsid w:val="22EF5915"/>
    <w:rsid w:val="22EF5A05"/>
    <w:rsid w:val="22F17494"/>
    <w:rsid w:val="22F47480"/>
    <w:rsid w:val="230064E3"/>
    <w:rsid w:val="231B4913"/>
    <w:rsid w:val="233174FD"/>
    <w:rsid w:val="233D2263"/>
    <w:rsid w:val="234666CA"/>
    <w:rsid w:val="23524578"/>
    <w:rsid w:val="23580F2E"/>
    <w:rsid w:val="236256B4"/>
    <w:rsid w:val="23794E80"/>
    <w:rsid w:val="23B31118"/>
    <w:rsid w:val="23BC38B4"/>
    <w:rsid w:val="23D24101"/>
    <w:rsid w:val="23DB4476"/>
    <w:rsid w:val="23DE1C48"/>
    <w:rsid w:val="23E84339"/>
    <w:rsid w:val="23F33CA6"/>
    <w:rsid w:val="240210CD"/>
    <w:rsid w:val="240F3785"/>
    <w:rsid w:val="241A4974"/>
    <w:rsid w:val="24232A58"/>
    <w:rsid w:val="242667B9"/>
    <w:rsid w:val="24277EEF"/>
    <w:rsid w:val="242858A3"/>
    <w:rsid w:val="243D0F5D"/>
    <w:rsid w:val="2446752C"/>
    <w:rsid w:val="245731AD"/>
    <w:rsid w:val="245E2574"/>
    <w:rsid w:val="245E78F1"/>
    <w:rsid w:val="249311F9"/>
    <w:rsid w:val="24956808"/>
    <w:rsid w:val="249B3752"/>
    <w:rsid w:val="24A51DE6"/>
    <w:rsid w:val="24BE76E8"/>
    <w:rsid w:val="24BF09F7"/>
    <w:rsid w:val="24C8464D"/>
    <w:rsid w:val="24CA70BA"/>
    <w:rsid w:val="24D3608A"/>
    <w:rsid w:val="24DB5DF5"/>
    <w:rsid w:val="24DF2E79"/>
    <w:rsid w:val="24E031C7"/>
    <w:rsid w:val="24E0567E"/>
    <w:rsid w:val="251C64DC"/>
    <w:rsid w:val="252D53FE"/>
    <w:rsid w:val="253432D4"/>
    <w:rsid w:val="253D4E11"/>
    <w:rsid w:val="253E3FAB"/>
    <w:rsid w:val="25495BBE"/>
    <w:rsid w:val="255B2F57"/>
    <w:rsid w:val="256F4ABD"/>
    <w:rsid w:val="25706A02"/>
    <w:rsid w:val="257E4702"/>
    <w:rsid w:val="2589547A"/>
    <w:rsid w:val="25923E18"/>
    <w:rsid w:val="25993932"/>
    <w:rsid w:val="259A6E89"/>
    <w:rsid w:val="259F6C5E"/>
    <w:rsid w:val="25B52667"/>
    <w:rsid w:val="25C307DB"/>
    <w:rsid w:val="25C527AB"/>
    <w:rsid w:val="25C805EC"/>
    <w:rsid w:val="25CF72B4"/>
    <w:rsid w:val="25DA1E1A"/>
    <w:rsid w:val="25E67B02"/>
    <w:rsid w:val="25E76599"/>
    <w:rsid w:val="25EC2D81"/>
    <w:rsid w:val="25F23733"/>
    <w:rsid w:val="260E0E6E"/>
    <w:rsid w:val="26184E32"/>
    <w:rsid w:val="262219BF"/>
    <w:rsid w:val="26245C2E"/>
    <w:rsid w:val="26444257"/>
    <w:rsid w:val="264878C9"/>
    <w:rsid w:val="26536F1B"/>
    <w:rsid w:val="265764DF"/>
    <w:rsid w:val="2670219F"/>
    <w:rsid w:val="267C79C2"/>
    <w:rsid w:val="268962F3"/>
    <w:rsid w:val="26974B32"/>
    <w:rsid w:val="269F3A55"/>
    <w:rsid w:val="26A1406D"/>
    <w:rsid w:val="26AF29E8"/>
    <w:rsid w:val="26B8125E"/>
    <w:rsid w:val="26BA2A2A"/>
    <w:rsid w:val="26C03072"/>
    <w:rsid w:val="26C11A07"/>
    <w:rsid w:val="26D37E62"/>
    <w:rsid w:val="26E234A0"/>
    <w:rsid w:val="26F92A28"/>
    <w:rsid w:val="27115555"/>
    <w:rsid w:val="271F5AF3"/>
    <w:rsid w:val="27343A60"/>
    <w:rsid w:val="273529A6"/>
    <w:rsid w:val="274C6257"/>
    <w:rsid w:val="27540655"/>
    <w:rsid w:val="277057A2"/>
    <w:rsid w:val="2779525B"/>
    <w:rsid w:val="27824CE5"/>
    <w:rsid w:val="2786213D"/>
    <w:rsid w:val="27926100"/>
    <w:rsid w:val="27967665"/>
    <w:rsid w:val="27A82768"/>
    <w:rsid w:val="27AB1F74"/>
    <w:rsid w:val="27B125D5"/>
    <w:rsid w:val="27B41E6D"/>
    <w:rsid w:val="27BE0047"/>
    <w:rsid w:val="27C84FA4"/>
    <w:rsid w:val="27DA57E7"/>
    <w:rsid w:val="27DD22DD"/>
    <w:rsid w:val="27E9507C"/>
    <w:rsid w:val="280835FD"/>
    <w:rsid w:val="2823594C"/>
    <w:rsid w:val="28286CDF"/>
    <w:rsid w:val="28387C4F"/>
    <w:rsid w:val="284A4D23"/>
    <w:rsid w:val="28640A91"/>
    <w:rsid w:val="28687E65"/>
    <w:rsid w:val="2869016D"/>
    <w:rsid w:val="286B4302"/>
    <w:rsid w:val="287442D1"/>
    <w:rsid w:val="287B6E9E"/>
    <w:rsid w:val="28883B21"/>
    <w:rsid w:val="28936FF4"/>
    <w:rsid w:val="28A349F9"/>
    <w:rsid w:val="28A54C15"/>
    <w:rsid w:val="28AD1D1C"/>
    <w:rsid w:val="28BA28CB"/>
    <w:rsid w:val="28BF7B0E"/>
    <w:rsid w:val="28CD4D42"/>
    <w:rsid w:val="28DE2B08"/>
    <w:rsid w:val="28E05C4D"/>
    <w:rsid w:val="28EC0C31"/>
    <w:rsid w:val="290E5AE5"/>
    <w:rsid w:val="29171699"/>
    <w:rsid w:val="291E49C7"/>
    <w:rsid w:val="29206EB8"/>
    <w:rsid w:val="292549F2"/>
    <w:rsid w:val="292F5FB3"/>
    <w:rsid w:val="293B0570"/>
    <w:rsid w:val="293C51D0"/>
    <w:rsid w:val="29464530"/>
    <w:rsid w:val="294A445C"/>
    <w:rsid w:val="294B38F4"/>
    <w:rsid w:val="29534671"/>
    <w:rsid w:val="29595666"/>
    <w:rsid w:val="2976035F"/>
    <w:rsid w:val="29874881"/>
    <w:rsid w:val="298B408B"/>
    <w:rsid w:val="29A245D5"/>
    <w:rsid w:val="29B67336"/>
    <w:rsid w:val="29D97ADD"/>
    <w:rsid w:val="29E325E0"/>
    <w:rsid w:val="29E46B43"/>
    <w:rsid w:val="29E608C0"/>
    <w:rsid w:val="29EC6874"/>
    <w:rsid w:val="29EE09E5"/>
    <w:rsid w:val="29F92FF4"/>
    <w:rsid w:val="29FA0866"/>
    <w:rsid w:val="2A1519C9"/>
    <w:rsid w:val="2A24600D"/>
    <w:rsid w:val="2A2B2E03"/>
    <w:rsid w:val="2A421866"/>
    <w:rsid w:val="2A452503"/>
    <w:rsid w:val="2A506A6E"/>
    <w:rsid w:val="2A5A34D5"/>
    <w:rsid w:val="2A5D3DCA"/>
    <w:rsid w:val="2A5E5A7E"/>
    <w:rsid w:val="2A61582F"/>
    <w:rsid w:val="2A734CC2"/>
    <w:rsid w:val="2A740B4B"/>
    <w:rsid w:val="2A7605A5"/>
    <w:rsid w:val="2A7F59A1"/>
    <w:rsid w:val="2A85396B"/>
    <w:rsid w:val="2A856AB6"/>
    <w:rsid w:val="2A9036A3"/>
    <w:rsid w:val="2A977E42"/>
    <w:rsid w:val="2AA40CB1"/>
    <w:rsid w:val="2AAC3E7C"/>
    <w:rsid w:val="2AEB44F9"/>
    <w:rsid w:val="2B036C50"/>
    <w:rsid w:val="2B106856"/>
    <w:rsid w:val="2B142C5B"/>
    <w:rsid w:val="2B1A5A8B"/>
    <w:rsid w:val="2B283595"/>
    <w:rsid w:val="2B3B360F"/>
    <w:rsid w:val="2B4C5C47"/>
    <w:rsid w:val="2B557C22"/>
    <w:rsid w:val="2B5B642C"/>
    <w:rsid w:val="2B6036D7"/>
    <w:rsid w:val="2B6638CE"/>
    <w:rsid w:val="2B7159F6"/>
    <w:rsid w:val="2B8F45E6"/>
    <w:rsid w:val="2BA936A8"/>
    <w:rsid w:val="2BA94A1C"/>
    <w:rsid w:val="2BB12C8F"/>
    <w:rsid w:val="2BBA1C2C"/>
    <w:rsid w:val="2BC513E1"/>
    <w:rsid w:val="2BDE4636"/>
    <w:rsid w:val="2BE83F94"/>
    <w:rsid w:val="2BFD6EFB"/>
    <w:rsid w:val="2C094484"/>
    <w:rsid w:val="2C0C0346"/>
    <w:rsid w:val="2C0F422A"/>
    <w:rsid w:val="2C22657D"/>
    <w:rsid w:val="2C2D4779"/>
    <w:rsid w:val="2C2E3173"/>
    <w:rsid w:val="2C2E5B79"/>
    <w:rsid w:val="2C2F3023"/>
    <w:rsid w:val="2C315A5A"/>
    <w:rsid w:val="2C315FE6"/>
    <w:rsid w:val="2C3612E9"/>
    <w:rsid w:val="2C3843ED"/>
    <w:rsid w:val="2C401128"/>
    <w:rsid w:val="2C435399"/>
    <w:rsid w:val="2C4B1C25"/>
    <w:rsid w:val="2C5435DD"/>
    <w:rsid w:val="2C5D1426"/>
    <w:rsid w:val="2C711DD1"/>
    <w:rsid w:val="2C74061B"/>
    <w:rsid w:val="2C75499A"/>
    <w:rsid w:val="2C7D0236"/>
    <w:rsid w:val="2C856994"/>
    <w:rsid w:val="2C8D4F1B"/>
    <w:rsid w:val="2CAD3C58"/>
    <w:rsid w:val="2CC04327"/>
    <w:rsid w:val="2CC55299"/>
    <w:rsid w:val="2CC83009"/>
    <w:rsid w:val="2CCF263B"/>
    <w:rsid w:val="2CD221E3"/>
    <w:rsid w:val="2CE42E29"/>
    <w:rsid w:val="2CEB0DE7"/>
    <w:rsid w:val="2CFC162C"/>
    <w:rsid w:val="2CFF0489"/>
    <w:rsid w:val="2D055716"/>
    <w:rsid w:val="2D0D0FDB"/>
    <w:rsid w:val="2D1219BE"/>
    <w:rsid w:val="2D1750B8"/>
    <w:rsid w:val="2D1D3BE7"/>
    <w:rsid w:val="2D1E36F6"/>
    <w:rsid w:val="2D263DD7"/>
    <w:rsid w:val="2D2E1DAB"/>
    <w:rsid w:val="2D302395"/>
    <w:rsid w:val="2D505820"/>
    <w:rsid w:val="2D525990"/>
    <w:rsid w:val="2D5B07B1"/>
    <w:rsid w:val="2D652BC5"/>
    <w:rsid w:val="2D6629D1"/>
    <w:rsid w:val="2D6C07A0"/>
    <w:rsid w:val="2D6F599A"/>
    <w:rsid w:val="2D7B4275"/>
    <w:rsid w:val="2D867B5E"/>
    <w:rsid w:val="2D9E56F5"/>
    <w:rsid w:val="2D9F5B2F"/>
    <w:rsid w:val="2DA73CF1"/>
    <w:rsid w:val="2DAA098B"/>
    <w:rsid w:val="2DAD1F4E"/>
    <w:rsid w:val="2DB41456"/>
    <w:rsid w:val="2DC36E4A"/>
    <w:rsid w:val="2DDA7713"/>
    <w:rsid w:val="2DE03A87"/>
    <w:rsid w:val="2DE53875"/>
    <w:rsid w:val="2DE7411C"/>
    <w:rsid w:val="2DEC274F"/>
    <w:rsid w:val="2DF71DEE"/>
    <w:rsid w:val="2DFB7085"/>
    <w:rsid w:val="2E0A303F"/>
    <w:rsid w:val="2E0B636E"/>
    <w:rsid w:val="2E0D0D5D"/>
    <w:rsid w:val="2E0E6DB8"/>
    <w:rsid w:val="2E1B3283"/>
    <w:rsid w:val="2E2506DF"/>
    <w:rsid w:val="2E2A1F91"/>
    <w:rsid w:val="2E383FAF"/>
    <w:rsid w:val="2E393BD0"/>
    <w:rsid w:val="2E42074F"/>
    <w:rsid w:val="2E4D4BEF"/>
    <w:rsid w:val="2E4E59CE"/>
    <w:rsid w:val="2E630992"/>
    <w:rsid w:val="2E644D6E"/>
    <w:rsid w:val="2E667F96"/>
    <w:rsid w:val="2E8226AB"/>
    <w:rsid w:val="2E9272F4"/>
    <w:rsid w:val="2E9358F1"/>
    <w:rsid w:val="2E9641A7"/>
    <w:rsid w:val="2E996364"/>
    <w:rsid w:val="2EAE5EA6"/>
    <w:rsid w:val="2EB6338D"/>
    <w:rsid w:val="2EC8340B"/>
    <w:rsid w:val="2ED365AA"/>
    <w:rsid w:val="2ED839E5"/>
    <w:rsid w:val="2EDE59FD"/>
    <w:rsid w:val="2F032096"/>
    <w:rsid w:val="2F051E83"/>
    <w:rsid w:val="2F080993"/>
    <w:rsid w:val="2F0D2D82"/>
    <w:rsid w:val="2F20341A"/>
    <w:rsid w:val="2F222924"/>
    <w:rsid w:val="2F2558E2"/>
    <w:rsid w:val="2F3338E0"/>
    <w:rsid w:val="2F3C7865"/>
    <w:rsid w:val="2F3F61B0"/>
    <w:rsid w:val="2F436ADC"/>
    <w:rsid w:val="2F4A0EC9"/>
    <w:rsid w:val="2F5C5789"/>
    <w:rsid w:val="2F5E78CC"/>
    <w:rsid w:val="2F623468"/>
    <w:rsid w:val="2F691EC7"/>
    <w:rsid w:val="2F8E5B0E"/>
    <w:rsid w:val="2F8F217B"/>
    <w:rsid w:val="2FA72AB2"/>
    <w:rsid w:val="2FA85A2A"/>
    <w:rsid w:val="2FB67708"/>
    <w:rsid w:val="2FC260AC"/>
    <w:rsid w:val="2FC668E2"/>
    <w:rsid w:val="2FCA2366"/>
    <w:rsid w:val="2FD065E6"/>
    <w:rsid w:val="2FD94EFF"/>
    <w:rsid w:val="2FD96870"/>
    <w:rsid w:val="2FFD003F"/>
    <w:rsid w:val="300372D6"/>
    <w:rsid w:val="30191A45"/>
    <w:rsid w:val="30243DE6"/>
    <w:rsid w:val="3026406D"/>
    <w:rsid w:val="302B52F4"/>
    <w:rsid w:val="3032679A"/>
    <w:rsid w:val="304545E8"/>
    <w:rsid w:val="30580BC9"/>
    <w:rsid w:val="305A62E5"/>
    <w:rsid w:val="30691A1F"/>
    <w:rsid w:val="306A473D"/>
    <w:rsid w:val="307A787F"/>
    <w:rsid w:val="30823A8E"/>
    <w:rsid w:val="308C2419"/>
    <w:rsid w:val="308E2433"/>
    <w:rsid w:val="309C220C"/>
    <w:rsid w:val="309C3517"/>
    <w:rsid w:val="309C59D2"/>
    <w:rsid w:val="30A2629A"/>
    <w:rsid w:val="30A56956"/>
    <w:rsid w:val="30A734F4"/>
    <w:rsid w:val="30AF66BE"/>
    <w:rsid w:val="30E6401D"/>
    <w:rsid w:val="30F32CF8"/>
    <w:rsid w:val="30FC5265"/>
    <w:rsid w:val="310801AD"/>
    <w:rsid w:val="311E2ED7"/>
    <w:rsid w:val="312310A7"/>
    <w:rsid w:val="312929D5"/>
    <w:rsid w:val="31316142"/>
    <w:rsid w:val="314D1294"/>
    <w:rsid w:val="315619EE"/>
    <w:rsid w:val="315B2A15"/>
    <w:rsid w:val="315C449C"/>
    <w:rsid w:val="31665FD9"/>
    <w:rsid w:val="31865677"/>
    <w:rsid w:val="31903FF0"/>
    <w:rsid w:val="31A65B6D"/>
    <w:rsid w:val="31B04483"/>
    <w:rsid w:val="31B82709"/>
    <w:rsid w:val="31D05482"/>
    <w:rsid w:val="31D42A49"/>
    <w:rsid w:val="31DC0483"/>
    <w:rsid w:val="31DF59B8"/>
    <w:rsid w:val="31E95111"/>
    <w:rsid w:val="31F55E4F"/>
    <w:rsid w:val="32096215"/>
    <w:rsid w:val="32150894"/>
    <w:rsid w:val="32166806"/>
    <w:rsid w:val="321C6D85"/>
    <w:rsid w:val="32231BE3"/>
    <w:rsid w:val="322407C5"/>
    <w:rsid w:val="323B317F"/>
    <w:rsid w:val="32400B34"/>
    <w:rsid w:val="32551362"/>
    <w:rsid w:val="326134FA"/>
    <w:rsid w:val="32620A0B"/>
    <w:rsid w:val="3276317E"/>
    <w:rsid w:val="327C33F6"/>
    <w:rsid w:val="327E4658"/>
    <w:rsid w:val="32856E8A"/>
    <w:rsid w:val="328750DB"/>
    <w:rsid w:val="32885306"/>
    <w:rsid w:val="329200B6"/>
    <w:rsid w:val="32945942"/>
    <w:rsid w:val="329739B6"/>
    <w:rsid w:val="329E6876"/>
    <w:rsid w:val="32A409E2"/>
    <w:rsid w:val="32B2653D"/>
    <w:rsid w:val="32B310FD"/>
    <w:rsid w:val="32B655B8"/>
    <w:rsid w:val="32BC3287"/>
    <w:rsid w:val="32E043E1"/>
    <w:rsid w:val="32EE71B8"/>
    <w:rsid w:val="32FD73FC"/>
    <w:rsid w:val="330533FA"/>
    <w:rsid w:val="33116275"/>
    <w:rsid w:val="333015F2"/>
    <w:rsid w:val="333B4026"/>
    <w:rsid w:val="334B6320"/>
    <w:rsid w:val="335039CF"/>
    <w:rsid w:val="335728D5"/>
    <w:rsid w:val="335A2AA0"/>
    <w:rsid w:val="336162AB"/>
    <w:rsid w:val="336254B1"/>
    <w:rsid w:val="33785611"/>
    <w:rsid w:val="33793EB4"/>
    <w:rsid w:val="337B4F88"/>
    <w:rsid w:val="338F6130"/>
    <w:rsid w:val="339F7694"/>
    <w:rsid w:val="33A529C7"/>
    <w:rsid w:val="33A80FAB"/>
    <w:rsid w:val="33B8656F"/>
    <w:rsid w:val="33BD4502"/>
    <w:rsid w:val="33C35A9A"/>
    <w:rsid w:val="33D62126"/>
    <w:rsid w:val="33D934D4"/>
    <w:rsid w:val="33E0283E"/>
    <w:rsid w:val="33E263DD"/>
    <w:rsid w:val="33E438D5"/>
    <w:rsid w:val="33E91C0F"/>
    <w:rsid w:val="33FE2F6A"/>
    <w:rsid w:val="340E07E5"/>
    <w:rsid w:val="34186D9A"/>
    <w:rsid w:val="341952C1"/>
    <w:rsid w:val="34235BF7"/>
    <w:rsid w:val="342A6D38"/>
    <w:rsid w:val="342C1756"/>
    <w:rsid w:val="34330104"/>
    <w:rsid w:val="344878C3"/>
    <w:rsid w:val="344B06D3"/>
    <w:rsid w:val="344C05C7"/>
    <w:rsid w:val="344E5133"/>
    <w:rsid w:val="344F501A"/>
    <w:rsid w:val="34774E0C"/>
    <w:rsid w:val="34786BBB"/>
    <w:rsid w:val="347E456C"/>
    <w:rsid w:val="348502EF"/>
    <w:rsid w:val="348E5EA6"/>
    <w:rsid w:val="34967B08"/>
    <w:rsid w:val="34A3556D"/>
    <w:rsid w:val="34B00BC9"/>
    <w:rsid w:val="34D10C4D"/>
    <w:rsid w:val="34DA2EBF"/>
    <w:rsid w:val="34FD307F"/>
    <w:rsid w:val="34FF6F6F"/>
    <w:rsid w:val="35011517"/>
    <w:rsid w:val="35015853"/>
    <w:rsid w:val="35033810"/>
    <w:rsid w:val="35123632"/>
    <w:rsid w:val="3514296B"/>
    <w:rsid w:val="351A7D57"/>
    <w:rsid w:val="352172AF"/>
    <w:rsid w:val="3529272A"/>
    <w:rsid w:val="353E4B2D"/>
    <w:rsid w:val="355C3E26"/>
    <w:rsid w:val="35713351"/>
    <w:rsid w:val="357376B3"/>
    <w:rsid w:val="357F71F5"/>
    <w:rsid w:val="35855D0D"/>
    <w:rsid w:val="358C5FA8"/>
    <w:rsid w:val="358F3B62"/>
    <w:rsid w:val="35B82DAC"/>
    <w:rsid w:val="35C15DF1"/>
    <w:rsid w:val="35D501BC"/>
    <w:rsid w:val="35E6322F"/>
    <w:rsid w:val="35E91AB3"/>
    <w:rsid w:val="35EC086F"/>
    <w:rsid w:val="35EC33DA"/>
    <w:rsid w:val="35F20D6E"/>
    <w:rsid w:val="35F4356D"/>
    <w:rsid w:val="35F72828"/>
    <w:rsid w:val="3603438C"/>
    <w:rsid w:val="36074A7F"/>
    <w:rsid w:val="361506F9"/>
    <w:rsid w:val="362F559B"/>
    <w:rsid w:val="36310F2A"/>
    <w:rsid w:val="36317088"/>
    <w:rsid w:val="36367517"/>
    <w:rsid w:val="36370E76"/>
    <w:rsid w:val="363B2C2C"/>
    <w:rsid w:val="36401D13"/>
    <w:rsid w:val="36471993"/>
    <w:rsid w:val="36533AFA"/>
    <w:rsid w:val="365904D1"/>
    <w:rsid w:val="365C7092"/>
    <w:rsid w:val="36653C36"/>
    <w:rsid w:val="3670102E"/>
    <w:rsid w:val="36761ECF"/>
    <w:rsid w:val="367935BC"/>
    <w:rsid w:val="36846BBD"/>
    <w:rsid w:val="36922771"/>
    <w:rsid w:val="36923549"/>
    <w:rsid w:val="36940138"/>
    <w:rsid w:val="36A3364D"/>
    <w:rsid w:val="36AD2DCE"/>
    <w:rsid w:val="36AD5C0D"/>
    <w:rsid w:val="36B50719"/>
    <w:rsid w:val="36B75FBF"/>
    <w:rsid w:val="36BD0C45"/>
    <w:rsid w:val="36C20165"/>
    <w:rsid w:val="36CC7C25"/>
    <w:rsid w:val="36DF7544"/>
    <w:rsid w:val="36E258BF"/>
    <w:rsid w:val="36E93D50"/>
    <w:rsid w:val="3704123A"/>
    <w:rsid w:val="37062A10"/>
    <w:rsid w:val="370746A5"/>
    <w:rsid w:val="370D0ADD"/>
    <w:rsid w:val="37171FEA"/>
    <w:rsid w:val="371F6F4C"/>
    <w:rsid w:val="3726762F"/>
    <w:rsid w:val="372801BB"/>
    <w:rsid w:val="373104E2"/>
    <w:rsid w:val="373C6CBC"/>
    <w:rsid w:val="3744796B"/>
    <w:rsid w:val="3748158D"/>
    <w:rsid w:val="374851EA"/>
    <w:rsid w:val="374F3BCE"/>
    <w:rsid w:val="37635200"/>
    <w:rsid w:val="37652E9E"/>
    <w:rsid w:val="377968B0"/>
    <w:rsid w:val="378C7E4D"/>
    <w:rsid w:val="37951BFE"/>
    <w:rsid w:val="379C3BC1"/>
    <w:rsid w:val="37A23CC6"/>
    <w:rsid w:val="37AD3890"/>
    <w:rsid w:val="37B328B5"/>
    <w:rsid w:val="37BA1D5F"/>
    <w:rsid w:val="37BA5B27"/>
    <w:rsid w:val="37C8622A"/>
    <w:rsid w:val="37D369E1"/>
    <w:rsid w:val="37E00298"/>
    <w:rsid w:val="37E8138B"/>
    <w:rsid w:val="37EB5CEA"/>
    <w:rsid w:val="37F139E2"/>
    <w:rsid w:val="37F90BE8"/>
    <w:rsid w:val="38073CC4"/>
    <w:rsid w:val="380B19F1"/>
    <w:rsid w:val="380B5F22"/>
    <w:rsid w:val="381756B7"/>
    <w:rsid w:val="38253261"/>
    <w:rsid w:val="383A3D9B"/>
    <w:rsid w:val="385036C4"/>
    <w:rsid w:val="38562D5F"/>
    <w:rsid w:val="38610EB2"/>
    <w:rsid w:val="38786745"/>
    <w:rsid w:val="389044E9"/>
    <w:rsid w:val="38975FBB"/>
    <w:rsid w:val="389820A0"/>
    <w:rsid w:val="38B04392"/>
    <w:rsid w:val="38B302F9"/>
    <w:rsid w:val="38C805F4"/>
    <w:rsid w:val="38CB645A"/>
    <w:rsid w:val="38CD7870"/>
    <w:rsid w:val="38EA4E78"/>
    <w:rsid w:val="38EE34C7"/>
    <w:rsid w:val="38F12CD3"/>
    <w:rsid w:val="38F94775"/>
    <w:rsid w:val="390A3E46"/>
    <w:rsid w:val="39117549"/>
    <w:rsid w:val="391B4A7F"/>
    <w:rsid w:val="39242013"/>
    <w:rsid w:val="392971ED"/>
    <w:rsid w:val="392A081F"/>
    <w:rsid w:val="392E2FB9"/>
    <w:rsid w:val="39325651"/>
    <w:rsid w:val="39335D14"/>
    <w:rsid w:val="393B50F7"/>
    <w:rsid w:val="393F7A17"/>
    <w:rsid w:val="39444FD7"/>
    <w:rsid w:val="396E3697"/>
    <w:rsid w:val="397379D2"/>
    <w:rsid w:val="3995038E"/>
    <w:rsid w:val="399D36E6"/>
    <w:rsid w:val="39A83B05"/>
    <w:rsid w:val="39B7157D"/>
    <w:rsid w:val="39BD1693"/>
    <w:rsid w:val="39C12DAA"/>
    <w:rsid w:val="39C228A9"/>
    <w:rsid w:val="39CB2F0E"/>
    <w:rsid w:val="39CD39C4"/>
    <w:rsid w:val="39D101A3"/>
    <w:rsid w:val="39EC7360"/>
    <w:rsid w:val="39F13C21"/>
    <w:rsid w:val="39FC6C59"/>
    <w:rsid w:val="3A081065"/>
    <w:rsid w:val="3A0A1F57"/>
    <w:rsid w:val="3A0A5154"/>
    <w:rsid w:val="3A144074"/>
    <w:rsid w:val="3A165235"/>
    <w:rsid w:val="3A2409C9"/>
    <w:rsid w:val="3A262CB8"/>
    <w:rsid w:val="3A4168C1"/>
    <w:rsid w:val="3A430036"/>
    <w:rsid w:val="3A4C2DF8"/>
    <w:rsid w:val="3A5E54C4"/>
    <w:rsid w:val="3A5E69D2"/>
    <w:rsid w:val="3A5F6F80"/>
    <w:rsid w:val="3A732A00"/>
    <w:rsid w:val="3A7815BE"/>
    <w:rsid w:val="3A872856"/>
    <w:rsid w:val="3A8B353F"/>
    <w:rsid w:val="3A8E649D"/>
    <w:rsid w:val="3A944723"/>
    <w:rsid w:val="3A971EE4"/>
    <w:rsid w:val="3AA17449"/>
    <w:rsid w:val="3AA45DC1"/>
    <w:rsid w:val="3AA52C6B"/>
    <w:rsid w:val="3AAC7161"/>
    <w:rsid w:val="3AB7306C"/>
    <w:rsid w:val="3AD4621F"/>
    <w:rsid w:val="3AF168EC"/>
    <w:rsid w:val="3AF51270"/>
    <w:rsid w:val="3AF85078"/>
    <w:rsid w:val="3AFE0FA7"/>
    <w:rsid w:val="3B15783A"/>
    <w:rsid w:val="3B215DF5"/>
    <w:rsid w:val="3B334302"/>
    <w:rsid w:val="3B350113"/>
    <w:rsid w:val="3B363A0C"/>
    <w:rsid w:val="3B3763D1"/>
    <w:rsid w:val="3B421651"/>
    <w:rsid w:val="3B451940"/>
    <w:rsid w:val="3B48083E"/>
    <w:rsid w:val="3B815DE7"/>
    <w:rsid w:val="3B840FE6"/>
    <w:rsid w:val="3B8D0677"/>
    <w:rsid w:val="3B8E778B"/>
    <w:rsid w:val="3B9837D4"/>
    <w:rsid w:val="3BAB1079"/>
    <w:rsid w:val="3BB555AB"/>
    <w:rsid w:val="3BBC18CA"/>
    <w:rsid w:val="3BBE5A93"/>
    <w:rsid w:val="3BBF5B96"/>
    <w:rsid w:val="3BC57B02"/>
    <w:rsid w:val="3BD21C5F"/>
    <w:rsid w:val="3BD8791B"/>
    <w:rsid w:val="3BE13D5E"/>
    <w:rsid w:val="3BFF0635"/>
    <w:rsid w:val="3C10121A"/>
    <w:rsid w:val="3C125CC6"/>
    <w:rsid w:val="3C185DF4"/>
    <w:rsid w:val="3C1C4410"/>
    <w:rsid w:val="3C1D466B"/>
    <w:rsid w:val="3C210BC8"/>
    <w:rsid w:val="3C2B6F6D"/>
    <w:rsid w:val="3C2F6E1E"/>
    <w:rsid w:val="3C316D85"/>
    <w:rsid w:val="3C480918"/>
    <w:rsid w:val="3C4916A1"/>
    <w:rsid w:val="3C4D31A2"/>
    <w:rsid w:val="3C4F64BA"/>
    <w:rsid w:val="3C727A01"/>
    <w:rsid w:val="3C7707AA"/>
    <w:rsid w:val="3C8243D8"/>
    <w:rsid w:val="3C8648DA"/>
    <w:rsid w:val="3C8A61A4"/>
    <w:rsid w:val="3CA274B4"/>
    <w:rsid w:val="3CAF1005"/>
    <w:rsid w:val="3CB65DB5"/>
    <w:rsid w:val="3CC62ABC"/>
    <w:rsid w:val="3CD37460"/>
    <w:rsid w:val="3CDA245A"/>
    <w:rsid w:val="3CE33B06"/>
    <w:rsid w:val="3CE87D58"/>
    <w:rsid w:val="3D0D37A6"/>
    <w:rsid w:val="3D0D4109"/>
    <w:rsid w:val="3D1E06B7"/>
    <w:rsid w:val="3D1F647D"/>
    <w:rsid w:val="3D270F76"/>
    <w:rsid w:val="3D363C36"/>
    <w:rsid w:val="3D377854"/>
    <w:rsid w:val="3D3E2D16"/>
    <w:rsid w:val="3D495615"/>
    <w:rsid w:val="3D507480"/>
    <w:rsid w:val="3D5430AD"/>
    <w:rsid w:val="3D670293"/>
    <w:rsid w:val="3D721BA4"/>
    <w:rsid w:val="3D764933"/>
    <w:rsid w:val="3D881E0B"/>
    <w:rsid w:val="3D89399C"/>
    <w:rsid w:val="3D9B0CEC"/>
    <w:rsid w:val="3DA31C73"/>
    <w:rsid w:val="3DA34062"/>
    <w:rsid w:val="3DAF739D"/>
    <w:rsid w:val="3DB64D3F"/>
    <w:rsid w:val="3DBB0929"/>
    <w:rsid w:val="3DC2196D"/>
    <w:rsid w:val="3DD63364"/>
    <w:rsid w:val="3DD93944"/>
    <w:rsid w:val="3DE817D0"/>
    <w:rsid w:val="3E0C4279"/>
    <w:rsid w:val="3E1856FC"/>
    <w:rsid w:val="3E1B02BE"/>
    <w:rsid w:val="3E4D7489"/>
    <w:rsid w:val="3E526BFD"/>
    <w:rsid w:val="3E683782"/>
    <w:rsid w:val="3E6C03C9"/>
    <w:rsid w:val="3E7F29F8"/>
    <w:rsid w:val="3E816B26"/>
    <w:rsid w:val="3E927592"/>
    <w:rsid w:val="3E940B43"/>
    <w:rsid w:val="3E9620D0"/>
    <w:rsid w:val="3EA053C0"/>
    <w:rsid w:val="3EAC3109"/>
    <w:rsid w:val="3EAE41BE"/>
    <w:rsid w:val="3EB03939"/>
    <w:rsid w:val="3EB51A15"/>
    <w:rsid w:val="3EBE5EEF"/>
    <w:rsid w:val="3EC24ADD"/>
    <w:rsid w:val="3EC82F33"/>
    <w:rsid w:val="3ECE6758"/>
    <w:rsid w:val="3EDA0523"/>
    <w:rsid w:val="3EEA61DD"/>
    <w:rsid w:val="3EFE1485"/>
    <w:rsid w:val="3F39763D"/>
    <w:rsid w:val="3F424B14"/>
    <w:rsid w:val="3F63109E"/>
    <w:rsid w:val="3F676329"/>
    <w:rsid w:val="3F6D331A"/>
    <w:rsid w:val="3F7B6550"/>
    <w:rsid w:val="3F807C28"/>
    <w:rsid w:val="3F986062"/>
    <w:rsid w:val="3F9E3965"/>
    <w:rsid w:val="3FA90B45"/>
    <w:rsid w:val="3FAC01DF"/>
    <w:rsid w:val="3FB6105E"/>
    <w:rsid w:val="3FC40755"/>
    <w:rsid w:val="3FD31C10"/>
    <w:rsid w:val="400C5122"/>
    <w:rsid w:val="401A24E9"/>
    <w:rsid w:val="402360C1"/>
    <w:rsid w:val="402824DF"/>
    <w:rsid w:val="402859ED"/>
    <w:rsid w:val="40286F2F"/>
    <w:rsid w:val="403755E0"/>
    <w:rsid w:val="403E2813"/>
    <w:rsid w:val="40414DCB"/>
    <w:rsid w:val="404C3770"/>
    <w:rsid w:val="405638DD"/>
    <w:rsid w:val="407A6407"/>
    <w:rsid w:val="407F3498"/>
    <w:rsid w:val="408B26F0"/>
    <w:rsid w:val="409213C1"/>
    <w:rsid w:val="40951B6D"/>
    <w:rsid w:val="40A1586A"/>
    <w:rsid w:val="40B45ECE"/>
    <w:rsid w:val="40B76640"/>
    <w:rsid w:val="40C61008"/>
    <w:rsid w:val="40CE64BA"/>
    <w:rsid w:val="40F551A3"/>
    <w:rsid w:val="40F62A3A"/>
    <w:rsid w:val="41074356"/>
    <w:rsid w:val="412A0DA6"/>
    <w:rsid w:val="413B40E8"/>
    <w:rsid w:val="41630F31"/>
    <w:rsid w:val="416F35E1"/>
    <w:rsid w:val="417232EA"/>
    <w:rsid w:val="41894A70"/>
    <w:rsid w:val="419923B9"/>
    <w:rsid w:val="41AB3F35"/>
    <w:rsid w:val="41AF114D"/>
    <w:rsid w:val="41BF1749"/>
    <w:rsid w:val="41BF79A2"/>
    <w:rsid w:val="41C06DDF"/>
    <w:rsid w:val="41CB7EBD"/>
    <w:rsid w:val="41D61426"/>
    <w:rsid w:val="41DA355D"/>
    <w:rsid w:val="41DB42B2"/>
    <w:rsid w:val="41DD0B24"/>
    <w:rsid w:val="41E00883"/>
    <w:rsid w:val="41E40104"/>
    <w:rsid w:val="41FD40DB"/>
    <w:rsid w:val="4200449D"/>
    <w:rsid w:val="420762C4"/>
    <w:rsid w:val="420811EF"/>
    <w:rsid w:val="422713B4"/>
    <w:rsid w:val="423544BC"/>
    <w:rsid w:val="423A3BCC"/>
    <w:rsid w:val="423E13E8"/>
    <w:rsid w:val="424249AB"/>
    <w:rsid w:val="424A390E"/>
    <w:rsid w:val="424C6D8B"/>
    <w:rsid w:val="424E57D2"/>
    <w:rsid w:val="425C64D8"/>
    <w:rsid w:val="425E3E67"/>
    <w:rsid w:val="42644DA1"/>
    <w:rsid w:val="42875ECA"/>
    <w:rsid w:val="428B7752"/>
    <w:rsid w:val="428C634C"/>
    <w:rsid w:val="42A81083"/>
    <w:rsid w:val="42B26C49"/>
    <w:rsid w:val="42B30CBC"/>
    <w:rsid w:val="42C121F4"/>
    <w:rsid w:val="42F35E00"/>
    <w:rsid w:val="42F953A0"/>
    <w:rsid w:val="43094BFD"/>
    <w:rsid w:val="431F3D85"/>
    <w:rsid w:val="433A6FE6"/>
    <w:rsid w:val="433F136A"/>
    <w:rsid w:val="43480868"/>
    <w:rsid w:val="4350713C"/>
    <w:rsid w:val="43630237"/>
    <w:rsid w:val="43650DD1"/>
    <w:rsid w:val="436653E0"/>
    <w:rsid w:val="436A04F5"/>
    <w:rsid w:val="436C1BAC"/>
    <w:rsid w:val="43836407"/>
    <w:rsid w:val="439E4648"/>
    <w:rsid w:val="43B21016"/>
    <w:rsid w:val="43C4431A"/>
    <w:rsid w:val="43C63D13"/>
    <w:rsid w:val="43C969C0"/>
    <w:rsid w:val="43E8260B"/>
    <w:rsid w:val="440141C6"/>
    <w:rsid w:val="441B5933"/>
    <w:rsid w:val="442A00FA"/>
    <w:rsid w:val="44331F51"/>
    <w:rsid w:val="443A00B4"/>
    <w:rsid w:val="44403A4D"/>
    <w:rsid w:val="44446C38"/>
    <w:rsid w:val="444C1AA9"/>
    <w:rsid w:val="44580936"/>
    <w:rsid w:val="44583F8A"/>
    <w:rsid w:val="445B555F"/>
    <w:rsid w:val="445D4CF0"/>
    <w:rsid w:val="44613C8E"/>
    <w:rsid w:val="447164C1"/>
    <w:rsid w:val="44791CBA"/>
    <w:rsid w:val="447A4B67"/>
    <w:rsid w:val="448160DE"/>
    <w:rsid w:val="448E6105"/>
    <w:rsid w:val="44953938"/>
    <w:rsid w:val="449C2C94"/>
    <w:rsid w:val="449E3D11"/>
    <w:rsid w:val="44AE0556"/>
    <w:rsid w:val="44B876BE"/>
    <w:rsid w:val="44B951CC"/>
    <w:rsid w:val="44BA4302"/>
    <w:rsid w:val="44CD14E0"/>
    <w:rsid w:val="44D04970"/>
    <w:rsid w:val="44E16B7D"/>
    <w:rsid w:val="44F20B0B"/>
    <w:rsid w:val="44FC39B7"/>
    <w:rsid w:val="45010FCD"/>
    <w:rsid w:val="45042D98"/>
    <w:rsid w:val="4508410A"/>
    <w:rsid w:val="4520349E"/>
    <w:rsid w:val="452E5F4C"/>
    <w:rsid w:val="45317868"/>
    <w:rsid w:val="45330681"/>
    <w:rsid w:val="45437677"/>
    <w:rsid w:val="45494D31"/>
    <w:rsid w:val="4551560F"/>
    <w:rsid w:val="45562C8C"/>
    <w:rsid w:val="455949F6"/>
    <w:rsid w:val="45612018"/>
    <w:rsid w:val="456604BD"/>
    <w:rsid w:val="45677B17"/>
    <w:rsid w:val="458946E9"/>
    <w:rsid w:val="45A02594"/>
    <w:rsid w:val="45A47C0E"/>
    <w:rsid w:val="45B6591E"/>
    <w:rsid w:val="45E3767B"/>
    <w:rsid w:val="45F35C09"/>
    <w:rsid w:val="4601125B"/>
    <w:rsid w:val="46094DC3"/>
    <w:rsid w:val="46130FB8"/>
    <w:rsid w:val="461366E0"/>
    <w:rsid w:val="46190B60"/>
    <w:rsid w:val="46251689"/>
    <w:rsid w:val="46284744"/>
    <w:rsid w:val="462B30B2"/>
    <w:rsid w:val="463A12D0"/>
    <w:rsid w:val="46577FD6"/>
    <w:rsid w:val="465E112B"/>
    <w:rsid w:val="465F23C4"/>
    <w:rsid w:val="467609AD"/>
    <w:rsid w:val="46861706"/>
    <w:rsid w:val="46972865"/>
    <w:rsid w:val="46C25D0A"/>
    <w:rsid w:val="46D0499B"/>
    <w:rsid w:val="46D83FB0"/>
    <w:rsid w:val="46D955A7"/>
    <w:rsid w:val="46DF7AE0"/>
    <w:rsid w:val="46E110B6"/>
    <w:rsid w:val="46E11A0E"/>
    <w:rsid w:val="46E70648"/>
    <w:rsid w:val="46F859D7"/>
    <w:rsid w:val="47133957"/>
    <w:rsid w:val="471F6C2C"/>
    <w:rsid w:val="47253BCB"/>
    <w:rsid w:val="473867FC"/>
    <w:rsid w:val="474535CA"/>
    <w:rsid w:val="47484C91"/>
    <w:rsid w:val="474A081B"/>
    <w:rsid w:val="475B654A"/>
    <w:rsid w:val="47616263"/>
    <w:rsid w:val="4777779D"/>
    <w:rsid w:val="4790071E"/>
    <w:rsid w:val="47A07E0C"/>
    <w:rsid w:val="47A22CA4"/>
    <w:rsid w:val="47AA76FA"/>
    <w:rsid w:val="47B40579"/>
    <w:rsid w:val="47B70069"/>
    <w:rsid w:val="47C21FCE"/>
    <w:rsid w:val="47C35ADD"/>
    <w:rsid w:val="47CC21A4"/>
    <w:rsid w:val="47CC58C3"/>
    <w:rsid w:val="47D2788F"/>
    <w:rsid w:val="47D91D8D"/>
    <w:rsid w:val="47EC33D6"/>
    <w:rsid w:val="47F44E19"/>
    <w:rsid w:val="4817165B"/>
    <w:rsid w:val="48187733"/>
    <w:rsid w:val="481E02C8"/>
    <w:rsid w:val="481E59F2"/>
    <w:rsid w:val="48271B08"/>
    <w:rsid w:val="482825B7"/>
    <w:rsid w:val="482E1898"/>
    <w:rsid w:val="48326134"/>
    <w:rsid w:val="483C792D"/>
    <w:rsid w:val="484D5104"/>
    <w:rsid w:val="48566EA7"/>
    <w:rsid w:val="48692344"/>
    <w:rsid w:val="486E18AD"/>
    <w:rsid w:val="4870272E"/>
    <w:rsid w:val="48736F15"/>
    <w:rsid w:val="48752D68"/>
    <w:rsid w:val="489108BA"/>
    <w:rsid w:val="48AE6D76"/>
    <w:rsid w:val="48B40361"/>
    <w:rsid w:val="48B51B76"/>
    <w:rsid w:val="48BD00D4"/>
    <w:rsid w:val="48BE0C93"/>
    <w:rsid w:val="48C00FA9"/>
    <w:rsid w:val="48D0419A"/>
    <w:rsid w:val="48D92ED8"/>
    <w:rsid w:val="48E855F9"/>
    <w:rsid w:val="48F80EA6"/>
    <w:rsid w:val="48FB74FC"/>
    <w:rsid w:val="490422EC"/>
    <w:rsid w:val="4907329B"/>
    <w:rsid w:val="49116EC6"/>
    <w:rsid w:val="49216151"/>
    <w:rsid w:val="49311755"/>
    <w:rsid w:val="49313F7C"/>
    <w:rsid w:val="493661FB"/>
    <w:rsid w:val="495B007F"/>
    <w:rsid w:val="49627BB1"/>
    <w:rsid w:val="4973639C"/>
    <w:rsid w:val="49783D80"/>
    <w:rsid w:val="49BB784D"/>
    <w:rsid w:val="49C0326E"/>
    <w:rsid w:val="49C20225"/>
    <w:rsid w:val="49DC7715"/>
    <w:rsid w:val="49E44FB2"/>
    <w:rsid w:val="49EC55B4"/>
    <w:rsid w:val="4A023139"/>
    <w:rsid w:val="4A094378"/>
    <w:rsid w:val="4A154934"/>
    <w:rsid w:val="4A314B75"/>
    <w:rsid w:val="4A353E53"/>
    <w:rsid w:val="4A480739"/>
    <w:rsid w:val="4A49099D"/>
    <w:rsid w:val="4A4B39F3"/>
    <w:rsid w:val="4A594564"/>
    <w:rsid w:val="4A723C3C"/>
    <w:rsid w:val="4A7B576F"/>
    <w:rsid w:val="4A8D5AFC"/>
    <w:rsid w:val="4A8F2673"/>
    <w:rsid w:val="4A9B3479"/>
    <w:rsid w:val="4A9D170E"/>
    <w:rsid w:val="4ABE229A"/>
    <w:rsid w:val="4AC3161C"/>
    <w:rsid w:val="4AC97E97"/>
    <w:rsid w:val="4ACE38FF"/>
    <w:rsid w:val="4AD93558"/>
    <w:rsid w:val="4AE85E5C"/>
    <w:rsid w:val="4AF561A9"/>
    <w:rsid w:val="4AF75008"/>
    <w:rsid w:val="4AFE53A6"/>
    <w:rsid w:val="4B0863DB"/>
    <w:rsid w:val="4B195CA7"/>
    <w:rsid w:val="4B217B0E"/>
    <w:rsid w:val="4B363221"/>
    <w:rsid w:val="4B4A7EBC"/>
    <w:rsid w:val="4B5160DF"/>
    <w:rsid w:val="4B531E57"/>
    <w:rsid w:val="4B5C58BE"/>
    <w:rsid w:val="4B7A38EB"/>
    <w:rsid w:val="4B91100E"/>
    <w:rsid w:val="4B9423F1"/>
    <w:rsid w:val="4B9E482E"/>
    <w:rsid w:val="4B9E7576"/>
    <w:rsid w:val="4B9F4B1A"/>
    <w:rsid w:val="4BA42A73"/>
    <w:rsid w:val="4BB40B47"/>
    <w:rsid w:val="4BB64F51"/>
    <w:rsid w:val="4BBC17AA"/>
    <w:rsid w:val="4BCE2DBD"/>
    <w:rsid w:val="4BE32A5B"/>
    <w:rsid w:val="4BE3652C"/>
    <w:rsid w:val="4BE60F1D"/>
    <w:rsid w:val="4BE97118"/>
    <w:rsid w:val="4C0A4C0B"/>
    <w:rsid w:val="4C0E03E6"/>
    <w:rsid w:val="4C11101F"/>
    <w:rsid w:val="4C1142BE"/>
    <w:rsid w:val="4C12132B"/>
    <w:rsid w:val="4C3352D0"/>
    <w:rsid w:val="4C3629DA"/>
    <w:rsid w:val="4C42673A"/>
    <w:rsid w:val="4C46376A"/>
    <w:rsid w:val="4C487E44"/>
    <w:rsid w:val="4C4A0649"/>
    <w:rsid w:val="4C726421"/>
    <w:rsid w:val="4C7958ED"/>
    <w:rsid w:val="4C7D0A00"/>
    <w:rsid w:val="4C7E5ECA"/>
    <w:rsid w:val="4C876AA5"/>
    <w:rsid w:val="4CA010CC"/>
    <w:rsid w:val="4CBE515F"/>
    <w:rsid w:val="4CBE5CD2"/>
    <w:rsid w:val="4CC6458C"/>
    <w:rsid w:val="4CD544DF"/>
    <w:rsid w:val="4CD65BE5"/>
    <w:rsid w:val="4CDB1A5D"/>
    <w:rsid w:val="4CE134AD"/>
    <w:rsid w:val="4CEC623E"/>
    <w:rsid w:val="4D0E00FB"/>
    <w:rsid w:val="4D176606"/>
    <w:rsid w:val="4D270329"/>
    <w:rsid w:val="4D291D4E"/>
    <w:rsid w:val="4D314BAD"/>
    <w:rsid w:val="4D362D93"/>
    <w:rsid w:val="4D6F7BE9"/>
    <w:rsid w:val="4D70483D"/>
    <w:rsid w:val="4D7F18DA"/>
    <w:rsid w:val="4D8B3586"/>
    <w:rsid w:val="4DA460B8"/>
    <w:rsid w:val="4DD14002"/>
    <w:rsid w:val="4DDA4BBD"/>
    <w:rsid w:val="4DEC4FB0"/>
    <w:rsid w:val="4E026D3D"/>
    <w:rsid w:val="4E075D8A"/>
    <w:rsid w:val="4E1818CE"/>
    <w:rsid w:val="4E2660E1"/>
    <w:rsid w:val="4E2A68F9"/>
    <w:rsid w:val="4E3A5985"/>
    <w:rsid w:val="4E460076"/>
    <w:rsid w:val="4E4B1A95"/>
    <w:rsid w:val="4E521770"/>
    <w:rsid w:val="4E541CCA"/>
    <w:rsid w:val="4E5975B4"/>
    <w:rsid w:val="4E6A030D"/>
    <w:rsid w:val="4E6F75F0"/>
    <w:rsid w:val="4E72389F"/>
    <w:rsid w:val="4E723A6B"/>
    <w:rsid w:val="4E745F51"/>
    <w:rsid w:val="4E7F6843"/>
    <w:rsid w:val="4E881E17"/>
    <w:rsid w:val="4E9671D1"/>
    <w:rsid w:val="4E995BC4"/>
    <w:rsid w:val="4E9D3737"/>
    <w:rsid w:val="4EB9220F"/>
    <w:rsid w:val="4EC00FAD"/>
    <w:rsid w:val="4ECD1624"/>
    <w:rsid w:val="4EF21DCA"/>
    <w:rsid w:val="4EF474AD"/>
    <w:rsid w:val="4EF80453"/>
    <w:rsid w:val="4F0F2B0C"/>
    <w:rsid w:val="4F144DA4"/>
    <w:rsid w:val="4F204746"/>
    <w:rsid w:val="4F435704"/>
    <w:rsid w:val="4F4915A7"/>
    <w:rsid w:val="4F562C89"/>
    <w:rsid w:val="4F5D4989"/>
    <w:rsid w:val="4F5F0DCA"/>
    <w:rsid w:val="4F6C1739"/>
    <w:rsid w:val="4F724CBC"/>
    <w:rsid w:val="4F7725B8"/>
    <w:rsid w:val="4F885DA1"/>
    <w:rsid w:val="4F9843DC"/>
    <w:rsid w:val="4F9B238E"/>
    <w:rsid w:val="4F9F28A1"/>
    <w:rsid w:val="4FA2515B"/>
    <w:rsid w:val="4FC62A8C"/>
    <w:rsid w:val="4FC82E13"/>
    <w:rsid w:val="4FD23361"/>
    <w:rsid w:val="4FD576CE"/>
    <w:rsid w:val="4FE20F0D"/>
    <w:rsid w:val="4FE51552"/>
    <w:rsid w:val="4FEC63D6"/>
    <w:rsid w:val="4FFE73E9"/>
    <w:rsid w:val="50096F88"/>
    <w:rsid w:val="500A342C"/>
    <w:rsid w:val="500B68F8"/>
    <w:rsid w:val="50161349"/>
    <w:rsid w:val="50451150"/>
    <w:rsid w:val="50496EF7"/>
    <w:rsid w:val="50504C4B"/>
    <w:rsid w:val="506076C6"/>
    <w:rsid w:val="50655C9E"/>
    <w:rsid w:val="50666188"/>
    <w:rsid w:val="506B7475"/>
    <w:rsid w:val="507609EC"/>
    <w:rsid w:val="50772002"/>
    <w:rsid w:val="508605D9"/>
    <w:rsid w:val="508715F0"/>
    <w:rsid w:val="508B17C4"/>
    <w:rsid w:val="509251CF"/>
    <w:rsid w:val="50936F77"/>
    <w:rsid w:val="5099326E"/>
    <w:rsid w:val="509C6E7C"/>
    <w:rsid w:val="509F2C0E"/>
    <w:rsid w:val="509F302D"/>
    <w:rsid w:val="50AD0B64"/>
    <w:rsid w:val="50B03FCC"/>
    <w:rsid w:val="50B97095"/>
    <w:rsid w:val="50D27964"/>
    <w:rsid w:val="50D357A5"/>
    <w:rsid w:val="50D40772"/>
    <w:rsid w:val="50DB6B76"/>
    <w:rsid w:val="50DB7EE4"/>
    <w:rsid w:val="50DF6F66"/>
    <w:rsid w:val="50E83605"/>
    <w:rsid w:val="50FA7DD6"/>
    <w:rsid w:val="50FE2C5D"/>
    <w:rsid w:val="510F01A7"/>
    <w:rsid w:val="511A67D8"/>
    <w:rsid w:val="511C65B9"/>
    <w:rsid w:val="5128537F"/>
    <w:rsid w:val="512C0AF6"/>
    <w:rsid w:val="513D3DEA"/>
    <w:rsid w:val="5142623C"/>
    <w:rsid w:val="514C786D"/>
    <w:rsid w:val="51513937"/>
    <w:rsid w:val="5162104E"/>
    <w:rsid w:val="516923D4"/>
    <w:rsid w:val="51764AF1"/>
    <w:rsid w:val="519221A2"/>
    <w:rsid w:val="519D5B82"/>
    <w:rsid w:val="51A2659D"/>
    <w:rsid w:val="51CF3972"/>
    <w:rsid w:val="51D43569"/>
    <w:rsid w:val="51D455BD"/>
    <w:rsid w:val="51DA6F8D"/>
    <w:rsid w:val="51E657D3"/>
    <w:rsid w:val="51F64D09"/>
    <w:rsid w:val="5209326F"/>
    <w:rsid w:val="52154B74"/>
    <w:rsid w:val="521F5B6E"/>
    <w:rsid w:val="52304CA0"/>
    <w:rsid w:val="52405530"/>
    <w:rsid w:val="52430549"/>
    <w:rsid w:val="524E0B13"/>
    <w:rsid w:val="524E3378"/>
    <w:rsid w:val="52512433"/>
    <w:rsid w:val="52662053"/>
    <w:rsid w:val="526D0A1A"/>
    <w:rsid w:val="52750896"/>
    <w:rsid w:val="52841EC7"/>
    <w:rsid w:val="528459DE"/>
    <w:rsid w:val="529B758E"/>
    <w:rsid w:val="52A80F49"/>
    <w:rsid w:val="52AA0397"/>
    <w:rsid w:val="52AF5D54"/>
    <w:rsid w:val="52BD0106"/>
    <w:rsid w:val="52BE405A"/>
    <w:rsid w:val="52C2391A"/>
    <w:rsid w:val="52C61D2A"/>
    <w:rsid w:val="52CF7501"/>
    <w:rsid w:val="52E36308"/>
    <w:rsid w:val="52EC396A"/>
    <w:rsid w:val="52F41AEA"/>
    <w:rsid w:val="52FA0988"/>
    <w:rsid w:val="53000B16"/>
    <w:rsid w:val="53082F92"/>
    <w:rsid w:val="531B77A4"/>
    <w:rsid w:val="53223693"/>
    <w:rsid w:val="532903EE"/>
    <w:rsid w:val="532F30EC"/>
    <w:rsid w:val="533A4B12"/>
    <w:rsid w:val="534F73A8"/>
    <w:rsid w:val="536C00D7"/>
    <w:rsid w:val="536C106C"/>
    <w:rsid w:val="5379588E"/>
    <w:rsid w:val="538326E8"/>
    <w:rsid w:val="53840A7C"/>
    <w:rsid w:val="538E7ED0"/>
    <w:rsid w:val="53A039CC"/>
    <w:rsid w:val="53A11F06"/>
    <w:rsid w:val="53A1505A"/>
    <w:rsid w:val="53AA5BBF"/>
    <w:rsid w:val="53B47370"/>
    <w:rsid w:val="53B66FB2"/>
    <w:rsid w:val="53B76917"/>
    <w:rsid w:val="53C27B7A"/>
    <w:rsid w:val="53C96465"/>
    <w:rsid w:val="53CA0BB4"/>
    <w:rsid w:val="53EE6922"/>
    <w:rsid w:val="53F873CA"/>
    <w:rsid w:val="54063E08"/>
    <w:rsid w:val="54076015"/>
    <w:rsid w:val="540C7DCC"/>
    <w:rsid w:val="5411465D"/>
    <w:rsid w:val="54117CE2"/>
    <w:rsid w:val="54145E8E"/>
    <w:rsid w:val="543437E8"/>
    <w:rsid w:val="54411C9F"/>
    <w:rsid w:val="54444B5B"/>
    <w:rsid w:val="544A65DC"/>
    <w:rsid w:val="544F532D"/>
    <w:rsid w:val="545D0C30"/>
    <w:rsid w:val="54620924"/>
    <w:rsid w:val="54675E9B"/>
    <w:rsid w:val="546B393A"/>
    <w:rsid w:val="54731CF0"/>
    <w:rsid w:val="54785B32"/>
    <w:rsid w:val="54864F3E"/>
    <w:rsid w:val="54970B65"/>
    <w:rsid w:val="549818A3"/>
    <w:rsid w:val="54A57C7B"/>
    <w:rsid w:val="54C3004D"/>
    <w:rsid w:val="54C564AF"/>
    <w:rsid w:val="54D6175A"/>
    <w:rsid w:val="54DD55E2"/>
    <w:rsid w:val="54F55D2D"/>
    <w:rsid w:val="54F73313"/>
    <w:rsid w:val="54F80955"/>
    <w:rsid w:val="55091826"/>
    <w:rsid w:val="550F50A4"/>
    <w:rsid w:val="552F7D96"/>
    <w:rsid w:val="5548759D"/>
    <w:rsid w:val="555170A7"/>
    <w:rsid w:val="55520D24"/>
    <w:rsid w:val="555A3300"/>
    <w:rsid w:val="556B5C34"/>
    <w:rsid w:val="557650C0"/>
    <w:rsid w:val="5587536D"/>
    <w:rsid w:val="559B174B"/>
    <w:rsid w:val="559F0E60"/>
    <w:rsid w:val="55A025DE"/>
    <w:rsid w:val="55AD04D9"/>
    <w:rsid w:val="55B376C4"/>
    <w:rsid w:val="55B73297"/>
    <w:rsid w:val="55BD5987"/>
    <w:rsid w:val="55C64EF2"/>
    <w:rsid w:val="55C67DF5"/>
    <w:rsid w:val="55CD163B"/>
    <w:rsid w:val="55CD5030"/>
    <w:rsid w:val="55CE0CF4"/>
    <w:rsid w:val="55DF4A13"/>
    <w:rsid w:val="55EB13F3"/>
    <w:rsid w:val="55EB160A"/>
    <w:rsid w:val="55FB49F0"/>
    <w:rsid w:val="56044D24"/>
    <w:rsid w:val="560F7182"/>
    <w:rsid w:val="561E5963"/>
    <w:rsid w:val="56243BF4"/>
    <w:rsid w:val="562A5895"/>
    <w:rsid w:val="562D3A6E"/>
    <w:rsid w:val="56334D5F"/>
    <w:rsid w:val="56335E7E"/>
    <w:rsid w:val="56521D3A"/>
    <w:rsid w:val="56743BC0"/>
    <w:rsid w:val="567F5DDA"/>
    <w:rsid w:val="56837A94"/>
    <w:rsid w:val="568E0D64"/>
    <w:rsid w:val="569040F4"/>
    <w:rsid w:val="56AF78FD"/>
    <w:rsid w:val="56B22A9C"/>
    <w:rsid w:val="56BE5488"/>
    <w:rsid w:val="56C52DD8"/>
    <w:rsid w:val="56D007FF"/>
    <w:rsid w:val="56D42B42"/>
    <w:rsid w:val="56EA1618"/>
    <w:rsid w:val="56F60F76"/>
    <w:rsid w:val="56F81BBC"/>
    <w:rsid w:val="5703441E"/>
    <w:rsid w:val="570707BA"/>
    <w:rsid w:val="57126264"/>
    <w:rsid w:val="571532DC"/>
    <w:rsid w:val="571E1809"/>
    <w:rsid w:val="57220419"/>
    <w:rsid w:val="573703F6"/>
    <w:rsid w:val="574D00A2"/>
    <w:rsid w:val="57554A63"/>
    <w:rsid w:val="57554C19"/>
    <w:rsid w:val="575B34BE"/>
    <w:rsid w:val="57703FF5"/>
    <w:rsid w:val="57997E41"/>
    <w:rsid w:val="57A852D8"/>
    <w:rsid w:val="57AC4DC9"/>
    <w:rsid w:val="57AF7839"/>
    <w:rsid w:val="57B72A76"/>
    <w:rsid w:val="57C3426C"/>
    <w:rsid w:val="57C82157"/>
    <w:rsid w:val="57CD775D"/>
    <w:rsid w:val="57CE1F93"/>
    <w:rsid w:val="57E82F96"/>
    <w:rsid w:val="57E9295A"/>
    <w:rsid w:val="57EF6C54"/>
    <w:rsid w:val="57F329F7"/>
    <w:rsid w:val="57F94978"/>
    <w:rsid w:val="57FD1DFE"/>
    <w:rsid w:val="580044EC"/>
    <w:rsid w:val="580478FB"/>
    <w:rsid w:val="581D7A74"/>
    <w:rsid w:val="582003C3"/>
    <w:rsid w:val="58254B7B"/>
    <w:rsid w:val="58313520"/>
    <w:rsid w:val="58382B00"/>
    <w:rsid w:val="584533DA"/>
    <w:rsid w:val="5846089D"/>
    <w:rsid w:val="584F2056"/>
    <w:rsid w:val="585E559F"/>
    <w:rsid w:val="58747DC1"/>
    <w:rsid w:val="587C6831"/>
    <w:rsid w:val="5882202A"/>
    <w:rsid w:val="5885781A"/>
    <w:rsid w:val="58865629"/>
    <w:rsid w:val="588743D1"/>
    <w:rsid w:val="5887701A"/>
    <w:rsid w:val="588C3253"/>
    <w:rsid w:val="589B7F7B"/>
    <w:rsid w:val="589C0BAA"/>
    <w:rsid w:val="58B865D6"/>
    <w:rsid w:val="58BC54DF"/>
    <w:rsid w:val="58C739C3"/>
    <w:rsid w:val="58EE2D45"/>
    <w:rsid w:val="59030E3F"/>
    <w:rsid w:val="59121AA8"/>
    <w:rsid w:val="59476BB5"/>
    <w:rsid w:val="594E1407"/>
    <w:rsid w:val="59504EDB"/>
    <w:rsid w:val="595B5841"/>
    <w:rsid w:val="595C288B"/>
    <w:rsid w:val="596047EB"/>
    <w:rsid w:val="59707714"/>
    <w:rsid w:val="597506E7"/>
    <w:rsid w:val="598E56A1"/>
    <w:rsid w:val="59937DF1"/>
    <w:rsid w:val="599E7C0C"/>
    <w:rsid w:val="59A57D21"/>
    <w:rsid w:val="59B241EC"/>
    <w:rsid w:val="59C0439F"/>
    <w:rsid w:val="59CC3500"/>
    <w:rsid w:val="59D71637"/>
    <w:rsid w:val="59E43EA6"/>
    <w:rsid w:val="59EA017B"/>
    <w:rsid w:val="59ED3B33"/>
    <w:rsid w:val="59F85D9F"/>
    <w:rsid w:val="5A01705E"/>
    <w:rsid w:val="5A112887"/>
    <w:rsid w:val="5A145882"/>
    <w:rsid w:val="5A45410F"/>
    <w:rsid w:val="5A5F65A4"/>
    <w:rsid w:val="5A71078E"/>
    <w:rsid w:val="5A7959BF"/>
    <w:rsid w:val="5A7B3742"/>
    <w:rsid w:val="5A9D4E9D"/>
    <w:rsid w:val="5AA76497"/>
    <w:rsid w:val="5ABE2233"/>
    <w:rsid w:val="5AC308FB"/>
    <w:rsid w:val="5ACA0BBC"/>
    <w:rsid w:val="5AD11D5D"/>
    <w:rsid w:val="5ADA7D6D"/>
    <w:rsid w:val="5ADC44E1"/>
    <w:rsid w:val="5AE8163C"/>
    <w:rsid w:val="5B0306EE"/>
    <w:rsid w:val="5B1942B3"/>
    <w:rsid w:val="5B380C9B"/>
    <w:rsid w:val="5B3A3A6E"/>
    <w:rsid w:val="5B5E466D"/>
    <w:rsid w:val="5B661732"/>
    <w:rsid w:val="5B792815"/>
    <w:rsid w:val="5B902C99"/>
    <w:rsid w:val="5BA95045"/>
    <w:rsid w:val="5BBB14A3"/>
    <w:rsid w:val="5BBB44EB"/>
    <w:rsid w:val="5BBE7D50"/>
    <w:rsid w:val="5BD11A6C"/>
    <w:rsid w:val="5BD46371"/>
    <w:rsid w:val="5BD80111"/>
    <w:rsid w:val="5BD82CFA"/>
    <w:rsid w:val="5BDF5D95"/>
    <w:rsid w:val="5BFE7528"/>
    <w:rsid w:val="5C003DF1"/>
    <w:rsid w:val="5C115F48"/>
    <w:rsid w:val="5C146CDB"/>
    <w:rsid w:val="5C192CA5"/>
    <w:rsid w:val="5C364602"/>
    <w:rsid w:val="5C3B496D"/>
    <w:rsid w:val="5C3C1C07"/>
    <w:rsid w:val="5C452ACD"/>
    <w:rsid w:val="5C4672B3"/>
    <w:rsid w:val="5C5A585F"/>
    <w:rsid w:val="5C781C3A"/>
    <w:rsid w:val="5C7A6DBA"/>
    <w:rsid w:val="5C7F5E65"/>
    <w:rsid w:val="5C8005D2"/>
    <w:rsid w:val="5C925451"/>
    <w:rsid w:val="5CA21365"/>
    <w:rsid w:val="5CDC69B6"/>
    <w:rsid w:val="5CE10C96"/>
    <w:rsid w:val="5CE2134E"/>
    <w:rsid w:val="5CEC5C67"/>
    <w:rsid w:val="5D0C14AC"/>
    <w:rsid w:val="5D153410"/>
    <w:rsid w:val="5D286D18"/>
    <w:rsid w:val="5D3223D7"/>
    <w:rsid w:val="5D3233CD"/>
    <w:rsid w:val="5D3703BC"/>
    <w:rsid w:val="5D396CA1"/>
    <w:rsid w:val="5D682630"/>
    <w:rsid w:val="5D7356D4"/>
    <w:rsid w:val="5D7B40C8"/>
    <w:rsid w:val="5D7C4A1B"/>
    <w:rsid w:val="5D80325E"/>
    <w:rsid w:val="5D934486"/>
    <w:rsid w:val="5D94600E"/>
    <w:rsid w:val="5D972F43"/>
    <w:rsid w:val="5D982497"/>
    <w:rsid w:val="5DBE7604"/>
    <w:rsid w:val="5DC7040D"/>
    <w:rsid w:val="5DCB6581"/>
    <w:rsid w:val="5DDA1A1E"/>
    <w:rsid w:val="5DDB402F"/>
    <w:rsid w:val="5DE24856"/>
    <w:rsid w:val="5DE4774C"/>
    <w:rsid w:val="5DE70B9A"/>
    <w:rsid w:val="5DFC006F"/>
    <w:rsid w:val="5E005E6E"/>
    <w:rsid w:val="5E1323EC"/>
    <w:rsid w:val="5E2467F1"/>
    <w:rsid w:val="5E443FAD"/>
    <w:rsid w:val="5E4A7390"/>
    <w:rsid w:val="5E56783C"/>
    <w:rsid w:val="5E6F3D04"/>
    <w:rsid w:val="5E7114F6"/>
    <w:rsid w:val="5E787FC3"/>
    <w:rsid w:val="5E826883"/>
    <w:rsid w:val="5E830892"/>
    <w:rsid w:val="5E886A97"/>
    <w:rsid w:val="5E8D61CE"/>
    <w:rsid w:val="5E900AF4"/>
    <w:rsid w:val="5E9049BA"/>
    <w:rsid w:val="5E914D18"/>
    <w:rsid w:val="5EB01642"/>
    <w:rsid w:val="5EBB7FE7"/>
    <w:rsid w:val="5EC81A2B"/>
    <w:rsid w:val="5EDE3B84"/>
    <w:rsid w:val="5EFE4D02"/>
    <w:rsid w:val="5F061262"/>
    <w:rsid w:val="5F0B65FD"/>
    <w:rsid w:val="5F1A2B43"/>
    <w:rsid w:val="5F41673E"/>
    <w:rsid w:val="5F58696B"/>
    <w:rsid w:val="5F692B8D"/>
    <w:rsid w:val="5F702B80"/>
    <w:rsid w:val="5F7351C7"/>
    <w:rsid w:val="5F836E42"/>
    <w:rsid w:val="5F87400F"/>
    <w:rsid w:val="5F895D28"/>
    <w:rsid w:val="5F8F51D3"/>
    <w:rsid w:val="5F9B7B25"/>
    <w:rsid w:val="5FA00AE7"/>
    <w:rsid w:val="5FB52875"/>
    <w:rsid w:val="5FB837BB"/>
    <w:rsid w:val="5FE125E9"/>
    <w:rsid w:val="5FE61B61"/>
    <w:rsid w:val="5FE81015"/>
    <w:rsid w:val="5FEE7DDD"/>
    <w:rsid w:val="5FF074A6"/>
    <w:rsid w:val="5FF66899"/>
    <w:rsid w:val="6009097B"/>
    <w:rsid w:val="601E457F"/>
    <w:rsid w:val="602A0F80"/>
    <w:rsid w:val="602C35E7"/>
    <w:rsid w:val="602F2037"/>
    <w:rsid w:val="603242D9"/>
    <w:rsid w:val="60327E35"/>
    <w:rsid w:val="60364348"/>
    <w:rsid w:val="60382FC6"/>
    <w:rsid w:val="603C499D"/>
    <w:rsid w:val="604F4E8B"/>
    <w:rsid w:val="6051650D"/>
    <w:rsid w:val="605424A1"/>
    <w:rsid w:val="60550A06"/>
    <w:rsid w:val="6055131D"/>
    <w:rsid w:val="60760A3F"/>
    <w:rsid w:val="607F5334"/>
    <w:rsid w:val="60833D2F"/>
    <w:rsid w:val="608B6D9C"/>
    <w:rsid w:val="60B501F4"/>
    <w:rsid w:val="60BB3DF4"/>
    <w:rsid w:val="60CC405A"/>
    <w:rsid w:val="60E66B25"/>
    <w:rsid w:val="60F7025F"/>
    <w:rsid w:val="60F7448C"/>
    <w:rsid w:val="60F7746A"/>
    <w:rsid w:val="60FB0B6F"/>
    <w:rsid w:val="611762A6"/>
    <w:rsid w:val="61363955"/>
    <w:rsid w:val="613953A4"/>
    <w:rsid w:val="613C1A9F"/>
    <w:rsid w:val="614E66E9"/>
    <w:rsid w:val="616D3B89"/>
    <w:rsid w:val="617C580C"/>
    <w:rsid w:val="6184091C"/>
    <w:rsid w:val="618D5658"/>
    <w:rsid w:val="61973BE6"/>
    <w:rsid w:val="61AA6D77"/>
    <w:rsid w:val="61E215D8"/>
    <w:rsid w:val="61E810F3"/>
    <w:rsid w:val="61FB4CCC"/>
    <w:rsid w:val="62083C97"/>
    <w:rsid w:val="620B005F"/>
    <w:rsid w:val="620D46B6"/>
    <w:rsid w:val="6211053B"/>
    <w:rsid w:val="62131F5A"/>
    <w:rsid w:val="621B3775"/>
    <w:rsid w:val="6221100E"/>
    <w:rsid w:val="62234F1D"/>
    <w:rsid w:val="622A0E56"/>
    <w:rsid w:val="622C357C"/>
    <w:rsid w:val="622C7A23"/>
    <w:rsid w:val="62364782"/>
    <w:rsid w:val="62466E46"/>
    <w:rsid w:val="624759E4"/>
    <w:rsid w:val="624B6589"/>
    <w:rsid w:val="626420D3"/>
    <w:rsid w:val="628030DA"/>
    <w:rsid w:val="62842CDB"/>
    <w:rsid w:val="629923ED"/>
    <w:rsid w:val="62A832A9"/>
    <w:rsid w:val="62AD7013"/>
    <w:rsid w:val="62AE271A"/>
    <w:rsid w:val="62B15989"/>
    <w:rsid w:val="62DB0D11"/>
    <w:rsid w:val="62E12FA0"/>
    <w:rsid w:val="62E67556"/>
    <w:rsid w:val="62FA58CF"/>
    <w:rsid w:val="631475DC"/>
    <w:rsid w:val="63155201"/>
    <w:rsid w:val="631A352E"/>
    <w:rsid w:val="632972B3"/>
    <w:rsid w:val="632C5CD1"/>
    <w:rsid w:val="63341B7F"/>
    <w:rsid w:val="633B34A5"/>
    <w:rsid w:val="633C5B0F"/>
    <w:rsid w:val="63423F38"/>
    <w:rsid w:val="634B4E4C"/>
    <w:rsid w:val="63581B16"/>
    <w:rsid w:val="635C068B"/>
    <w:rsid w:val="63682D1E"/>
    <w:rsid w:val="636C6FF5"/>
    <w:rsid w:val="636D4B59"/>
    <w:rsid w:val="637F2501"/>
    <w:rsid w:val="6394356A"/>
    <w:rsid w:val="63943D63"/>
    <w:rsid w:val="639826A5"/>
    <w:rsid w:val="639D1EBE"/>
    <w:rsid w:val="63A518FB"/>
    <w:rsid w:val="63BA6ABF"/>
    <w:rsid w:val="63BE65AF"/>
    <w:rsid w:val="63C61B2C"/>
    <w:rsid w:val="63D40BE9"/>
    <w:rsid w:val="63D5774F"/>
    <w:rsid w:val="64030466"/>
    <w:rsid w:val="64102431"/>
    <w:rsid w:val="641E727D"/>
    <w:rsid w:val="64216B3E"/>
    <w:rsid w:val="6432331A"/>
    <w:rsid w:val="64354398"/>
    <w:rsid w:val="643D2AAC"/>
    <w:rsid w:val="643E64F7"/>
    <w:rsid w:val="643F7E95"/>
    <w:rsid w:val="644D50F9"/>
    <w:rsid w:val="64660902"/>
    <w:rsid w:val="646A4041"/>
    <w:rsid w:val="646D1D43"/>
    <w:rsid w:val="646F1537"/>
    <w:rsid w:val="64712DB1"/>
    <w:rsid w:val="64874A69"/>
    <w:rsid w:val="648D52B7"/>
    <w:rsid w:val="649825CD"/>
    <w:rsid w:val="6498600E"/>
    <w:rsid w:val="649951FF"/>
    <w:rsid w:val="649E7A03"/>
    <w:rsid w:val="64A20733"/>
    <w:rsid w:val="64A5243A"/>
    <w:rsid w:val="64CC062F"/>
    <w:rsid w:val="64E32161"/>
    <w:rsid w:val="64EC4A56"/>
    <w:rsid w:val="64F41688"/>
    <w:rsid w:val="64F531DE"/>
    <w:rsid w:val="65075BD8"/>
    <w:rsid w:val="650F564B"/>
    <w:rsid w:val="65205139"/>
    <w:rsid w:val="65230D6E"/>
    <w:rsid w:val="65323326"/>
    <w:rsid w:val="65373578"/>
    <w:rsid w:val="65433B9A"/>
    <w:rsid w:val="65465B92"/>
    <w:rsid w:val="65507904"/>
    <w:rsid w:val="655A5E64"/>
    <w:rsid w:val="655B398A"/>
    <w:rsid w:val="6560524A"/>
    <w:rsid w:val="65672ED5"/>
    <w:rsid w:val="658049AD"/>
    <w:rsid w:val="65804C74"/>
    <w:rsid w:val="65826D65"/>
    <w:rsid w:val="658B6D1A"/>
    <w:rsid w:val="6592395B"/>
    <w:rsid w:val="65992D02"/>
    <w:rsid w:val="65A6554D"/>
    <w:rsid w:val="65B8641E"/>
    <w:rsid w:val="65CE70EA"/>
    <w:rsid w:val="65D73958"/>
    <w:rsid w:val="65DA382C"/>
    <w:rsid w:val="65DF7827"/>
    <w:rsid w:val="65F97193"/>
    <w:rsid w:val="660A5ADC"/>
    <w:rsid w:val="66164237"/>
    <w:rsid w:val="66171FA7"/>
    <w:rsid w:val="661F173D"/>
    <w:rsid w:val="66551775"/>
    <w:rsid w:val="665D6DCE"/>
    <w:rsid w:val="66673CAB"/>
    <w:rsid w:val="6679460C"/>
    <w:rsid w:val="668B57B5"/>
    <w:rsid w:val="668C20C8"/>
    <w:rsid w:val="668C48C5"/>
    <w:rsid w:val="669873E7"/>
    <w:rsid w:val="66AB08DB"/>
    <w:rsid w:val="66CC0143"/>
    <w:rsid w:val="66FC2F4B"/>
    <w:rsid w:val="67032625"/>
    <w:rsid w:val="671F124A"/>
    <w:rsid w:val="6722200F"/>
    <w:rsid w:val="672852C6"/>
    <w:rsid w:val="6735581D"/>
    <w:rsid w:val="67386679"/>
    <w:rsid w:val="67462E3F"/>
    <w:rsid w:val="67515045"/>
    <w:rsid w:val="675863D3"/>
    <w:rsid w:val="6764733A"/>
    <w:rsid w:val="67776020"/>
    <w:rsid w:val="677A33C6"/>
    <w:rsid w:val="677D22DE"/>
    <w:rsid w:val="677F794B"/>
    <w:rsid w:val="67811FD4"/>
    <w:rsid w:val="67827062"/>
    <w:rsid w:val="678648B6"/>
    <w:rsid w:val="678C76C9"/>
    <w:rsid w:val="678F3D97"/>
    <w:rsid w:val="67915D89"/>
    <w:rsid w:val="67A23176"/>
    <w:rsid w:val="67B8771A"/>
    <w:rsid w:val="67D32FD5"/>
    <w:rsid w:val="67E4235D"/>
    <w:rsid w:val="67EA78F6"/>
    <w:rsid w:val="67ED0FBF"/>
    <w:rsid w:val="67F0485E"/>
    <w:rsid w:val="680306B1"/>
    <w:rsid w:val="681F6961"/>
    <w:rsid w:val="6853173E"/>
    <w:rsid w:val="68610A2F"/>
    <w:rsid w:val="68716E4C"/>
    <w:rsid w:val="6872288F"/>
    <w:rsid w:val="68805514"/>
    <w:rsid w:val="68916D37"/>
    <w:rsid w:val="689324E0"/>
    <w:rsid w:val="689D4D46"/>
    <w:rsid w:val="68AB7FD0"/>
    <w:rsid w:val="68BD3811"/>
    <w:rsid w:val="68D32AB4"/>
    <w:rsid w:val="68D43DFB"/>
    <w:rsid w:val="68D52075"/>
    <w:rsid w:val="68D75E76"/>
    <w:rsid w:val="68E522DB"/>
    <w:rsid w:val="68E76F7D"/>
    <w:rsid w:val="68F53F07"/>
    <w:rsid w:val="69071E71"/>
    <w:rsid w:val="69085BD7"/>
    <w:rsid w:val="690C3FB6"/>
    <w:rsid w:val="69122ACA"/>
    <w:rsid w:val="691618EE"/>
    <w:rsid w:val="692C4252"/>
    <w:rsid w:val="69316E2F"/>
    <w:rsid w:val="69360268"/>
    <w:rsid w:val="693855CF"/>
    <w:rsid w:val="693E42C6"/>
    <w:rsid w:val="693F3AB9"/>
    <w:rsid w:val="6945035F"/>
    <w:rsid w:val="694E2071"/>
    <w:rsid w:val="69545729"/>
    <w:rsid w:val="69562CAF"/>
    <w:rsid w:val="6966629F"/>
    <w:rsid w:val="69766163"/>
    <w:rsid w:val="697A3B33"/>
    <w:rsid w:val="6990454A"/>
    <w:rsid w:val="699F14C8"/>
    <w:rsid w:val="69A130CC"/>
    <w:rsid w:val="69A609A9"/>
    <w:rsid w:val="69AC3D46"/>
    <w:rsid w:val="69AF2CF1"/>
    <w:rsid w:val="69B45322"/>
    <w:rsid w:val="69B820B6"/>
    <w:rsid w:val="69B90B5C"/>
    <w:rsid w:val="69BF59DF"/>
    <w:rsid w:val="69C17C32"/>
    <w:rsid w:val="69CE395D"/>
    <w:rsid w:val="69CE6ED7"/>
    <w:rsid w:val="69D274CB"/>
    <w:rsid w:val="69D44760"/>
    <w:rsid w:val="69D62B6F"/>
    <w:rsid w:val="69E65464"/>
    <w:rsid w:val="69FA61D3"/>
    <w:rsid w:val="6A1B59BA"/>
    <w:rsid w:val="6A2C1D99"/>
    <w:rsid w:val="6A380E80"/>
    <w:rsid w:val="6A3B672E"/>
    <w:rsid w:val="6A4315BC"/>
    <w:rsid w:val="6A48704B"/>
    <w:rsid w:val="6A520EC7"/>
    <w:rsid w:val="6A5E4E28"/>
    <w:rsid w:val="6A617C95"/>
    <w:rsid w:val="6A7F79C0"/>
    <w:rsid w:val="6A9260A0"/>
    <w:rsid w:val="6A934549"/>
    <w:rsid w:val="6A9516EC"/>
    <w:rsid w:val="6A961667"/>
    <w:rsid w:val="6AA63C99"/>
    <w:rsid w:val="6AA901AF"/>
    <w:rsid w:val="6AA93FB0"/>
    <w:rsid w:val="6AD52912"/>
    <w:rsid w:val="6AF71D38"/>
    <w:rsid w:val="6AF87E20"/>
    <w:rsid w:val="6B322639"/>
    <w:rsid w:val="6B3501CF"/>
    <w:rsid w:val="6B374A00"/>
    <w:rsid w:val="6B3C1A92"/>
    <w:rsid w:val="6B3E5434"/>
    <w:rsid w:val="6B4234A3"/>
    <w:rsid w:val="6B5061A9"/>
    <w:rsid w:val="6B527B5F"/>
    <w:rsid w:val="6B533EBB"/>
    <w:rsid w:val="6B552AB1"/>
    <w:rsid w:val="6B6A736B"/>
    <w:rsid w:val="6B6F0C80"/>
    <w:rsid w:val="6B6F6B1A"/>
    <w:rsid w:val="6B727F2F"/>
    <w:rsid w:val="6B7461EE"/>
    <w:rsid w:val="6B8C3F3F"/>
    <w:rsid w:val="6B987C3A"/>
    <w:rsid w:val="6BAD5A11"/>
    <w:rsid w:val="6BB97A3B"/>
    <w:rsid w:val="6BCE135A"/>
    <w:rsid w:val="6BD27CAC"/>
    <w:rsid w:val="6BD868B0"/>
    <w:rsid w:val="6BE47258"/>
    <w:rsid w:val="6BEC0D79"/>
    <w:rsid w:val="6BEE7BA8"/>
    <w:rsid w:val="6C184BA4"/>
    <w:rsid w:val="6C1C41BB"/>
    <w:rsid w:val="6C2E3BA6"/>
    <w:rsid w:val="6C3D057A"/>
    <w:rsid w:val="6C3E79ED"/>
    <w:rsid w:val="6C4949B9"/>
    <w:rsid w:val="6C53360D"/>
    <w:rsid w:val="6C5708D7"/>
    <w:rsid w:val="6C5C4BB7"/>
    <w:rsid w:val="6C636C38"/>
    <w:rsid w:val="6C711CE5"/>
    <w:rsid w:val="6C924964"/>
    <w:rsid w:val="6C9360FF"/>
    <w:rsid w:val="6C9B0944"/>
    <w:rsid w:val="6CA14C68"/>
    <w:rsid w:val="6CA51091"/>
    <w:rsid w:val="6CAF2E45"/>
    <w:rsid w:val="6CB467A2"/>
    <w:rsid w:val="6CBD0476"/>
    <w:rsid w:val="6CBD4932"/>
    <w:rsid w:val="6CC56738"/>
    <w:rsid w:val="6CCB285C"/>
    <w:rsid w:val="6CCB643F"/>
    <w:rsid w:val="6CD02F46"/>
    <w:rsid w:val="6CED1CB3"/>
    <w:rsid w:val="6CF977D5"/>
    <w:rsid w:val="6CFD3481"/>
    <w:rsid w:val="6D033285"/>
    <w:rsid w:val="6D04665F"/>
    <w:rsid w:val="6D0520F7"/>
    <w:rsid w:val="6D066E0C"/>
    <w:rsid w:val="6D0D003B"/>
    <w:rsid w:val="6D0E2C31"/>
    <w:rsid w:val="6D0F6521"/>
    <w:rsid w:val="6D153614"/>
    <w:rsid w:val="6D2515A4"/>
    <w:rsid w:val="6D32087B"/>
    <w:rsid w:val="6D3568F7"/>
    <w:rsid w:val="6D372F2F"/>
    <w:rsid w:val="6D376B5F"/>
    <w:rsid w:val="6D387734"/>
    <w:rsid w:val="6D3D07F6"/>
    <w:rsid w:val="6D530888"/>
    <w:rsid w:val="6D5C4743"/>
    <w:rsid w:val="6D605FE2"/>
    <w:rsid w:val="6D686180"/>
    <w:rsid w:val="6D6B74A1"/>
    <w:rsid w:val="6D6E419D"/>
    <w:rsid w:val="6D7D0544"/>
    <w:rsid w:val="6DA06C0A"/>
    <w:rsid w:val="6DAF0D17"/>
    <w:rsid w:val="6DB34098"/>
    <w:rsid w:val="6DB545B6"/>
    <w:rsid w:val="6DBA40B9"/>
    <w:rsid w:val="6DBF46E9"/>
    <w:rsid w:val="6DBF5278"/>
    <w:rsid w:val="6DC565F0"/>
    <w:rsid w:val="6DE02FB4"/>
    <w:rsid w:val="6DE1761C"/>
    <w:rsid w:val="6DE247AA"/>
    <w:rsid w:val="6E0D6175"/>
    <w:rsid w:val="6E133D86"/>
    <w:rsid w:val="6E1A0886"/>
    <w:rsid w:val="6E2039C3"/>
    <w:rsid w:val="6E2214E9"/>
    <w:rsid w:val="6E2C2368"/>
    <w:rsid w:val="6E306EFE"/>
    <w:rsid w:val="6E310088"/>
    <w:rsid w:val="6E37334C"/>
    <w:rsid w:val="6E3F370B"/>
    <w:rsid w:val="6E4965D5"/>
    <w:rsid w:val="6E4F5378"/>
    <w:rsid w:val="6E510B93"/>
    <w:rsid w:val="6E514CED"/>
    <w:rsid w:val="6E565C14"/>
    <w:rsid w:val="6E5D3DC4"/>
    <w:rsid w:val="6E757716"/>
    <w:rsid w:val="6E821BDF"/>
    <w:rsid w:val="6E846D13"/>
    <w:rsid w:val="6E8D355A"/>
    <w:rsid w:val="6E9B3C36"/>
    <w:rsid w:val="6EA145F3"/>
    <w:rsid w:val="6EB020B2"/>
    <w:rsid w:val="6EB563D5"/>
    <w:rsid w:val="6EB97031"/>
    <w:rsid w:val="6EBF7CC1"/>
    <w:rsid w:val="6EC27490"/>
    <w:rsid w:val="6ED22B49"/>
    <w:rsid w:val="6ED72B95"/>
    <w:rsid w:val="6ED92677"/>
    <w:rsid w:val="6EFE0720"/>
    <w:rsid w:val="6F147937"/>
    <w:rsid w:val="6F1E43A6"/>
    <w:rsid w:val="6F225983"/>
    <w:rsid w:val="6F296D3D"/>
    <w:rsid w:val="6F2B0871"/>
    <w:rsid w:val="6F2F43E0"/>
    <w:rsid w:val="6F360F9A"/>
    <w:rsid w:val="6F3A1A85"/>
    <w:rsid w:val="6F3C482C"/>
    <w:rsid w:val="6F4B268A"/>
    <w:rsid w:val="6F50214D"/>
    <w:rsid w:val="6F593630"/>
    <w:rsid w:val="6F5C093B"/>
    <w:rsid w:val="6F6A1399"/>
    <w:rsid w:val="6F807478"/>
    <w:rsid w:val="6F8E202F"/>
    <w:rsid w:val="6F8F7052"/>
    <w:rsid w:val="6F9D51F0"/>
    <w:rsid w:val="6FA36659"/>
    <w:rsid w:val="6FA6489C"/>
    <w:rsid w:val="6FAA79E8"/>
    <w:rsid w:val="6FAE61A4"/>
    <w:rsid w:val="6FC50267"/>
    <w:rsid w:val="6FCD1928"/>
    <w:rsid w:val="6FDC729B"/>
    <w:rsid w:val="6FEE2784"/>
    <w:rsid w:val="6FF20CE3"/>
    <w:rsid w:val="6FFA637A"/>
    <w:rsid w:val="6FFB46E7"/>
    <w:rsid w:val="6FFC5590"/>
    <w:rsid w:val="700370F8"/>
    <w:rsid w:val="700E50A7"/>
    <w:rsid w:val="702169F9"/>
    <w:rsid w:val="705E62A8"/>
    <w:rsid w:val="70635EE4"/>
    <w:rsid w:val="706D1DD0"/>
    <w:rsid w:val="70850A4E"/>
    <w:rsid w:val="70856B87"/>
    <w:rsid w:val="708B008B"/>
    <w:rsid w:val="709F2E8A"/>
    <w:rsid w:val="70A66401"/>
    <w:rsid w:val="70AE21DF"/>
    <w:rsid w:val="70B10BBE"/>
    <w:rsid w:val="70BC6D3A"/>
    <w:rsid w:val="70C50329"/>
    <w:rsid w:val="70CD1417"/>
    <w:rsid w:val="70D22070"/>
    <w:rsid w:val="70D527EE"/>
    <w:rsid w:val="70D54F38"/>
    <w:rsid w:val="70D569FB"/>
    <w:rsid w:val="70D862FD"/>
    <w:rsid w:val="70DC1E23"/>
    <w:rsid w:val="70DC41AC"/>
    <w:rsid w:val="70E2433E"/>
    <w:rsid w:val="70F25AEA"/>
    <w:rsid w:val="70F853BA"/>
    <w:rsid w:val="70FD250A"/>
    <w:rsid w:val="711D4A76"/>
    <w:rsid w:val="711E736E"/>
    <w:rsid w:val="71211D98"/>
    <w:rsid w:val="7123756E"/>
    <w:rsid w:val="71237A52"/>
    <w:rsid w:val="712F289B"/>
    <w:rsid w:val="7157106B"/>
    <w:rsid w:val="715B5300"/>
    <w:rsid w:val="71681092"/>
    <w:rsid w:val="716F64D5"/>
    <w:rsid w:val="717D7193"/>
    <w:rsid w:val="718A7AD1"/>
    <w:rsid w:val="719056B1"/>
    <w:rsid w:val="719F046D"/>
    <w:rsid w:val="71AB37E3"/>
    <w:rsid w:val="71AD1A11"/>
    <w:rsid w:val="71BB1C55"/>
    <w:rsid w:val="71BC3D28"/>
    <w:rsid w:val="71C65911"/>
    <w:rsid w:val="71D27F8A"/>
    <w:rsid w:val="71F07452"/>
    <w:rsid w:val="71FA0B4A"/>
    <w:rsid w:val="720C6922"/>
    <w:rsid w:val="721977A8"/>
    <w:rsid w:val="7220144D"/>
    <w:rsid w:val="7228352D"/>
    <w:rsid w:val="722A28C8"/>
    <w:rsid w:val="72351C9E"/>
    <w:rsid w:val="723932A5"/>
    <w:rsid w:val="72421E56"/>
    <w:rsid w:val="724239F7"/>
    <w:rsid w:val="724A400E"/>
    <w:rsid w:val="724F1C4E"/>
    <w:rsid w:val="72547E6A"/>
    <w:rsid w:val="72553024"/>
    <w:rsid w:val="72643071"/>
    <w:rsid w:val="726A7902"/>
    <w:rsid w:val="726C1DE6"/>
    <w:rsid w:val="72871107"/>
    <w:rsid w:val="729130E1"/>
    <w:rsid w:val="729D76C1"/>
    <w:rsid w:val="72B60D4C"/>
    <w:rsid w:val="72BC3AD9"/>
    <w:rsid w:val="72C222CD"/>
    <w:rsid w:val="72D34C83"/>
    <w:rsid w:val="72E25970"/>
    <w:rsid w:val="72E871A5"/>
    <w:rsid w:val="72F0605A"/>
    <w:rsid w:val="73122968"/>
    <w:rsid w:val="731F5D5E"/>
    <w:rsid w:val="73386337"/>
    <w:rsid w:val="733A4EC8"/>
    <w:rsid w:val="734B2FC2"/>
    <w:rsid w:val="734D1AC0"/>
    <w:rsid w:val="734F0FD2"/>
    <w:rsid w:val="73591B0F"/>
    <w:rsid w:val="735A1703"/>
    <w:rsid w:val="73743E31"/>
    <w:rsid w:val="737A3B75"/>
    <w:rsid w:val="737E18B7"/>
    <w:rsid w:val="73812F15"/>
    <w:rsid w:val="73961F76"/>
    <w:rsid w:val="73AA26AC"/>
    <w:rsid w:val="73AD7AA7"/>
    <w:rsid w:val="73C51AD5"/>
    <w:rsid w:val="73C720B3"/>
    <w:rsid w:val="73CB25E8"/>
    <w:rsid w:val="73CF17DC"/>
    <w:rsid w:val="73D0753E"/>
    <w:rsid w:val="73E854C6"/>
    <w:rsid w:val="73F63D6D"/>
    <w:rsid w:val="73F74435"/>
    <w:rsid w:val="74085625"/>
    <w:rsid w:val="740A169E"/>
    <w:rsid w:val="740C1FF1"/>
    <w:rsid w:val="7411005D"/>
    <w:rsid w:val="741E793C"/>
    <w:rsid w:val="743525C1"/>
    <w:rsid w:val="744672F8"/>
    <w:rsid w:val="745E3944"/>
    <w:rsid w:val="74776BCB"/>
    <w:rsid w:val="74867A84"/>
    <w:rsid w:val="74882C09"/>
    <w:rsid w:val="749018A2"/>
    <w:rsid w:val="749363E2"/>
    <w:rsid w:val="749C6F81"/>
    <w:rsid w:val="74A13C45"/>
    <w:rsid w:val="74A40D6D"/>
    <w:rsid w:val="74A76BEC"/>
    <w:rsid w:val="74B948F1"/>
    <w:rsid w:val="74CC659F"/>
    <w:rsid w:val="74D61299"/>
    <w:rsid w:val="74EF5E9D"/>
    <w:rsid w:val="74FC6A8C"/>
    <w:rsid w:val="7501454E"/>
    <w:rsid w:val="7501500A"/>
    <w:rsid w:val="750B02D6"/>
    <w:rsid w:val="75365CF5"/>
    <w:rsid w:val="75401BFF"/>
    <w:rsid w:val="7543305E"/>
    <w:rsid w:val="754E01C4"/>
    <w:rsid w:val="75536EB8"/>
    <w:rsid w:val="758277DC"/>
    <w:rsid w:val="75846F2D"/>
    <w:rsid w:val="75A37168"/>
    <w:rsid w:val="75BF2793"/>
    <w:rsid w:val="75D70D73"/>
    <w:rsid w:val="75DA0DCE"/>
    <w:rsid w:val="75E4177A"/>
    <w:rsid w:val="75EA4FE2"/>
    <w:rsid w:val="75ED4FEA"/>
    <w:rsid w:val="75F47C0F"/>
    <w:rsid w:val="75FC4D15"/>
    <w:rsid w:val="760706CF"/>
    <w:rsid w:val="760A3FF9"/>
    <w:rsid w:val="76134349"/>
    <w:rsid w:val="76311172"/>
    <w:rsid w:val="7635099D"/>
    <w:rsid w:val="76397D18"/>
    <w:rsid w:val="76431795"/>
    <w:rsid w:val="76497C10"/>
    <w:rsid w:val="764E6810"/>
    <w:rsid w:val="767309FA"/>
    <w:rsid w:val="767745E9"/>
    <w:rsid w:val="767922A7"/>
    <w:rsid w:val="767A23C2"/>
    <w:rsid w:val="767F1B9C"/>
    <w:rsid w:val="76885A48"/>
    <w:rsid w:val="768E3D17"/>
    <w:rsid w:val="76A55CAC"/>
    <w:rsid w:val="76B15E51"/>
    <w:rsid w:val="76B961CE"/>
    <w:rsid w:val="76C27516"/>
    <w:rsid w:val="76C32AF0"/>
    <w:rsid w:val="76D41163"/>
    <w:rsid w:val="76D52B85"/>
    <w:rsid w:val="76DC5427"/>
    <w:rsid w:val="76E43DD3"/>
    <w:rsid w:val="76ED67F9"/>
    <w:rsid w:val="76EF03D6"/>
    <w:rsid w:val="76F02A50"/>
    <w:rsid w:val="76F97441"/>
    <w:rsid w:val="770D7A09"/>
    <w:rsid w:val="7726029C"/>
    <w:rsid w:val="77304C77"/>
    <w:rsid w:val="773D592D"/>
    <w:rsid w:val="7743752B"/>
    <w:rsid w:val="77762421"/>
    <w:rsid w:val="779B54B1"/>
    <w:rsid w:val="77B56B1F"/>
    <w:rsid w:val="77B92EBE"/>
    <w:rsid w:val="77C75998"/>
    <w:rsid w:val="77CF1A6E"/>
    <w:rsid w:val="77D93BB9"/>
    <w:rsid w:val="77E616E5"/>
    <w:rsid w:val="77E93ED8"/>
    <w:rsid w:val="77F9743E"/>
    <w:rsid w:val="78037135"/>
    <w:rsid w:val="780659D7"/>
    <w:rsid w:val="780D692D"/>
    <w:rsid w:val="780F09F4"/>
    <w:rsid w:val="780F7FC6"/>
    <w:rsid w:val="782A7918"/>
    <w:rsid w:val="782C024F"/>
    <w:rsid w:val="7830390A"/>
    <w:rsid w:val="783C3AEF"/>
    <w:rsid w:val="78466716"/>
    <w:rsid w:val="785827DF"/>
    <w:rsid w:val="78771E25"/>
    <w:rsid w:val="78845BC9"/>
    <w:rsid w:val="7891344F"/>
    <w:rsid w:val="789631FF"/>
    <w:rsid w:val="78A90480"/>
    <w:rsid w:val="78B918B7"/>
    <w:rsid w:val="78C02AA8"/>
    <w:rsid w:val="78C300AC"/>
    <w:rsid w:val="78C543A8"/>
    <w:rsid w:val="78DB3308"/>
    <w:rsid w:val="78DB50B6"/>
    <w:rsid w:val="78DF107A"/>
    <w:rsid w:val="78E15217"/>
    <w:rsid w:val="78E53C94"/>
    <w:rsid w:val="78E92A9D"/>
    <w:rsid w:val="78F40408"/>
    <w:rsid w:val="78F53DEC"/>
    <w:rsid w:val="790740FD"/>
    <w:rsid w:val="79095B1D"/>
    <w:rsid w:val="7920006D"/>
    <w:rsid w:val="79276D42"/>
    <w:rsid w:val="792D4789"/>
    <w:rsid w:val="79493B52"/>
    <w:rsid w:val="79513765"/>
    <w:rsid w:val="7954648C"/>
    <w:rsid w:val="796C452B"/>
    <w:rsid w:val="797257FC"/>
    <w:rsid w:val="798562ED"/>
    <w:rsid w:val="799E3264"/>
    <w:rsid w:val="79A45594"/>
    <w:rsid w:val="79C40C46"/>
    <w:rsid w:val="79C50B60"/>
    <w:rsid w:val="79D264B9"/>
    <w:rsid w:val="79D7587D"/>
    <w:rsid w:val="79DB512B"/>
    <w:rsid w:val="7A02549A"/>
    <w:rsid w:val="7A075A8B"/>
    <w:rsid w:val="7A345729"/>
    <w:rsid w:val="7A3530FE"/>
    <w:rsid w:val="7A364017"/>
    <w:rsid w:val="7A37631C"/>
    <w:rsid w:val="7A3B40C6"/>
    <w:rsid w:val="7A410022"/>
    <w:rsid w:val="7A464047"/>
    <w:rsid w:val="7A4E3666"/>
    <w:rsid w:val="7A54072D"/>
    <w:rsid w:val="7A58273B"/>
    <w:rsid w:val="7A583429"/>
    <w:rsid w:val="7A685FE2"/>
    <w:rsid w:val="7A7C01D3"/>
    <w:rsid w:val="7A8265E1"/>
    <w:rsid w:val="7A8414D0"/>
    <w:rsid w:val="7A9A08AF"/>
    <w:rsid w:val="7AAB190C"/>
    <w:rsid w:val="7ABC6A2E"/>
    <w:rsid w:val="7ACB237A"/>
    <w:rsid w:val="7ACD1236"/>
    <w:rsid w:val="7AD334DC"/>
    <w:rsid w:val="7AD63959"/>
    <w:rsid w:val="7AD859D6"/>
    <w:rsid w:val="7ADD5115"/>
    <w:rsid w:val="7AE314EF"/>
    <w:rsid w:val="7AE53FCA"/>
    <w:rsid w:val="7B084E1D"/>
    <w:rsid w:val="7B09279D"/>
    <w:rsid w:val="7B0B23F3"/>
    <w:rsid w:val="7B0F1BF2"/>
    <w:rsid w:val="7B194441"/>
    <w:rsid w:val="7B1B75EF"/>
    <w:rsid w:val="7B272834"/>
    <w:rsid w:val="7B291E92"/>
    <w:rsid w:val="7B351BBD"/>
    <w:rsid w:val="7B394BE1"/>
    <w:rsid w:val="7B3E481D"/>
    <w:rsid w:val="7B452CBB"/>
    <w:rsid w:val="7B474C85"/>
    <w:rsid w:val="7B4D6C31"/>
    <w:rsid w:val="7B4E0135"/>
    <w:rsid w:val="7B660298"/>
    <w:rsid w:val="7B686D42"/>
    <w:rsid w:val="7B696D53"/>
    <w:rsid w:val="7B6D0625"/>
    <w:rsid w:val="7B712B69"/>
    <w:rsid w:val="7B791AF8"/>
    <w:rsid w:val="7B7C7A10"/>
    <w:rsid w:val="7B841746"/>
    <w:rsid w:val="7B89758F"/>
    <w:rsid w:val="7B8A7B4B"/>
    <w:rsid w:val="7B937ECA"/>
    <w:rsid w:val="7B9412C7"/>
    <w:rsid w:val="7B9C4751"/>
    <w:rsid w:val="7BAD0F8C"/>
    <w:rsid w:val="7BB937C0"/>
    <w:rsid w:val="7BE83F4B"/>
    <w:rsid w:val="7C15268D"/>
    <w:rsid w:val="7C19198C"/>
    <w:rsid w:val="7C2260EF"/>
    <w:rsid w:val="7C2B18BF"/>
    <w:rsid w:val="7C2E6B8C"/>
    <w:rsid w:val="7C3E2C8B"/>
    <w:rsid w:val="7C3F595C"/>
    <w:rsid w:val="7C405976"/>
    <w:rsid w:val="7C46774A"/>
    <w:rsid w:val="7C550181"/>
    <w:rsid w:val="7C63299D"/>
    <w:rsid w:val="7C6C5AC7"/>
    <w:rsid w:val="7C7B5F4C"/>
    <w:rsid w:val="7C8C6F32"/>
    <w:rsid w:val="7C8F68E3"/>
    <w:rsid w:val="7C9C0649"/>
    <w:rsid w:val="7CC6544B"/>
    <w:rsid w:val="7CD322D1"/>
    <w:rsid w:val="7CD9190C"/>
    <w:rsid w:val="7CE0713F"/>
    <w:rsid w:val="7CE33AF1"/>
    <w:rsid w:val="7CE5622E"/>
    <w:rsid w:val="7CE87959"/>
    <w:rsid w:val="7CEE4EC7"/>
    <w:rsid w:val="7CF21966"/>
    <w:rsid w:val="7CFD3261"/>
    <w:rsid w:val="7D0239FF"/>
    <w:rsid w:val="7D182DC1"/>
    <w:rsid w:val="7D354D4D"/>
    <w:rsid w:val="7D3C0AA4"/>
    <w:rsid w:val="7D4B617E"/>
    <w:rsid w:val="7D543337"/>
    <w:rsid w:val="7D5E40CD"/>
    <w:rsid w:val="7D6F279A"/>
    <w:rsid w:val="7D767220"/>
    <w:rsid w:val="7D8203BC"/>
    <w:rsid w:val="7D9121E7"/>
    <w:rsid w:val="7D937D0D"/>
    <w:rsid w:val="7D9665FF"/>
    <w:rsid w:val="7DA168CE"/>
    <w:rsid w:val="7DA47EB3"/>
    <w:rsid w:val="7DB06C3F"/>
    <w:rsid w:val="7DB3215D"/>
    <w:rsid w:val="7DB9701C"/>
    <w:rsid w:val="7DC12ACC"/>
    <w:rsid w:val="7DCD56F2"/>
    <w:rsid w:val="7DD03C40"/>
    <w:rsid w:val="7E002EC9"/>
    <w:rsid w:val="7E1A3EBC"/>
    <w:rsid w:val="7E1E4C1E"/>
    <w:rsid w:val="7E5751DF"/>
    <w:rsid w:val="7E5E4313"/>
    <w:rsid w:val="7E687CC3"/>
    <w:rsid w:val="7E6B79EA"/>
    <w:rsid w:val="7E75294D"/>
    <w:rsid w:val="7E8862B3"/>
    <w:rsid w:val="7E8E528E"/>
    <w:rsid w:val="7EA91FF8"/>
    <w:rsid w:val="7EBF65AE"/>
    <w:rsid w:val="7EC46EEC"/>
    <w:rsid w:val="7ECF664D"/>
    <w:rsid w:val="7EE963C2"/>
    <w:rsid w:val="7EF50554"/>
    <w:rsid w:val="7EFB1990"/>
    <w:rsid w:val="7F001CE7"/>
    <w:rsid w:val="7F0D7F93"/>
    <w:rsid w:val="7F1135E0"/>
    <w:rsid w:val="7F2F3A66"/>
    <w:rsid w:val="7F392B36"/>
    <w:rsid w:val="7F565496"/>
    <w:rsid w:val="7F5F6E32"/>
    <w:rsid w:val="7F601E71"/>
    <w:rsid w:val="7F6A6618"/>
    <w:rsid w:val="7F724ADB"/>
    <w:rsid w:val="7F800765"/>
    <w:rsid w:val="7F906092"/>
    <w:rsid w:val="7FAF7C2E"/>
    <w:rsid w:val="7FB87EFF"/>
    <w:rsid w:val="7FC40652"/>
    <w:rsid w:val="7FC60356"/>
    <w:rsid w:val="7FCE6253"/>
    <w:rsid w:val="7FDA691F"/>
    <w:rsid w:val="7FE47E50"/>
    <w:rsid w:val="7FE63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qFormat="1" w:unhideWhenUsed="0" w:uiPriority="0" w:semiHidden="0" w:name="index 6" w:locked="1"/>
    <w:lsdException w:uiPriority="0" w:name="index 7" w:locked="1"/>
    <w:lsdException w:uiPriority="0" w:name="index 8" w:locked="1"/>
    <w:lsdException w:uiPriority="0" w:name="index 9" w:locked="1"/>
    <w:lsdException w:qFormat="1" w:unhideWhenUsed="0" w:uiPriority="0" w:semiHidden="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qFormat="1" w:unhideWhenUsed="0" w:uiPriority="0" w:semiHidden="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nhideWhenUsed="0" w:uiPriority="0" w:semiHidden="0" w:name="Body Text 2" w:locked="1"/>
    <w:lsdException w:uiPriority="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uiPriority="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qFormat="1" w:unhideWhenUsed="0" w:uiPriority="0" w:semiHidden="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99"/>
    <w:pPr>
      <w:spacing w:beforeLines="50"/>
      <w:jc w:val="left"/>
      <w:outlineLvl w:val="1"/>
    </w:pPr>
    <w:rPr>
      <w:b/>
      <w:bCs/>
      <w:szCs w:val="32"/>
    </w:rPr>
  </w:style>
  <w:style w:type="paragraph" w:styleId="6">
    <w:name w:val="heading 3"/>
    <w:basedOn w:val="1"/>
    <w:next w:val="1"/>
    <w:link w:val="40"/>
    <w:qFormat/>
    <w:locked/>
    <w:uiPriority w:val="0"/>
    <w:pPr>
      <w:keepNext/>
      <w:keepLines/>
      <w:spacing w:before="260" w:after="260" w:line="416" w:lineRule="auto"/>
      <w:outlineLvl w:val="2"/>
    </w:pPr>
    <w:rPr>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9"/>
    <w:qFormat/>
    <w:uiPriority w:val="0"/>
    <w:pPr>
      <w:widowControl/>
      <w:snapToGrid w:val="0"/>
      <w:spacing w:before="60" w:after="160" w:line="259" w:lineRule="auto"/>
      <w:ind w:right="113"/>
    </w:pPr>
    <w:rPr>
      <w:kern w:val="0"/>
      <w:sz w:val="18"/>
      <w:szCs w:val="20"/>
    </w:rPr>
  </w:style>
  <w:style w:type="paragraph" w:styleId="3">
    <w:name w:val="List Bullet 5"/>
    <w:basedOn w:val="1"/>
    <w:qFormat/>
    <w:locked/>
    <w:uiPriority w:val="0"/>
    <w:pPr>
      <w:numPr>
        <w:ilvl w:val="0"/>
        <w:numId w:val="1"/>
      </w:numPr>
    </w:pPr>
  </w:style>
  <w:style w:type="paragraph" w:styleId="7">
    <w:name w:val="Normal Indent"/>
    <w:basedOn w:val="1"/>
    <w:next w:val="1"/>
    <w:link w:val="41"/>
    <w:qFormat/>
    <w:locked/>
    <w:uiPriority w:val="0"/>
    <w:pPr>
      <w:ind w:firstLine="200" w:firstLineChars="200"/>
    </w:pPr>
    <w:rPr>
      <w:sz w:val="28"/>
      <w:szCs w:val="20"/>
    </w:rPr>
  </w:style>
  <w:style w:type="paragraph" w:styleId="8">
    <w:name w:val="caption"/>
    <w:basedOn w:val="1"/>
    <w:next w:val="1"/>
    <w:link w:val="42"/>
    <w:qFormat/>
    <w:locked/>
    <w:uiPriority w:val="0"/>
    <w:pPr>
      <w:keepNext/>
      <w:spacing w:beforeLines="50"/>
      <w:jc w:val="center"/>
    </w:pPr>
    <w:rPr>
      <w:rFonts w:eastAsia="黑体"/>
      <w:szCs w:val="20"/>
    </w:rPr>
  </w:style>
  <w:style w:type="paragraph" w:styleId="9">
    <w:name w:val="annotation text"/>
    <w:basedOn w:val="1"/>
    <w:link w:val="43"/>
    <w:qFormat/>
    <w:uiPriority w:val="99"/>
    <w:pPr>
      <w:jc w:val="left"/>
    </w:pPr>
    <w:rPr>
      <w:kern w:val="0"/>
      <w:sz w:val="24"/>
      <w:szCs w:val="20"/>
    </w:rPr>
  </w:style>
  <w:style w:type="paragraph" w:styleId="10">
    <w:name w:val="index 6"/>
    <w:basedOn w:val="1"/>
    <w:next w:val="1"/>
    <w:qFormat/>
    <w:locked/>
    <w:uiPriority w:val="0"/>
    <w:pPr>
      <w:ind w:left="2100"/>
    </w:pPr>
  </w:style>
  <w:style w:type="paragraph" w:styleId="11">
    <w:name w:val="Body Text Indent"/>
    <w:basedOn w:val="1"/>
    <w:next w:val="12"/>
    <w:link w:val="44"/>
    <w:qFormat/>
    <w:uiPriority w:val="0"/>
    <w:pPr>
      <w:spacing w:after="120"/>
      <w:ind w:left="420" w:leftChars="200"/>
    </w:pPr>
    <w:rPr>
      <w:kern w:val="0"/>
      <w:sz w:val="24"/>
      <w:szCs w:val="20"/>
    </w:rPr>
  </w:style>
  <w:style w:type="paragraph" w:customStyle="1" w:styleId="12">
    <w:name w:val="Default"/>
    <w:basedOn w:val="13"/>
    <w:next w:val="2"/>
    <w:qFormat/>
    <w:uiPriority w:val="0"/>
    <w:pPr>
      <w:widowControl w:val="0"/>
      <w:autoSpaceDE w:val="0"/>
      <w:autoSpaceDN w:val="0"/>
      <w:adjustRightInd w:val="0"/>
    </w:pPr>
    <w:rPr>
      <w:rFonts w:ascii="宋体" w:cs="宋体"/>
      <w:color w:val="000000"/>
      <w:sz w:val="24"/>
    </w:rPr>
  </w:style>
  <w:style w:type="paragraph" w:customStyle="1" w:styleId="13">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14">
    <w:name w:val="Block Text"/>
    <w:basedOn w:val="1"/>
    <w:qFormat/>
    <w:locked/>
    <w:uiPriority w:val="0"/>
    <w:pPr>
      <w:spacing w:line="300" w:lineRule="exact"/>
      <w:ind w:left="-96" w:leftChars="-40" w:right="-16" w:firstLine="482" w:firstLineChars="200"/>
    </w:pPr>
  </w:style>
  <w:style w:type="paragraph" w:styleId="15">
    <w:name w:val="Plain Text"/>
    <w:basedOn w:val="1"/>
    <w:link w:val="45"/>
    <w:qFormat/>
    <w:locked/>
    <w:uiPriority w:val="0"/>
    <w:rPr>
      <w:rFonts w:ascii="宋体" w:hAnsi="Courier New"/>
      <w:sz w:val="20"/>
      <w:szCs w:val="20"/>
    </w:rPr>
  </w:style>
  <w:style w:type="paragraph" w:styleId="16">
    <w:name w:val="Date"/>
    <w:basedOn w:val="1"/>
    <w:next w:val="1"/>
    <w:link w:val="46"/>
    <w:qFormat/>
    <w:uiPriority w:val="0"/>
    <w:pPr>
      <w:ind w:left="100" w:leftChars="2500"/>
    </w:pPr>
    <w:rPr>
      <w:kern w:val="0"/>
      <w:sz w:val="24"/>
      <w:szCs w:val="20"/>
    </w:rPr>
  </w:style>
  <w:style w:type="paragraph" w:styleId="17">
    <w:name w:val="Body Text Indent 2"/>
    <w:basedOn w:val="1"/>
    <w:next w:val="18"/>
    <w:qFormat/>
    <w:locked/>
    <w:uiPriority w:val="0"/>
    <w:pPr>
      <w:spacing w:line="360" w:lineRule="auto"/>
      <w:ind w:firstLine="480" w:firstLineChars="200"/>
    </w:pPr>
    <w:rPr>
      <w:color w:val="000000"/>
      <w:sz w:val="24"/>
    </w:rPr>
  </w:style>
  <w:style w:type="paragraph" w:styleId="18">
    <w:name w:val="Body Text First Indent 2"/>
    <w:basedOn w:val="11"/>
    <w:next w:val="19"/>
    <w:link w:val="53"/>
    <w:qFormat/>
    <w:locked/>
    <w:uiPriority w:val="0"/>
    <w:pPr>
      <w:ind w:firstLine="420" w:firstLineChars="200"/>
    </w:pPr>
    <w:rPr>
      <w:kern w:val="2"/>
      <w:sz w:val="21"/>
    </w:rPr>
  </w:style>
  <w:style w:type="paragraph" w:styleId="19">
    <w:name w:val="Body Text First Indent"/>
    <w:basedOn w:val="2"/>
    <w:next w:val="1"/>
    <w:link w:val="52"/>
    <w:qFormat/>
    <w:locked/>
    <w:uiPriority w:val="0"/>
    <w:pPr>
      <w:widowControl w:val="0"/>
      <w:snapToGrid/>
      <w:spacing w:before="0" w:after="120" w:line="240" w:lineRule="auto"/>
      <w:ind w:right="0" w:firstLine="420" w:firstLineChars="100"/>
    </w:pPr>
    <w:rPr>
      <w:kern w:val="2"/>
      <w:sz w:val="21"/>
    </w:rPr>
  </w:style>
  <w:style w:type="paragraph" w:styleId="20">
    <w:name w:val="Balloon Text"/>
    <w:basedOn w:val="1"/>
    <w:link w:val="47"/>
    <w:semiHidden/>
    <w:qFormat/>
    <w:uiPriority w:val="0"/>
    <w:rPr>
      <w:kern w:val="0"/>
      <w:sz w:val="18"/>
      <w:szCs w:val="20"/>
    </w:rPr>
  </w:style>
  <w:style w:type="paragraph" w:styleId="21">
    <w:name w:val="footer"/>
    <w:basedOn w:val="1"/>
    <w:link w:val="48"/>
    <w:qFormat/>
    <w:uiPriority w:val="99"/>
    <w:pPr>
      <w:tabs>
        <w:tab w:val="center" w:pos="4153"/>
        <w:tab w:val="right" w:pos="8306"/>
      </w:tabs>
      <w:snapToGrid w:val="0"/>
      <w:jc w:val="left"/>
    </w:pPr>
    <w:rPr>
      <w:kern w:val="0"/>
      <w:sz w:val="18"/>
      <w:szCs w:val="20"/>
    </w:rPr>
  </w:style>
  <w:style w:type="paragraph" w:styleId="22">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locked/>
    <w:uiPriority w:val="0"/>
  </w:style>
  <w:style w:type="paragraph" w:styleId="24">
    <w:name w:val="Body Text Indent 3"/>
    <w:basedOn w:val="1"/>
    <w:link w:val="116"/>
    <w:qFormat/>
    <w:locked/>
    <w:uiPriority w:val="0"/>
    <w:pPr>
      <w:tabs>
        <w:tab w:val="left" w:pos="604"/>
      </w:tabs>
      <w:spacing w:line="360" w:lineRule="auto"/>
      <w:ind w:firstLine="600"/>
    </w:pPr>
    <w:rPr>
      <w:sz w:val="24"/>
    </w:rPr>
  </w:style>
  <w:style w:type="paragraph" w:styleId="25">
    <w:name w:val="Body Text 2"/>
    <w:basedOn w:val="1"/>
    <w:qFormat/>
    <w:locked/>
    <w:uiPriority w:val="0"/>
    <w:pPr>
      <w:widowControl/>
      <w:jc w:val="left"/>
    </w:pPr>
    <w:rPr>
      <w:rFonts w:ascii="仿宋_GB2312" w:eastAsia="仿宋_GB2312"/>
      <w:color w:val="000000"/>
    </w:rPr>
  </w:style>
  <w:style w:type="paragraph" w:styleId="26">
    <w:name w:val="Normal (Web)"/>
    <w:basedOn w:val="1"/>
    <w:link w:val="50"/>
    <w:qFormat/>
    <w:uiPriority w:val="99"/>
    <w:pPr>
      <w:widowControl/>
      <w:spacing w:before="100" w:beforeAutospacing="1" w:after="100" w:afterAutospacing="1"/>
      <w:jc w:val="left"/>
    </w:pPr>
    <w:rPr>
      <w:rFonts w:ascii="宋体" w:hAnsi="宋体"/>
      <w:kern w:val="0"/>
      <w:sz w:val="24"/>
      <w:szCs w:val="20"/>
    </w:rPr>
  </w:style>
  <w:style w:type="paragraph" w:styleId="27">
    <w:name w:val="annotation subject"/>
    <w:basedOn w:val="9"/>
    <w:next w:val="9"/>
    <w:link w:val="51"/>
    <w:semiHidden/>
    <w:qFormat/>
    <w:uiPriority w:val="0"/>
    <w:rPr>
      <w:b/>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locked/>
    <w:uiPriority w:val="0"/>
    <w:rPr>
      <w:b/>
      <w:bCs/>
    </w:rPr>
  </w:style>
  <w:style w:type="character" w:styleId="32">
    <w:name w:val="page number"/>
    <w:qFormat/>
    <w:locked/>
    <w:uiPriority w:val="0"/>
  </w:style>
  <w:style w:type="character" w:styleId="33">
    <w:name w:val="Emphasis"/>
    <w:qFormat/>
    <w:locked/>
    <w:uiPriority w:val="0"/>
    <w:rPr>
      <w:color w:val="CC0000"/>
      <w:sz w:val="24"/>
      <w:szCs w:val="24"/>
    </w:rPr>
  </w:style>
  <w:style w:type="character" w:styleId="34">
    <w:name w:val="Hyperlink"/>
    <w:basedOn w:val="30"/>
    <w:qFormat/>
    <w:locked/>
    <w:uiPriority w:val="0"/>
    <w:rPr>
      <w:color w:val="0000FF"/>
      <w:u w:val="single"/>
    </w:rPr>
  </w:style>
  <w:style w:type="character" w:styleId="35">
    <w:name w:val="annotation reference"/>
    <w:basedOn w:val="30"/>
    <w:qFormat/>
    <w:uiPriority w:val="0"/>
    <w:rPr>
      <w:sz w:val="21"/>
    </w:rPr>
  </w:style>
  <w:style w:type="character" w:styleId="36">
    <w:name w:val="HTML Cite"/>
    <w:qFormat/>
    <w:locked/>
    <w:uiPriority w:val="0"/>
    <w:rPr>
      <w:sz w:val="24"/>
      <w:szCs w:val="24"/>
    </w:rPr>
  </w:style>
  <w:style w:type="paragraph" w:customStyle="1" w:styleId="37">
    <w:name w:val="表格"/>
    <w:basedOn w:val="1"/>
    <w:next w:val="1"/>
    <w:link w:val="71"/>
    <w:qFormat/>
    <w:uiPriority w:val="0"/>
    <w:pPr>
      <w:adjustRightInd w:val="0"/>
      <w:snapToGrid w:val="0"/>
      <w:spacing w:beforeLines="10" w:afterLines="10" w:line="259" w:lineRule="auto"/>
      <w:jc w:val="center"/>
    </w:pPr>
    <w:rPr>
      <w:rFonts w:ascii="宋体"/>
      <w:kern w:val="0"/>
      <w:szCs w:val="20"/>
    </w:rPr>
  </w:style>
  <w:style w:type="paragraph" w:customStyle="1" w:styleId="38">
    <w:name w:val="Char Char1 Char"/>
    <w:basedOn w:val="1"/>
    <w:qFormat/>
    <w:uiPriority w:val="0"/>
    <w:rPr>
      <w:sz w:val="24"/>
    </w:rPr>
  </w:style>
  <w:style w:type="character" w:customStyle="1" w:styleId="39">
    <w:name w:val="正文文本 Char"/>
    <w:link w:val="2"/>
    <w:qFormat/>
    <w:locked/>
    <w:uiPriority w:val="0"/>
    <w:rPr>
      <w:sz w:val="18"/>
    </w:rPr>
  </w:style>
  <w:style w:type="character" w:customStyle="1" w:styleId="40">
    <w:name w:val="标题 3 Char"/>
    <w:link w:val="6"/>
    <w:semiHidden/>
    <w:qFormat/>
    <w:uiPriority w:val="0"/>
    <w:rPr>
      <w:b/>
      <w:bCs/>
      <w:kern w:val="2"/>
      <w:sz w:val="32"/>
      <w:szCs w:val="32"/>
    </w:rPr>
  </w:style>
  <w:style w:type="character" w:customStyle="1" w:styleId="41">
    <w:name w:val="正文缩进 Char"/>
    <w:link w:val="7"/>
    <w:qFormat/>
    <w:uiPriority w:val="0"/>
    <w:rPr>
      <w:kern w:val="2"/>
      <w:sz w:val="28"/>
    </w:rPr>
  </w:style>
  <w:style w:type="character" w:customStyle="1" w:styleId="42">
    <w:name w:val="题注 Char"/>
    <w:link w:val="8"/>
    <w:qFormat/>
    <w:uiPriority w:val="0"/>
    <w:rPr>
      <w:rFonts w:eastAsia="黑体"/>
      <w:kern w:val="2"/>
      <w:sz w:val="21"/>
    </w:rPr>
  </w:style>
  <w:style w:type="character" w:customStyle="1" w:styleId="43">
    <w:name w:val="批注文字 Char"/>
    <w:link w:val="9"/>
    <w:qFormat/>
    <w:locked/>
    <w:uiPriority w:val="99"/>
    <w:rPr>
      <w:rFonts w:ascii="Times New Roman" w:hAnsi="Times New Roman" w:eastAsia="宋体"/>
      <w:sz w:val="24"/>
    </w:rPr>
  </w:style>
  <w:style w:type="character" w:customStyle="1" w:styleId="44">
    <w:name w:val="正文文本缩进 Char"/>
    <w:link w:val="11"/>
    <w:semiHidden/>
    <w:qFormat/>
    <w:locked/>
    <w:uiPriority w:val="0"/>
    <w:rPr>
      <w:rFonts w:ascii="Times New Roman" w:hAnsi="Times New Roman" w:eastAsia="宋体"/>
      <w:sz w:val="24"/>
    </w:rPr>
  </w:style>
  <w:style w:type="character" w:customStyle="1" w:styleId="45">
    <w:name w:val="纯文本 Char"/>
    <w:link w:val="15"/>
    <w:qFormat/>
    <w:uiPriority w:val="0"/>
    <w:rPr>
      <w:rFonts w:ascii="宋体" w:hAnsi="Courier New"/>
      <w:kern w:val="2"/>
    </w:rPr>
  </w:style>
  <w:style w:type="character" w:customStyle="1" w:styleId="46">
    <w:name w:val="日期 Char"/>
    <w:link w:val="16"/>
    <w:qFormat/>
    <w:locked/>
    <w:uiPriority w:val="0"/>
    <w:rPr>
      <w:rFonts w:ascii="Times New Roman" w:hAnsi="Times New Roman" w:eastAsia="宋体"/>
      <w:sz w:val="24"/>
    </w:rPr>
  </w:style>
  <w:style w:type="character" w:customStyle="1" w:styleId="47">
    <w:name w:val="批注框文本 Char"/>
    <w:link w:val="20"/>
    <w:semiHidden/>
    <w:qFormat/>
    <w:locked/>
    <w:uiPriority w:val="0"/>
    <w:rPr>
      <w:rFonts w:ascii="Times New Roman" w:hAnsi="Times New Roman" w:eastAsia="宋体"/>
      <w:sz w:val="18"/>
    </w:rPr>
  </w:style>
  <w:style w:type="character" w:customStyle="1" w:styleId="48">
    <w:name w:val="页脚 Char"/>
    <w:link w:val="21"/>
    <w:qFormat/>
    <w:locked/>
    <w:uiPriority w:val="99"/>
    <w:rPr>
      <w:sz w:val="18"/>
    </w:rPr>
  </w:style>
  <w:style w:type="character" w:customStyle="1" w:styleId="49">
    <w:name w:val="页眉 Char"/>
    <w:link w:val="22"/>
    <w:qFormat/>
    <w:locked/>
    <w:uiPriority w:val="0"/>
    <w:rPr>
      <w:sz w:val="18"/>
    </w:rPr>
  </w:style>
  <w:style w:type="character" w:customStyle="1" w:styleId="50">
    <w:name w:val="普通(网站) Char"/>
    <w:link w:val="26"/>
    <w:qFormat/>
    <w:locked/>
    <w:uiPriority w:val="0"/>
    <w:rPr>
      <w:rFonts w:ascii="宋体" w:hAnsi="宋体" w:eastAsia="宋体"/>
      <w:sz w:val="24"/>
    </w:rPr>
  </w:style>
  <w:style w:type="character" w:customStyle="1" w:styleId="51">
    <w:name w:val="批注主题 Char"/>
    <w:link w:val="27"/>
    <w:semiHidden/>
    <w:qFormat/>
    <w:locked/>
    <w:uiPriority w:val="0"/>
    <w:rPr>
      <w:rFonts w:ascii="Times New Roman" w:hAnsi="Times New Roman" w:eastAsia="宋体"/>
      <w:b/>
      <w:kern w:val="2"/>
      <w:sz w:val="24"/>
    </w:rPr>
  </w:style>
  <w:style w:type="character" w:customStyle="1" w:styleId="52">
    <w:name w:val="正文首行缩进 Char"/>
    <w:link w:val="19"/>
    <w:qFormat/>
    <w:uiPriority w:val="0"/>
    <w:rPr>
      <w:kern w:val="2"/>
      <w:sz w:val="21"/>
    </w:rPr>
  </w:style>
  <w:style w:type="character" w:customStyle="1" w:styleId="53">
    <w:name w:val="正文首行缩进 2 Char"/>
    <w:link w:val="18"/>
    <w:qFormat/>
    <w:uiPriority w:val="0"/>
    <w:rPr>
      <w:rFonts w:ascii="Times New Roman" w:hAnsi="Times New Roman" w:eastAsia="宋体"/>
      <w:kern w:val="2"/>
      <w:sz w:val="21"/>
    </w:rPr>
  </w:style>
  <w:style w:type="character" w:customStyle="1" w:styleId="54">
    <w:name w:val="font11"/>
    <w:qFormat/>
    <w:uiPriority w:val="0"/>
    <w:rPr>
      <w:rFonts w:hint="eastAsia" w:ascii="宋体" w:hAnsi="宋体" w:eastAsia="宋体" w:cs="宋体"/>
      <w:color w:val="000000"/>
      <w:sz w:val="21"/>
      <w:szCs w:val="21"/>
      <w:u w:val="none"/>
    </w:rPr>
  </w:style>
  <w:style w:type="character" w:customStyle="1" w:styleId="55">
    <w:name w:val="表内表 字符"/>
    <w:link w:val="56"/>
    <w:qFormat/>
    <w:uiPriority w:val="0"/>
    <w:rPr>
      <w:bCs/>
      <w:kern w:val="2"/>
      <w:sz w:val="21"/>
      <w:szCs w:val="21"/>
    </w:rPr>
  </w:style>
  <w:style w:type="paragraph" w:customStyle="1" w:styleId="56">
    <w:name w:val="表内表"/>
    <w:basedOn w:val="1"/>
    <w:link w:val="55"/>
    <w:qFormat/>
    <w:uiPriority w:val="0"/>
    <w:pPr>
      <w:spacing w:line="240" w:lineRule="atLeast"/>
      <w:jc w:val="center"/>
    </w:pPr>
    <w:rPr>
      <w:bCs/>
      <w:szCs w:val="21"/>
    </w:rPr>
  </w:style>
  <w:style w:type="character" w:customStyle="1" w:styleId="57">
    <w:name w:val="表格文字 Char"/>
    <w:link w:val="58"/>
    <w:qFormat/>
    <w:uiPriority w:val="0"/>
    <w:rPr>
      <w:rFonts w:ascii="仿宋_GB2312" w:hAnsi="Arial Black" w:eastAsia="仿宋_GB2312"/>
      <w:kern w:val="44"/>
      <w:sz w:val="24"/>
    </w:rPr>
  </w:style>
  <w:style w:type="paragraph" w:customStyle="1" w:styleId="58">
    <w:name w:val="表格文字"/>
    <w:basedOn w:val="1"/>
    <w:link w:val="57"/>
    <w:qFormat/>
    <w:uiPriority w:val="0"/>
    <w:pPr>
      <w:jc w:val="center"/>
    </w:pPr>
    <w:rPr>
      <w:rFonts w:ascii="仿宋_GB2312" w:hAnsi="Arial Black" w:eastAsia="仿宋_GB2312"/>
      <w:kern w:val="44"/>
      <w:sz w:val="24"/>
      <w:szCs w:val="20"/>
    </w:rPr>
  </w:style>
  <w:style w:type="character" w:customStyle="1" w:styleId="59">
    <w:name w:val="font41"/>
    <w:qFormat/>
    <w:uiPriority w:val="0"/>
    <w:rPr>
      <w:rFonts w:hint="default" w:ascii="Times New Roman" w:hAnsi="Times New Roman" w:cs="Times New Roman"/>
      <w:color w:val="000000"/>
      <w:sz w:val="21"/>
      <w:szCs w:val="21"/>
      <w:u w:val="none"/>
    </w:rPr>
  </w:style>
  <w:style w:type="character" w:customStyle="1" w:styleId="60">
    <w:name w:val="fontstyle01"/>
    <w:qFormat/>
    <w:uiPriority w:val="0"/>
    <w:rPr>
      <w:rFonts w:hint="eastAsia" w:ascii="宋体" w:hAnsi="宋体" w:eastAsia="宋体" w:cs="宋体"/>
      <w:color w:val="000000"/>
      <w:kern w:val="0"/>
      <w:sz w:val="24"/>
      <w:szCs w:val="24"/>
    </w:rPr>
  </w:style>
  <w:style w:type="character" w:customStyle="1" w:styleId="61">
    <w:name w:val="批注文字 字符1"/>
    <w:semiHidden/>
    <w:qFormat/>
    <w:uiPriority w:val="0"/>
    <w:rPr>
      <w:rFonts w:ascii="Times New Roman" w:hAnsi="Times New Roman" w:eastAsia="宋体"/>
      <w:sz w:val="24"/>
    </w:rPr>
  </w:style>
  <w:style w:type="character" w:customStyle="1" w:styleId="62">
    <w:name w:val="font31"/>
    <w:qFormat/>
    <w:uiPriority w:val="0"/>
    <w:rPr>
      <w:rFonts w:hint="eastAsia" w:ascii="宋体" w:hAnsi="宋体" w:eastAsia="宋体" w:cs="宋体"/>
      <w:color w:val="000000"/>
      <w:sz w:val="21"/>
      <w:szCs w:val="21"/>
      <w:u w:val="none"/>
    </w:rPr>
  </w:style>
  <w:style w:type="character" w:customStyle="1" w:styleId="63">
    <w:name w:val="纯文本 字符1"/>
    <w:qFormat/>
    <w:uiPriority w:val="0"/>
    <w:rPr>
      <w:rFonts w:ascii="宋体" w:hAnsi="Courier New" w:cs="Courier New"/>
      <w:kern w:val="2"/>
      <w:sz w:val="21"/>
      <w:szCs w:val="21"/>
    </w:rPr>
  </w:style>
  <w:style w:type="character" w:customStyle="1" w:styleId="64">
    <w:name w:val="表格内容 Char"/>
    <w:link w:val="65"/>
    <w:qFormat/>
    <w:uiPriority w:val="0"/>
    <w:rPr>
      <w:rFonts w:ascii="Arial" w:hAnsi="Arial" w:eastAsia="仿宋_GB2312"/>
      <w:sz w:val="24"/>
    </w:rPr>
  </w:style>
  <w:style w:type="paragraph" w:customStyle="1" w:styleId="65">
    <w:name w:val="表格内容"/>
    <w:basedOn w:val="1"/>
    <w:link w:val="64"/>
    <w:qFormat/>
    <w:uiPriority w:val="0"/>
    <w:pPr>
      <w:overflowPunct w:val="0"/>
      <w:spacing w:before="40" w:after="60" w:line="200" w:lineRule="atLeast"/>
      <w:textAlignment w:val="baseline"/>
    </w:pPr>
    <w:rPr>
      <w:rFonts w:ascii="Arial" w:hAnsi="Arial" w:eastAsia="仿宋_GB2312"/>
      <w:kern w:val="0"/>
      <w:sz w:val="24"/>
      <w:szCs w:val="20"/>
    </w:rPr>
  </w:style>
  <w:style w:type="character" w:customStyle="1" w:styleId="66">
    <w:name w:val="font21"/>
    <w:qFormat/>
    <w:uiPriority w:val="0"/>
    <w:rPr>
      <w:rFonts w:hint="default" w:ascii="Times New Roman" w:hAnsi="Times New Roman" w:cs="Times New Roman"/>
      <w:color w:val="000000"/>
      <w:sz w:val="21"/>
      <w:szCs w:val="21"/>
      <w:u w:val="none"/>
    </w:rPr>
  </w:style>
  <w:style w:type="character" w:customStyle="1" w:styleId="67">
    <w:name w:val="日期 字符"/>
    <w:semiHidden/>
    <w:qFormat/>
    <w:uiPriority w:val="0"/>
    <w:rPr>
      <w:rFonts w:ascii="Times New Roman" w:hAnsi="Times New Roman" w:eastAsia="宋体"/>
      <w:sz w:val="24"/>
    </w:rPr>
  </w:style>
  <w:style w:type="character" w:customStyle="1" w:styleId="68">
    <w:name w:val="正文文本 字符1"/>
    <w:semiHidden/>
    <w:qFormat/>
    <w:uiPriority w:val="0"/>
    <w:rPr>
      <w:rFonts w:ascii="Times New Roman" w:hAnsi="Times New Roman" w:eastAsia="宋体"/>
      <w:sz w:val="24"/>
    </w:rPr>
  </w:style>
  <w:style w:type="character" w:customStyle="1" w:styleId="69">
    <w:name w:val="YY表格正文 字符"/>
    <w:link w:val="70"/>
    <w:qFormat/>
    <w:uiPriority w:val="0"/>
    <w:rPr>
      <w:color w:val="000000"/>
      <w:kern w:val="2"/>
      <w:sz w:val="21"/>
      <w:szCs w:val="24"/>
    </w:rPr>
  </w:style>
  <w:style w:type="paragraph" w:customStyle="1" w:styleId="70">
    <w:name w:val="YY表格正文"/>
    <w:basedOn w:val="1"/>
    <w:link w:val="69"/>
    <w:qFormat/>
    <w:uiPriority w:val="0"/>
    <w:pPr>
      <w:tabs>
        <w:tab w:val="left" w:pos="0"/>
      </w:tabs>
      <w:adjustRightInd w:val="0"/>
      <w:snapToGrid w:val="0"/>
      <w:jc w:val="center"/>
    </w:pPr>
    <w:rPr>
      <w:color w:val="000000"/>
    </w:rPr>
  </w:style>
  <w:style w:type="character" w:customStyle="1" w:styleId="71">
    <w:name w:val="表格 Char"/>
    <w:link w:val="37"/>
    <w:qFormat/>
    <w:locked/>
    <w:uiPriority w:val="0"/>
    <w:rPr>
      <w:rFonts w:ascii="宋体"/>
      <w:sz w:val="21"/>
    </w:rPr>
  </w:style>
  <w:style w:type="character" w:customStyle="1" w:styleId="72">
    <w:name w:val="1.....正文 Char"/>
    <w:link w:val="73"/>
    <w:qFormat/>
    <w:uiPriority w:val="0"/>
    <w:rPr>
      <w:rFonts w:ascii="仿宋_GB2312" w:eastAsia="仿宋_GB2312"/>
      <w:kern w:val="2"/>
      <w:sz w:val="28"/>
      <w:szCs w:val="28"/>
    </w:rPr>
  </w:style>
  <w:style w:type="paragraph" w:customStyle="1" w:styleId="73">
    <w:name w:val="1.....正文"/>
    <w:basedOn w:val="1"/>
    <w:link w:val="72"/>
    <w:qFormat/>
    <w:uiPriority w:val="0"/>
    <w:pPr>
      <w:adjustRightInd w:val="0"/>
      <w:snapToGrid w:val="0"/>
      <w:ind w:firstLine="560" w:firstLineChars="200"/>
    </w:pPr>
    <w:rPr>
      <w:rFonts w:ascii="仿宋_GB2312" w:eastAsia="仿宋_GB2312"/>
      <w:sz w:val="28"/>
      <w:szCs w:val="28"/>
    </w:rPr>
  </w:style>
  <w:style w:type="character" w:customStyle="1" w:styleId="74">
    <w:name w:val="页脚 字符"/>
    <w:qFormat/>
    <w:uiPriority w:val="99"/>
  </w:style>
  <w:style w:type="character" w:customStyle="1" w:styleId="75">
    <w:name w:val="表标题 Char"/>
    <w:link w:val="76"/>
    <w:qFormat/>
    <w:uiPriority w:val="0"/>
    <w:rPr>
      <w:b/>
      <w:kern w:val="2"/>
      <w:sz w:val="24"/>
      <w:szCs w:val="24"/>
    </w:rPr>
  </w:style>
  <w:style w:type="paragraph" w:customStyle="1" w:styleId="76">
    <w:name w:val="表标题"/>
    <w:next w:val="1"/>
    <w:link w:val="75"/>
    <w:qFormat/>
    <w:uiPriority w:val="0"/>
    <w:pPr>
      <w:spacing w:before="60"/>
      <w:jc w:val="center"/>
    </w:pPr>
    <w:rPr>
      <w:rFonts w:ascii="Times New Roman" w:hAnsi="Times New Roman" w:eastAsia="宋体" w:cs="Times New Roman"/>
      <w:b/>
      <w:kern w:val="2"/>
      <w:sz w:val="24"/>
      <w:szCs w:val="24"/>
      <w:lang w:val="en-US" w:eastAsia="zh-CN" w:bidi="ar-SA"/>
    </w:rPr>
  </w:style>
  <w:style w:type="character" w:customStyle="1" w:styleId="77">
    <w:name w:val="1表格 Char"/>
    <w:link w:val="78"/>
    <w:qFormat/>
    <w:locked/>
    <w:uiPriority w:val="0"/>
    <w:rPr>
      <w:spacing w:val="4"/>
      <w:szCs w:val="24"/>
    </w:rPr>
  </w:style>
  <w:style w:type="paragraph" w:customStyle="1" w:styleId="78">
    <w:name w:val="1表格"/>
    <w:basedOn w:val="1"/>
    <w:link w:val="77"/>
    <w:qFormat/>
    <w:uiPriority w:val="0"/>
    <w:pPr>
      <w:adjustRightInd w:val="0"/>
      <w:snapToGrid w:val="0"/>
      <w:jc w:val="center"/>
    </w:pPr>
    <w:rPr>
      <w:spacing w:val="4"/>
      <w:kern w:val="0"/>
      <w:sz w:val="20"/>
    </w:rPr>
  </w:style>
  <w:style w:type="paragraph" w:customStyle="1" w:styleId="79">
    <w:name w:val="中文报告书样式"/>
    <w:basedOn w:val="1"/>
    <w:qFormat/>
    <w:uiPriority w:val="99"/>
    <w:pPr>
      <w:spacing w:line="360" w:lineRule="auto"/>
      <w:ind w:firstLine="480" w:firstLineChars="200"/>
      <w:textAlignment w:val="baseline"/>
    </w:pPr>
    <w:rPr>
      <w:kern w:val="24"/>
      <w:sz w:val="24"/>
      <w:szCs w:val="22"/>
    </w:rPr>
  </w:style>
  <w:style w:type="paragraph" w:customStyle="1" w:styleId="80">
    <w:name w:val="常用正文样式"/>
    <w:basedOn w:val="1"/>
    <w:qFormat/>
    <w:uiPriority w:val="0"/>
    <w:pPr>
      <w:spacing w:line="360" w:lineRule="auto"/>
      <w:ind w:firstLine="480" w:firstLineChars="200"/>
    </w:pPr>
    <w:rPr>
      <w:rFonts w:ascii="宋体" w:hAnsi="宋体" w:eastAsia="仿宋_GB2312"/>
      <w:bCs/>
      <w:kern w:val="28"/>
      <w:sz w:val="24"/>
    </w:rPr>
  </w:style>
  <w:style w:type="paragraph" w:customStyle="1" w:styleId="81">
    <w:name w:val="111表头"/>
    <w:basedOn w:val="1"/>
    <w:qFormat/>
    <w:uiPriority w:val="0"/>
    <w:pPr>
      <w:tabs>
        <w:tab w:val="left" w:pos="600"/>
      </w:tabs>
      <w:spacing w:line="400" w:lineRule="exact"/>
      <w:jc w:val="center"/>
    </w:pPr>
    <w:rPr>
      <w:rFonts w:ascii="Calibri" w:hAnsi="Calibri"/>
      <w:b/>
      <w:kern w:val="0"/>
      <w:sz w:val="24"/>
    </w:rPr>
  </w:style>
  <w:style w:type="paragraph" w:customStyle="1" w:styleId="82">
    <w:name w:val="列出段落1"/>
    <w:basedOn w:val="1"/>
    <w:qFormat/>
    <w:uiPriority w:val="99"/>
    <w:pPr>
      <w:adjustRightInd w:val="0"/>
      <w:snapToGrid w:val="0"/>
      <w:spacing w:line="360" w:lineRule="auto"/>
      <w:ind w:firstLine="560" w:firstLineChars="200"/>
    </w:pPr>
    <w:rPr>
      <w:sz w:val="24"/>
    </w:rPr>
  </w:style>
  <w:style w:type="paragraph" w:customStyle="1" w:styleId="83">
    <w:name w:val="无间隔1"/>
    <w:qFormat/>
    <w:uiPriority w:val="1"/>
    <w:pPr>
      <w:widowControl w:val="0"/>
      <w:jc w:val="center"/>
    </w:pPr>
    <w:rPr>
      <w:rFonts w:ascii="宋体" w:hAnsi="Courier New" w:eastAsia="仿宋_GB2312" w:cs="Times New Roman"/>
      <w:kern w:val="2"/>
      <w:sz w:val="24"/>
      <w:lang w:val="en-US" w:eastAsia="zh-CN" w:bidi="ar-SA"/>
    </w:rPr>
  </w:style>
  <w:style w:type="paragraph" w:customStyle="1" w:styleId="84">
    <w:name w:val="列出段落2"/>
    <w:basedOn w:val="1"/>
    <w:qFormat/>
    <w:uiPriority w:val="34"/>
    <w:pPr>
      <w:ind w:firstLine="420" w:firstLineChars="200"/>
    </w:pPr>
    <w:rPr>
      <w:rFonts w:ascii="Calibri" w:hAnsi="Calibri"/>
      <w:szCs w:val="22"/>
    </w:rPr>
  </w:style>
  <w:style w:type="paragraph" w:customStyle="1" w:styleId="85">
    <w:name w:val="正文4号"/>
    <w:basedOn w:val="1"/>
    <w:qFormat/>
    <w:uiPriority w:val="0"/>
    <w:pPr>
      <w:adjustRightInd w:val="0"/>
      <w:snapToGrid w:val="0"/>
      <w:spacing w:line="360" w:lineRule="auto"/>
      <w:ind w:firstLine="200" w:firstLineChars="200"/>
    </w:pPr>
    <w:rPr>
      <w:sz w:val="24"/>
    </w:rPr>
  </w:style>
  <w:style w:type="paragraph" w:customStyle="1" w:styleId="86">
    <w:name w:val="Body Text 21"/>
    <w:basedOn w:val="1"/>
    <w:qFormat/>
    <w:uiPriority w:val="0"/>
    <w:pPr>
      <w:adjustRightInd w:val="0"/>
      <w:textAlignment w:val="baseline"/>
    </w:pPr>
    <w:rPr>
      <w:rFonts w:ascii="仿宋_GB2312" w:hAnsi="Calibri" w:eastAsia="仿宋体"/>
      <w:sz w:val="24"/>
      <w:szCs w:val="20"/>
    </w:rPr>
  </w:style>
  <w:style w:type="paragraph" w:customStyle="1" w:styleId="87">
    <w:name w:val="1 正文"/>
    <w:basedOn w:val="1"/>
    <w:qFormat/>
    <w:uiPriority w:val="0"/>
    <w:pPr>
      <w:adjustRightInd w:val="0"/>
      <w:snapToGrid w:val="0"/>
      <w:spacing w:line="360" w:lineRule="auto"/>
      <w:ind w:firstLine="200" w:firstLineChars="200"/>
    </w:pPr>
    <w:rPr>
      <w:kern w:val="0"/>
      <w:sz w:val="24"/>
      <w:szCs w:val="20"/>
    </w:rPr>
  </w:style>
  <w:style w:type="paragraph" w:customStyle="1" w:styleId="88">
    <w:name w:val="111正文"/>
    <w:basedOn w:val="1"/>
    <w:qFormat/>
    <w:uiPriority w:val="0"/>
    <w:pPr>
      <w:tabs>
        <w:tab w:val="left" w:pos="600"/>
      </w:tabs>
      <w:spacing w:line="360" w:lineRule="auto"/>
      <w:ind w:firstLine="200" w:firstLineChars="200"/>
    </w:pPr>
    <w:rPr>
      <w:rFonts w:ascii="Calibri" w:hAnsi="Calibri"/>
      <w:kern w:val="0"/>
      <w:sz w:val="24"/>
    </w:rPr>
  </w:style>
  <w:style w:type="paragraph" w:customStyle="1" w:styleId="89">
    <w:name w:val="正文-lcc"/>
    <w:basedOn w:val="1"/>
    <w:qFormat/>
    <w:uiPriority w:val="0"/>
    <w:pPr>
      <w:snapToGrid w:val="0"/>
      <w:spacing w:line="360" w:lineRule="auto"/>
      <w:ind w:firstLine="200" w:firstLineChars="200"/>
    </w:pPr>
    <w:rPr>
      <w:rFonts w:ascii="等线" w:hAnsi="等线" w:eastAsia="仿宋"/>
      <w:color w:val="000000"/>
      <w:sz w:val="24"/>
      <w:szCs w:val="20"/>
    </w:rPr>
  </w:style>
  <w:style w:type="paragraph" w:customStyle="1" w:styleId="90">
    <w:name w:val="正文 首行缩进:  2 字符"/>
    <w:basedOn w:val="1"/>
    <w:qFormat/>
    <w:uiPriority w:val="99"/>
    <w:pPr>
      <w:ind w:firstLine="579" w:firstLineChars="200"/>
    </w:pPr>
    <w:rPr>
      <w:rFonts w:eastAsia="等线" w:cs="宋体"/>
      <w:szCs w:val="20"/>
    </w:rPr>
  </w:style>
  <w:style w:type="paragraph" w:customStyle="1" w:styleId="9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2">
    <w:name w:val="小四表文左齐"/>
    <w:basedOn w:val="1"/>
    <w:qFormat/>
    <w:uiPriority w:val="0"/>
    <w:pPr>
      <w:jc w:val="center"/>
    </w:pPr>
    <w:rPr>
      <w:rFonts w:ascii="宋体" w:hAnsi="宋体"/>
      <w:color w:val="000000"/>
      <w:szCs w:val="21"/>
    </w:rPr>
  </w:style>
  <w:style w:type="paragraph" w:customStyle="1" w:styleId="93">
    <w:name w:val="xl24"/>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94">
    <w:name w:val="报告书 正文"/>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95">
    <w:name w:val="p0"/>
    <w:basedOn w:val="1"/>
    <w:qFormat/>
    <w:uiPriority w:val="0"/>
    <w:pPr>
      <w:widowControl/>
    </w:pPr>
    <w:rPr>
      <w:kern w:val="0"/>
      <w:szCs w:val="21"/>
    </w:rPr>
  </w:style>
  <w:style w:type="paragraph" w:customStyle="1" w:styleId="9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97">
    <w:name w:val="font51"/>
    <w:qFormat/>
    <w:uiPriority w:val="0"/>
    <w:rPr>
      <w:rFonts w:hint="default" w:ascii="Times New Roman" w:hAnsi="Times New Roman" w:cs="Times New Roman"/>
      <w:b/>
      <w:color w:val="000000"/>
      <w:sz w:val="18"/>
      <w:szCs w:val="18"/>
      <w:u w:val="none"/>
    </w:rPr>
  </w:style>
  <w:style w:type="paragraph" w:customStyle="1" w:styleId="98">
    <w:name w:val="Char Char Char Char Char Char Char Char Char Char Char Char Char Char Char Char Char Char Char Char Char Char Char Char Char Char1"/>
    <w:basedOn w:val="1"/>
    <w:qFormat/>
    <w:uiPriority w:val="99"/>
    <w:rPr>
      <w:sz w:val="24"/>
    </w:rPr>
  </w:style>
  <w:style w:type="paragraph" w:customStyle="1" w:styleId="99">
    <w:name w:val="框图"/>
    <w:basedOn w:val="1"/>
    <w:qFormat/>
    <w:uiPriority w:val="0"/>
    <w:pPr>
      <w:adjustRightInd w:val="0"/>
      <w:snapToGrid w:val="0"/>
      <w:spacing w:line="27" w:lineRule="atLeast"/>
      <w:ind w:left="12" w:leftChars="-38" w:right="-38" w:rightChars="-38" w:hanging="92" w:hangingChars="54"/>
      <w:jc w:val="center"/>
    </w:pPr>
    <w:rPr>
      <w:rFonts w:ascii="宋体" w:hAnsi="宋体"/>
      <w:spacing w:val="-20"/>
    </w:rPr>
  </w:style>
  <w:style w:type="character" w:customStyle="1" w:styleId="100">
    <w:name w:val="font01"/>
    <w:qFormat/>
    <w:uiPriority w:val="0"/>
    <w:rPr>
      <w:rFonts w:hint="eastAsia" w:ascii="宋体" w:hAnsi="宋体" w:eastAsia="宋体" w:cs="宋体"/>
      <w:color w:val="000000"/>
      <w:sz w:val="18"/>
      <w:szCs w:val="18"/>
      <w:u w:val="none"/>
    </w:rPr>
  </w:style>
  <w:style w:type="paragraph" w:customStyle="1" w:styleId="101">
    <w:name w:val="图表"/>
    <w:basedOn w:val="1"/>
    <w:qFormat/>
    <w:uiPriority w:val="0"/>
    <w:pPr>
      <w:jc w:val="center"/>
    </w:pPr>
    <w:rPr>
      <w:color w:val="000000"/>
      <w:szCs w:val="21"/>
    </w:rPr>
  </w:style>
  <w:style w:type="paragraph" w:customStyle="1" w:styleId="102">
    <w:name w:val="样式 标题 2节 + 自动设置"/>
    <w:basedOn w:val="5"/>
    <w:qFormat/>
    <w:uiPriority w:val="99"/>
    <w:pPr>
      <w:tabs>
        <w:tab w:val="left" w:pos="1119"/>
      </w:tabs>
      <w:spacing w:line="360" w:lineRule="auto"/>
      <w:ind w:left="399"/>
      <w:jc w:val="both"/>
    </w:pPr>
    <w:rPr>
      <w:rFonts w:ascii="宋体" w:hAnsi="宋体" w:cs="宋体"/>
      <w:sz w:val="30"/>
      <w:szCs w:val="30"/>
    </w:rPr>
  </w:style>
  <w:style w:type="paragraph" w:customStyle="1" w:styleId="103">
    <w:name w:val="无间隔11"/>
    <w:qFormat/>
    <w:uiPriority w:val="99"/>
    <w:pPr>
      <w:widowControl w:val="0"/>
      <w:jc w:val="center"/>
    </w:pPr>
    <w:rPr>
      <w:rFonts w:ascii="Times New Roman" w:hAnsi="Times New Roman" w:eastAsia="宋体" w:cs="Times New Roman"/>
      <w:kern w:val="2"/>
      <w:sz w:val="21"/>
      <w:szCs w:val="21"/>
      <w:lang w:val="en-US" w:eastAsia="zh-TW" w:bidi="ar-SA"/>
    </w:rPr>
  </w:style>
  <w:style w:type="paragraph" w:customStyle="1" w:styleId="104">
    <w:name w:val="！！"/>
    <w:basedOn w:val="105"/>
    <w:qFormat/>
    <w:uiPriority w:val="0"/>
    <w:pPr>
      <w:tabs>
        <w:tab w:val="left" w:pos="277"/>
        <w:tab w:val="left" w:pos="600"/>
        <w:tab w:val="left" w:pos="780"/>
        <w:tab w:val="left" w:pos="2517"/>
      </w:tabs>
    </w:pPr>
  </w:style>
  <w:style w:type="paragraph" w:customStyle="1" w:styleId="105">
    <w:name w:val="表格的文字"/>
    <w:basedOn w:val="106"/>
    <w:qFormat/>
    <w:uiPriority w:val="99"/>
    <w:pPr>
      <w:tabs>
        <w:tab w:val="left" w:pos="277"/>
        <w:tab w:val="left" w:pos="600"/>
        <w:tab w:val="left" w:pos="780"/>
        <w:tab w:val="left" w:pos="2517"/>
      </w:tabs>
    </w:pPr>
  </w:style>
  <w:style w:type="paragraph" w:customStyle="1" w:styleId="106">
    <w:name w:val="表格文字2"/>
    <w:basedOn w:val="1"/>
    <w:qFormat/>
    <w:uiPriority w:val="99"/>
    <w:pPr>
      <w:tabs>
        <w:tab w:val="left" w:pos="277"/>
        <w:tab w:val="left" w:pos="600"/>
        <w:tab w:val="left" w:pos="780"/>
        <w:tab w:val="left" w:pos="2517"/>
      </w:tabs>
      <w:adjustRightInd w:val="0"/>
      <w:snapToGrid w:val="0"/>
      <w:jc w:val="center"/>
      <w:textAlignment w:val="baseline"/>
    </w:pPr>
  </w:style>
  <w:style w:type="paragraph" w:customStyle="1" w:styleId="107">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108">
    <w:name w:val="正文首行缩进 21"/>
    <w:basedOn w:val="11"/>
    <w:next w:val="109"/>
    <w:unhideWhenUsed/>
    <w:qFormat/>
    <w:uiPriority w:val="0"/>
    <w:pPr>
      <w:ind w:firstLine="420"/>
    </w:pPr>
  </w:style>
  <w:style w:type="paragraph" w:customStyle="1" w:styleId="109">
    <w:name w:val="正文首行缩进1"/>
    <w:basedOn w:val="2"/>
    <w:next w:val="1"/>
    <w:qFormat/>
    <w:uiPriority w:val="0"/>
    <w:pPr>
      <w:spacing w:after="120"/>
      <w:ind w:firstLine="420" w:firstLineChars="100"/>
    </w:pPr>
  </w:style>
  <w:style w:type="paragraph" w:customStyle="1" w:styleId="110">
    <w:name w:val="！！表格内容"/>
    <w:basedOn w:val="1"/>
    <w:qFormat/>
    <w:uiPriority w:val="0"/>
    <w:pPr>
      <w:widowControl/>
      <w:jc w:val="center"/>
      <w:textAlignment w:val="bottom"/>
    </w:pPr>
    <w:rPr>
      <w:szCs w:val="18"/>
    </w:rPr>
  </w:style>
  <w:style w:type="paragraph" w:customStyle="1" w:styleId="111">
    <w:name w:val="表格首行"/>
    <w:basedOn w:val="65"/>
    <w:qFormat/>
    <w:uiPriority w:val="0"/>
    <w:pPr>
      <w:widowControl/>
    </w:pPr>
    <w:rPr>
      <w:rFonts w:eastAsia="仿宋"/>
    </w:rPr>
  </w:style>
  <w:style w:type="paragraph" w:customStyle="1" w:styleId="112">
    <w:name w:val="1图表标题"/>
    <w:basedOn w:val="1"/>
    <w:next w:val="113"/>
    <w:qFormat/>
    <w:uiPriority w:val="0"/>
    <w:pPr>
      <w:snapToGrid w:val="0"/>
      <w:jc w:val="center"/>
    </w:pPr>
    <w:rPr>
      <w:bCs/>
      <w:szCs w:val="20"/>
    </w:rPr>
  </w:style>
  <w:style w:type="paragraph" w:customStyle="1" w:styleId="113">
    <w:name w:val="1正文--使用此"/>
    <w:basedOn w:val="1"/>
    <w:qFormat/>
    <w:uiPriority w:val="0"/>
    <w:pPr>
      <w:spacing w:line="360" w:lineRule="auto"/>
      <w:ind w:firstLine="720" w:firstLineChars="200"/>
    </w:pPr>
  </w:style>
  <w:style w:type="paragraph" w:customStyle="1" w:styleId="114">
    <w:name w:val="p15"/>
    <w:basedOn w:val="1"/>
    <w:qFormat/>
    <w:uiPriority w:val="0"/>
    <w:pPr>
      <w:widowControl/>
      <w:spacing w:line="360" w:lineRule="auto"/>
      <w:ind w:firstLine="420"/>
    </w:pPr>
    <w:rPr>
      <w:kern w:val="0"/>
      <w:sz w:val="28"/>
      <w:szCs w:val="28"/>
    </w:rPr>
  </w:style>
  <w:style w:type="paragraph" w:styleId="115">
    <w:name w:val="List Paragraph"/>
    <w:basedOn w:val="1"/>
    <w:qFormat/>
    <w:uiPriority w:val="99"/>
    <w:pPr>
      <w:ind w:firstLine="420" w:firstLineChars="200"/>
    </w:pPr>
  </w:style>
  <w:style w:type="character" w:customStyle="1" w:styleId="116">
    <w:name w:val="正文文本缩进 3 Char"/>
    <w:basedOn w:val="30"/>
    <w:link w:val="24"/>
    <w:qFormat/>
    <w:uiPriority w:val="0"/>
    <w:rPr>
      <w:kern w:val="2"/>
      <w:sz w:val="24"/>
      <w:szCs w:val="24"/>
    </w:rPr>
  </w:style>
  <w:style w:type="paragraph" w:customStyle="1" w:styleId="117">
    <w:name w:val="Table Paragraph"/>
    <w:basedOn w:val="1"/>
    <w:qFormat/>
    <w:uiPriority w:val="1"/>
    <w:pPr>
      <w:widowControl/>
      <w:jc w:val="left"/>
    </w:pPr>
    <w:rPr>
      <w:rFonts w:ascii="Calibri" w:hAnsi="Calibri" w:cs="宋体"/>
      <w:kern w:val="0"/>
      <w:sz w:val="22"/>
      <w:szCs w:val="20"/>
    </w:rPr>
  </w:style>
  <w:style w:type="paragraph" w:customStyle="1" w:styleId="118">
    <w:name w:val="标题1"/>
    <w:basedOn w:val="1"/>
    <w:next w:val="1"/>
    <w:qFormat/>
    <w:uiPriority w:val="0"/>
    <w:pPr>
      <w:tabs>
        <w:tab w:val="left" w:pos="9193"/>
        <w:tab w:val="left" w:pos="9827"/>
      </w:tabs>
      <w:autoSpaceDE w:val="0"/>
      <w:autoSpaceDN w:val="0"/>
      <w:snapToGrid w:val="0"/>
      <w:spacing w:line="700" w:lineRule="atLeast"/>
      <w:jc w:val="center"/>
    </w:pPr>
    <w:rPr>
      <w:rFonts w:eastAsia="方正小标宋_GBK"/>
      <w:kern w:val="0"/>
      <w:sz w:val="4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w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file:///C:\Users\lenovo\AppData\Local\Temp\ksohtml9836\wps4.png" TargetMode="Externa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0412D4-2AC8-41A3-B0E7-2C949F89B9C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42807</Words>
  <Characters>49092</Characters>
  <Lines>467</Lines>
  <Paragraphs>131</Paragraphs>
  <TotalTime>12</TotalTime>
  <ScaleCrop>false</ScaleCrop>
  <LinksUpToDate>false</LinksUpToDate>
  <CharactersWithSpaces>49544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2023-01-08T09:57:00Z</dcterms:created>
  <dc:creator>lhj</dc:creator>
  <cp:lastModifiedBy>Just live</cp:lastModifiedBy>
  <cp:lastPrinted>2022-10-08T07:53:00Z</cp:lastPrinted>
  <dcterms:modified xsi:type="dcterms:W3CDTF">2023-05-08T07:01:24Z</dcterms:modified>
  <dc:title>附件2</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88167C5723DA4794971A31ED30C20A54</vt:lpwstr>
  </property>
  <property fmtid="{D5CDD505-2E9C-101B-9397-08002B2CF9AE}" pid="4" name="commondata">
    <vt:lpwstr>eyJoZGlkIjoiMDEzNGQyZjRmZTg1MzZiNGI2OTZkNmEyMTE3Njk0ZjYifQ==</vt:lpwstr>
  </property>
</Properties>
</file>